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D96AA">
      <w:pPr>
        <w:spacing w:line="360" w:lineRule="auto"/>
        <w:jc w:val="center"/>
        <w:rPr>
          <w:rFonts w:hint="eastAsia" w:ascii="宋体" w:hAnsi="宋体" w:cs="宋体"/>
          <w:b/>
          <w:sz w:val="24"/>
        </w:rPr>
      </w:pPr>
    </w:p>
    <w:p w14:paraId="7D0D4D15">
      <w:pPr>
        <w:adjustRightInd/>
        <w:spacing w:line="360" w:lineRule="auto"/>
        <w:jc w:val="center"/>
        <w:rPr>
          <w:rFonts w:hint="eastAsia" w:ascii="宋体" w:hAnsi="宋体" w:cs="宋体"/>
          <w:sz w:val="48"/>
          <w:szCs w:val="48"/>
        </w:rPr>
      </w:pPr>
    </w:p>
    <w:p w14:paraId="2E00E061">
      <w:pPr>
        <w:adjustRightInd/>
        <w:spacing w:line="360" w:lineRule="auto"/>
        <w:jc w:val="center"/>
        <w:rPr>
          <w:rFonts w:hint="eastAsia" w:ascii="宋体" w:hAnsi="宋体" w:cs="宋体"/>
          <w:sz w:val="48"/>
          <w:szCs w:val="48"/>
        </w:rPr>
      </w:pPr>
    </w:p>
    <w:p w14:paraId="645CC18F">
      <w:pPr>
        <w:adjustRightInd/>
        <w:spacing w:line="360" w:lineRule="auto"/>
        <w:jc w:val="center"/>
        <w:rPr>
          <w:rFonts w:hint="eastAsia" w:ascii="宋体" w:hAnsi="宋体" w:eastAsia="宋体" w:cs="宋体"/>
          <w:sz w:val="48"/>
          <w:szCs w:val="48"/>
          <w:lang w:eastAsia="zh-CN"/>
        </w:rPr>
      </w:pPr>
      <w:r>
        <w:rPr>
          <w:rFonts w:hint="eastAsia" w:ascii="宋体" w:hAnsi="宋体" w:cs="宋体"/>
          <w:sz w:val="48"/>
          <w:szCs w:val="48"/>
          <w:lang w:eastAsia="zh-CN"/>
        </w:rPr>
        <w:t>塘栖三中港北路学校实验室采购项目</w:t>
      </w:r>
    </w:p>
    <w:p w14:paraId="03F98142">
      <w:pPr>
        <w:adjustRightInd/>
        <w:spacing w:line="360" w:lineRule="auto"/>
        <w:jc w:val="center"/>
        <w:rPr>
          <w:rFonts w:hint="eastAsia" w:ascii="宋体" w:hAnsi="宋体" w:cs="宋体"/>
          <w:sz w:val="48"/>
          <w:szCs w:val="48"/>
        </w:rPr>
      </w:pPr>
    </w:p>
    <w:p w14:paraId="2CE0A6EA">
      <w:pPr>
        <w:adjustRightInd/>
        <w:spacing w:line="360" w:lineRule="auto"/>
        <w:jc w:val="center"/>
        <w:rPr>
          <w:rFonts w:hint="eastAsia" w:ascii="宋体" w:hAnsi="宋体" w:cs="宋体"/>
          <w:sz w:val="48"/>
          <w:szCs w:val="48"/>
        </w:rPr>
      </w:pPr>
    </w:p>
    <w:p w14:paraId="7D707A7F">
      <w:pPr>
        <w:adjustRightInd/>
        <w:spacing w:line="360" w:lineRule="auto"/>
        <w:jc w:val="center"/>
        <w:rPr>
          <w:rFonts w:hint="eastAsia" w:ascii="宋体" w:hAnsi="宋体" w:cs="宋体"/>
          <w:sz w:val="48"/>
          <w:szCs w:val="48"/>
        </w:rPr>
      </w:pPr>
    </w:p>
    <w:p w14:paraId="5F9B066D">
      <w:pPr>
        <w:adjustRightInd/>
        <w:spacing w:line="360" w:lineRule="auto"/>
        <w:jc w:val="center"/>
        <w:rPr>
          <w:rFonts w:hint="eastAsia" w:ascii="宋体" w:hAnsi="宋体" w:cs="宋体"/>
          <w:sz w:val="48"/>
          <w:szCs w:val="48"/>
        </w:rPr>
      </w:pPr>
      <w:r>
        <w:rPr>
          <w:rFonts w:hint="eastAsia" w:ascii="宋体" w:hAnsi="宋体" w:cs="宋体"/>
          <w:sz w:val="48"/>
          <w:szCs w:val="48"/>
        </w:rPr>
        <w:t xml:space="preserve">招标文件 </w:t>
      </w:r>
    </w:p>
    <w:p w14:paraId="6C43659B">
      <w:pPr>
        <w:adjustRightInd/>
        <w:spacing w:line="360" w:lineRule="auto"/>
        <w:jc w:val="center"/>
        <w:rPr>
          <w:rFonts w:hint="eastAsia" w:ascii="宋体" w:hAnsi="宋体" w:cs="宋体"/>
          <w:b/>
          <w:sz w:val="44"/>
          <w:szCs w:val="44"/>
        </w:rPr>
      </w:pPr>
      <w:r>
        <w:rPr>
          <w:rFonts w:hint="eastAsia" w:ascii="宋体" w:hAnsi="宋体" w:cs="宋体"/>
          <w:b/>
          <w:sz w:val="44"/>
          <w:szCs w:val="44"/>
        </w:rPr>
        <w:t xml:space="preserve"> （电子招投标）</w:t>
      </w:r>
    </w:p>
    <w:p w14:paraId="5B33326A">
      <w:pPr>
        <w:snapToGrid w:val="0"/>
        <w:spacing w:line="360" w:lineRule="auto"/>
        <w:jc w:val="center"/>
        <w:rPr>
          <w:rFonts w:hint="eastAsia" w:ascii="宋体" w:hAnsi="宋体" w:cs="宋体"/>
          <w:sz w:val="30"/>
          <w:szCs w:val="30"/>
        </w:rPr>
      </w:pPr>
      <w:r>
        <w:rPr>
          <w:rFonts w:hint="eastAsia" w:ascii="宋体" w:hAnsi="宋体" w:cs="宋体"/>
          <w:sz w:val="30"/>
          <w:szCs w:val="30"/>
          <w:lang w:val="en-US" w:eastAsia="zh-CN"/>
        </w:rPr>
        <w:t>项目</w:t>
      </w:r>
      <w:r>
        <w:rPr>
          <w:rFonts w:hint="eastAsia" w:ascii="宋体" w:hAnsi="宋体" w:cs="宋体"/>
          <w:sz w:val="30"/>
          <w:szCs w:val="30"/>
        </w:rPr>
        <w:t>编号:（</w:t>
      </w:r>
      <w:r>
        <w:rPr>
          <w:rFonts w:hint="eastAsia" w:ascii="宋体" w:hAnsi="宋体" w:cs="宋体"/>
          <w:color w:val="000000" w:themeColor="text1"/>
          <w:sz w:val="30"/>
          <w:szCs w:val="30"/>
          <w:highlight w:val="none"/>
          <w:lang w:eastAsia="zh-CN"/>
          <w14:textFill>
            <w14:solidFill>
              <w14:schemeClr w14:val="tx1"/>
            </w14:solidFill>
          </w14:textFill>
        </w:rPr>
        <w:t>330113260537300000006-ZJZDCGLP-2026-010</w:t>
      </w:r>
      <w:r>
        <w:rPr>
          <w:rFonts w:hint="eastAsia" w:ascii="宋体" w:hAnsi="宋体" w:cs="宋体"/>
          <w:sz w:val="30"/>
          <w:szCs w:val="30"/>
        </w:rPr>
        <w:t>）</w:t>
      </w:r>
    </w:p>
    <w:p w14:paraId="584736FF">
      <w:pPr>
        <w:spacing w:line="360" w:lineRule="auto"/>
        <w:rPr>
          <w:rFonts w:hint="eastAsia" w:ascii="宋体" w:hAnsi="宋体" w:cs="宋体"/>
          <w:sz w:val="24"/>
        </w:rPr>
      </w:pPr>
    </w:p>
    <w:p w14:paraId="573EF92C">
      <w:pPr>
        <w:spacing w:line="360" w:lineRule="auto"/>
        <w:jc w:val="center"/>
        <w:rPr>
          <w:rFonts w:hint="eastAsia" w:ascii="宋体" w:hAnsi="宋体" w:cs="宋体"/>
          <w:sz w:val="24"/>
        </w:rPr>
      </w:pPr>
    </w:p>
    <w:p w14:paraId="428779BC">
      <w:pPr>
        <w:spacing w:line="360" w:lineRule="auto"/>
        <w:rPr>
          <w:rFonts w:hint="eastAsia" w:ascii="宋体" w:hAnsi="宋体" w:cs="宋体"/>
          <w:sz w:val="32"/>
          <w:szCs w:val="32"/>
        </w:rPr>
      </w:pPr>
    </w:p>
    <w:p w14:paraId="763745BC">
      <w:pPr>
        <w:snapToGrid w:val="0"/>
        <w:spacing w:line="360" w:lineRule="auto"/>
        <w:jc w:val="center"/>
        <w:rPr>
          <w:rFonts w:hint="eastAsia" w:ascii="宋体" w:hAnsi="宋体" w:cs="宋体"/>
          <w:sz w:val="32"/>
          <w:szCs w:val="32"/>
        </w:rPr>
      </w:pPr>
      <w:r>
        <w:rPr>
          <w:rFonts w:hint="eastAsia" w:ascii="宋体" w:hAnsi="宋体" w:cs="宋体"/>
          <w:sz w:val="32"/>
          <w:szCs w:val="32"/>
        </w:rPr>
        <w:t>采购人：</w:t>
      </w:r>
      <w:r>
        <w:rPr>
          <w:rFonts w:hint="eastAsia" w:ascii="宋体" w:hAnsi="宋体" w:cs="宋体"/>
          <w:sz w:val="32"/>
          <w:szCs w:val="32"/>
          <w:lang w:eastAsia="zh-CN"/>
        </w:rPr>
        <w:t>杭州市临平区塘栖第三中学</w:t>
      </w:r>
      <w:r>
        <w:rPr>
          <w:rFonts w:hint="eastAsia" w:ascii="宋体" w:hAnsi="宋体" w:cs="宋体"/>
          <w:sz w:val="32"/>
          <w:szCs w:val="32"/>
        </w:rPr>
        <w:t xml:space="preserve"> </w:t>
      </w:r>
    </w:p>
    <w:p w14:paraId="44B67298">
      <w:pPr>
        <w:snapToGrid/>
        <w:spacing w:line="360" w:lineRule="auto"/>
        <w:jc w:val="center"/>
        <w:rPr>
          <w:rFonts w:hint="eastAsia" w:ascii="宋体" w:hAnsi="宋体" w:cs="宋体"/>
          <w:bCs/>
          <w:sz w:val="32"/>
          <w:szCs w:val="32"/>
        </w:rPr>
      </w:pPr>
      <w:r>
        <w:rPr>
          <w:rFonts w:hint="eastAsia" w:ascii="宋体" w:hAnsi="宋体" w:cs="宋体"/>
          <w:bCs/>
          <w:sz w:val="32"/>
          <w:szCs w:val="32"/>
        </w:rPr>
        <w:t>采购代理机构：浙江中达工程造价事务所有限公司</w:t>
      </w:r>
    </w:p>
    <w:p w14:paraId="4E9B7364">
      <w:pPr>
        <w:snapToGrid w:val="0"/>
        <w:spacing w:line="360" w:lineRule="auto"/>
        <w:jc w:val="center"/>
        <w:rPr>
          <w:rFonts w:hint="eastAsia" w:ascii="宋体" w:hAnsi="宋体" w:cs="宋体"/>
          <w:bCs/>
          <w:sz w:val="32"/>
          <w:szCs w:val="32"/>
        </w:rPr>
      </w:pPr>
      <w:r>
        <w:rPr>
          <w:rFonts w:hint="eastAsia" w:ascii="宋体" w:hAnsi="宋体" w:cs="宋体"/>
          <w:bCs/>
          <w:sz w:val="32"/>
          <w:szCs w:val="32"/>
        </w:rPr>
        <w:t>二〇二六年</w:t>
      </w:r>
      <w:r>
        <w:rPr>
          <w:rFonts w:hint="eastAsia" w:ascii="宋体" w:hAnsi="宋体" w:cs="宋体"/>
          <w:bCs/>
          <w:sz w:val="32"/>
          <w:szCs w:val="32"/>
          <w:lang w:val="en-US" w:eastAsia="zh-CN"/>
        </w:rPr>
        <w:t>五</w:t>
      </w:r>
      <w:r>
        <w:rPr>
          <w:rFonts w:hint="eastAsia" w:ascii="宋体" w:hAnsi="宋体" w:cs="宋体"/>
          <w:bCs/>
          <w:sz w:val="32"/>
          <w:szCs w:val="32"/>
        </w:rPr>
        <w:t>月</w:t>
      </w:r>
    </w:p>
    <w:p w14:paraId="3BAAA516">
      <w:pPr>
        <w:spacing w:line="360" w:lineRule="auto"/>
      </w:pPr>
      <w:bookmarkStart w:id="0" w:name="_Hlt67893495"/>
      <w:bookmarkEnd w:id="0"/>
    </w:p>
    <w:p w14:paraId="370A7A4E">
      <w:pPr>
        <w:jc w:val="left"/>
        <w:rPr>
          <w:rFonts w:hint="eastAsia" w:ascii="宋体" w:hAnsi="宋体" w:cs="宋体"/>
          <w:b/>
          <w:sz w:val="48"/>
          <w:szCs w:val="48"/>
        </w:rPr>
      </w:pPr>
      <w:r>
        <w:rPr>
          <w:rFonts w:hint="eastAsia" w:ascii="宋体" w:hAnsi="宋体" w:cs="宋体"/>
          <w:b/>
          <w:sz w:val="48"/>
          <w:szCs w:val="48"/>
        </w:rPr>
        <w:br w:type="page"/>
      </w:r>
    </w:p>
    <w:p w14:paraId="79000499">
      <w:pPr>
        <w:jc w:val="center"/>
        <w:rPr>
          <w:rFonts w:hint="eastAsia" w:ascii="宋体" w:hAnsi="宋体" w:cs="宋体"/>
          <w:b/>
          <w:sz w:val="48"/>
          <w:szCs w:val="48"/>
        </w:rPr>
      </w:pPr>
      <w:r>
        <w:rPr>
          <w:rFonts w:hint="eastAsia" w:ascii="宋体" w:hAnsi="宋体" w:cs="宋体"/>
          <w:b/>
          <w:sz w:val="48"/>
          <w:szCs w:val="48"/>
        </w:rPr>
        <w:t>目  录</w:t>
      </w:r>
    </w:p>
    <w:p w14:paraId="015F682D">
      <w:pPr>
        <w:spacing w:line="360" w:lineRule="auto"/>
        <w:rPr>
          <w:rFonts w:hint="eastAsia" w:ascii="宋体" w:hAnsi="宋体" w:cs="宋体"/>
          <w:sz w:val="32"/>
          <w:szCs w:val="32"/>
        </w:rPr>
      </w:pPr>
    </w:p>
    <w:p w14:paraId="55CC5434">
      <w:pPr>
        <w:spacing w:line="360" w:lineRule="auto"/>
        <w:rPr>
          <w:rFonts w:hint="eastAsia" w:ascii="宋体" w:hAnsi="宋体" w:cs="宋体"/>
          <w:sz w:val="32"/>
          <w:szCs w:val="32"/>
        </w:rPr>
      </w:pPr>
    </w:p>
    <w:p w14:paraId="6CB17DFD">
      <w:pPr>
        <w:spacing w:line="360" w:lineRule="auto"/>
        <w:ind w:firstLine="1280" w:firstLineChars="400"/>
        <w:rPr>
          <w:rFonts w:hint="eastAsia" w:ascii="宋体" w:hAnsi="宋体" w:cs="宋体"/>
          <w:sz w:val="32"/>
          <w:szCs w:val="32"/>
        </w:rPr>
      </w:pPr>
      <w:r>
        <w:rPr>
          <w:rFonts w:hint="eastAsia" w:ascii="宋体" w:hAnsi="宋体" w:cs="宋体"/>
          <w:sz w:val="32"/>
          <w:szCs w:val="32"/>
        </w:rPr>
        <w:t>第一部分      招标公告</w:t>
      </w:r>
    </w:p>
    <w:p w14:paraId="46C8CC48">
      <w:pPr>
        <w:spacing w:line="360" w:lineRule="auto"/>
        <w:ind w:firstLine="1280" w:firstLineChars="400"/>
        <w:rPr>
          <w:rFonts w:hint="eastAsia" w:ascii="宋体" w:hAnsi="宋体" w:cs="宋体"/>
          <w:sz w:val="32"/>
          <w:szCs w:val="32"/>
        </w:rPr>
      </w:pPr>
      <w:r>
        <w:rPr>
          <w:rFonts w:hint="eastAsia" w:ascii="宋体" w:hAnsi="宋体" w:cs="宋体"/>
          <w:sz w:val="32"/>
          <w:szCs w:val="32"/>
        </w:rPr>
        <w:t>第二部分      投标人须知</w:t>
      </w:r>
    </w:p>
    <w:p w14:paraId="093ACF77">
      <w:pPr>
        <w:spacing w:line="360" w:lineRule="auto"/>
        <w:ind w:firstLine="1280" w:firstLineChars="400"/>
        <w:rPr>
          <w:rFonts w:hint="eastAsia" w:ascii="宋体" w:hAnsi="宋体" w:cs="宋体"/>
          <w:sz w:val="32"/>
          <w:szCs w:val="32"/>
        </w:rPr>
      </w:pPr>
      <w:r>
        <w:rPr>
          <w:rFonts w:hint="eastAsia" w:ascii="宋体" w:hAnsi="宋体" w:cs="宋体"/>
          <w:sz w:val="32"/>
          <w:szCs w:val="32"/>
        </w:rPr>
        <w:t>第三部分      采购需求</w:t>
      </w:r>
    </w:p>
    <w:p w14:paraId="12C0296D">
      <w:pPr>
        <w:spacing w:line="360" w:lineRule="auto"/>
        <w:ind w:firstLine="1280" w:firstLineChars="400"/>
        <w:rPr>
          <w:rFonts w:hint="eastAsia" w:ascii="宋体" w:hAnsi="宋体" w:cs="宋体"/>
          <w:sz w:val="32"/>
          <w:szCs w:val="32"/>
        </w:rPr>
      </w:pPr>
      <w:r>
        <w:rPr>
          <w:rFonts w:hint="eastAsia" w:ascii="宋体" w:hAnsi="宋体" w:cs="宋体"/>
          <w:sz w:val="32"/>
          <w:szCs w:val="32"/>
        </w:rPr>
        <w:t>第四部分      评标办法</w:t>
      </w:r>
    </w:p>
    <w:p w14:paraId="7ADF6B40">
      <w:pPr>
        <w:spacing w:line="360" w:lineRule="auto"/>
        <w:ind w:firstLine="1280" w:firstLineChars="400"/>
        <w:rPr>
          <w:rFonts w:hint="eastAsia" w:ascii="宋体" w:hAnsi="宋体" w:cs="宋体"/>
          <w:sz w:val="32"/>
          <w:szCs w:val="32"/>
        </w:rPr>
      </w:pPr>
      <w:r>
        <w:rPr>
          <w:rFonts w:hint="eastAsia" w:ascii="宋体" w:hAnsi="宋体" w:cs="宋体"/>
          <w:sz w:val="32"/>
          <w:szCs w:val="32"/>
        </w:rPr>
        <w:t>第五部分      拟签订的合同文本</w:t>
      </w:r>
    </w:p>
    <w:p w14:paraId="2C5B1035">
      <w:pPr>
        <w:spacing w:line="360" w:lineRule="auto"/>
        <w:ind w:firstLine="1280" w:firstLineChars="400"/>
        <w:rPr>
          <w:rFonts w:hint="eastAsia" w:ascii="宋体" w:hAnsi="宋体" w:cs="宋体"/>
          <w:sz w:val="32"/>
          <w:szCs w:val="32"/>
        </w:rPr>
      </w:pPr>
      <w:r>
        <w:rPr>
          <w:rFonts w:hint="eastAsia" w:ascii="宋体" w:hAnsi="宋体" w:cs="宋体"/>
          <w:sz w:val="32"/>
          <w:szCs w:val="32"/>
        </w:rPr>
        <w:t>第六部分      应提交的有关格式范例</w:t>
      </w:r>
    </w:p>
    <w:p w14:paraId="516DC88B">
      <w:pPr>
        <w:spacing w:line="360" w:lineRule="auto"/>
        <w:ind w:firstLine="549" w:firstLineChars="229"/>
        <w:rPr>
          <w:rFonts w:hint="eastAsia" w:ascii="宋体" w:hAnsi="宋体" w:cs="宋体"/>
          <w:sz w:val="24"/>
        </w:rPr>
      </w:pPr>
      <w:bookmarkStart w:id="1" w:name="_Hlt91233176"/>
      <w:bookmarkEnd w:id="1"/>
      <w:bookmarkStart w:id="2" w:name="_Toc91899869"/>
    </w:p>
    <w:p w14:paraId="79823D3C">
      <w:pPr>
        <w:spacing w:line="360" w:lineRule="auto"/>
        <w:ind w:firstLine="549" w:firstLineChars="229"/>
        <w:rPr>
          <w:rFonts w:hint="eastAsia" w:ascii="宋体" w:hAnsi="宋体" w:cs="宋体"/>
          <w:sz w:val="24"/>
        </w:rPr>
      </w:pPr>
    </w:p>
    <w:p w14:paraId="252890E3">
      <w:pPr>
        <w:spacing w:line="360" w:lineRule="auto"/>
        <w:ind w:firstLine="549" w:firstLineChars="229"/>
        <w:rPr>
          <w:rFonts w:hint="eastAsia" w:ascii="宋体" w:hAnsi="宋体" w:cs="宋体"/>
          <w:sz w:val="24"/>
        </w:rPr>
      </w:pPr>
    </w:p>
    <w:p w14:paraId="0F80A0A3">
      <w:pPr>
        <w:spacing w:line="360" w:lineRule="auto"/>
        <w:ind w:firstLine="549" w:firstLineChars="229"/>
        <w:rPr>
          <w:rFonts w:hint="eastAsia" w:ascii="宋体" w:hAnsi="宋体" w:cs="宋体"/>
          <w:sz w:val="24"/>
        </w:rPr>
      </w:pPr>
    </w:p>
    <w:p w14:paraId="4AB42A31">
      <w:pPr>
        <w:spacing w:line="360" w:lineRule="auto"/>
        <w:ind w:firstLine="549" w:firstLineChars="229"/>
        <w:rPr>
          <w:rFonts w:hint="eastAsia" w:ascii="宋体" w:hAnsi="宋体" w:cs="宋体"/>
          <w:sz w:val="24"/>
        </w:rPr>
      </w:pPr>
    </w:p>
    <w:p w14:paraId="35DDE1DD">
      <w:pPr>
        <w:spacing w:line="360" w:lineRule="auto"/>
        <w:ind w:firstLine="549" w:firstLineChars="229"/>
        <w:rPr>
          <w:rFonts w:hint="eastAsia" w:ascii="宋体" w:hAnsi="宋体" w:cs="宋体"/>
          <w:sz w:val="24"/>
        </w:rPr>
      </w:pPr>
    </w:p>
    <w:p w14:paraId="5684B7D2">
      <w:pPr>
        <w:spacing w:line="360" w:lineRule="auto"/>
        <w:ind w:firstLine="549" w:firstLineChars="229"/>
        <w:rPr>
          <w:rFonts w:hint="eastAsia" w:ascii="宋体" w:hAnsi="宋体" w:cs="宋体"/>
          <w:sz w:val="24"/>
        </w:rPr>
      </w:pPr>
    </w:p>
    <w:p w14:paraId="33C481A1">
      <w:pPr>
        <w:spacing w:line="360" w:lineRule="auto"/>
        <w:ind w:firstLine="549" w:firstLineChars="229"/>
        <w:rPr>
          <w:rFonts w:hint="eastAsia" w:ascii="宋体" w:hAnsi="宋体" w:cs="宋体"/>
          <w:sz w:val="24"/>
        </w:rPr>
      </w:pPr>
    </w:p>
    <w:p w14:paraId="161F00A8">
      <w:pPr>
        <w:spacing w:line="360" w:lineRule="auto"/>
        <w:ind w:firstLine="549" w:firstLineChars="229"/>
        <w:rPr>
          <w:rFonts w:hint="eastAsia" w:ascii="宋体" w:hAnsi="宋体" w:cs="宋体"/>
          <w:sz w:val="24"/>
        </w:rPr>
      </w:pPr>
    </w:p>
    <w:p w14:paraId="3F83E747">
      <w:pPr>
        <w:spacing w:line="360" w:lineRule="auto"/>
        <w:ind w:firstLine="549" w:firstLineChars="229"/>
        <w:rPr>
          <w:rFonts w:hint="eastAsia" w:ascii="宋体" w:hAnsi="宋体" w:cs="宋体"/>
          <w:sz w:val="24"/>
        </w:rPr>
      </w:pPr>
    </w:p>
    <w:p w14:paraId="7BDA9B4A">
      <w:pPr>
        <w:spacing w:line="360" w:lineRule="auto"/>
        <w:ind w:firstLine="549" w:firstLineChars="229"/>
        <w:rPr>
          <w:rFonts w:hint="eastAsia" w:ascii="宋体" w:hAnsi="宋体" w:cs="宋体"/>
          <w:sz w:val="24"/>
        </w:rPr>
      </w:pPr>
    </w:p>
    <w:p w14:paraId="3710980F">
      <w:pPr>
        <w:spacing w:line="360" w:lineRule="auto"/>
        <w:ind w:firstLine="549" w:firstLineChars="229"/>
        <w:rPr>
          <w:rFonts w:hint="eastAsia" w:ascii="宋体" w:hAnsi="宋体" w:cs="宋体"/>
          <w:sz w:val="24"/>
        </w:rPr>
      </w:pPr>
    </w:p>
    <w:p w14:paraId="288313DA">
      <w:pPr>
        <w:adjustRightInd/>
        <w:spacing w:line="360" w:lineRule="auto"/>
        <w:jc w:val="center"/>
        <w:outlineLvl w:val="0"/>
        <w:rPr>
          <w:rFonts w:hint="eastAsia"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8647"/>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38FC239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353BF64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塘栖三中港北路学校实验室采购项目</w:t>
      </w:r>
      <w:r>
        <w:rPr>
          <w:rFonts w:hint="eastAsia" w:ascii="宋体" w:hAnsi="宋体" w:cs="宋体"/>
          <w:sz w:val="24"/>
        </w:rPr>
        <w:t>招标项目的潜在投标人应在政采云平台（</w:t>
      </w:r>
      <w:r>
        <w:fldChar w:fldCharType="begin"/>
      </w:r>
      <w:r>
        <w:instrText xml:space="preserve"> HYPERLINK "https://www.zcygov.cn/）获取（下载）招标文件，并于202%20年%20月%20日%20点%20分00秒" </w:instrText>
      </w:r>
      <w:r>
        <w:fldChar w:fldCharType="separate"/>
      </w:r>
      <w:r>
        <w:rPr>
          <w:rStyle w:val="76"/>
          <w:rFonts w:hint="eastAsia" w:ascii="宋体" w:hAnsi="宋体" w:eastAsia="宋体" w:cs="宋体"/>
          <w:color w:val="auto"/>
          <w:kern w:val="2"/>
          <w:sz w:val="24"/>
          <w:szCs w:val="24"/>
        </w:rPr>
        <w:t>https://www.zcygov.cn/）获取（下载）招标文件，并于</w:t>
      </w:r>
      <w:r>
        <w:rPr>
          <w:rStyle w:val="76"/>
          <w:rFonts w:hint="eastAsia" w:ascii="宋体" w:hAnsi="宋体" w:eastAsia="宋体" w:cs="宋体"/>
          <w:b/>
          <w:bCs/>
          <w:color w:val="FF0000"/>
          <w:kern w:val="2"/>
          <w:sz w:val="24"/>
          <w:szCs w:val="24"/>
        </w:rPr>
        <w:t>202</w:t>
      </w:r>
      <w:r>
        <w:rPr>
          <w:rStyle w:val="76"/>
          <w:rFonts w:hint="eastAsia" w:ascii="宋体" w:hAnsi="宋体" w:cs="宋体"/>
          <w:b/>
          <w:bCs/>
          <w:color w:val="FF0000"/>
          <w:kern w:val="2"/>
          <w:sz w:val="24"/>
          <w:szCs w:val="24"/>
        </w:rPr>
        <w:t>6</w:t>
      </w:r>
      <w:r>
        <w:rPr>
          <w:rStyle w:val="76"/>
          <w:rFonts w:hint="eastAsia" w:ascii="宋体" w:hAnsi="宋体" w:eastAsia="宋体" w:cs="宋体"/>
          <w:b/>
          <w:bCs/>
          <w:color w:val="FF0000"/>
          <w:kern w:val="2"/>
          <w:sz w:val="24"/>
          <w:szCs w:val="24"/>
        </w:rPr>
        <w:t>年</w:t>
      </w:r>
      <w:r>
        <w:rPr>
          <w:rStyle w:val="76"/>
          <w:rFonts w:hint="eastAsia" w:ascii="宋体" w:hAnsi="宋体" w:eastAsia="黑体" w:cs="宋体"/>
          <w:b/>
          <w:bCs/>
          <w:color w:val="FF0000"/>
          <w:kern w:val="2"/>
          <w:sz w:val="24"/>
          <w:szCs w:val="24"/>
          <w:lang w:val="en-US" w:eastAsia="zh-CN"/>
        </w:rPr>
        <w:t>6</w:t>
      </w:r>
      <w:r>
        <w:rPr>
          <w:rStyle w:val="76"/>
          <w:rFonts w:hint="eastAsia" w:ascii="宋体" w:hAnsi="宋体" w:eastAsia="宋体" w:cs="宋体"/>
          <w:b/>
          <w:bCs/>
          <w:color w:val="FF0000"/>
          <w:kern w:val="2"/>
          <w:sz w:val="24"/>
          <w:szCs w:val="24"/>
        </w:rPr>
        <w:t>月</w:t>
      </w:r>
      <w:r>
        <w:rPr>
          <w:rStyle w:val="76"/>
          <w:rFonts w:hint="eastAsia" w:ascii="宋体" w:hAnsi="宋体" w:eastAsia="黑体" w:cs="宋体"/>
          <w:b/>
          <w:bCs/>
          <w:color w:val="FF0000"/>
          <w:kern w:val="2"/>
          <w:sz w:val="24"/>
          <w:szCs w:val="24"/>
          <w:lang w:val="en-US" w:eastAsia="zh-CN"/>
        </w:rPr>
        <w:t>1</w:t>
      </w:r>
      <w:r>
        <w:rPr>
          <w:rStyle w:val="76"/>
          <w:rFonts w:hint="eastAsia" w:ascii="宋体" w:hAnsi="宋体" w:eastAsia="宋体" w:cs="宋体"/>
          <w:b/>
          <w:bCs/>
          <w:color w:val="FF0000"/>
          <w:kern w:val="2"/>
          <w:sz w:val="24"/>
          <w:szCs w:val="24"/>
        </w:rPr>
        <w:t>日</w:t>
      </w:r>
      <w:r>
        <w:rPr>
          <w:rStyle w:val="76"/>
          <w:rFonts w:hint="eastAsia" w:ascii="宋体" w:hAnsi="宋体" w:eastAsia="黑体" w:cs="宋体"/>
          <w:b/>
          <w:bCs/>
          <w:color w:val="FF0000"/>
          <w:kern w:val="2"/>
          <w:sz w:val="24"/>
          <w:szCs w:val="24"/>
          <w:lang w:val="en-US" w:eastAsia="zh-CN"/>
        </w:rPr>
        <w:t>14</w:t>
      </w:r>
      <w:r>
        <w:rPr>
          <w:rStyle w:val="76"/>
          <w:rFonts w:hint="eastAsia" w:ascii="宋体" w:hAnsi="宋体" w:eastAsia="宋体" w:cs="宋体"/>
          <w:b/>
          <w:bCs/>
          <w:color w:val="FF0000"/>
          <w:kern w:val="2"/>
          <w:sz w:val="24"/>
          <w:szCs w:val="24"/>
        </w:rPr>
        <w:t>点</w:t>
      </w:r>
      <w:r>
        <w:rPr>
          <w:rStyle w:val="76"/>
          <w:rFonts w:hint="eastAsia" w:ascii="宋体" w:hAnsi="宋体" w:eastAsia="黑体" w:cs="宋体"/>
          <w:b/>
          <w:bCs/>
          <w:color w:val="FF0000"/>
          <w:kern w:val="2"/>
          <w:sz w:val="24"/>
          <w:szCs w:val="24"/>
          <w:lang w:val="en-US" w:eastAsia="zh-CN"/>
        </w:rPr>
        <w:t>00</w:t>
      </w:r>
      <w:r>
        <w:rPr>
          <w:rStyle w:val="76"/>
          <w:rFonts w:hint="eastAsia" w:ascii="宋体" w:hAnsi="宋体" w:eastAsia="宋体" w:cs="宋体"/>
          <w:b/>
          <w:bCs/>
          <w:color w:val="FF0000"/>
          <w:kern w:val="2"/>
          <w:sz w:val="24"/>
          <w:szCs w:val="24"/>
        </w:rPr>
        <w:t>分00秒</w:t>
      </w:r>
      <w:r>
        <w:rPr>
          <w:rStyle w:val="76"/>
          <w:rFonts w:hint="eastAsia" w:ascii="宋体" w:hAnsi="宋体" w:eastAsia="宋体" w:cs="宋体"/>
          <w:color w:val="FF0000"/>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22A34455">
      <w:pPr>
        <w:spacing w:line="360" w:lineRule="auto"/>
        <w:rPr>
          <w:rFonts w:hint="eastAsia" w:ascii="宋体" w:hAnsi="宋体" w:cs="宋体"/>
          <w:b/>
          <w:sz w:val="24"/>
        </w:rPr>
      </w:pPr>
      <w:r>
        <w:rPr>
          <w:rFonts w:hint="eastAsia" w:ascii="宋体" w:hAnsi="宋体" w:cs="宋体"/>
          <w:b/>
          <w:sz w:val="24"/>
        </w:rPr>
        <w:t xml:space="preserve">一、项目基本情况                                            </w:t>
      </w:r>
    </w:p>
    <w:p w14:paraId="23B918BE">
      <w:pPr>
        <w:spacing w:line="360" w:lineRule="auto"/>
        <w:rPr>
          <w:rFonts w:hint="eastAsia" w:ascii="宋体" w:hAnsi="宋体" w:eastAsia="宋体" w:cs="宋体"/>
          <w:sz w:val="24"/>
          <w:highlight w:val="yellow"/>
          <w:lang w:eastAsia="zh-CN"/>
        </w:rPr>
      </w:pPr>
      <w:r>
        <w:rPr>
          <w:rFonts w:hint="eastAsia" w:ascii="宋体" w:hAnsi="宋体" w:cs="宋体"/>
          <w:sz w:val="24"/>
        </w:rPr>
        <w:t xml:space="preserve">    </w:t>
      </w:r>
      <w:r>
        <w:rPr>
          <w:rFonts w:hint="eastAsia" w:ascii="宋体" w:hAnsi="宋体" w:cs="宋体"/>
          <w:b/>
          <w:bCs/>
          <w:sz w:val="24"/>
          <w:lang w:val="en-US" w:eastAsia="zh-CN"/>
        </w:rPr>
        <w:t>项目编号</w:t>
      </w:r>
      <w:r>
        <w:rPr>
          <w:rFonts w:hint="eastAsia" w:ascii="宋体" w:hAnsi="宋体" w:cs="宋体"/>
          <w:b/>
          <w:bCs/>
          <w:sz w:val="24"/>
        </w:rPr>
        <w:t>：</w:t>
      </w:r>
      <w:r>
        <w:rPr>
          <w:rFonts w:hint="eastAsia" w:ascii="宋体" w:hAnsi="宋体" w:cs="宋体"/>
          <w:color w:val="000000" w:themeColor="text1"/>
          <w:sz w:val="24"/>
          <w:highlight w:val="none"/>
          <w:lang w:eastAsia="zh-CN"/>
          <w14:textFill>
            <w14:solidFill>
              <w14:schemeClr w14:val="tx1"/>
            </w14:solidFill>
          </w14:textFill>
        </w:rPr>
        <w:t>330113260537300000006-ZJZDCGLP-2026-010</w:t>
      </w:r>
    </w:p>
    <w:p w14:paraId="34AF9CF3">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sz w:val="24"/>
          <w:lang w:eastAsia="zh-CN"/>
        </w:rPr>
        <w:t>塘栖三中港北路学校实验室采购项目</w:t>
      </w:r>
    </w:p>
    <w:p w14:paraId="7FEC8F5D">
      <w:pPr>
        <w:spacing w:line="360" w:lineRule="auto"/>
        <w:rPr>
          <w:rFonts w:hint="eastAsia" w:ascii="宋体" w:hAnsi="宋体" w:cs="宋体"/>
          <w:color w:val="000000"/>
          <w:sz w:val="24"/>
        </w:rPr>
      </w:pP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b/>
          <w:color w:val="000000"/>
          <w:sz w:val="24"/>
        </w:rPr>
        <w:t>预算金额（元）：</w:t>
      </w:r>
      <w:r>
        <w:rPr>
          <w:rFonts w:hint="eastAsia" w:ascii="宋体" w:hAnsi="宋体" w:cs="宋体"/>
          <w:b/>
          <w:color w:val="000000"/>
          <w:sz w:val="24"/>
          <w:lang w:val="en-US" w:eastAsia="zh-CN"/>
        </w:rPr>
        <w:t>280</w:t>
      </w:r>
      <w:r>
        <w:rPr>
          <w:rFonts w:hint="eastAsia" w:ascii="宋体" w:hAnsi="宋体" w:cs="宋体"/>
          <w:b/>
          <w:color w:val="000000"/>
          <w:sz w:val="24"/>
        </w:rPr>
        <w:t>0000</w:t>
      </w:r>
    </w:p>
    <w:p w14:paraId="5C57E745">
      <w:pPr>
        <w:spacing w:line="360" w:lineRule="auto"/>
        <w:ind w:firstLine="480"/>
        <w:rPr>
          <w:rFonts w:hint="eastAsia" w:ascii="宋体" w:hAnsi="宋体" w:cs="宋体"/>
          <w:sz w:val="24"/>
        </w:rPr>
      </w:pPr>
      <w:r>
        <w:rPr>
          <w:rFonts w:hint="eastAsia" w:ascii="宋体" w:hAnsi="宋体" w:cs="宋体"/>
          <w:b/>
          <w:color w:val="000000"/>
          <w:sz w:val="24"/>
        </w:rPr>
        <w:t>最高限价（元）：</w:t>
      </w:r>
      <w:r>
        <w:rPr>
          <w:rFonts w:hint="eastAsia" w:ascii="宋体" w:hAnsi="宋体" w:cs="宋体"/>
          <w:b/>
          <w:color w:val="000000"/>
          <w:sz w:val="24"/>
          <w:lang w:val="en-US" w:eastAsia="zh-CN"/>
        </w:rPr>
        <w:t>280</w:t>
      </w:r>
      <w:r>
        <w:rPr>
          <w:rFonts w:hint="eastAsia" w:ascii="宋体" w:hAnsi="宋体" w:cs="宋体"/>
          <w:b/>
          <w:color w:val="000000"/>
          <w:sz w:val="24"/>
        </w:rPr>
        <w:t>0000</w:t>
      </w:r>
    </w:p>
    <w:p w14:paraId="346D7333">
      <w:pPr>
        <w:pStyle w:val="5"/>
        <w:spacing w:line="360" w:lineRule="auto"/>
        <w:ind w:firstLine="480"/>
        <w:rPr>
          <w:rFonts w:hint="eastAsia" w:ascii="宋体" w:hAnsi="宋体" w:eastAsia="宋体" w:cs="宋体"/>
          <w:b/>
          <w:bCs w:val="0"/>
          <w:color w:val="auto"/>
          <w:kern w:val="28"/>
          <w:sz w:val="24"/>
          <w:szCs w:val="20"/>
        </w:rPr>
      </w:pPr>
      <w:r>
        <w:rPr>
          <w:rFonts w:hint="eastAsia" w:hAnsi="宋体" w:cs="宋体"/>
          <w:b/>
          <w:color w:val="auto"/>
          <w:sz w:val="24"/>
        </w:rPr>
        <w:t>采购需求：</w:t>
      </w:r>
      <w:r>
        <w:rPr>
          <w:rFonts w:hint="eastAsia" w:hAnsi="宋体" w:cs="宋体"/>
          <w:color w:val="auto"/>
          <w:sz w:val="24"/>
          <w:lang w:eastAsia="zh-CN"/>
        </w:rPr>
        <w:t>塘栖三中港北路学校实验室采购项目</w:t>
      </w:r>
      <w:r>
        <w:rPr>
          <w:rFonts w:hint="eastAsia" w:hAnsi="宋体" w:cs="宋体"/>
          <w:color w:val="auto"/>
          <w:sz w:val="24"/>
        </w:rPr>
        <w:t>，</w:t>
      </w:r>
      <w:r>
        <w:rPr>
          <w:rFonts w:hint="eastAsia" w:hAnsi="宋体" w:cs="宋体"/>
          <w:bCs/>
          <w:color w:val="auto"/>
          <w:kern w:val="2"/>
          <w:sz w:val="24"/>
          <w:szCs w:val="24"/>
        </w:rPr>
        <w:t>主要内容：详见</w:t>
      </w:r>
      <w:r>
        <w:rPr>
          <w:rFonts w:hint="eastAsia" w:hAnsi="宋体"/>
          <w:color w:val="auto"/>
          <w:kern w:val="2"/>
          <w:sz w:val="24"/>
          <w:szCs w:val="24"/>
        </w:rPr>
        <w:t>招标文件第三</w:t>
      </w:r>
      <w:r>
        <w:rPr>
          <w:rFonts w:hint="eastAsia" w:ascii="宋体" w:hAnsi="宋体" w:eastAsia="宋体" w:cs="宋体"/>
          <w:b w:val="0"/>
          <w:bCs/>
          <w:color w:val="auto"/>
          <w:kern w:val="28"/>
          <w:sz w:val="24"/>
          <w:szCs w:val="20"/>
        </w:rPr>
        <w:t>部分采购需求</w:t>
      </w:r>
      <w:r>
        <w:rPr>
          <w:rFonts w:hint="eastAsia" w:ascii="宋体" w:hAnsi="宋体" w:eastAsia="宋体" w:cs="宋体"/>
          <w:b w:val="0"/>
          <w:bCs/>
          <w:color w:val="auto"/>
          <w:kern w:val="28"/>
          <w:sz w:val="24"/>
          <w:szCs w:val="20"/>
          <w:lang w:eastAsia="zh-CN"/>
        </w:rPr>
        <w:t>。</w:t>
      </w:r>
    </w:p>
    <w:p w14:paraId="43E90F7B">
      <w:pPr>
        <w:pStyle w:val="5"/>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合同履约期限：</w:t>
      </w:r>
      <w:r>
        <w:rPr>
          <w:rFonts w:hint="eastAsia" w:ascii="宋体" w:hAnsi="宋体" w:eastAsia="宋体" w:cs="宋体"/>
          <w:b w:val="0"/>
          <w:bCs/>
          <w:color w:val="auto"/>
          <w:sz w:val="24"/>
        </w:rPr>
        <w:t>详见招标文件第三部分采购需求</w:t>
      </w:r>
    </w:p>
    <w:p w14:paraId="3298E90F">
      <w:pPr>
        <w:pStyle w:val="5"/>
        <w:spacing w:line="360" w:lineRule="auto"/>
        <w:ind w:firstLine="480"/>
        <w:rPr>
          <w:rFonts w:hint="eastAsia"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r>
        <w:rPr>
          <w:rFonts w:hAnsi="宋体" w:cs="宋体"/>
          <w:color w:val="auto"/>
          <w:kern w:val="0"/>
          <w:sz w:val="24"/>
        </w:rPr>
        <w:sym w:font="Wingdings" w:char="00FE"/>
      </w:r>
      <w:r>
        <w:rPr>
          <w:rFonts w:hint="eastAsia" w:hAnsi="宋体" w:cs="宋体"/>
          <w:b/>
          <w:color w:val="auto"/>
          <w:sz w:val="24"/>
        </w:rPr>
        <w:t>是；</w:t>
      </w:r>
      <w:r>
        <w:rPr>
          <w:rFonts w:hAnsi="宋体" w:cs="宋体"/>
          <w:color w:val="auto"/>
          <w:kern w:val="0"/>
          <w:sz w:val="24"/>
        </w:rPr>
        <w:t xml:space="preserve"> </w:t>
      </w:r>
      <w:r>
        <w:rPr>
          <w:rFonts w:hAnsi="宋体" w:cs="宋体"/>
          <w:color w:val="auto"/>
          <w:kern w:val="0"/>
          <w:sz w:val="24"/>
        </w:rPr>
        <w:sym w:font="Wingdings" w:char="00A8"/>
      </w:r>
      <w:r>
        <w:rPr>
          <w:rFonts w:hint="eastAsia" w:hAnsi="宋体" w:cs="宋体"/>
          <w:b/>
          <w:color w:val="auto"/>
          <w:sz w:val="24"/>
        </w:rPr>
        <w:t>否</w:t>
      </w:r>
      <w:r>
        <w:rPr>
          <w:rFonts w:hint="eastAsia" w:hAnsi="宋体" w:cs="宋体"/>
          <w:color w:val="auto"/>
          <w:kern w:val="0"/>
          <w:sz w:val="24"/>
        </w:rPr>
        <w:t>。</w:t>
      </w:r>
    </w:p>
    <w:p w14:paraId="6F1673C6">
      <w:pPr>
        <w:spacing w:line="360" w:lineRule="auto"/>
        <w:rPr>
          <w:rFonts w:hint="eastAsia" w:ascii="宋体" w:hAnsi="宋体" w:cs="宋体"/>
          <w:b/>
          <w:sz w:val="24"/>
        </w:rPr>
      </w:pPr>
      <w:r>
        <w:rPr>
          <w:rFonts w:hint="eastAsia" w:ascii="宋体" w:hAnsi="宋体" w:cs="宋体"/>
          <w:b/>
          <w:sz w:val="24"/>
        </w:rPr>
        <w:t>二、申请人的资格要求：</w:t>
      </w:r>
    </w:p>
    <w:p w14:paraId="677BA5C1">
      <w:pPr>
        <w:spacing w:line="360" w:lineRule="auto"/>
        <w:ind w:firstLine="480"/>
        <w:rPr>
          <w:rFonts w:hint="eastAsia"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1D9ABA7E">
      <w:pPr>
        <w:spacing w:line="360" w:lineRule="auto"/>
        <w:rPr>
          <w:rFonts w:hint="eastAsia"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0BF4B035">
      <w:pPr>
        <w:spacing w:line="360" w:lineRule="auto"/>
        <w:ind w:firstLine="480" w:firstLineChars="200"/>
        <w:rPr>
          <w:rFonts w:hint="eastAsia"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5D18B04C">
      <w:pPr>
        <w:spacing w:line="360" w:lineRule="auto"/>
        <w:ind w:firstLine="480" w:firstLineChars="200"/>
        <w:rPr>
          <w:rFonts w:hint="eastAsia"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14:paraId="632D97B7">
      <w:pPr>
        <w:spacing w:line="360" w:lineRule="auto"/>
        <w:ind w:firstLine="480" w:firstLineChars="200"/>
        <w:rPr>
          <w:rFonts w:hint="eastAsia" w:ascii="宋体" w:hAnsi="宋体" w:cs="宋体"/>
          <w:sz w:val="24"/>
        </w:rPr>
      </w:pPr>
      <w:sdt>
        <w:sdtPr>
          <w:rPr>
            <w:rFonts w:hint="eastAsia" w:ascii="宋体" w:hAnsi="宋体" w:cs="宋体"/>
            <w:kern w:val="0"/>
            <w:sz w:val="24"/>
          </w:rPr>
          <w:id w:val="59783230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专</w:t>
      </w:r>
      <w:r>
        <w:rPr>
          <w:rFonts w:hint="eastAsia" w:ascii="宋体" w:hAnsi="宋体" w:cs="宋体"/>
          <w:sz w:val="24"/>
        </w:rPr>
        <w:t>门面向中小企业</w:t>
      </w:r>
    </w:p>
    <w:p w14:paraId="60F9AF38">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14748129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4C2D4708">
      <w:pPr>
        <w:spacing w:line="360" w:lineRule="auto"/>
        <w:ind w:firstLine="897" w:firstLineChars="374"/>
        <w:rPr>
          <w:rFonts w:hint="eastAsia" w:ascii="宋体" w:hAnsi="宋体" w:cs="宋体"/>
          <w:color w:val="auto"/>
          <w:sz w:val="24"/>
          <w:highlight w:val="none"/>
        </w:rPr>
      </w:pPr>
      <w:r>
        <w:rPr>
          <w:rFonts w:hint="eastAsia" w:ascii="Wingdings" w:hAnsi="Wingdings" w:eastAsia="MS Gothic" w:cs="宋体"/>
          <w:kern w:val="0"/>
          <w:sz w:val="24"/>
        </w:rPr>
        <w:sym w:font="Wingdings" w:char="00A8"/>
      </w:r>
      <w:r>
        <w:rPr>
          <w:rFonts w:hint="eastAsia" w:ascii="宋体" w:hAnsi="宋体" w:cs="宋体"/>
          <w:color w:val="auto"/>
          <w:sz w:val="24"/>
          <w:highlight w:val="none"/>
        </w:rPr>
        <w:t>货物全部由符合政策要求的小微企业制造，提供中小企业声明函</w:t>
      </w:r>
    </w:p>
    <w:p w14:paraId="1662FBAC">
      <w:pPr>
        <w:spacing w:line="360" w:lineRule="auto"/>
        <w:ind w:firstLine="480" w:firstLineChars="200"/>
        <w:rPr>
          <w:rFonts w:hint="eastAsia" w:ascii="宋体" w:hAnsi="宋体" w:cs="宋体"/>
          <w:sz w:val="24"/>
        </w:rPr>
      </w:pPr>
      <w:r>
        <w:rPr>
          <w:rFonts w:hint="eastAsia" w:ascii="Wingdings" w:hAnsi="Wingdings" w:eastAsia="MS Gothic" w:cs="宋体"/>
          <w:kern w:val="0"/>
          <w:sz w:val="24"/>
        </w:rPr>
        <w:sym w:font="Wingdings" w:char="00A8"/>
      </w:r>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p w14:paraId="41013073">
      <w:pPr>
        <w:spacing w:line="360" w:lineRule="auto"/>
        <w:ind w:firstLine="480" w:firstLineChars="200"/>
        <w:rPr>
          <w:rFonts w:hint="eastAsia" w:ascii="宋体" w:hAnsi="宋体" w:cs="宋体"/>
          <w:sz w:val="24"/>
        </w:rPr>
      </w:pPr>
      <w:r>
        <w:rPr>
          <w:rFonts w:hint="eastAsia" w:ascii="宋体" w:hAnsi="宋体" w:cs="宋体"/>
          <w:kern w:val="0"/>
          <w:sz w:val="24"/>
        </w:rPr>
        <w:t>☐</w:t>
      </w:r>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687E5AD9">
      <w:pPr>
        <w:snapToGrid w:val="0"/>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.本项目的特定资格要求：</w:t>
      </w:r>
    </w:p>
    <w:p w14:paraId="75C9AC3A">
      <w:pPr>
        <w:snapToGrid w:val="0"/>
        <w:spacing w:line="360" w:lineRule="auto"/>
        <w:ind w:firstLine="480" w:firstLineChars="200"/>
        <w:rPr>
          <w:rFonts w:hint="eastAsia" w:ascii="宋体" w:hAnsi="宋体" w:cs="宋体"/>
          <w:sz w:val="24"/>
        </w:rPr>
      </w:pPr>
      <w:r>
        <w:rPr>
          <w:rFonts w:hint="eastAsia" w:ascii="Wingdings" w:hAnsi="Wingdings" w:eastAsia="MS Gothic" w:cs="宋体"/>
          <w:kern w:val="0"/>
          <w:sz w:val="24"/>
        </w:rPr>
        <w:t>þ</w:t>
      </w:r>
      <w:r>
        <w:rPr>
          <w:rFonts w:hint="eastAsia" w:ascii="宋体" w:hAnsi="宋体" w:cs="宋体"/>
          <w:kern w:val="0"/>
          <w:sz w:val="24"/>
        </w:rPr>
        <w:t>无。</w:t>
      </w:r>
    </w:p>
    <w:p w14:paraId="27BFC892">
      <w:pPr>
        <w:snapToGrid w:val="0"/>
        <w:spacing w:line="360" w:lineRule="auto"/>
        <w:ind w:firstLine="480" w:firstLineChars="200"/>
        <w:rPr>
          <w:rFonts w:hint="eastAsia" w:ascii="宋体" w:hAnsi="宋体" w:cs="宋体"/>
          <w:sz w:val="24"/>
        </w:rPr>
      </w:pPr>
      <w:r>
        <w:rPr>
          <w:rFonts w:hint="eastAsia" w:ascii="MS Gothic" w:hAnsi="MS Gothic" w:eastAsia="MS Gothic" w:cs="宋体"/>
          <w:kern w:val="0"/>
          <w:sz w:val="24"/>
        </w:rPr>
        <w:t>☐</w:t>
      </w:r>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02F9A6D6">
      <w:pPr>
        <w:snapToGrid w:val="0"/>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B598128">
      <w:pPr>
        <w:spacing w:line="360" w:lineRule="auto"/>
        <w:rPr>
          <w:rFonts w:hint="eastAsia" w:ascii="宋体" w:hAnsi="宋体" w:cs="宋体"/>
          <w:b/>
          <w:sz w:val="24"/>
        </w:rPr>
      </w:pPr>
      <w:r>
        <w:rPr>
          <w:rFonts w:hint="eastAsia" w:ascii="宋体" w:hAnsi="宋体" w:cs="宋体"/>
          <w:b/>
          <w:sz w:val="24"/>
        </w:rPr>
        <w:t xml:space="preserve">三、获取招标文件 </w:t>
      </w:r>
    </w:p>
    <w:p w14:paraId="558F3BAD">
      <w:pPr>
        <w:spacing w:line="360" w:lineRule="auto"/>
        <w:ind w:firstLine="482" w:firstLineChars="200"/>
        <w:rPr>
          <w:rFonts w:hint="eastAsia" w:ascii="宋体" w:hAnsi="宋体" w:cs="宋体"/>
          <w:sz w:val="24"/>
        </w:rPr>
      </w:pPr>
      <w:r>
        <w:rPr>
          <w:rFonts w:hint="eastAsia" w:ascii="宋体" w:hAnsi="宋体" w:cs="宋体"/>
          <w:b/>
          <w:sz w:val="24"/>
        </w:rPr>
        <w:t>时间：</w:t>
      </w:r>
      <w:r>
        <w:rPr>
          <w:rFonts w:hint="eastAsia" w:ascii="宋体" w:hAnsi="宋体" w:cs="宋体"/>
          <w:sz w:val="24"/>
        </w:rPr>
        <w:t>/</w:t>
      </w:r>
      <w:r>
        <w:rPr>
          <w:rFonts w:hint="eastAsia" w:ascii="宋体" w:hAnsi="宋体" w:cs="宋体"/>
          <w:color w:val="FF0000"/>
          <w:sz w:val="24"/>
        </w:rPr>
        <w:t>至</w:t>
      </w:r>
      <w:r>
        <w:rPr>
          <w:rFonts w:hint="eastAsia" w:ascii="宋体" w:hAnsi="宋体" w:cs="宋体"/>
          <w:color w:val="FF0000"/>
          <w:sz w:val="24"/>
          <w:u w:val="single"/>
        </w:rPr>
        <w:t>2026年</w:t>
      </w:r>
      <w:r>
        <w:rPr>
          <w:rFonts w:hint="eastAsia" w:ascii="宋体" w:hAnsi="宋体" w:cs="宋体"/>
          <w:color w:val="FF0000"/>
          <w:sz w:val="24"/>
          <w:u w:val="single"/>
          <w:lang w:val="en-US" w:eastAsia="zh-CN"/>
        </w:rPr>
        <w:t>6</w:t>
      </w:r>
      <w:r>
        <w:rPr>
          <w:rFonts w:hint="eastAsia" w:ascii="宋体" w:hAnsi="宋体" w:cs="宋体"/>
          <w:color w:val="FF0000"/>
          <w:sz w:val="24"/>
          <w:u w:val="single"/>
        </w:rPr>
        <w:t>月</w:t>
      </w:r>
      <w:r>
        <w:rPr>
          <w:rFonts w:hint="eastAsia" w:ascii="宋体" w:hAnsi="宋体" w:cs="宋体"/>
          <w:color w:val="FF0000"/>
          <w:sz w:val="24"/>
          <w:u w:val="single"/>
          <w:lang w:val="en-US" w:eastAsia="zh-CN"/>
        </w:rPr>
        <w:t>1</w:t>
      </w:r>
      <w:r>
        <w:rPr>
          <w:rFonts w:hint="eastAsia" w:ascii="宋体" w:hAnsi="宋体" w:cs="宋体"/>
          <w:color w:val="FF0000"/>
          <w:sz w:val="24"/>
          <w:u w:val="single"/>
        </w:rPr>
        <w:t>日</w:t>
      </w:r>
      <w:r>
        <w:rPr>
          <w:rFonts w:hint="eastAsia" w:ascii="宋体" w:hAnsi="宋体" w:cs="宋体"/>
          <w:sz w:val="24"/>
        </w:rPr>
        <w:t>，每天上午00:00至12:00 ，下午12:00至23:59（北京时间，线上获取法定节假日均可，线下获取文件法定节假日除外）</w:t>
      </w:r>
    </w:p>
    <w:p w14:paraId="5F5CC5AF">
      <w:pPr>
        <w:spacing w:line="360" w:lineRule="auto"/>
        <w:ind w:firstLine="482" w:firstLineChars="200"/>
        <w:rPr>
          <w:rFonts w:hint="eastAsia"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45185203">
      <w:pPr>
        <w:spacing w:line="360" w:lineRule="auto"/>
        <w:ind w:firstLine="482" w:firstLineChars="200"/>
        <w:rPr>
          <w:rFonts w:hint="eastAsia"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320FAA1C">
      <w:pPr>
        <w:spacing w:line="360" w:lineRule="auto"/>
        <w:ind w:firstLine="482" w:firstLineChars="200"/>
        <w:rPr>
          <w:rFonts w:hint="eastAsia"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54433154">
      <w:pPr>
        <w:spacing w:line="360" w:lineRule="auto"/>
        <w:rPr>
          <w:rFonts w:hint="eastAsia" w:ascii="宋体" w:hAnsi="宋体" w:cs="宋体"/>
          <w:b/>
          <w:sz w:val="24"/>
        </w:rPr>
      </w:pPr>
      <w:r>
        <w:rPr>
          <w:rFonts w:hint="eastAsia" w:ascii="宋体" w:hAnsi="宋体" w:cs="宋体"/>
          <w:b/>
          <w:sz w:val="24"/>
        </w:rPr>
        <w:t>四、提交投标文件截止时间、开标时间和地点</w:t>
      </w:r>
    </w:p>
    <w:p w14:paraId="3ACBC91A">
      <w:pPr>
        <w:spacing w:line="360" w:lineRule="auto"/>
        <w:ind w:firstLine="482" w:firstLineChars="200"/>
        <w:rPr>
          <w:rFonts w:hint="eastAsia" w:ascii="宋体" w:hAnsi="宋体" w:cs="宋体"/>
          <w:sz w:val="24"/>
        </w:rPr>
      </w:pPr>
      <w:r>
        <w:rPr>
          <w:rFonts w:hint="eastAsia" w:ascii="宋体" w:hAnsi="宋体" w:cs="宋体"/>
          <w:b/>
          <w:sz w:val="24"/>
        </w:rPr>
        <w:t>提交投标文件截止时间：</w:t>
      </w:r>
      <w:r>
        <w:rPr>
          <w:rFonts w:hint="eastAsia" w:ascii="宋体" w:hAnsi="宋体" w:cs="宋体"/>
          <w:color w:val="FF0000"/>
          <w:sz w:val="24"/>
          <w:u w:val="single"/>
        </w:rPr>
        <w:t xml:space="preserve"> 2026年</w:t>
      </w:r>
      <w:r>
        <w:rPr>
          <w:rFonts w:hint="eastAsia" w:ascii="宋体" w:hAnsi="宋体" w:cs="宋体"/>
          <w:color w:val="FF0000"/>
          <w:sz w:val="24"/>
          <w:u w:val="single"/>
          <w:lang w:val="en-US" w:eastAsia="zh-CN"/>
        </w:rPr>
        <w:t>6</w:t>
      </w:r>
      <w:r>
        <w:rPr>
          <w:rFonts w:hint="eastAsia" w:ascii="宋体" w:hAnsi="宋体" w:cs="宋体"/>
          <w:color w:val="FF0000"/>
          <w:sz w:val="24"/>
          <w:u w:val="single"/>
        </w:rPr>
        <w:t>月</w:t>
      </w:r>
      <w:r>
        <w:rPr>
          <w:rFonts w:hint="eastAsia" w:ascii="宋体" w:hAnsi="宋体" w:cs="宋体"/>
          <w:color w:val="FF0000"/>
          <w:sz w:val="24"/>
          <w:u w:val="single"/>
          <w:lang w:val="en-US" w:eastAsia="zh-CN"/>
        </w:rPr>
        <w:t>1</w:t>
      </w:r>
      <w:r>
        <w:rPr>
          <w:rFonts w:hint="eastAsia" w:ascii="宋体" w:hAnsi="宋体" w:cs="宋体"/>
          <w:color w:val="FF0000"/>
          <w:sz w:val="24"/>
          <w:u w:val="single"/>
        </w:rPr>
        <w:t>日</w:t>
      </w:r>
      <w:r>
        <w:rPr>
          <w:rFonts w:hint="eastAsia" w:ascii="宋体" w:hAnsi="宋体" w:cs="宋体"/>
          <w:color w:val="FF0000"/>
          <w:sz w:val="24"/>
          <w:u w:val="single"/>
          <w:lang w:val="en-US" w:eastAsia="zh-CN"/>
        </w:rPr>
        <w:t>14</w:t>
      </w:r>
      <w:r>
        <w:rPr>
          <w:rFonts w:hint="eastAsia" w:ascii="宋体" w:hAnsi="宋体" w:cs="宋体"/>
          <w:color w:val="FF0000"/>
          <w:sz w:val="24"/>
          <w:u w:val="single"/>
        </w:rPr>
        <w:t>点</w:t>
      </w:r>
      <w:r>
        <w:rPr>
          <w:rFonts w:hint="eastAsia" w:ascii="宋体" w:hAnsi="宋体" w:cs="宋体"/>
          <w:color w:val="FF0000"/>
          <w:sz w:val="24"/>
          <w:u w:val="single"/>
          <w:lang w:val="en-US" w:eastAsia="zh-CN"/>
        </w:rPr>
        <w:t>00</w:t>
      </w:r>
      <w:r>
        <w:rPr>
          <w:rFonts w:hint="eastAsia" w:ascii="宋体" w:hAnsi="宋体" w:cs="宋体"/>
          <w:color w:val="FF0000"/>
          <w:sz w:val="24"/>
          <w:u w:val="single"/>
        </w:rPr>
        <w:t>分00秒</w:t>
      </w:r>
      <w:r>
        <w:rPr>
          <w:rFonts w:hint="eastAsia" w:ascii="宋体" w:hAnsi="宋体" w:cs="宋体"/>
          <w:bCs/>
          <w:color w:val="FF0000"/>
          <w:sz w:val="24"/>
        </w:rPr>
        <w:t xml:space="preserve"> </w:t>
      </w:r>
      <w:r>
        <w:rPr>
          <w:rFonts w:hint="eastAsia" w:ascii="宋体" w:hAnsi="宋体" w:cs="宋体"/>
          <w:sz w:val="24"/>
        </w:rPr>
        <w:t>（北京时间）</w:t>
      </w:r>
    </w:p>
    <w:p w14:paraId="1F22DE00">
      <w:pPr>
        <w:spacing w:line="360" w:lineRule="auto"/>
        <w:ind w:firstLine="482" w:firstLineChars="200"/>
        <w:rPr>
          <w:rFonts w:hint="eastAsia"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09DDD2DA">
      <w:pPr>
        <w:spacing w:line="360" w:lineRule="auto"/>
        <w:ind w:firstLine="482" w:firstLineChars="200"/>
        <w:rPr>
          <w:rFonts w:hint="eastAsia" w:ascii="宋体" w:hAnsi="宋体" w:cs="宋体"/>
          <w:bCs/>
          <w:sz w:val="24"/>
          <w:u w:val="single"/>
        </w:rPr>
      </w:pPr>
      <w:r>
        <w:rPr>
          <w:rFonts w:hint="eastAsia" w:ascii="宋体" w:hAnsi="宋体" w:cs="宋体"/>
          <w:b/>
          <w:sz w:val="24"/>
        </w:rPr>
        <w:t>开标时间：</w:t>
      </w:r>
      <w:r>
        <w:rPr>
          <w:rFonts w:hint="eastAsia" w:ascii="宋体" w:hAnsi="宋体" w:cs="宋体"/>
          <w:color w:val="FF0000"/>
          <w:sz w:val="24"/>
          <w:u w:val="single"/>
        </w:rPr>
        <w:t>2026年</w:t>
      </w:r>
      <w:r>
        <w:rPr>
          <w:rFonts w:hint="eastAsia" w:ascii="宋体" w:hAnsi="宋体" w:cs="宋体"/>
          <w:color w:val="FF0000"/>
          <w:sz w:val="24"/>
          <w:u w:val="single"/>
          <w:lang w:val="en-US" w:eastAsia="zh-CN"/>
        </w:rPr>
        <w:t>6</w:t>
      </w:r>
      <w:r>
        <w:rPr>
          <w:rFonts w:hint="eastAsia" w:ascii="宋体" w:hAnsi="宋体" w:cs="宋体"/>
          <w:color w:val="FF0000"/>
          <w:sz w:val="24"/>
          <w:u w:val="single"/>
        </w:rPr>
        <w:t>月</w:t>
      </w:r>
      <w:r>
        <w:rPr>
          <w:rFonts w:hint="eastAsia" w:ascii="宋体" w:hAnsi="宋体" w:cs="宋体"/>
          <w:color w:val="FF0000"/>
          <w:sz w:val="24"/>
          <w:u w:val="single"/>
          <w:lang w:val="en-US" w:eastAsia="zh-CN"/>
        </w:rPr>
        <w:t>1</w:t>
      </w:r>
      <w:r>
        <w:rPr>
          <w:rFonts w:hint="eastAsia" w:ascii="宋体" w:hAnsi="宋体" w:cs="宋体"/>
          <w:color w:val="FF0000"/>
          <w:sz w:val="24"/>
          <w:u w:val="single"/>
        </w:rPr>
        <w:t>日</w:t>
      </w:r>
      <w:r>
        <w:rPr>
          <w:rFonts w:hint="eastAsia" w:ascii="宋体" w:hAnsi="宋体" w:cs="宋体"/>
          <w:color w:val="FF0000"/>
          <w:sz w:val="24"/>
          <w:u w:val="single"/>
          <w:lang w:val="en-US" w:eastAsia="zh-CN"/>
        </w:rPr>
        <w:t>14</w:t>
      </w:r>
      <w:r>
        <w:rPr>
          <w:rFonts w:hint="eastAsia" w:ascii="宋体" w:hAnsi="宋体" w:cs="宋体"/>
          <w:color w:val="FF0000"/>
          <w:sz w:val="24"/>
          <w:u w:val="single"/>
        </w:rPr>
        <w:t>点</w:t>
      </w:r>
      <w:r>
        <w:rPr>
          <w:rFonts w:hint="eastAsia" w:ascii="宋体" w:hAnsi="宋体" w:cs="宋体"/>
          <w:color w:val="FF0000"/>
          <w:sz w:val="24"/>
          <w:u w:val="single"/>
          <w:lang w:val="en-US" w:eastAsia="zh-CN"/>
        </w:rPr>
        <w:t>00</w:t>
      </w:r>
      <w:r>
        <w:rPr>
          <w:rFonts w:hint="eastAsia" w:ascii="宋体" w:hAnsi="宋体" w:cs="宋体"/>
          <w:color w:val="FF0000"/>
          <w:sz w:val="24"/>
          <w:u w:val="single"/>
        </w:rPr>
        <w:t>分00秒</w:t>
      </w:r>
      <w:r>
        <w:rPr>
          <w:rFonts w:hint="eastAsia" w:ascii="宋体" w:hAnsi="宋体" w:cs="宋体"/>
          <w:bCs/>
          <w:color w:val="FF0000"/>
          <w:sz w:val="24"/>
        </w:rPr>
        <w:t xml:space="preserve">  </w:t>
      </w:r>
    </w:p>
    <w:p w14:paraId="16BF98F2">
      <w:pPr>
        <w:spacing w:line="360" w:lineRule="auto"/>
        <w:ind w:firstLine="482" w:firstLineChars="200"/>
        <w:rPr>
          <w:rFonts w:hint="eastAsia"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55A7473A">
      <w:pPr>
        <w:spacing w:line="360" w:lineRule="auto"/>
        <w:rPr>
          <w:rFonts w:hint="eastAsia" w:ascii="宋体" w:hAnsi="宋体" w:cs="宋体"/>
          <w:sz w:val="24"/>
        </w:rPr>
      </w:pPr>
      <w:r>
        <w:rPr>
          <w:rFonts w:hint="eastAsia" w:ascii="宋体" w:hAnsi="宋体" w:cs="宋体"/>
          <w:b/>
          <w:sz w:val="24"/>
        </w:rPr>
        <w:t xml:space="preserve">五、公告期限 </w:t>
      </w:r>
    </w:p>
    <w:p w14:paraId="4E51D8D9">
      <w:pPr>
        <w:spacing w:line="360" w:lineRule="auto"/>
        <w:ind w:firstLine="480" w:firstLineChars="200"/>
        <w:rPr>
          <w:rFonts w:hint="eastAsia" w:ascii="宋体" w:hAnsi="宋体" w:cs="宋体"/>
          <w:sz w:val="24"/>
        </w:rPr>
      </w:pPr>
      <w:r>
        <w:rPr>
          <w:rFonts w:hint="eastAsia" w:ascii="宋体" w:hAnsi="宋体" w:cs="宋体"/>
          <w:sz w:val="24"/>
        </w:rPr>
        <w:t>自本公告发布之日起5个工作日。</w:t>
      </w:r>
    </w:p>
    <w:p w14:paraId="5018BCF1">
      <w:pPr>
        <w:spacing w:line="360" w:lineRule="auto"/>
        <w:rPr>
          <w:rFonts w:hint="eastAsia" w:ascii="宋体" w:hAnsi="宋体" w:cs="宋体"/>
          <w:b/>
          <w:sz w:val="24"/>
        </w:rPr>
      </w:pPr>
      <w:r>
        <w:rPr>
          <w:rFonts w:hint="eastAsia" w:ascii="宋体" w:hAnsi="宋体" w:cs="宋体"/>
          <w:b/>
          <w:sz w:val="24"/>
        </w:rPr>
        <w:t>六、其他补充事宜</w:t>
      </w:r>
    </w:p>
    <w:p w14:paraId="25741A75">
      <w:pPr>
        <w:spacing w:line="360" w:lineRule="auto"/>
        <w:ind w:firstLine="480" w:firstLineChars="200"/>
        <w:rPr>
          <w:rFonts w:ascii="宋体" w:hAnsi="宋体" w:cs="宋体"/>
          <w:color w:val="auto"/>
          <w:sz w:val="24"/>
          <w:highlight w:val="none"/>
        </w:rPr>
      </w:pPr>
      <w:r>
        <w:rPr>
          <w:rFonts w:hint="eastAsia" w:ascii="宋体" w:hAnsi="宋体" w:cs="宋体"/>
          <w:sz w:val="24"/>
        </w:rPr>
        <w:t xml:space="preserve"> </w:t>
      </w: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2F3807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8350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E519ED5">
      <w:pPr>
        <w:spacing w:line="360" w:lineRule="auto"/>
        <w:ind w:firstLine="480" w:firstLineChars="200"/>
        <w:rPr>
          <w:rFonts w:hint="eastAsia" w:ascii="宋体" w:hAnsi="宋体" w:cs="宋体"/>
          <w:sz w:val="24"/>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CFC8A83">
      <w:pPr>
        <w:spacing w:line="360" w:lineRule="auto"/>
        <w:rPr>
          <w:rFonts w:hint="eastAsia" w:ascii="宋体" w:hAnsi="宋体" w:cs="宋体"/>
          <w:b/>
          <w:sz w:val="24"/>
        </w:rPr>
      </w:pPr>
      <w:r>
        <w:rPr>
          <w:rFonts w:hint="eastAsia" w:ascii="宋体" w:hAnsi="宋体" w:cs="宋体"/>
          <w:b/>
          <w:sz w:val="24"/>
        </w:rPr>
        <w:t>七、对本次采购提出询问、质疑、投诉，请按以下方式联系</w:t>
      </w:r>
    </w:p>
    <w:p w14:paraId="4BE3664B">
      <w:pPr>
        <w:spacing w:line="360" w:lineRule="auto"/>
        <w:rPr>
          <w:rFonts w:hint="eastAsia" w:ascii="宋体" w:hAnsi="宋体" w:cs="宋体"/>
          <w:sz w:val="24"/>
        </w:rPr>
      </w:pPr>
      <w:r>
        <w:rPr>
          <w:rFonts w:hint="eastAsia" w:ascii="宋体" w:hAnsi="宋体" w:cs="宋体"/>
          <w:sz w:val="24"/>
        </w:rPr>
        <w:t xml:space="preserve">    1.采购人信息</w:t>
      </w:r>
    </w:p>
    <w:p w14:paraId="1649D4F7">
      <w:pPr>
        <w:spacing w:line="360" w:lineRule="auto"/>
        <w:ind w:firstLine="480"/>
        <w:rPr>
          <w:rFonts w:hint="eastAsia" w:ascii="宋体" w:hAnsi="宋体" w:cs="宋体"/>
          <w:sz w:val="24"/>
        </w:rPr>
      </w:pPr>
      <w:r>
        <w:rPr>
          <w:rFonts w:hint="eastAsia" w:ascii="宋体" w:hAnsi="宋体" w:cs="宋体"/>
          <w:sz w:val="24"/>
        </w:rPr>
        <w:t>名    称：</w:t>
      </w:r>
      <w:r>
        <w:rPr>
          <w:rFonts w:hint="eastAsia" w:ascii="宋体" w:hAnsi="宋体" w:cs="宋体"/>
          <w:sz w:val="24"/>
          <w:lang w:eastAsia="zh-CN"/>
        </w:rPr>
        <w:t>杭州市临平区塘栖第三中学</w:t>
      </w:r>
      <w:r>
        <w:rPr>
          <w:rFonts w:hint="eastAsia" w:ascii="宋体" w:hAnsi="宋体" w:cs="宋体"/>
          <w:sz w:val="24"/>
        </w:rPr>
        <w:t xml:space="preserve"> </w:t>
      </w:r>
    </w:p>
    <w:p w14:paraId="07C6A194">
      <w:pPr>
        <w:spacing w:line="360" w:lineRule="auto"/>
        <w:ind w:firstLine="480"/>
        <w:rPr>
          <w:rFonts w:hint="eastAsia" w:ascii="宋体" w:hAnsi="宋体" w:cs="宋体"/>
          <w:sz w:val="24"/>
        </w:rPr>
      </w:pPr>
      <w:r>
        <w:rPr>
          <w:rFonts w:hint="eastAsia" w:ascii="宋体" w:hAnsi="宋体" w:cs="宋体"/>
          <w:sz w:val="24"/>
        </w:rPr>
        <w:t xml:space="preserve">地    址：杭州市临平区塘栖镇运溪路      </w:t>
      </w:r>
    </w:p>
    <w:p w14:paraId="2917A45E">
      <w:pPr>
        <w:spacing w:line="360" w:lineRule="auto"/>
        <w:ind w:firstLine="480"/>
        <w:rPr>
          <w:rFonts w:hint="eastAsia" w:ascii="宋体" w:hAnsi="宋体" w:cs="宋体"/>
          <w:sz w:val="24"/>
        </w:rPr>
      </w:pPr>
      <w:r>
        <w:rPr>
          <w:rFonts w:hint="eastAsia" w:ascii="宋体" w:hAnsi="宋体" w:cs="宋体"/>
          <w:sz w:val="24"/>
        </w:rPr>
        <w:t>传    真： /</w:t>
      </w:r>
    </w:p>
    <w:p w14:paraId="57F06E5D">
      <w:pPr>
        <w:spacing w:line="360" w:lineRule="auto"/>
        <w:ind w:firstLine="480" w:firstLineChars="200"/>
        <w:rPr>
          <w:rFonts w:hint="eastAsia" w:ascii="宋体" w:hAnsi="宋体" w:cs="宋体"/>
          <w:sz w:val="24"/>
        </w:rPr>
      </w:pPr>
      <w:r>
        <w:rPr>
          <w:rFonts w:hint="eastAsia" w:ascii="宋体" w:hAnsi="宋体" w:cs="宋体"/>
          <w:sz w:val="24"/>
        </w:rPr>
        <w:t xml:space="preserve">项目联系人（询问）：贺磊    项目联系方式（询问）：0571-89021333 </w:t>
      </w:r>
    </w:p>
    <w:p w14:paraId="636555F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质疑联系人：范灵            质疑联系方式：18057163636 </w:t>
      </w:r>
    </w:p>
    <w:p w14:paraId="0074C874">
      <w:pPr>
        <w:spacing w:line="360" w:lineRule="auto"/>
        <w:rPr>
          <w:rFonts w:hint="eastAsia" w:ascii="宋体" w:hAnsi="宋体" w:cs="宋体"/>
          <w:sz w:val="24"/>
        </w:rPr>
      </w:pPr>
      <w:r>
        <w:rPr>
          <w:rFonts w:hint="eastAsia" w:ascii="宋体" w:hAnsi="宋体" w:cs="宋体"/>
          <w:sz w:val="24"/>
        </w:rPr>
        <w:t xml:space="preserve">    2.采购代理机构信息            </w:t>
      </w:r>
    </w:p>
    <w:p w14:paraId="1C561FA6">
      <w:pPr>
        <w:spacing w:line="360" w:lineRule="auto"/>
        <w:ind w:firstLine="480"/>
        <w:rPr>
          <w:rFonts w:hint="eastAsia" w:ascii="宋体" w:hAnsi="宋体" w:cs="宋体"/>
          <w:sz w:val="24"/>
        </w:rPr>
      </w:pPr>
      <w:r>
        <w:rPr>
          <w:rFonts w:hint="eastAsia" w:ascii="宋体" w:hAnsi="宋体" w:cs="宋体"/>
          <w:sz w:val="24"/>
        </w:rPr>
        <w:t>名    称：浙江中达工程造价事务所有限公司</w:t>
      </w:r>
    </w:p>
    <w:p w14:paraId="5DF48452">
      <w:pPr>
        <w:spacing w:line="360" w:lineRule="auto"/>
        <w:ind w:firstLine="480"/>
        <w:rPr>
          <w:rFonts w:hint="eastAsia" w:ascii="宋体" w:hAnsi="宋体" w:cs="宋体"/>
          <w:sz w:val="24"/>
        </w:rPr>
      </w:pPr>
      <w:r>
        <w:rPr>
          <w:rFonts w:hint="eastAsia" w:ascii="宋体" w:hAnsi="宋体" w:cs="宋体"/>
          <w:sz w:val="24"/>
        </w:rPr>
        <w:t>地    址：浙江省杭州市临平区星桥街道星桥北路64号1幢1102室</w:t>
      </w:r>
    </w:p>
    <w:p w14:paraId="5C94E19F">
      <w:pPr>
        <w:spacing w:line="360" w:lineRule="auto"/>
        <w:rPr>
          <w:rFonts w:hint="eastAsia" w:ascii="宋体" w:hAnsi="宋体" w:cs="宋体"/>
          <w:sz w:val="24"/>
        </w:rPr>
      </w:pPr>
      <w:r>
        <w:rPr>
          <w:rFonts w:hint="eastAsia" w:ascii="宋体" w:hAnsi="宋体" w:cs="宋体"/>
          <w:sz w:val="24"/>
        </w:rPr>
        <w:t xml:space="preserve">    传    真： /</w:t>
      </w:r>
    </w:p>
    <w:p w14:paraId="1E2C3357">
      <w:pPr>
        <w:spacing w:line="360" w:lineRule="auto"/>
        <w:rPr>
          <w:rFonts w:hint="eastAsia" w:ascii="宋体" w:hAnsi="宋体" w:cs="宋体"/>
          <w:sz w:val="24"/>
        </w:rPr>
      </w:pPr>
      <w:r>
        <w:rPr>
          <w:rFonts w:hint="eastAsia" w:ascii="宋体" w:hAnsi="宋体" w:cs="宋体"/>
          <w:sz w:val="24"/>
        </w:rPr>
        <w:t xml:space="preserve">    项目联系人（询问）：</w:t>
      </w:r>
      <w:r>
        <w:rPr>
          <w:rFonts w:hint="eastAsia" w:ascii="宋体" w:hAnsi="宋体" w:cs="宋体"/>
          <w:sz w:val="24"/>
          <w:lang w:val="en-US" w:eastAsia="zh-CN"/>
        </w:rPr>
        <w:t>高文杰</w:t>
      </w:r>
      <w:r>
        <w:rPr>
          <w:rFonts w:hint="eastAsia" w:ascii="宋体" w:hAnsi="宋体" w:cs="宋体"/>
          <w:sz w:val="24"/>
        </w:rPr>
        <w:t xml:space="preserve">       项目联系方式（询问）：18868151751</w:t>
      </w:r>
    </w:p>
    <w:p w14:paraId="72078009">
      <w:pPr>
        <w:spacing w:line="360" w:lineRule="auto"/>
        <w:ind w:firstLine="480"/>
        <w:rPr>
          <w:rFonts w:hint="default" w:ascii="宋体" w:hAnsi="宋体" w:eastAsia="宋体" w:cs="宋体"/>
          <w:sz w:val="24"/>
          <w:lang w:val="en-US" w:eastAsia="zh-CN"/>
        </w:rPr>
      </w:pPr>
      <w:r>
        <w:rPr>
          <w:rFonts w:hint="eastAsia" w:ascii="宋体" w:hAnsi="宋体" w:cs="宋体"/>
          <w:sz w:val="24"/>
        </w:rPr>
        <w:t>质疑联系人：</w:t>
      </w:r>
      <w:r>
        <w:rPr>
          <w:rFonts w:hint="eastAsia" w:ascii="宋体" w:hAnsi="宋体" w:cs="宋体"/>
          <w:sz w:val="24"/>
          <w:lang w:val="en-US" w:eastAsia="zh-CN"/>
        </w:rPr>
        <w:t xml:space="preserve">万忠华 </w:t>
      </w:r>
      <w:r>
        <w:rPr>
          <w:rFonts w:hint="eastAsia" w:ascii="宋体" w:hAnsi="宋体" w:cs="宋体"/>
          <w:sz w:val="24"/>
        </w:rPr>
        <w:t xml:space="preserve">              质疑联系方式：</w:t>
      </w:r>
      <w:r>
        <w:rPr>
          <w:rFonts w:hint="eastAsia" w:ascii="宋体" w:hAnsi="宋体" w:cs="宋体"/>
          <w:sz w:val="24"/>
          <w:lang w:val="en-US" w:eastAsia="zh-CN"/>
        </w:rPr>
        <w:t>15967187374</w:t>
      </w:r>
    </w:p>
    <w:p w14:paraId="042A184C">
      <w:pPr>
        <w:spacing w:line="360" w:lineRule="auto"/>
        <w:rPr>
          <w:rFonts w:hint="eastAsia" w:ascii="宋体" w:hAnsi="宋体" w:cs="宋体"/>
          <w:sz w:val="24"/>
        </w:rPr>
      </w:pPr>
      <w:r>
        <w:rPr>
          <w:rFonts w:hint="eastAsia" w:ascii="宋体" w:hAnsi="宋体" w:cs="宋体"/>
          <w:sz w:val="24"/>
        </w:rPr>
        <w:t xml:space="preserve">    3.同级政府采购监督管理部门            </w:t>
      </w:r>
    </w:p>
    <w:p w14:paraId="629E02FE">
      <w:pPr>
        <w:spacing w:line="360" w:lineRule="auto"/>
        <w:rPr>
          <w:rFonts w:hint="eastAsia" w:ascii="宋体" w:hAnsi="宋体" w:cs="宋体"/>
          <w:sz w:val="24"/>
        </w:rPr>
      </w:pPr>
      <w:r>
        <w:rPr>
          <w:rFonts w:hint="eastAsia" w:ascii="宋体" w:hAnsi="宋体" w:cs="宋体"/>
          <w:sz w:val="24"/>
        </w:rPr>
        <w:t xml:space="preserve">    名    称：杭州市临平区财政局、浙江省政府采购行政裁决服务中心（杭州）</w:t>
      </w:r>
    </w:p>
    <w:p w14:paraId="27396F5B">
      <w:pPr>
        <w:spacing w:line="360" w:lineRule="auto"/>
        <w:rPr>
          <w:rFonts w:hint="eastAsia" w:ascii="宋体" w:hAnsi="宋体" w:cs="宋体"/>
          <w:sz w:val="24"/>
        </w:rPr>
      </w:pPr>
      <w:r>
        <w:rPr>
          <w:rFonts w:hint="eastAsia" w:ascii="宋体" w:hAnsi="宋体" w:cs="宋体"/>
          <w:sz w:val="24"/>
        </w:rPr>
        <w:t xml:space="preserve">    地    址：杭州市上城区清泰街 549 号城建综合大楼 11 楼(快递仅限ems或顺丰)</w:t>
      </w:r>
    </w:p>
    <w:p w14:paraId="4C50A6B8">
      <w:pPr>
        <w:spacing w:line="360" w:lineRule="auto"/>
        <w:ind w:firstLine="480" w:firstLineChars="200"/>
        <w:rPr>
          <w:rFonts w:hint="eastAsia" w:ascii="宋体" w:hAnsi="宋体" w:cs="宋体"/>
          <w:sz w:val="24"/>
        </w:rPr>
      </w:pPr>
      <w:r>
        <w:rPr>
          <w:rFonts w:hint="eastAsia" w:ascii="宋体" w:hAnsi="宋体" w:cs="宋体"/>
          <w:sz w:val="24"/>
        </w:rPr>
        <w:t>联系人 ：林老师</w:t>
      </w:r>
    </w:p>
    <w:p w14:paraId="19834DB8">
      <w:pPr>
        <w:spacing w:line="360" w:lineRule="auto"/>
        <w:ind w:firstLine="480" w:firstLineChars="200"/>
        <w:rPr>
          <w:rFonts w:hint="eastAsia" w:ascii="宋体" w:hAnsi="宋体" w:cs="宋体"/>
          <w:sz w:val="24"/>
        </w:rPr>
      </w:pPr>
      <w:r>
        <w:rPr>
          <w:rFonts w:hint="eastAsia" w:ascii="宋体" w:hAnsi="宋体" w:cs="宋体"/>
          <w:sz w:val="24"/>
        </w:rPr>
        <w:t xml:space="preserve">监督投诉电话：0571-87227671 </w:t>
      </w:r>
    </w:p>
    <w:p w14:paraId="3E306D6E">
      <w:pPr>
        <w:spacing w:line="360" w:lineRule="auto"/>
        <w:ind w:firstLine="480"/>
        <w:rPr>
          <w:rFonts w:hint="eastAsia"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1EBBA1F1">
      <w:pPr>
        <w:spacing w:line="360" w:lineRule="auto"/>
        <w:ind w:firstLine="480" w:firstLineChars="200"/>
        <w:rPr>
          <w:rFonts w:hint="eastAsia" w:ascii="宋体" w:hAnsi="宋体" w:cs="宋体"/>
          <w:sz w:val="24"/>
        </w:rPr>
      </w:pPr>
      <w:r>
        <w:rPr>
          <w:rFonts w:hint="eastAsia" w:ascii="宋体" w:hAnsi="宋体" w:cs="宋体"/>
          <w:sz w:val="24"/>
        </w:rPr>
        <w:t>CA问题联系电话（人工）：汇信CA 400-888-4636；天谷CA 400-087-8198。</w:t>
      </w:r>
    </w:p>
    <w:p w14:paraId="0F09358D">
      <w:pPr>
        <w:widowControl/>
        <w:adjustRightInd/>
        <w:jc w:val="left"/>
        <w:rPr>
          <w:rFonts w:hint="eastAsia" w:ascii="宋体" w:hAnsi="宋体" w:cs="宋体"/>
          <w:b/>
          <w:sz w:val="36"/>
          <w:szCs w:val="20"/>
        </w:rPr>
      </w:pPr>
      <w:r>
        <w:rPr>
          <w:rFonts w:ascii="宋体" w:hAnsi="宋体" w:cs="宋体"/>
          <w:b/>
          <w:sz w:val="36"/>
          <w:szCs w:val="20"/>
        </w:rPr>
        <w:br w:type="page"/>
      </w:r>
    </w:p>
    <w:p w14:paraId="1546A4BB">
      <w:pPr>
        <w:adjustRightInd/>
        <w:spacing w:line="360" w:lineRule="auto"/>
        <w:jc w:val="center"/>
        <w:outlineLvl w:val="0"/>
        <w:rPr>
          <w:rFonts w:hint="eastAsia"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7FF5581A">
      <w:pPr>
        <w:adjustRightInd/>
        <w:spacing w:line="360" w:lineRule="auto"/>
        <w:ind w:firstLine="3845" w:firstLineChars="1197"/>
        <w:outlineLvl w:val="0"/>
        <w:rPr>
          <w:rFonts w:hint="eastAsia" w:ascii="宋体" w:hAnsi="宋体" w:cs="宋体"/>
          <w:b/>
          <w:sz w:val="32"/>
          <w:szCs w:val="20"/>
        </w:rPr>
      </w:pPr>
      <w:r>
        <w:rPr>
          <w:rFonts w:hint="eastAsia" w:ascii="宋体" w:hAnsi="宋体" w:cs="宋体"/>
          <w:b/>
          <w:sz w:val="32"/>
          <w:szCs w:val="20"/>
        </w:rPr>
        <w:t>前附表</w:t>
      </w:r>
    </w:p>
    <w:tbl>
      <w:tblPr>
        <w:tblStyle w:val="6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7"/>
        <w:gridCol w:w="1855"/>
        <w:gridCol w:w="6374"/>
      </w:tblGrid>
      <w:tr w14:paraId="17B7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atLeast"/>
          <w:jc w:val="center"/>
        </w:trPr>
        <w:tc>
          <w:tcPr>
            <w:tcW w:w="767" w:type="dxa"/>
            <w:vAlign w:val="center"/>
          </w:tcPr>
          <w:p w14:paraId="1B665302">
            <w:pPr>
              <w:snapToGrid w:val="0"/>
              <w:spacing w:line="240" w:lineRule="auto"/>
              <w:jc w:val="center"/>
              <w:rPr>
                <w:rFonts w:hint="eastAsia" w:ascii="宋体" w:hAnsi="宋体" w:cs="宋体"/>
                <w:b/>
                <w:sz w:val="24"/>
              </w:rPr>
            </w:pPr>
            <w:r>
              <w:rPr>
                <w:rFonts w:hint="eastAsia" w:ascii="宋体" w:hAnsi="宋体" w:cs="宋体"/>
                <w:b/>
                <w:sz w:val="24"/>
              </w:rPr>
              <w:t>序号</w:t>
            </w:r>
          </w:p>
        </w:tc>
        <w:tc>
          <w:tcPr>
            <w:tcW w:w="1855" w:type="dxa"/>
            <w:vAlign w:val="center"/>
          </w:tcPr>
          <w:p w14:paraId="15043DB0">
            <w:pPr>
              <w:snapToGrid w:val="0"/>
              <w:spacing w:line="240" w:lineRule="auto"/>
              <w:jc w:val="center"/>
              <w:rPr>
                <w:rFonts w:hint="eastAsia" w:ascii="宋体" w:hAnsi="宋体" w:cs="宋体"/>
                <w:b/>
                <w:sz w:val="24"/>
              </w:rPr>
            </w:pPr>
            <w:r>
              <w:rPr>
                <w:rFonts w:hint="eastAsia" w:ascii="宋体" w:hAnsi="宋体" w:cs="宋体"/>
                <w:b/>
                <w:sz w:val="24"/>
              </w:rPr>
              <w:t>事项</w:t>
            </w:r>
          </w:p>
        </w:tc>
        <w:tc>
          <w:tcPr>
            <w:tcW w:w="6374" w:type="dxa"/>
            <w:vAlign w:val="center"/>
          </w:tcPr>
          <w:p w14:paraId="0FC8FCAF">
            <w:pPr>
              <w:snapToGrid w:val="0"/>
              <w:spacing w:line="240" w:lineRule="auto"/>
              <w:jc w:val="center"/>
              <w:rPr>
                <w:rFonts w:hint="eastAsia" w:ascii="宋体" w:hAnsi="宋体" w:cs="宋体"/>
                <w:b/>
                <w:sz w:val="24"/>
              </w:rPr>
            </w:pPr>
            <w:r>
              <w:rPr>
                <w:rFonts w:hint="eastAsia" w:ascii="宋体" w:hAnsi="宋体" w:cs="宋体"/>
                <w:b/>
                <w:sz w:val="24"/>
              </w:rPr>
              <w:t>本项目的特别规定</w:t>
            </w:r>
          </w:p>
        </w:tc>
      </w:tr>
      <w:tr w14:paraId="2CDF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19232BDD">
            <w:pPr>
              <w:snapToGrid w:val="0"/>
              <w:spacing w:line="360" w:lineRule="auto"/>
              <w:jc w:val="center"/>
              <w:rPr>
                <w:rFonts w:hint="eastAsia" w:ascii="宋体" w:hAnsi="宋体" w:cs="宋体"/>
                <w:sz w:val="24"/>
              </w:rPr>
            </w:pPr>
          </w:p>
          <w:p w14:paraId="746E485B">
            <w:pPr>
              <w:snapToGrid w:val="0"/>
              <w:spacing w:line="360" w:lineRule="auto"/>
              <w:jc w:val="center"/>
              <w:rPr>
                <w:rFonts w:hint="eastAsia" w:ascii="宋体" w:hAnsi="宋体" w:cs="宋体"/>
                <w:sz w:val="24"/>
              </w:rPr>
            </w:pPr>
            <w:r>
              <w:rPr>
                <w:rFonts w:hint="eastAsia" w:ascii="宋体" w:hAnsi="宋体" w:cs="宋体"/>
                <w:sz w:val="24"/>
              </w:rPr>
              <w:t>1</w:t>
            </w:r>
          </w:p>
        </w:tc>
        <w:tc>
          <w:tcPr>
            <w:tcW w:w="1855" w:type="dxa"/>
            <w:vAlign w:val="center"/>
          </w:tcPr>
          <w:p w14:paraId="10A52978">
            <w:pPr>
              <w:snapToGrid/>
              <w:spacing w:line="360" w:lineRule="auto"/>
              <w:jc w:val="center"/>
              <w:rPr>
                <w:rFonts w:hint="eastAsia" w:ascii="宋体" w:hAnsi="宋体" w:cs="宋体"/>
                <w:b w:val="0"/>
                <w:sz w:val="24"/>
              </w:rPr>
            </w:pPr>
            <w:r>
              <w:rPr>
                <w:rFonts w:hint="eastAsia" w:ascii="宋体" w:hAnsi="宋体" w:cs="宋体"/>
                <w:b/>
                <w:bCs/>
                <w:sz w:val="24"/>
                <w:highlight w:val="none"/>
              </w:rPr>
              <w:t>项目属性与核心产品</w:t>
            </w:r>
          </w:p>
        </w:tc>
        <w:tc>
          <w:tcPr>
            <w:tcW w:w="6374" w:type="dxa"/>
            <w:vAlign w:val="center"/>
          </w:tcPr>
          <w:p w14:paraId="615DF99A">
            <w:pPr>
              <w:spacing w:line="360" w:lineRule="auto"/>
              <w:rPr>
                <w:rFonts w:hint="eastAsia" w:ascii="宋体" w:hAnsi="宋体" w:cs="宋体"/>
                <w:sz w:val="24"/>
                <w:highlight w:val="none"/>
              </w:rPr>
            </w:pPr>
            <w:r>
              <w:rPr>
                <w:rFonts w:hint="eastAsia" w:ascii="宋体" w:hAnsi="宋体" w:cs="宋体"/>
                <w:sz w:val="24"/>
                <w:highlight w:val="none"/>
              </w:rPr>
              <w:t>项目属性：</w:t>
            </w:r>
            <w:r>
              <w:rPr>
                <w:rFonts w:hint="eastAsia" w:ascii="宋体" w:hAnsi="宋体" w:cs="宋体"/>
                <w:b w:val="0"/>
                <w:bCs w:val="0"/>
                <w:sz w:val="24"/>
                <w:highlight w:val="none"/>
                <w:u w:val="none"/>
              </w:rPr>
              <w:t>货物类</w:t>
            </w:r>
            <w:r>
              <w:rPr>
                <w:rFonts w:hint="eastAsia" w:ascii="宋体" w:hAnsi="宋体" w:cs="宋体"/>
                <w:sz w:val="24"/>
                <w:highlight w:val="none"/>
              </w:rPr>
              <w:t>；</w:t>
            </w:r>
          </w:p>
          <w:p w14:paraId="5E7B32ED">
            <w:pPr>
              <w:spacing w:line="360" w:lineRule="auto"/>
              <w:rPr>
                <w:rFonts w:hint="eastAsia" w:ascii="宋体" w:hAnsi="宋体" w:cs="宋体"/>
                <w:sz w:val="24"/>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134C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4A8D2422">
            <w:pPr>
              <w:snapToGrid w:val="0"/>
              <w:spacing w:line="360" w:lineRule="auto"/>
              <w:jc w:val="center"/>
              <w:rPr>
                <w:rFonts w:hint="eastAsia" w:ascii="宋体" w:hAnsi="宋体" w:cs="宋体"/>
                <w:sz w:val="24"/>
              </w:rPr>
            </w:pPr>
          </w:p>
          <w:p w14:paraId="455DEB61">
            <w:pPr>
              <w:snapToGrid w:val="0"/>
              <w:spacing w:line="360" w:lineRule="auto"/>
              <w:jc w:val="center"/>
              <w:rPr>
                <w:rFonts w:hint="eastAsia" w:ascii="宋体" w:hAnsi="宋体" w:cs="宋体"/>
                <w:sz w:val="24"/>
              </w:rPr>
            </w:pPr>
            <w:r>
              <w:rPr>
                <w:rFonts w:hint="eastAsia" w:ascii="宋体" w:hAnsi="宋体" w:cs="宋体"/>
                <w:sz w:val="24"/>
              </w:rPr>
              <w:t>2</w:t>
            </w:r>
          </w:p>
        </w:tc>
        <w:tc>
          <w:tcPr>
            <w:tcW w:w="1855" w:type="dxa"/>
            <w:vAlign w:val="center"/>
          </w:tcPr>
          <w:p w14:paraId="3A297CBB">
            <w:pPr>
              <w:snapToGrid w:val="0"/>
              <w:spacing w:line="360" w:lineRule="auto"/>
              <w:jc w:val="center"/>
              <w:rPr>
                <w:rFonts w:hint="eastAsia" w:ascii="宋体" w:hAnsi="宋体" w:cs="宋体"/>
                <w:b/>
                <w:sz w:val="24"/>
              </w:rPr>
            </w:pPr>
            <w:r>
              <w:rPr>
                <w:rFonts w:hint="eastAsia" w:ascii="宋体" w:hAnsi="宋体" w:cs="宋体"/>
                <w:b/>
                <w:sz w:val="24"/>
              </w:rPr>
              <w:t>采购标的及其对应的中小企业划分标准所属行业</w:t>
            </w:r>
          </w:p>
        </w:tc>
        <w:tc>
          <w:tcPr>
            <w:tcW w:w="6374" w:type="dxa"/>
            <w:vAlign w:val="center"/>
          </w:tcPr>
          <w:p w14:paraId="0618A43B">
            <w:pPr>
              <w:pStyle w:val="3"/>
              <w:ind w:left="0" w:firstLine="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kern w:val="0"/>
                <w:sz w:val="24"/>
              </w:rPr>
              <w:t>（1）标的：</w:t>
            </w:r>
            <w:r>
              <w:rPr>
                <w:rFonts w:hint="eastAsia" w:ascii="宋体" w:hAnsi="宋体" w:eastAsia="宋体" w:cs="宋体"/>
                <w:b/>
                <w:bCs/>
                <w:color w:val="auto"/>
                <w:kern w:val="0"/>
                <w:sz w:val="24"/>
                <w:szCs w:val="24"/>
                <w:highlight w:val="none"/>
                <w:u w:val="single"/>
                <w:lang w:val="en-US" w:eastAsia="zh-CN" w:bidi="ar-SA"/>
              </w:rPr>
              <w:t>标的名称以“第三部分 采购需求”采购清单中各项名称为准</w:t>
            </w:r>
            <w:r>
              <w:rPr>
                <w:rFonts w:hint="eastAsia" w:ascii="宋体" w:hAnsi="宋体" w:cs="宋体"/>
                <w:kern w:val="0"/>
                <w:sz w:val="24"/>
              </w:rPr>
              <w:t>，</w:t>
            </w:r>
            <w:r>
              <w:rPr>
                <w:rFonts w:hint="eastAsia" w:ascii="宋体" w:hAnsi="宋体" w:eastAsia="宋体" w:cs="宋体"/>
                <w:kern w:val="0"/>
                <w:sz w:val="24"/>
              </w:rPr>
              <w:t>属于</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工业</w:t>
            </w:r>
            <w:r>
              <w:rPr>
                <w:rFonts w:hint="eastAsia" w:ascii="宋体" w:hAnsi="宋体" w:eastAsia="宋体" w:cs="宋体"/>
                <w:color w:val="000000" w:themeColor="text1"/>
                <w:kern w:val="0"/>
                <w:sz w:val="24"/>
                <w:u w:val="single"/>
                <w:lang w:val="en-US"/>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行业</w:t>
            </w:r>
            <w:r>
              <w:rPr>
                <w:rFonts w:hint="eastAsia" w:ascii="宋体" w:hAnsi="宋体" w:cs="宋体"/>
                <w:color w:val="000000" w:themeColor="text1"/>
                <w:kern w:val="0"/>
                <w:sz w:val="24"/>
                <w14:textFill>
                  <w14:solidFill>
                    <w14:schemeClr w14:val="tx1"/>
                  </w14:solidFill>
                </w14:textFill>
              </w:rPr>
              <w:t>；</w:t>
            </w:r>
          </w:p>
          <w:p w14:paraId="1994D902">
            <w:pPr>
              <w:pStyle w:val="3"/>
              <w:ind w:left="0" w:firstLine="0"/>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14:textFill>
                  <w14:solidFill>
                    <w14:schemeClr w14:val="tx1"/>
                  </w14:solidFill>
                </w14:textFill>
              </w:rPr>
              <w:t>根据《</w:t>
            </w:r>
            <w:bookmarkStart w:id="11" w:name="OLE_LINK54"/>
            <w:r>
              <w:rPr>
                <w:rFonts w:hint="eastAsia" w:ascii="宋体" w:hAnsi="宋体" w:eastAsia="宋体" w:cs="宋体"/>
                <w:b/>
                <w:bCs/>
                <w:color w:val="000000" w:themeColor="text1"/>
                <w:kern w:val="0"/>
                <w:sz w:val="24"/>
                <w:szCs w:val="24"/>
                <w:lang w:val="en-US"/>
                <w14:textFill>
                  <w14:solidFill>
                    <w14:schemeClr w14:val="tx1"/>
                  </w14:solidFill>
                </w14:textFill>
              </w:rPr>
              <w:t>关于印发中小企业划型标准规定的通知</w:t>
            </w:r>
            <w:bookmarkEnd w:id="11"/>
            <w:r>
              <w:rPr>
                <w:rFonts w:hint="eastAsia" w:ascii="宋体" w:hAnsi="宋体" w:eastAsia="宋体" w:cs="宋体"/>
                <w:b/>
                <w:bCs/>
                <w:color w:val="000000" w:themeColor="text1"/>
                <w:kern w:val="0"/>
                <w:sz w:val="24"/>
                <w:szCs w:val="24"/>
                <w:lang w:val="en-US"/>
                <w14:textFill>
                  <w14:solidFill>
                    <w14:schemeClr w14:val="tx1"/>
                  </w14:solidFill>
                </w14:textFill>
              </w:rPr>
              <w:t>》（工信部联企业〔2011〕300号）第四条规定：</w:t>
            </w:r>
            <w:r>
              <w:rPr>
                <w:rFonts w:hint="eastAsia" w:ascii="宋体" w:hAnsi="宋体" w:eastAsia="宋体" w:cs="宋体"/>
                <w:b/>
                <w:bCs/>
                <w:color w:val="000000" w:themeColor="text1"/>
                <w:kern w:val="0"/>
                <w:sz w:val="24"/>
                <w:szCs w:val="24"/>
                <w:lang w:val="en-US" w:eastAsia="zh-CN"/>
                <w14:textFill>
                  <w14:solidFill>
                    <w14:schemeClr w14:val="tx1"/>
                  </w14:solidFill>
                </w14:textFill>
              </w:rPr>
              <w:t>工业</w:t>
            </w:r>
            <w:r>
              <w:rPr>
                <w:rFonts w:hint="eastAsia" w:ascii="宋体" w:hAnsi="宋体" w:eastAsia="宋体" w:cs="宋体"/>
                <w:b/>
                <w:bCs/>
                <w:color w:val="000000" w:themeColor="text1"/>
                <w:kern w:val="0"/>
                <w:sz w:val="24"/>
                <w:szCs w:val="24"/>
                <w:lang w:val="en-US"/>
                <w14:textFill>
                  <w14:solidFill>
                    <w14:schemeClr w14:val="tx1"/>
                  </w14:solidFill>
                </w14:textFill>
              </w:rPr>
              <w:t>行业。从业人员</w:t>
            </w:r>
            <w:r>
              <w:rPr>
                <w:rFonts w:hint="eastAsia" w:ascii="宋体" w:hAnsi="宋体" w:eastAsia="宋体" w:cs="宋体"/>
                <w:b/>
                <w:bCs/>
                <w:color w:val="000000" w:themeColor="text1"/>
                <w:kern w:val="0"/>
                <w:sz w:val="24"/>
                <w:szCs w:val="24"/>
                <w:lang w:val="en-US" w:eastAsia="zh-CN"/>
                <w14:textFill>
                  <w14:solidFill>
                    <w14:schemeClr w14:val="tx1"/>
                  </w14:solidFill>
                </w14:textFill>
              </w:rPr>
              <w:t>1000</w:t>
            </w:r>
            <w:r>
              <w:rPr>
                <w:rFonts w:hint="eastAsia" w:ascii="宋体" w:hAnsi="宋体" w:eastAsia="宋体" w:cs="宋体"/>
                <w:b/>
                <w:bCs/>
                <w:color w:val="000000" w:themeColor="text1"/>
                <w:kern w:val="0"/>
                <w:sz w:val="24"/>
                <w:szCs w:val="24"/>
                <w:lang w:val="en-US"/>
                <w14:textFill>
                  <w14:solidFill>
                    <w14:schemeClr w14:val="tx1"/>
                  </w14:solidFill>
                </w14:textFill>
              </w:rPr>
              <w:t>人以下或营业收入</w:t>
            </w:r>
            <w:r>
              <w:rPr>
                <w:rFonts w:hint="eastAsia" w:ascii="宋体" w:hAnsi="宋体" w:eastAsia="宋体" w:cs="宋体"/>
                <w:b/>
                <w:bCs/>
                <w:color w:val="000000" w:themeColor="text1"/>
                <w:kern w:val="0"/>
                <w:sz w:val="24"/>
                <w:szCs w:val="24"/>
                <w:lang w:val="en-US" w:eastAsia="zh-CN"/>
                <w14:textFill>
                  <w14:solidFill>
                    <w14:schemeClr w14:val="tx1"/>
                  </w14:solidFill>
                </w14:textFill>
              </w:rPr>
              <w:t>40000</w:t>
            </w:r>
            <w:r>
              <w:rPr>
                <w:rFonts w:hint="eastAsia" w:ascii="宋体" w:hAnsi="宋体" w:eastAsia="宋体" w:cs="宋体"/>
                <w:b/>
                <w:bCs/>
                <w:color w:val="000000" w:themeColor="text1"/>
                <w:kern w:val="0"/>
                <w:sz w:val="24"/>
                <w:szCs w:val="24"/>
                <w:lang w:val="en-US"/>
                <w14:textFill>
                  <w14:solidFill>
                    <w14:schemeClr w14:val="tx1"/>
                  </w14:solidFill>
                </w14:textFill>
              </w:rPr>
              <w:t>万元以下的为中小微型企业。其中，从业人员</w:t>
            </w:r>
            <w:r>
              <w:rPr>
                <w:rFonts w:hint="eastAsia" w:ascii="宋体" w:hAnsi="宋体" w:eastAsia="宋体" w:cs="宋体"/>
                <w:b/>
                <w:bCs/>
                <w:color w:val="000000" w:themeColor="text1"/>
                <w:kern w:val="0"/>
                <w:sz w:val="24"/>
                <w:szCs w:val="24"/>
                <w:lang w:val="en-US" w:eastAsia="zh-CN"/>
                <w14:textFill>
                  <w14:solidFill>
                    <w14:schemeClr w14:val="tx1"/>
                  </w14:solidFill>
                </w14:textFill>
              </w:rPr>
              <w:t>300</w:t>
            </w:r>
            <w:r>
              <w:rPr>
                <w:rFonts w:hint="eastAsia" w:ascii="宋体" w:hAnsi="宋体" w:eastAsia="宋体" w:cs="宋体"/>
                <w:b/>
                <w:bCs/>
                <w:color w:val="000000" w:themeColor="text1"/>
                <w:kern w:val="0"/>
                <w:sz w:val="24"/>
                <w:szCs w:val="24"/>
                <w:lang w:val="en-US"/>
                <w14:textFill>
                  <w14:solidFill>
                    <w14:schemeClr w14:val="tx1"/>
                  </w14:solidFill>
                </w14:textFill>
              </w:rPr>
              <w:t>人及以上，且营业收入</w:t>
            </w:r>
            <w:r>
              <w:rPr>
                <w:rFonts w:hint="eastAsia" w:ascii="宋体" w:hAnsi="宋体" w:eastAsia="宋体" w:cs="宋体"/>
                <w:b/>
                <w:bCs/>
                <w:color w:val="000000" w:themeColor="text1"/>
                <w:kern w:val="0"/>
                <w:sz w:val="24"/>
                <w:szCs w:val="24"/>
                <w:lang w:val="en-US" w:eastAsia="zh-CN"/>
                <w14:textFill>
                  <w14:solidFill>
                    <w14:schemeClr w14:val="tx1"/>
                  </w14:solidFill>
                </w14:textFill>
              </w:rPr>
              <w:t>2000</w:t>
            </w:r>
            <w:r>
              <w:rPr>
                <w:rFonts w:hint="eastAsia" w:ascii="宋体" w:hAnsi="宋体" w:eastAsia="宋体" w:cs="宋体"/>
                <w:b/>
                <w:bCs/>
                <w:color w:val="000000" w:themeColor="text1"/>
                <w:kern w:val="0"/>
                <w:sz w:val="24"/>
                <w:szCs w:val="24"/>
                <w:lang w:val="en-US"/>
                <w14:textFill>
                  <w14:solidFill>
                    <w14:schemeClr w14:val="tx1"/>
                  </w14:solidFill>
                </w14:textFill>
              </w:rPr>
              <w:t>万元及以上的为中型企业；从业人员</w:t>
            </w:r>
            <w:r>
              <w:rPr>
                <w:rFonts w:hint="eastAsia" w:ascii="宋体" w:hAnsi="宋体" w:eastAsia="宋体" w:cs="宋体"/>
                <w:b/>
                <w:bCs/>
                <w:color w:val="000000" w:themeColor="text1"/>
                <w:kern w:val="0"/>
                <w:sz w:val="24"/>
                <w:szCs w:val="24"/>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lang w:val="en-US"/>
                <w14:textFill>
                  <w14:solidFill>
                    <w14:schemeClr w14:val="tx1"/>
                  </w14:solidFill>
                </w14:textFill>
              </w:rPr>
              <w:t>人及以上，且营业收入</w:t>
            </w:r>
            <w:r>
              <w:rPr>
                <w:rFonts w:hint="eastAsia" w:ascii="宋体" w:hAnsi="宋体" w:eastAsia="宋体" w:cs="宋体"/>
                <w:b/>
                <w:bCs/>
                <w:color w:val="000000" w:themeColor="text1"/>
                <w:kern w:val="0"/>
                <w:sz w:val="24"/>
                <w:szCs w:val="24"/>
                <w:lang w:val="en-US" w:eastAsia="zh-CN"/>
                <w14:textFill>
                  <w14:solidFill>
                    <w14:schemeClr w14:val="tx1"/>
                  </w14:solidFill>
                </w14:textFill>
              </w:rPr>
              <w:t>300</w:t>
            </w:r>
            <w:r>
              <w:rPr>
                <w:rFonts w:hint="eastAsia" w:ascii="宋体" w:hAnsi="宋体" w:eastAsia="宋体" w:cs="宋体"/>
                <w:b/>
                <w:bCs/>
                <w:color w:val="000000" w:themeColor="text1"/>
                <w:kern w:val="0"/>
                <w:sz w:val="24"/>
                <w:szCs w:val="24"/>
                <w:lang w:val="en-US"/>
                <w14:textFill>
                  <w14:solidFill>
                    <w14:schemeClr w14:val="tx1"/>
                  </w14:solidFill>
                </w14:textFill>
              </w:rPr>
              <w:t>万元及以上的为小型企业；从业人员</w:t>
            </w:r>
            <w:r>
              <w:rPr>
                <w:rFonts w:hint="eastAsia" w:ascii="宋体" w:hAnsi="宋体" w:eastAsia="宋体" w:cs="宋体"/>
                <w:b/>
                <w:bCs/>
                <w:color w:val="000000" w:themeColor="text1"/>
                <w:kern w:val="0"/>
                <w:sz w:val="24"/>
                <w:szCs w:val="24"/>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lang w:val="en-US"/>
                <w14:textFill>
                  <w14:solidFill>
                    <w14:schemeClr w14:val="tx1"/>
                  </w14:solidFill>
                </w14:textFill>
              </w:rPr>
              <w:t>人以下或营业收入</w:t>
            </w:r>
            <w:r>
              <w:rPr>
                <w:rFonts w:hint="eastAsia" w:ascii="宋体" w:hAnsi="宋体" w:eastAsia="宋体" w:cs="宋体"/>
                <w:b/>
                <w:bCs/>
                <w:color w:val="000000" w:themeColor="text1"/>
                <w:kern w:val="0"/>
                <w:sz w:val="24"/>
                <w:szCs w:val="24"/>
                <w:lang w:val="en-US" w:eastAsia="zh-CN"/>
                <w14:textFill>
                  <w14:solidFill>
                    <w14:schemeClr w14:val="tx1"/>
                  </w14:solidFill>
                </w14:textFill>
              </w:rPr>
              <w:t>300</w:t>
            </w:r>
            <w:r>
              <w:rPr>
                <w:rFonts w:hint="eastAsia" w:ascii="宋体" w:hAnsi="宋体" w:eastAsia="宋体" w:cs="宋体"/>
                <w:b/>
                <w:bCs/>
                <w:color w:val="000000" w:themeColor="text1"/>
                <w:kern w:val="0"/>
                <w:sz w:val="24"/>
                <w:szCs w:val="24"/>
                <w:lang w:val="en-US"/>
                <w14:textFill>
                  <w14:solidFill>
                    <w14:schemeClr w14:val="tx1"/>
                  </w14:solidFill>
                </w14:textFill>
              </w:rPr>
              <w:t>万元以下的为微型企业。</w:t>
            </w:r>
          </w:p>
          <w:p w14:paraId="6CB6692D">
            <w:pPr>
              <w:widowControl/>
              <w:snapToGrid w:val="0"/>
              <w:spacing w:line="360" w:lineRule="auto"/>
              <w:jc w:val="left"/>
              <w:rPr>
                <w:rFonts w:hint="eastAsia" w:ascii="宋体" w:hAnsi="宋体" w:cs="宋体"/>
                <w:sz w:val="24"/>
              </w:rPr>
            </w:pPr>
            <w:r>
              <w:rPr>
                <w:rFonts w:hint="eastAsia" w:ascii="宋体" w:hAnsi="宋体" w:cs="宋体"/>
                <w:sz w:val="24"/>
              </w:rPr>
              <w:t>说明：</w:t>
            </w:r>
          </w:p>
          <w:p w14:paraId="1C3575F8">
            <w:pPr>
              <w:spacing w:line="360" w:lineRule="auto"/>
              <w:rPr>
                <w:rFonts w:hint="eastAsia" w:ascii="宋体" w:hAnsi="宋体" w:cs="宋体"/>
                <w:sz w:val="24"/>
              </w:rPr>
            </w:pPr>
            <w:r>
              <w:rPr>
                <w:rFonts w:hint="eastAsia" w:ascii="宋体" w:hAnsi="宋体" w:cs="宋体"/>
                <w:sz w:val="24"/>
              </w:rPr>
              <w:t>1.大型、中型和小型企业须同时满足所列指标的下限，否则下划一档；微型企业只须满足所列指标中的一项即可。 　　</w:t>
            </w:r>
          </w:p>
          <w:p w14:paraId="06747CFF">
            <w:pPr>
              <w:spacing w:line="360" w:lineRule="auto"/>
              <w:rPr>
                <w:rFonts w:hint="eastAsia" w:ascii="宋体" w:hAnsi="宋体" w:cs="宋体"/>
                <w:sz w:val="24"/>
              </w:rPr>
            </w:pPr>
            <w:r>
              <w:rPr>
                <w:rFonts w:hint="eastAsia" w:ascii="宋体" w:hAnsi="宋体" w:cs="宋体"/>
                <w:sz w:val="24"/>
              </w:rPr>
              <w:t>2.各行业的范围以《国民经济行业分类》（GB/T4754-2017）为准。</w:t>
            </w:r>
          </w:p>
          <w:p w14:paraId="4E192E1C">
            <w:pPr>
              <w:spacing w:line="360" w:lineRule="auto"/>
              <w:rPr>
                <w:rFonts w:hint="eastAsia" w:ascii="宋体" w:hAnsi="宋体" w:cs="宋体"/>
                <w:sz w:val="24"/>
              </w:rPr>
            </w:pPr>
            <w:r>
              <w:rPr>
                <w:rFonts w:hint="eastAsia" w:ascii="宋体" w:hAnsi="宋体" w:cs="宋体"/>
                <w:sz w:val="24"/>
              </w:rPr>
              <w:t>3.企业划分指标以现行统计制度为准。</w:t>
            </w:r>
          </w:p>
          <w:p w14:paraId="7D5D4894">
            <w:pPr>
              <w:spacing w:line="360" w:lineRule="auto"/>
              <w:rPr>
                <w:rFonts w:hint="eastAsia" w:ascii="宋体" w:hAnsi="宋体" w:cs="宋体"/>
                <w:sz w:val="24"/>
              </w:rPr>
            </w:pPr>
            <w:r>
              <w:rPr>
                <w:rFonts w:hint="eastAsia" w:ascii="宋体" w:hAnsi="宋体" w:cs="宋体"/>
                <w:sz w:val="24"/>
              </w:rPr>
              <w:t>1）从业人员，是指期末从业人员数，没有期末从业人员数的，采用全年平均人员数代替。</w:t>
            </w:r>
          </w:p>
          <w:p w14:paraId="399985CE">
            <w:pPr>
              <w:spacing w:line="360" w:lineRule="auto"/>
              <w:rPr>
                <w:rFonts w:hint="eastAsia" w:ascii="宋体" w:hAnsi="宋体" w:cs="宋体"/>
                <w:sz w:val="24"/>
              </w:rPr>
            </w:pPr>
            <w:r>
              <w:rPr>
                <w:rFonts w:hint="eastAsia" w:ascii="宋体" w:hAnsi="宋体" w:cs="宋体"/>
                <w:sz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CD5DE4F">
            <w:pPr>
              <w:spacing w:line="360" w:lineRule="auto"/>
              <w:rPr>
                <w:rFonts w:hint="eastAsia" w:ascii="宋体" w:hAnsi="宋体" w:cs="宋体"/>
                <w:sz w:val="24"/>
              </w:rPr>
            </w:pPr>
            <w:r>
              <w:rPr>
                <w:rFonts w:hint="eastAsia" w:ascii="宋体" w:hAnsi="宋体" w:cs="宋体"/>
                <w:sz w:val="24"/>
              </w:rPr>
              <w:t>3）资产总额，采用资产总计代替。</w:t>
            </w:r>
          </w:p>
          <w:p w14:paraId="526085D6">
            <w:pPr>
              <w:spacing w:line="360" w:lineRule="auto"/>
              <w:rPr>
                <w:rFonts w:hint="eastAsia" w:ascii="宋体" w:hAnsi="宋体" w:cs="宋体"/>
                <w:sz w:val="24"/>
              </w:rPr>
            </w:pPr>
            <w:r>
              <w:rPr>
                <w:rFonts w:hint="eastAsia" w:ascii="宋体" w:hAnsi="宋体" w:cs="宋体"/>
                <w:sz w:val="24"/>
              </w:rPr>
              <w:t>4.根据《政府采购促进中小企业发展管理办法》（财库﹝2020﹞46 号）要求，本次采购为</w:t>
            </w:r>
            <w:r>
              <w:rPr>
                <w:rFonts w:hint="eastAsia" w:ascii="宋体" w:hAnsi="宋体" w:cs="宋体"/>
                <w:b/>
                <w:bCs/>
                <w:sz w:val="24"/>
                <w:u w:val="single"/>
              </w:rPr>
              <w:t>专门面向中小企业预留采购份额</w:t>
            </w:r>
            <w:r>
              <w:rPr>
                <w:rFonts w:hint="eastAsia" w:ascii="宋体" w:hAnsi="宋体" w:cs="宋体"/>
                <w:sz w:val="24"/>
              </w:rPr>
              <w:t>的采购项目。对小型和微型企业的投标报价不予扣除评审。</w:t>
            </w:r>
          </w:p>
          <w:p w14:paraId="687C5907">
            <w:pPr>
              <w:spacing w:line="360" w:lineRule="auto"/>
              <w:rPr>
                <w:rFonts w:hint="eastAsia" w:ascii="宋体" w:hAnsi="宋体" w:cs="宋体"/>
                <w:sz w:val="24"/>
              </w:rPr>
            </w:pPr>
            <w:r>
              <w:rPr>
                <w:rFonts w:hint="eastAsia" w:ascii="宋体" w:hAnsi="宋体" w:cs="宋体"/>
                <w:sz w:val="24"/>
              </w:rPr>
              <w:t>5.符合小微企业划分标准的个体工商户，视同小微企业。</w:t>
            </w:r>
          </w:p>
          <w:p w14:paraId="004B9289">
            <w:pPr>
              <w:spacing w:line="360" w:lineRule="auto"/>
              <w:rPr>
                <w:rFonts w:hint="eastAsia" w:ascii="宋体" w:hAnsi="宋体" w:cs="宋体"/>
              </w:rPr>
            </w:pPr>
            <w:r>
              <w:rPr>
                <w:rFonts w:hint="eastAsia" w:ascii="宋体" w:hAnsi="宋体" w:cs="宋体"/>
                <w:sz w:val="24"/>
              </w:rPr>
              <w:t>6.监狱企业和残疾人福利性单位视同小型、微型企业， 按《财政部 司法部关于政府采购支持监狱企业发展有关问题的通知》(财库〔2014〕68 号)、《财政部 民政部  中国残疾人联合会关于促进残疾人就业政府采购政策的通知》（财库〔2017〕141 号）的规定执行。</w:t>
            </w:r>
          </w:p>
        </w:tc>
      </w:tr>
      <w:tr w14:paraId="017A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32711C53">
            <w:pPr>
              <w:snapToGrid w:val="0"/>
              <w:spacing w:line="360" w:lineRule="auto"/>
              <w:rPr>
                <w:rFonts w:hint="eastAsia" w:ascii="宋体" w:hAnsi="宋体" w:cs="宋体"/>
                <w:sz w:val="24"/>
              </w:rPr>
            </w:pPr>
            <w:r>
              <w:rPr>
                <w:rFonts w:hint="eastAsia" w:ascii="宋体" w:hAnsi="宋体" w:cs="宋体"/>
                <w:sz w:val="24"/>
              </w:rPr>
              <w:t xml:space="preserve">  3</w:t>
            </w:r>
          </w:p>
        </w:tc>
        <w:tc>
          <w:tcPr>
            <w:tcW w:w="1855" w:type="dxa"/>
            <w:vAlign w:val="center"/>
          </w:tcPr>
          <w:p w14:paraId="311E0FAB">
            <w:pPr>
              <w:snapToGrid w:val="0"/>
              <w:spacing w:line="360" w:lineRule="auto"/>
              <w:jc w:val="center"/>
              <w:rPr>
                <w:rFonts w:hint="eastAsia" w:ascii="宋体" w:hAnsi="宋体" w:cs="宋体"/>
                <w:b/>
                <w:sz w:val="24"/>
              </w:rPr>
            </w:pPr>
            <w:r>
              <w:rPr>
                <w:rFonts w:hint="eastAsia" w:ascii="宋体" w:hAnsi="宋体" w:cs="宋体"/>
                <w:b/>
                <w:sz w:val="24"/>
              </w:rPr>
              <w:t>是否允许采购进口产品</w:t>
            </w:r>
          </w:p>
        </w:tc>
        <w:tc>
          <w:tcPr>
            <w:tcW w:w="6374" w:type="dxa"/>
            <w:vAlign w:val="center"/>
          </w:tcPr>
          <w:p w14:paraId="726279F7">
            <w:pPr>
              <w:spacing w:line="360" w:lineRule="auto"/>
              <w:rPr>
                <w:rFonts w:hint="eastAsia"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本项目不允许采购进口产品。</w:t>
            </w:r>
          </w:p>
          <w:p w14:paraId="504DF510">
            <w:pPr>
              <w:spacing w:line="360" w:lineRule="auto"/>
              <w:rPr>
                <w:rFonts w:hint="eastAsia" w:ascii="宋体" w:hAnsi="宋体" w:cs="宋体"/>
              </w:rPr>
            </w:pPr>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24A8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39FAB0F4">
            <w:pPr>
              <w:snapToGrid w:val="0"/>
              <w:spacing w:line="360" w:lineRule="auto"/>
              <w:jc w:val="center"/>
              <w:rPr>
                <w:rFonts w:hint="eastAsia" w:ascii="宋体" w:hAnsi="宋体" w:cs="宋体"/>
                <w:sz w:val="24"/>
              </w:rPr>
            </w:pPr>
            <w:r>
              <w:rPr>
                <w:rFonts w:hint="eastAsia" w:ascii="宋体" w:hAnsi="宋体" w:cs="宋体"/>
                <w:sz w:val="24"/>
              </w:rPr>
              <w:t>4</w:t>
            </w:r>
          </w:p>
        </w:tc>
        <w:tc>
          <w:tcPr>
            <w:tcW w:w="1855" w:type="dxa"/>
            <w:vAlign w:val="center"/>
          </w:tcPr>
          <w:p w14:paraId="42D3C8D3">
            <w:pPr>
              <w:snapToGrid w:val="0"/>
              <w:spacing w:line="360" w:lineRule="auto"/>
              <w:ind w:firstLine="482" w:firstLineChars="200"/>
              <w:rPr>
                <w:rFonts w:hint="eastAsia" w:ascii="宋体" w:hAnsi="宋体" w:cs="宋体"/>
                <w:b/>
                <w:sz w:val="24"/>
              </w:rPr>
            </w:pPr>
            <w:r>
              <w:rPr>
                <w:rFonts w:hint="eastAsia" w:ascii="宋体" w:hAnsi="宋体" w:cs="宋体"/>
                <w:b/>
                <w:sz w:val="24"/>
              </w:rPr>
              <w:t>分包</w:t>
            </w:r>
          </w:p>
        </w:tc>
        <w:tc>
          <w:tcPr>
            <w:tcW w:w="6374" w:type="dxa"/>
            <w:vAlign w:val="center"/>
          </w:tcPr>
          <w:p w14:paraId="254B5299">
            <w:pPr>
              <w:spacing w:line="360" w:lineRule="auto"/>
              <w:rPr>
                <w:rFonts w:hint="eastAsia" w:ascii="宋体" w:hAnsi="宋体" w:cs="宋体"/>
                <w:sz w:val="24"/>
              </w:rPr>
            </w:pPr>
            <w:r>
              <w:rPr>
                <w:rFonts w:ascii="MS Gothic" w:hAnsi="MS Gothic" w:cs="宋体"/>
                <w:kern w:val="0"/>
                <w:sz w:val="24"/>
              </w:rPr>
              <w:t>☐</w:t>
            </w:r>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p>
          <w:p w14:paraId="41E17A4C">
            <w:pPr>
              <w:spacing w:line="360" w:lineRule="auto"/>
              <w:rPr>
                <w:rFonts w:hint="eastAsia" w:ascii="宋体" w:hAnsi="宋体" w:cs="宋体"/>
                <w:sz w:val="24"/>
              </w:rPr>
            </w:pPr>
            <w:r>
              <w:rPr>
                <w:rFonts w:hint="eastAsia" w:ascii="Wingdings" w:hAnsi="Wingdings" w:cs="宋体"/>
                <w:kern w:val="0"/>
                <w:sz w:val="24"/>
              </w:rPr>
              <w:t>þ</w:t>
            </w:r>
            <w:r>
              <w:rPr>
                <w:rFonts w:hint="eastAsia" w:ascii="宋体" w:hAnsi="宋体" w:cs="宋体"/>
                <w:kern w:val="0"/>
                <w:sz w:val="24"/>
              </w:rPr>
              <w:t xml:space="preserve"> B</w:t>
            </w:r>
            <w:r>
              <w:rPr>
                <w:rFonts w:hint="eastAsia" w:ascii="宋体" w:hAnsi="宋体" w:cs="宋体"/>
                <w:sz w:val="24"/>
              </w:rPr>
              <w:t>不同意分包。</w:t>
            </w:r>
          </w:p>
          <w:p w14:paraId="41A2DD17">
            <w:pPr>
              <w:spacing w:line="360" w:lineRule="auto"/>
              <w:rPr>
                <w:rFonts w:hint="eastAsia" w:ascii="宋体" w:hAnsi="宋体" w:cs="宋体"/>
                <w:sz w:val="24"/>
              </w:rPr>
            </w:pPr>
            <w:r>
              <w:rPr>
                <w:rFonts w:hint="eastAsia" w:ascii="宋体" w:hAnsi="宋体" w:cs="宋体"/>
                <w:sz w:val="24"/>
              </w:rPr>
              <w:t>注：不得限制大中型企业向小微企业合理分包。</w:t>
            </w:r>
          </w:p>
        </w:tc>
      </w:tr>
      <w:tr w14:paraId="2635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03936396">
            <w:pPr>
              <w:snapToGrid w:val="0"/>
              <w:spacing w:line="360" w:lineRule="auto"/>
              <w:rPr>
                <w:rFonts w:hint="eastAsia" w:ascii="宋体" w:hAnsi="宋体" w:cs="宋体"/>
                <w:sz w:val="24"/>
              </w:rPr>
            </w:pPr>
          </w:p>
          <w:p w14:paraId="15062B5D">
            <w:pPr>
              <w:snapToGrid w:val="0"/>
              <w:spacing w:line="360" w:lineRule="auto"/>
              <w:jc w:val="center"/>
              <w:rPr>
                <w:rFonts w:hint="eastAsia" w:ascii="宋体" w:hAnsi="宋体" w:cs="宋体"/>
                <w:sz w:val="24"/>
              </w:rPr>
            </w:pPr>
            <w:r>
              <w:rPr>
                <w:rFonts w:hint="eastAsia" w:ascii="宋体" w:hAnsi="宋体" w:cs="宋体"/>
                <w:sz w:val="24"/>
              </w:rPr>
              <w:t>5</w:t>
            </w:r>
          </w:p>
        </w:tc>
        <w:tc>
          <w:tcPr>
            <w:tcW w:w="1855" w:type="dxa"/>
            <w:vAlign w:val="center"/>
          </w:tcPr>
          <w:p w14:paraId="3BD45140">
            <w:pPr>
              <w:snapToGrid w:val="0"/>
              <w:spacing w:line="360" w:lineRule="auto"/>
              <w:jc w:val="center"/>
              <w:rPr>
                <w:rFonts w:hint="eastAsia" w:ascii="宋体" w:hAnsi="宋体" w:cs="宋体"/>
                <w:b/>
                <w:sz w:val="24"/>
              </w:rPr>
            </w:pPr>
            <w:r>
              <w:rPr>
                <w:rFonts w:hint="eastAsia" w:ascii="宋体" w:hAnsi="宋体" w:cs="宋体"/>
                <w:b/>
                <w:sz w:val="24"/>
              </w:rPr>
              <w:t>开标前答疑会或现场考察</w:t>
            </w:r>
          </w:p>
        </w:tc>
        <w:tc>
          <w:tcPr>
            <w:tcW w:w="6374" w:type="dxa"/>
            <w:vAlign w:val="center"/>
          </w:tcPr>
          <w:p w14:paraId="1CD6CE72">
            <w:pPr>
              <w:pStyle w:val="81"/>
              <w:spacing w:line="360" w:lineRule="auto"/>
              <w:ind w:firstLine="0" w:firstLineChars="0"/>
              <w:rPr>
                <w:rFonts w:hint="eastAsia" w:asciiTheme="minorEastAsia" w:hAnsiTheme="minorEastAsia" w:eastAsiaTheme="minorEastAsia" w:cstheme="minorEastAsia"/>
                <w:sz w:val="24"/>
              </w:rPr>
            </w:pPr>
            <w:r>
              <w:rPr>
                <w:rFonts w:hint="eastAsia" w:ascii="宋体" w:hAnsi="宋体" w:cs="宋体"/>
                <w:kern w:val="0"/>
                <w:sz w:val="24"/>
              </w:rPr>
              <w:t>☐</w:t>
            </w:r>
            <w:r>
              <w:rPr>
                <w:rFonts w:hint="eastAsia" w:asciiTheme="minorEastAsia" w:hAnsiTheme="minorEastAsia" w:eastAsiaTheme="minorEastAsia" w:cstheme="minorEastAsia"/>
                <w:sz w:val="24"/>
              </w:rPr>
              <w:t>A不组织。</w:t>
            </w:r>
          </w:p>
          <w:p w14:paraId="0F8DA304">
            <w:pPr>
              <w:pStyle w:val="81"/>
              <w:spacing w:line="360" w:lineRule="auto"/>
              <w:ind w:firstLine="0" w:firstLineChars="0"/>
              <w:rPr>
                <w:rFonts w:hint="eastAsia" w:asciiTheme="minorEastAsia" w:hAnsiTheme="minorEastAsia" w:eastAsiaTheme="minorEastAsia" w:cstheme="minorEastAsia"/>
                <w:sz w:val="24"/>
                <w:szCs w:val="20"/>
              </w:rPr>
            </w:pPr>
            <w:r>
              <w:rPr>
                <w:rFonts w:hint="eastAsia" w:ascii="宋体" w:hAnsi="宋体" w:cs="宋体"/>
                <w:kern w:val="0"/>
                <w:sz w:val="24"/>
              </w:rPr>
              <w:t>☐</w:t>
            </w:r>
            <w:r>
              <w:rPr>
                <w:rFonts w:hint="eastAsia" w:asciiTheme="minorEastAsia" w:hAnsiTheme="minorEastAsia" w:eastAsiaTheme="minorEastAsia" w:cstheme="minorEastAsia"/>
                <w:sz w:val="24"/>
              </w:rPr>
              <w:t>B组织，时间：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szCs w:val="20"/>
              </w:rPr>
              <w:t>。</w:t>
            </w:r>
          </w:p>
          <w:p w14:paraId="110510DF">
            <w:pPr>
              <w:pStyle w:val="81"/>
              <w:spacing w:line="360" w:lineRule="auto"/>
              <w:ind w:firstLine="0" w:firstLineChars="0"/>
              <w:rPr>
                <w:rFonts w:hint="eastAsia"/>
              </w:rPr>
            </w:pPr>
            <w:r>
              <w:rPr>
                <w:rFonts w:hint="eastAsia" w:asciiTheme="minorEastAsia" w:hAnsiTheme="minorEastAsia" w:eastAsiaTheme="minorEastAsia" w:cstheme="minorEastAsia"/>
                <w:sz w:val="24"/>
                <w:szCs w:val="24"/>
              </w:rPr>
              <w:sym w:font="Wingdings" w:char="00FE"/>
            </w:r>
            <w:r>
              <w:rPr>
                <w:rFonts w:hint="eastAsia" w:asciiTheme="minorEastAsia" w:hAnsiTheme="minorEastAsia" w:eastAsiaTheme="minorEastAsia" w:cstheme="minorEastAsia"/>
                <w:sz w:val="24"/>
                <w:szCs w:val="24"/>
              </w:rPr>
              <w:t>C不统一组织，供应商在获取采购文件后，自行至项目现场考察。</w:t>
            </w:r>
            <w:r>
              <w:rPr>
                <w:rFonts w:hint="eastAsia" w:asciiTheme="minorEastAsia" w:hAnsiTheme="minorEastAsia" w:eastAsiaTheme="minorEastAsia" w:cstheme="minorEastAsia"/>
                <w:sz w:val="24"/>
                <w:szCs w:val="24"/>
                <w:highlight w:val="none"/>
                <w:u w:val="single"/>
              </w:rPr>
              <w:t>地点：</w:t>
            </w:r>
            <w:r>
              <w:rPr>
                <w:rFonts w:hint="eastAsia" w:ascii="宋体" w:hAnsi="宋体" w:cs="宋体"/>
                <w:sz w:val="24"/>
                <w:highlight w:val="none"/>
                <w:u w:val="single"/>
                <w:lang w:eastAsia="zh-CN"/>
              </w:rPr>
              <w:t>塘栖三中港北路</w:t>
            </w:r>
            <w:r>
              <w:rPr>
                <w:rFonts w:hint="eastAsia" w:ascii="宋体" w:hAnsi="宋体" w:cs="宋体"/>
                <w:sz w:val="24"/>
                <w:highlight w:val="none"/>
                <w:u w:val="single"/>
                <w:lang w:val="en-US" w:eastAsia="zh-CN"/>
              </w:rPr>
              <w:t>校区</w:t>
            </w:r>
            <w:r>
              <w:rPr>
                <w:rFonts w:hint="eastAsia" w:asciiTheme="minorEastAsia" w:hAnsiTheme="minorEastAsia" w:eastAsiaTheme="minorEastAsia" w:cstheme="minorEastAsia"/>
                <w:sz w:val="24"/>
                <w:szCs w:val="24"/>
                <w:highlight w:val="none"/>
                <w:u w:val="single"/>
              </w:rPr>
              <w:t xml:space="preserve"> ，联系人：</w:t>
            </w:r>
            <w:r>
              <w:rPr>
                <w:rFonts w:hint="eastAsia" w:ascii="宋体" w:hAnsi="宋体" w:cs="宋体"/>
                <w:sz w:val="24"/>
                <w:highlight w:val="none"/>
                <w:u w:val="single"/>
              </w:rPr>
              <w:t>贺</w:t>
            </w:r>
            <w:r>
              <w:rPr>
                <w:rFonts w:hint="eastAsia" w:ascii="宋体" w:hAnsi="宋体" w:cs="宋体"/>
                <w:sz w:val="24"/>
                <w:highlight w:val="none"/>
                <w:u w:val="single"/>
                <w:lang w:val="en-US" w:eastAsia="zh-CN"/>
              </w:rPr>
              <w:t>老师</w:t>
            </w:r>
            <w:r>
              <w:rPr>
                <w:rFonts w:hint="eastAsia" w:asciiTheme="minorEastAsia" w:hAnsiTheme="minorEastAsia" w:eastAsiaTheme="minorEastAsia" w:cstheme="minorEastAsia"/>
                <w:sz w:val="24"/>
                <w:szCs w:val="24"/>
                <w:highlight w:val="none"/>
                <w:u w:val="single"/>
              </w:rPr>
              <w:t xml:space="preserve"> ，联系方式：</w:t>
            </w:r>
            <w:r>
              <w:rPr>
                <w:rFonts w:hint="eastAsia" w:ascii="宋体" w:hAnsi="宋体" w:cs="宋体"/>
                <w:sz w:val="24"/>
                <w:highlight w:val="none"/>
                <w:u w:val="single"/>
              </w:rPr>
              <w:t>0571-89021333</w:t>
            </w:r>
          </w:p>
        </w:tc>
      </w:tr>
      <w:tr w14:paraId="1653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6FF17246">
            <w:pPr>
              <w:snapToGrid w:val="0"/>
              <w:spacing w:line="360" w:lineRule="auto"/>
              <w:rPr>
                <w:rFonts w:hint="eastAsia" w:ascii="宋体" w:hAnsi="宋体" w:cs="宋体"/>
                <w:sz w:val="24"/>
              </w:rPr>
            </w:pPr>
          </w:p>
          <w:p w14:paraId="40783F17">
            <w:pPr>
              <w:snapToGrid w:val="0"/>
              <w:spacing w:line="360" w:lineRule="auto"/>
              <w:jc w:val="center"/>
              <w:rPr>
                <w:rFonts w:hint="eastAsia" w:ascii="宋体" w:hAnsi="宋体" w:cs="宋体"/>
                <w:sz w:val="24"/>
              </w:rPr>
            </w:pPr>
          </w:p>
          <w:p w14:paraId="27FD3A05">
            <w:pPr>
              <w:snapToGrid w:val="0"/>
              <w:spacing w:line="360" w:lineRule="auto"/>
              <w:jc w:val="center"/>
              <w:rPr>
                <w:rFonts w:hint="eastAsia" w:ascii="宋体" w:hAnsi="宋体" w:cs="宋体"/>
                <w:sz w:val="24"/>
              </w:rPr>
            </w:pPr>
            <w:r>
              <w:rPr>
                <w:rFonts w:hint="eastAsia" w:ascii="宋体" w:hAnsi="宋体" w:cs="宋体"/>
                <w:sz w:val="24"/>
              </w:rPr>
              <w:t>6</w:t>
            </w:r>
          </w:p>
        </w:tc>
        <w:tc>
          <w:tcPr>
            <w:tcW w:w="1855" w:type="dxa"/>
            <w:vAlign w:val="center"/>
          </w:tcPr>
          <w:p w14:paraId="587945E0">
            <w:pPr>
              <w:snapToGrid w:val="0"/>
              <w:spacing w:line="360" w:lineRule="auto"/>
              <w:jc w:val="center"/>
              <w:rPr>
                <w:rFonts w:hint="eastAsia" w:ascii="宋体" w:hAnsi="宋体" w:cs="宋体"/>
                <w:b/>
                <w:sz w:val="24"/>
              </w:rPr>
            </w:pPr>
            <w:r>
              <w:rPr>
                <w:rFonts w:hint="eastAsia" w:ascii="宋体" w:hAnsi="宋体" w:cs="宋体"/>
                <w:b/>
                <w:sz w:val="24"/>
              </w:rPr>
              <w:t>样品提供</w:t>
            </w:r>
          </w:p>
        </w:tc>
        <w:tc>
          <w:tcPr>
            <w:tcW w:w="6374" w:type="dxa"/>
            <w:vAlign w:val="center"/>
          </w:tcPr>
          <w:p w14:paraId="667E52B0">
            <w:pPr>
              <w:spacing w:line="360" w:lineRule="auto"/>
              <w:rPr>
                <w:rFonts w:hint="eastAsia" w:ascii="宋体" w:hAnsi="宋体" w:cs="宋体"/>
                <w:sz w:val="24"/>
              </w:rPr>
            </w:pPr>
            <w:r>
              <w:rPr>
                <w:rFonts w:hint="eastAsia" w:ascii="宋体" w:hAnsi="宋体" w:cs="宋体"/>
                <w:kern w:val="0"/>
                <w:sz w:val="24"/>
              </w:rPr>
              <w:t>☐A</w:t>
            </w:r>
            <w:r>
              <w:rPr>
                <w:rFonts w:hint="eastAsia" w:ascii="宋体" w:hAnsi="宋体" w:cs="宋体"/>
                <w:sz w:val="24"/>
              </w:rPr>
              <w:t>不要求提供。</w:t>
            </w:r>
          </w:p>
          <w:p w14:paraId="16842D01">
            <w:pPr>
              <w:spacing w:line="360" w:lineRule="auto"/>
              <w:rPr>
                <w:rFonts w:hint="eastAsia" w:ascii="宋体" w:hAnsi="宋体" w:cs="宋体"/>
                <w:kern w:val="0"/>
                <w:sz w:val="24"/>
              </w:rPr>
            </w:pPr>
            <w:r>
              <w:rPr>
                <w:rFonts w:hint="eastAsia" w:ascii="Wingdings" w:hAnsi="Wingdings" w:eastAsia="MS Gothic" w:cs="宋体"/>
                <w:kern w:val="0"/>
                <w:sz w:val="24"/>
              </w:rPr>
              <w:sym w:font="Wingdings" w:char="00FE"/>
            </w:r>
            <w:r>
              <w:rPr>
                <w:rFonts w:hint="eastAsia" w:ascii="宋体" w:hAnsi="宋体" w:cs="宋体"/>
                <w:kern w:val="0"/>
                <w:sz w:val="24"/>
              </w:rPr>
              <w:t>B要求提供，</w:t>
            </w:r>
          </w:p>
          <w:p w14:paraId="3721F28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cs="宋体"/>
                <w:snapToGrid w:val="0"/>
                <w:kern w:val="28"/>
                <w:sz w:val="24"/>
              </w:rPr>
            </w:pPr>
            <w:r>
              <w:rPr>
                <w:rFonts w:hint="eastAsia" w:ascii="宋体" w:hAnsi="宋体" w:cs="宋体"/>
                <w:b/>
                <w:bCs/>
                <w:snapToGrid w:val="0"/>
                <w:kern w:val="28"/>
                <w:sz w:val="24"/>
              </w:rPr>
              <w:t>样品：</w:t>
            </w:r>
            <w:r>
              <w:rPr>
                <w:rFonts w:hint="eastAsia" w:ascii="宋体" w:hAnsi="宋体" w:eastAsia="宋体" w:cs="宋体"/>
                <w:b/>
                <w:bCs/>
                <w:color w:val="auto"/>
                <w:sz w:val="24"/>
                <w:szCs w:val="24"/>
                <w:highlight w:val="none"/>
                <w:u w:val="single"/>
                <w:lang w:val="en-US" w:eastAsia="zh-CN"/>
              </w:rPr>
              <w:t>化学智能顶装实验室 序号6-学生实验桌1张</w:t>
            </w:r>
          </w:p>
          <w:p w14:paraId="09B62965">
            <w:pPr>
              <w:numPr>
                <w:ilvl w:val="0"/>
                <w:numId w:val="0"/>
              </w:numPr>
              <w:adjustRightInd/>
              <w:spacing w:line="360" w:lineRule="auto"/>
              <w:jc w:val="left"/>
              <w:rPr>
                <w:rFonts w:hint="eastAsia" w:ascii="宋体" w:hAnsi="宋体" w:cs="宋体"/>
                <w:kern w:val="0"/>
                <w:sz w:val="24"/>
              </w:rPr>
            </w:pPr>
            <w:r>
              <w:rPr>
                <w:rFonts w:hint="eastAsia" w:ascii="宋体" w:hAnsi="宋体" w:cs="宋体"/>
                <w:b/>
                <w:bCs w:val="0"/>
                <w:sz w:val="24"/>
                <w:highlight w:val="none"/>
                <w:lang w:val="en-US" w:eastAsia="zh-CN"/>
              </w:rPr>
              <w:t>（注：本项目样品采用暗标评审的方式，样品上不得出现企业名称等与投标企业相关标志，否则视作投标无效）</w:t>
            </w:r>
          </w:p>
          <w:p w14:paraId="776DECE6">
            <w:pPr>
              <w:spacing w:line="360" w:lineRule="auto"/>
              <w:rPr>
                <w:rFonts w:hint="eastAsia"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b/>
                <w:bCs/>
                <w:sz w:val="24"/>
                <w:u w:val="single"/>
              </w:rPr>
              <w:t xml:space="preserve"> 详见采购需求 </w:t>
            </w:r>
            <w:r>
              <w:rPr>
                <w:rFonts w:hint="eastAsia" w:ascii="宋体" w:hAnsi="宋体" w:cs="宋体"/>
                <w:kern w:val="0"/>
                <w:sz w:val="24"/>
              </w:rPr>
              <w:t>；</w:t>
            </w:r>
          </w:p>
          <w:p w14:paraId="72C3CE65">
            <w:pPr>
              <w:spacing w:line="360" w:lineRule="auto"/>
              <w:rPr>
                <w:rFonts w:hint="eastAsia"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napToGrid w:val="0"/>
                <w:kern w:val="28"/>
                <w:sz w:val="24"/>
                <w:u w:val="single"/>
                <w:lang w:val="en-US" w:eastAsia="zh-CN"/>
              </w:rPr>
              <w:t xml:space="preserve"> </w:t>
            </w:r>
            <w:r>
              <w:rPr>
                <w:rFonts w:hint="eastAsia" w:ascii="宋体" w:hAnsi="宋体" w:cs="宋体"/>
                <w:b/>
                <w:bCs/>
                <w:sz w:val="24"/>
                <w:u w:val="single"/>
              </w:rPr>
              <w:t>评标办法</w:t>
            </w:r>
            <w:r>
              <w:rPr>
                <w:rFonts w:hint="eastAsia" w:ascii="宋体" w:hAnsi="宋体" w:cs="宋体"/>
                <w:b/>
                <w:bCs/>
                <w:sz w:val="24"/>
                <w:u w:val="single"/>
                <w:lang w:val="en-US" w:eastAsia="zh-CN"/>
              </w:rPr>
              <w:t xml:space="preserve"> </w:t>
            </w:r>
            <w:r>
              <w:rPr>
                <w:rFonts w:hint="eastAsia" w:ascii="宋体" w:hAnsi="宋体" w:cs="宋体"/>
                <w:kern w:val="0"/>
                <w:sz w:val="24"/>
              </w:rPr>
              <w:t>；</w:t>
            </w:r>
          </w:p>
          <w:p w14:paraId="7B60369F">
            <w:pPr>
              <w:spacing w:line="360" w:lineRule="auto"/>
              <w:rPr>
                <w:rFonts w:hint="eastAsia" w:ascii="宋体" w:hAnsi="宋体" w:cs="宋体"/>
                <w:kern w:val="0"/>
                <w:sz w:val="24"/>
              </w:rPr>
            </w:pPr>
            <w:r>
              <w:rPr>
                <w:rFonts w:hint="eastAsia" w:ascii="宋体" w:hAnsi="宋体" w:cs="宋体"/>
                <w:kern w:val="0"/>
                <w:sz w:val="24"/>
              </w:rPr>
              <w:t>（4）是否需要随样品提交检测报告：</w:t>
            </w:r>
            <w:r>
              <w:rPr>
                <w:rFonts w:hint="eastAsia" w:ascii="Wingdings" w:hAnsi="Wingdings" w:eastAsia="MS Gothic" w:cs="宋体"/>
                <w:kern w:val="0"/>
                <w:sz w:val="24"/>
              </w:rPr>
              <w:sym w:font="Wingdings" w:char="00A8"/>
            </w:r>
            <w:r>
              <w:rPr>
                <w:rFonts w:hint="eastAsia" w:ascii="宋体" w:hAnsi="宋体" w:cs="宋体"/>
                <w:kern w:val="0"/>
                <w:sz w:val="24"/>
              </w:rPr>
              <w:t>否；☐是，检测机构的要求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w:t>
            </w:r>
          </w:p>
          <w:p w14:paraId="2A37DA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5）提供样品的时间：</w:t>
            </w:r>
            <w:r>
              <w:rPr>
                <w:rFonts w:hint="eastAsia" w:ascii="宋体" w:hAnsi="宋体" w:eastAsia="宋体" w:cs="宋体"/>
                <w:b/>
                <w:bCs/>
                <w:color w:val="FF0000"/>
                <w:sz w:val="24"/>
                <w:highlight w:val="none"/>
                <w:u w:val="single"/>
                <w:lang w:val="en-US" w:eastAsia="zh-CN"/>
              </w:rPr>
              <w:t>2026年</w:t>
            </w:r>
            <w:r>
              <w:rPr>
                <w:rFonts w:hint="eastAsia" w:ascii="宋体" w:hAnsi="宋体" w:cs="宋体"/>
                <w:b/>
                <w:bCs/>
                <w:color w:val="FF0000"/>
                <w:sz w:val="24"/>
                <w:highlight w:val="none"/>
                <w:u w:val="single"/>
                <w:lang w:val="en-US" w:eastAsia="zh-CN"/>
              </w:rPr>
              <w:t>6</w:t>
            </w:r>
            <w:r>
              <w:rPr>
                <w:rFonts w:hint="eastAsia" w:ascii="宋体" w:hAnsi="宋体" w:eastAsia="宋体" w:cs="宋体"/>
                <w:b/>
                <w:bCs/>
                <w:color w:val="FF0000"/>
                <w:sz w:val="24"/>
                <w:highlight w:val="none"/>
                <w:u w:val="single"/>
                <w:lang w:val="en-US" w:eastAsia="zh-CN"/>
              </w:rPr>
              <w:t>月</w:t>
            </w:r>
            <w:r>
              <w:rPr>
                <w:rFonts w:hint="eastAsia" w:ascii="宋体" w:hAnsi="宋体" w:cs="宋体"/>
                <w:b/>
                <w:bCs/>
                <w:color w:val="FF0000"/>
                <w:sz w:val="24"/>
                <w:highlight w:val="none"/>
                <w:u w:val="single"/>
                <w:lang w:val="en-US" w:eastAsia="zh-CN"/>
              </w:rPr>
              <w:t>1</w:t>
            </w:r>
            <w:r>
              <w:rPr>
                <w:rFonts w:hint="eastAsia" w:ascii="宋体" w:hAnsi="宋体" w:eastAsia="宋体" w:cs="宋体"/>
                <w:b/>
                <w:bCs/>
                <w:color w:val="FF0000"/>
                <w:sz w:val="24"/>
                <w:highlight w:val="none"/>
                <w:u w:val="single"/>
                <w:lang w:val="en-US" w:eastAsia="zh-CN"/>
              </w:rPr>
              <w:t>日1</w:t>
            </w:r>
            <w:r>
              <w:rPr>
                <w:rFonts w:hint="eastAsia" w:ascii="宋体" w:hAnsi="宋体" w:cs="宋体"/>
                <w:b/>
                <w:bCs/>
                <w:color w:val="FF0000"/>
                <w:sz w:val="24"/>
                <w:highlight w:val="none"/>
                <w:u w:val="single"/>
                <w:lang w:val="en-US" w:eastAsia="zh-CN"/>
              </w:rPr>
              <w:t>0</w:t>
            </w:r>
            <w:r>
              <w:rPr>
                <w:rFonts w:hint="eastAsia" w:ascii="宋体" w:hAnsi="宋体" w:eastAsia="宋体" w:cs="宋体"/>
                <w:b/>
                <w:bCs/>
                <w:color w:val="FF0000"/>
                <w:sz w:val="24"/>
                <w:highlight w:val="none"/>
                <w:u w:val="single"/>
                <w:lang w:val="en-US" w:eastAsia="zh-CN"/>
              </w:rPr>
              <w:t>时00分-2026年</w:t>
            </w:r>
            <w:r>
              <w:rPr>
                <w:rFonts w:hint="eastAsia" w:ascii="宋体" w:hAnsi="宋体" w:cs="宋体"/>
                <w:b/>
                <w:bCs/>
                <w:color w:val="FF0000"/>
                <w:sz w:val="24"/>
                <w:highlight w:val="none"/>
                <w:u w:val="single"/>
                <w:lang w:val="en-US" w:eastAsia="zh-CN"/>
              </w:rPr>
              <w:t>6</w:t>
            </w:r>
            <w:r>
              <w:rPr>
                <w:rFonts w:hint="eastAsia" w:ascii="宋体" w:hAnsi="宋体" w:eastAsia="宋体" w:cs="宋体"/>
                <w:b/>
                <w:bCs/>
                <w:color w:val="FF0000"/>
                <w:sz w:val="24"/>
                <w:highlight w:val="none"/>
                <w:u w:val="single"/>
                <w:lang w:val="en-US" w:eastAsia="zh-CN"/>
              </w:rPr>
              <w:t>月</w:t>
            </w:r>
            <w:r>
              <w:rPr>
                <w:rFonts w:hint="eastAsia" w:ascii="宋体" w:hAnsi="宋体" w:cs="宋体"/>
                <w:b/>
                <w:bCs/>
                <w:color w:val="FF0000"/>
                <w:sz w:val="24"/>
                <w:highlight w:val="none"/>
                <w:u w:val="single"/>
                <w:lang w:val="en-US" w:eastAsia="zh-CN"/>
              </w:rPr>
              <w:t>1</w:t>
            </w:r>
            <w:r>
              <w:rPr>
                <w:rFonts w:hint="eastAsia" w:ascii="宋体" w:hAnsi="宋体" w:eastAsia="宋体" w:cs="宋体"/>
                <w:b/>
                <w:bCs/>
                <w:color w:val="FF0000"/>
                <w:sz w:val="24"/>
                <w:highlight w:val="none"/>
                <w:u w:val="single"/>
                <w:lang w:val="en-US" w:eastAsia="zh-CN"/>
              </w:rPr>
              <w:t>日1</w:t>
            </w:r>
            <w:r>
              <w:rPr>
                <w:rFonts w:hint="eastAsia" w:ascii="宋体" w:hAnsi="宋体" w:cs="宋体"/>
                <w:b/>
                <w:bCs/>
                <w:color w:val="FF0000"/>
                <w:sz w:val="24"/>
                <w:highlight w:val="none"/>
                <w:u w:val="single"/>
                <w:lang w:val="en-US" w:eastAsia="zh-CN"/>
              </w:rPr>
              <w:t>2</w:t>
            </w:r>
            <w:r>
              <w:rPr>
                <w:rFonts w:hint="eastAsia" w:ascii="宋体" w:hAnsi="宋体" w:eastAsia="宋体" w:cs="宋体"/>
                <w:b/>
                <w:bCs/>
                <w:color w:val="FF0000"/>
                <w:sz w:val="24"/>
                <w:highlight w:val="none"/>
                <w:u w:val="single"/>
                <w:lang w:val="en-US" w:eastAsia="zh-CN"/>
              </w:rPr>
              <w:t>时00分</w:t>
            </w:r>
            <w:r>
              <w:rPr>
                <w:rFonts w:hint="eastAsia" w:ascii="宋体" w:hAnsi="宋体" w:eastAsia="宋体" w:cs="宋体"/>
                <w:color w:val="auto"/>
                <w:kern w:val="0"/>
                <w:sz w:val="24"/>
                <w:highlight w:val="none"/>
              </w:rPr>
              <w:t>；地点：</w:t>
            </w:r>
            <w:r>
              <w:rPr>
                <w:rFonts w:hint="eastAsia" w:ascii="宋体" w:hAnsi="宋体" w:eastAsia="宋体" w:cs="宋体"/>
                <w:b/>
                <w:bCs/>
                <w:color w:val="auto"/>
                <w:kern w:val="0"/>
                <w:sz w:val="24"/>
                <w:highlight w:val="none"/>
                <w:u w:val="single"/>
                <w:lang w:val="en-US" w:eastAsia="zh-CN"/>
              </w:rPr>
              <w:t xml:space="preserve"> 临平区中心学校一楼开评标室（杭州市临平区良熟路1号）</w:t>
            </w:r>
            <w:r>
              <w:rPr>
                <w:rFonts w:hint="eastAsia" w:ascii="宋体" w:hAnsi="宋体" w:eastAsia="宋体" w:cs="宋体"/>
                <w:kern w:val="0"/>
                <w:sz w:val="24"/>
                <w:highlight w:val="none"/>
              </w:rPr>
              <w:t>；联系人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cs="仿宋"/>
                <w:b/>
                <w:bCs/>
                <w:sz w:val="24"/>
                <w:szCs w:val="24"/>
                <w:u w:val="single"/>
                <w:lang w:val="en-US" w:eastAsia="zh-CN"/>
              </w:rPr>
              <w:t>张工17706440394</w:t>
            </w:r>
            <w:r>
              <w:rPr>
                <w:rFonts w:hint="eastAsia" w:ascii="宋体" w:hAnsi="宋体" w:eastAsia="宋体" w:cs="宋体"/>
                <w:sz w:val="24"/>
                <w:highlight w:val="none"/>
              </w:rPr>
              <w:t>。</w:t>
            </w:r>
          </w:p>
          <w:p w14:paraId="412086DC">
            <w:pPr>
              <w:keepNext w:val="0"/>
              <w:keepLines w:val="0"/>
              <w:pageBreakBefore w:val="0"/>
              <w:widowControl w:val="0"/>
              <w:kinsoku/>
              <w:wordWrap/>
              <w:overflowPunct/>
              <w:topLinePunct w:val="0"/>
              <w:autoSpaceDE/>
              <w:autoSpaceDN/>
              <w:bidi w:val="0"/>
              <w:adjustRightInd/>
              <w:snapToGrid/>
              <w:spacing w:line="360" w:lineRule="auto"/>
              <w:ind w:left="16" w:leftChars="0" w:hanging="16" w:hangingChars="7"/>
              <w:jc w:val="left"/>
              <w:textAlignment w:val="auto"/>
              <w:rPr>
                <w:rFonts w:hint="eastAsia" w:ascii="宋体" w:hAnsi="宋体" w:eastAsia="宋体" w:cs="宋体"/>
                <w:sz w:val="24"/>
              </w:rPr>
            </w:pPr>
            <w:r>
              <w:rPr>
                <w:rFonts w:hint="eastAsia" w:ascii="宋体" w:hAnsi="宋体" w:eastAsia="宋体" w:cs="宋体"/>
                <w:sz w:val="24"/>
              </w:rPr>
              <w:t>请投标人在上述时间内提供样品并按规定位置安装完毕。超过截止时间的，采购人或采购代理机构将不予接收，并将清场并封闭样品现场。</w:t>
            </w:r>
          </w:p>
          <w:p w14:paraId="29D97F87">
            <w:pPr>
              <w:spacing w:line="360" w:lineRule="auto"/>
              <w:rPr>
                <w:rFonts w:hint="eastAsia"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029CF107">
            <w:pPr>
              <w:spacing w:line="360" w:lineRule="auto"/>
              <w:rPr>
                <w:rFonts w:hint="eastAsia" w:ascii="宋体" w:hAnsi="宋体" w:cs="宋体"/>
                <w:b/>
                <w:sz w:val="24"/>
              </w:rPr>
            </w:pPr>
            <w:r>
              <w:rPr>
                <w:rFonts w:hint="eastAsia" w:ascii="宋体" w:hAnsi="宋体" w:cs="宋体"/>
                <w:sz w:val="24"/>
              </w:rPr>
              <w:t>（7）制作、运输、安装和保管样品所发生的一切费用由投标人自理。</w:t>
            </w:r>
          </w:p>
        </w:tc>
      </w:tr>
      <w:tr w14:paraId="6965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5325FB56">
            <w:pPr>
              <w:snapToGrid w:val="0"/>
              <w:spacing w:line="360" w:lineRule="auto"/>
              <w:rPr>
                <w:rFonts w:hint="eastAsia" w:ascii="宋体" w:hAnsi="宋体" w:cs="宋体"/>
                <w:sz w:val="24"/>
              </w:rPr>
            </w:pPr>
          </w:p>
          <w:p w14:paraId="4AB3D2AC">
            <w:pPr>
              <w:snapToGrid w:val="0"/>
              <w:spacing w:line="360" w:lineRule="auto"/>
              <w:jc w:val="center"/>
              <w:rPr>
                <w:rFonts w:hint="eastAsia" w:ascii="宋体" w:hAnsi="宋体" w:cs="宋体"/>
                <w:sz w:val="24"/>
              </w:rPr>
            </w:pPr>
          </w:p>
          <w:p w14:paraId="582530E9">
            <w:pPr>
              <w:snapToGrid w:val="0"/>
              <w:spacing w:line="360" w:lineRule="auto"/>
              <w:jc w:val="center"/>
              <w:rPr>
                <w:rFonts w:hint="eastAsia" w:ascii="宋体" w:hAnsi="宋体" w:cs="宋体"/>
                <w:sz w:val="24"/>
              </w:rPr>
            </w:pPr>
            <w:r>
              <w:rPr>
                <w:rFonts w:hint="eastAsia" w:ascii="宋体" w:hAnsi="宋体" w:cs="宋体"/>
                <w:sz w:val="24"/>
              </w:rPr>
              <w:t>7</w:t>
            </w:r>
          </w:p>
        </w:tc>
        <w:tc>
          <w:tcPr>
            <w:tcW w:w="1855" w:type="dxa"/>
            <w:vAlign w:val="center"/>
          </w:tcPr>
          <w:p w14:paraId="53B6EDB3">
            <w:pPr>
              <w:snapToGrid w:val="0"/>
              <w:spacing w:line="360" w:lineRule="auto"/>
              <w:jc w:val="center"/>
              <w:rPr>
                <w:rFonts w:hint="eastAsia" w:ascii="宋体" w:hAnsi="宋体" w:cs="宋体"/>
                <w:bCs/>
                <w:sz w:val="24"/>
              </w:rPr>
            </w:pPr>
            <w:r>
              <w:rPr>
                <w:rFonts w:hint="eastAsia" w:ascii="宋体" w:hAnsi="宋体" w:cs="宋体"/>
                <w:b/>
                <w:sz w:val="24"/>
              </w:rPr>
              <w:t>方案讲解演示</w:t>
            </w:r>
          </w:p>
        </w:tc>
        <w:tc>
          <w:tcPr>
            <w:tcW w:w="6374" w:type="dxa"/>
            <w:vAlign w:val="center"/>
          </w:tcPr>
          <w:p w14:paraId="666F9523">
            <w:pPr>
              <w:spacing w:line="360" w:lineRule="auto"/>
              <w:rPr>
                <w:rFonts w:hint="eastAsia" w:ascii="宋体" w:hAnsi="宋体" w:cs="宋体"/>
                <w:sz w:val="24"/>
              </w:rPr>
            </w:pPr>
            <w:r>
              <w:rPr>
                <w:rFonts w:hint="eastAsia" w:ascii="宋体" w:hAnsi="宋体" w:cs="宋体"/>
                <w:kern w:val="0"/>
                <w:sz w:val="24"/>
              </w:rPr>
              <w:t>☐A</w:t>
            </w:r>
            <w:r>
              <w:rPr>
                <w:rFonts w:hint="eastAsia" w:ascii="宋体" w:hAnsi="宋体" w:cs="宋体"/>
                <w:sz w:val="24"/>
              </w:rPr>
              <w:t>不组织。</w:t>
            </w:r>
          </w:p>
          <w:p w14:paraId="0472C3BF">
            <w:pPr>
              <w:spacing w:line="360" w:lineRule="auto"/>
              <w:rPr>
                <w:rFonts w:hint="eastAsia" w:ascii="宋体" w:hAnsi="宋体" w:cs="宋体"/>
                <w:kern w:val="0"/>
                <w:sz w:val="24"/>
              </w:rPr>
            </w:pPr>
            <w:r>
              <w:rPr>
                <w:rFonts w:hint="eastAsia" w:ascii="Wingdings" w:hAnsi="Wingdings" w:eastAsia="MS Gothic" w:cs="宋体"/>
                <w:kern w:val="0"/>
                <w:sz w:val="24"/>
              </w:rPr>
              <w:sym w:font="Wingdings" w:char="00FE"/>
            </w:r>
            <w:r>
              <w:rPr>
                <w:rFonts w:hint="eastAsia" w:ascii="宋体" w:hAnsi="宋体" w:cs="宋体"/>
                <w:kern w:val="0"/>
                <w:sz w:val="24"/>
              </w:rPr>
              <w:t>B组织。</w:t>
            </w:r>
          </w:p>
          <w:p w14:paraId="7A624CB8">
            <w:pPr>
              <w:pStyle w:val="81"/>
              <w:numPr>
                <w:ilvl w:val="0"/>
                <w:numId w:val="0"/>
              </w:numPr>
              <w:spacing w:line="360" w:lineRule="auto"/>
              <w:rPr>
                <w:rFonts w:hint="eastAsia" w:ascii="宋体" w:hAnsi="宋体" w:cs="宋体"/>
                <w:kern w:val="0"/>
                <w:sz w:val="24"/>
              </w:rPr>
            </w:pPr>
            <w:r>
              <w:rPr>
                <w:rFonts w:hint="eastAsia" w:ascii="宋体" w:hAnsi="宋体" w:cs="宋体"/>
                <w:b w:val="0"/>
                <w:bCs w:val="0"/>
                <w:kern w:val="0"/>
                <w:sz w:val="24"/>
              </w:rPr>
              <w:t>（1）</w:t>
            </w:r>
            <w:r>
              <w:rPr>
                <w:rFonts w:hint="default" w:ascii="宋体" w:hAnsi="宋体" w:eastAsia="宋体" w:cs="宋体"/>
                <w:b w:val="0"/>
                <w:bCs w:val="0"/>
                <w:i w:val="0"/>
                <w:iCs w:val="0"/>
                <w:color w:val="auto"/>
                <w:kern w:val="0"/>
                <w:sz w:val="24"/>
                <w:szCs w:val="24"/>
                <w:u w:val="none"/>
                <w:lang w:val="en-US" w:eastAsia="zh-CN" w:bidi="ar"/>
              </w:rPr>
              <w:t>投标人</w:t>
            </w:r>
            <w:r>
              <w:rPr>
                <w:rFonts w:hint="eastAsia" w:ascii="宋体" w:hAnsi="宋体" w:eastAsia="宋体" w:cs="宋体"/>
                <w:b w:val="0"/>
                <w:bCs w:val="0"/>
                <w:i w:val="0"/>
                <w:iCs w:val="0"/>
                <w:color w:val="auto"/>
                <w:kern w:val="0"/>
                <w:sz w:val="24"/>
                <w:szCs w:val="24"/>
                <w:u w:val="none"/>
                <w:lang w:val="en-US" w:eastAsia="zh-CN" w:bidi="ar"/>
              </w:rPr>
              <w:t>将</w:t>
            </w:r>
            <w:r>
              <w:rPr>
                <w:rFonts w:hint="default" w:ascii="宋体" w:hAnsi="宋体" w:eastAsia="宋体" w:cs="宋体"/>
                <w:b w:val="0"/>
                <w:bCs w:val="0"/>
                <w:i w:val="0"/>
                <w:iCs w:val="0"/>
                <w:color w:val="auto"/>
                <w:kern w:val="0"/>
                <w:sz w:val="24"/>
                <w:szCs w:val="24"/>
                <w:u w:val="none"/>
                <w:lang w:val="en-US" w:eastAsia="zh-CN" w:bidi="ar"/>
              </w:rPr>
              <w:t>需演示内容录制成演示视频，并于</w:t>
            </w:r>
            <w:r>
              <w:rPr>
                <w:rFonts w:hint="eastAsia" w:ascii="宋体" w:hAnsi="宋体" w:eastAsia="宋体" w:cs="宋体"/>
                <w:b w:val="0"/>
                <w:bCs w:val="0"/>
                <w:i w:val="0"/>
                <w:iCs w:val="0"/>
                <w:color w:val="auto"/>
                <w:kern w:val="0"/>
                <w:sz w:val="24"/>
                <w:szCs w:val="24"/>
                <w:u w:val="none"/>
                <w:lang w:val="en-US" w:eastAsia="zh-CN" w:bidi="ar"/>
              </w:rPr>
              <w:t>现场演示签到时</w:t>
            </w:r>
            <w:r>
              <w:rPr>
                <w:rFonts w:hint="default" w:ascii="宋体" w:hAnsi="宋体" w:eastAsia="宋体" w:cs="宋体"/>
                <w:b w:val="0"/>
                <w:bCs w:val="0"/>
                <w:i w:val="0"/>
                <w:iCs w:val="0"/>
                <w:color w:val="auto"/>
                <w:kern w:val="0"/>
                <w:sz w:val="24"/>
                <w:szCs w:val="24"/>
                <w:u w:val="none"/>
                <w:lang w:val="en-US" w:eastAsia="zh-CN" w:bidi="ar"/>
              </w:rPr>
              <w:t>以U盘(需密封）形式</w:t>
            </w:r>
            <w:r>
              <w:rPr>
                <w:rFonts w:hint="eastAsia" w:ascii="宋体" w:hAnsi="宋体" w:eastAsia="宋体" w:cs="宋体"/>
                <w:b w:val="0"/>
                <w:bCs w:val="0"/>
                <w:i w:val="0"/>
                <w:iCs w:val="0"/>
                <w:color w:val="auto"/>
                <w:kern w:val="0"/>
                <w:sz w:val="24"/>
                <w:szCs w:val="24"/>
                <w:u w:val="none"/>
                <w:lang w:val="en-US" w:eastAsia="zh-CN" w:bidi="ar"/>
              </w:rPr>
              <w:t>同步递交</w:t>
            </w:r>
            <w:r>
              <w:rPr>
                <w:rFonts w:hint="default" w:ascii="宋体" w:hAnsi="宋体" w:eastAsia="宋体" w:cs="宋体"/>
                <w:b w:val="0"/>
                <w:bCs w:val="0"/>
                <w:i w:val="0"/>
                <w:iCs w:val="0"/>
                <w:color w:val="auto"/>
                <w:kern w:val="0"/>
                <w:sz w:val="24"/>
                <w:szCs w:val="24"/>
                <w:u w:val="none"/>
                <w:lang w:val="en-US" w:eastAsia="zh-CN" w:bidi="ar"/>
              </w:rPr>
              <w:t>，要求在一般PC端能够播放，如不能播放视作未提供演示</w:t>
            </w:r>
            <w:r>
              <w:rPr>
                <w:rFonts w:hint="eastAsia" w:ascii="宋体" w:hAnsi="宋体" w:eastAsia="宋体" w:cs="宋体"/>
                <w:b w:val="0"/>
                <w:bCs w:val="0"/>
                <w:i w:val="0"/>
                <w:iCs w:val="0"/>
                <w:color w:val="auto"/>
                <w:kern w:val="0"/>
                <w:sz w:val="24"/>
                <w:szCs w:val="24"/>
                <w:u w:val="none"/>
                <w:lang w:val="en-US" w:eastAsia="zh-CN" w:bidi="ar"/>
              </w:rPr>
              <w:t>。评标时安排</w:t>
            </w:r>
            <w:r>
              <w:rPr>
                <w:rFonts w:hint="default" w:ascii="宋体" w:hAnsi="宋体" w:eastAsia="宋体" w:cs="宋体"/>
                <w:b w:val="0"/>
                <w:bCs w:val="0"/>
                <w:i w:val="0"/>
                <w:iCs w:val="0"/>
                <w:color w:val="auto"/>
                <w:kern w:val="0"/>
                <w:sz w:val="24"/>
                <w:szCs w:val="24"/>
                <w:u w:val="none"/>
                <w:lang w:val="en-US" w:eastAsia="zh-CN" w:bidi="ar"/>
              </w:rPr>
              <w:t>每个投标人对所演示视频提供讲解，讲解演示时间不超过</w:t>
            </w:r>
            <w:r>
              <w:rPr>
                <w:rFonts w:hint="eastAsia" w:ascii="宋体" w:hAnsi="宋体" w:eastAsia="宋体" w:cs="宋体"/>
                <w:b w:val="0"/>
                <w:bCs w:val="0"/>
                <w:i w:val="0"/>
                <w:iCs w:val="0"/>
                <w:color w:val="auto"/>
                <w:kern w:val="0"/>
                <w:sz w:val="24"/>
                <w:szCs w:val="24"/>
                <w:u w:val="single"/>
                <w:lang w:val="en-US" w:eastAsia="zh-CN" w:bidi="ar"/>
              </w:rPr>
              <w:t xml:space="preserve"> 20 </w:t>
            </w:r>
            <w:r>
              <w:rPr>
                <w:rFonts w:hint="default" w:ascii="宋体" w:hAnsi="宋体" w:eastAsia="宋体" w:cs="宋体"/>
                <w:b w:val="0"/>
                <w:bCs w:val="0"/>
                <w:i w:val="0"/>
                <w:iCs w:val="0"/>
                <w:color w:val="auto"/>
                <w:kern w:val="0"/>
                <w:sz w:val="24"/>
                <w:szCs w:val="24"/>
                <w:u w:val="none"/>
                <w:lang w:val="en-US" w:eastAsia="zh-CN" w:bidi="ar"/>
              </w:rPr>
              <w:t>分钟，演示次序以投标文件解密时间先后次序为准，</w:t>
            </w:r>
            <w:r>
              <w:rPr>
                <w:rFonts w:hint="eastAsia" w:ascii="宋体" w:hAnsi="宋体" w:eastAsia="宋体" w:cs="宋体"/>
                <w:b w:val="0"/>
                <w:bCs w:val="0"/>
                <w:i w:val="0"/>
                <w:iCs w:val="0"/>
                <w:color w:val="auto"/>
                <w:kern w:val="0"/>
                <w:sz w:val="24"/>
                <w:szCs w:val="24"/>
                <w:u w:val="none"/>
                <w:lang w:val="en-US" w:eastAsia="zh-CN" w:bidi="ar"/>
              </w:rPr>
              <w:t>演示</w:t>
            </w:r>
            <w:r>
              <w:rPr>
                <w:rFonts w:hint="default" w:ascii="宋体" w:hAnsi="宋体" w:eastAsia="宋体" w:cs="宋体"/>
                <w:b w:val="0"/>
                <w:bCs w:val="0"/>
                <w:i w:val="0"/>
                <w:iCs w:val="0"/>
                <w:color w:val="auto"/>
                <w:kern w:val="0"/>
                <w:sz w:val="24"/>
                <w:szCs w:val="24"/>
                <w:u w:val="none"/>
                <w:lang w:val="en-US" w:eastAsia="zh-CN" w:bidi="ar"/>
              </w:rPr>
              <w:t>人员不超过</w:t>
            </w:r>
            <w:r>
              <w:rPr>
                <w:rFonts w:hint="eastAsia" w:ascii="宋体" w:hAnsi="宋体" w:eastAsia="宋体" w:cs="宋体"/>
                <w:b w:val="0"/>
                <w:bCs w:val="0"/>
                <w:i w:val="0"/>
                <w:iCs w:val="0"/>
                <w:color w:val="auto"/>
                <w:kern w:val="0"/>
                <w:sz w:val="24"/>
                <w:szCs w:val="24"/>
                <w:u w:val="single"/>
                <w:lang w:val="en-US" w:eastAsia="zh-CN" w:bidi="ar"/>
              </w:rPr>
              <w:t xml:space="preserve"> 2 </w:t>
            </w:r>
            <w:r>
              <w:rPr>
                <w:rFonts w:hint="default" w:ascii="宋体" w:hAnsi="宋体" w:eastAsia="宋体" w:cs="宋体"/>
                <w:b w:val="0"/>
                <w:bCs w:val="0"/>
                <w:i w:val="0"/>
                <w:iCs w:val="0"/>
                <w:color w:val="auto"/>
                <w:kern w:val="0"/>
                <w:sz w:val="24"/>
                <w:szCs w:val="24"/>
                <w:u w:val="none"/>
                <w:lang w:val="en-US" w:eastAsia="zh-CN" w:bidi="ar"/>
              </w:rPr>
              <w:t>人</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讲解演示结束后按要求解答评标委员会提问</w:t>
            </w:r>
            <w:r>
              <w:rPr>
                <w:rFonts w:hint="eastAsia" w:ascii="宋体" w:hAnsi="宋体" w:eastAsia="宋体" w:cs="宋体"/>
                <w:b w:val="0"/>
                <w:bCs w:val="0"/>
                <w:i w:val="0"/>
                <w:iCs w:val="0"/>
                <w:color w:val="auto"/>
                <w:kern w:val="0"/>
                <w:sz w:val="24"/>
                <w:szCs w:val="24"/>
                <w:u w:val="none"/>
                <w:lang w:val="en-US" w:eastAsia="zh-CN" w:bidi="ar"/>
              </w:rPr>
              <w:t>。</w:t>
            </w:r>
          </w:p>
          <w:p w14:paraId="6262EB75">
            <w:pPr>
              <w:snapToGrid w:val="0"/>
              <w:spacing w:line="360" w:lineRule="auto"/>
              <w:rPr>
                <w:rFonts w:hint="eastAsia" w:ascii="宋体" w:hAnsi="宋体" w:cs="宋体"/>
                <w:b w:val="0"/>
                <w:bCs w:val="0"/>
                <w:kern w:val="0"/>
                <w:sz w:val="24"/>
              </w:rPr>
            </w:pPr>
            <w:r>
              <w:rPr>
                <w:rFonts w:hint="eastAsia" w:ascii="宋体" w:hAnsi="宋体" w:cs="宋体"/>
                <w:b w:val="0"/>
                <w:bCs w:val="0"/>
                <w:kern w:val="0"/>
                <w:sz w:val="24"/>
              </w:rPr>
              <w:t>（2）现场方案演示：</w:t>
            </w:r>
          </w:p>
          <w:p w14:paraId="369DEB23">
            <w:pPr>
              <w:snapToGrid w:val="0"/>
              <w:spacing w:line="360" w:lineRule="auto"/>
              <w:rPr>
                <w:rFonts w:hint="eastAsia" w:ascii="宋体" w:hAnsi="宋体" w:cs="宋体"/>
                <w:kern w:val="0"/>
                <w:sz w:val="24"/>
              </w:rPr>
            </w:pPr>
            <w:r>
              <w:rPr>
                <w:rFonts w:hint="eastAsia" w:ascii="宋体" w:hAnsi="宋体" w:cs="宋体"/>
                <w:b w:val="0"/>
                <w:bCs w:val="0"/>
                <w:kern w:val="0"/>
                <w:sz w:val="24"/>
              </w:rPr>
              <w:t>①现场演示签到截止时间：</w:t>
            </w:r>
            <w:r>
              <w:rPr>
                <w:rFonts w:hint="eastAsia" w:ascii="宋体" w:hAnsi="宋体" w:cs="宋体"/>
                <w:b/>
                <w:bCs/>
                <w:color w:val="FF0000"/>
                <w:kern w:val="0"/>
                <w:sz w:val="24"/>
                <w:u w:val="single"/>
              </w:rPr>
              <w:t>同本项目投标截止时间；迟到或未到视作放弃演示。</w:t>
            </w:r>
          </w:p>
          <w:p w14:paraId="7A8A1D1F">
            <w:pPr>
              <w:snapToGrid w:val="0"/>
              <w:spacing w:line="360" w:lineRule="auto"/>
              <w:rPr>
                <w:rFonts w:hint="eastAsia" w:ascii="宋体" w:hAnsi="宋体" w:cs="宋体"/>
                <w:kern w:val="0"/>
                <w:sz w:val="24"/>
              </w:rPr>
            </w:pPr>
            <w:r>
              <w:rPr>
                <w:rFonts w:hint="eastAsia" w:ascii="宋体" w:hAnsi="宋体" w:cs="宋体"/>
                <w:b w:val="0"/>
                <w:bCs w:val="0"/>
                <w:kern w:val="0"/>
                <w:sz w:val="24"/>
              </w:rPr>
              <w:t>②现场演示签到地点：</w:t>
            </w:r>
            <w:r>
              <w:rPr>
                <w:rFonts w:hint="eastAsia" w:ascii="宋体" w:hAnsi="宋体" w:eastAsia="宋体" w:cs="宋体"/>
                <w:b w:val="0"/>
                <w:bCs w:val="0"/>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en-US" w:eastAsia="zh-CN"/>
              </w:rPr>
              <w:t>临平区中心学校一楼开评标室（杭州市临平区良熟路1号）</w:t>
            </w:r>
            <w:r>
              <w:rPr>
                <w:rFonts w:hint="eastAsia" w:ascii="宋体" w:hAnsi="宋体" w:cs="宋体"/>
                <w:kern w:val="0"/>
                <w:sz w:val="24"/>
              </w:rPr>
              <w:t>。</w:t>
            </w:r>
          </w:p>
          <w:p w14:paraId="278A10A3">
            <w:pPr>
              <w:snapToGrid w:val="0"/>
              <w:spacing w:line="360" w:lineRule="auto"/>
              <w:rPr>
                <w:rFonts w:hint="eastAsia" w:ascii="宋体" w:hAnsi="宋体" w:cs="宋体"/>
                <w:kern w:val="0"/>
                <w:sz w:val="24"/>
              </w:rPr>
            </w:pPr>
            <w:r>
              <w:rPr>
                <w:rFonts w:hint="eastAsia" w:ascii="宋体" w:hAnsi="宋体" w:cs="宋体"/>
                <w:b w:val="0"/>
                <w:bCs w:val="0"/>
                <w:kern w:val="0"/>
                <w:sz w:val="24"/>
              </w:rPr>
              <w:t>③现场演示签到人员必须携带资料：</w:t>
            </w:r>
            <w:r>
              <w:rPr>
                <w:rFonts w:hint="eastAsia" w:ascii="宋体" w:hAnsi="宋体" w:cs="宋体"/>
                <w:b/>
                <w:bCs/>
                <w:kern w:val="0"/>
                <w:sz w:val="24"/>
                <w:u w:val="none"/>
              </w:rPr>
              <w:t>本人身份证</w:t>
            </w:r>
            <w:r>
              <w:rPr>
                <w:rFonts w:hint="eastAsia" w:ascii="宋体" w:hAnsi="宋体" w:cs="宋体"/>
                <w:b/>
                <w:bCs/>
                <w:kern w:val="0"/>
                <w:sz w:val="24"/>
                <w:u w:val="none"/>
                <w:lang w:eastAsia="zh-CN"/>
              </w:rPr>
              <w:t>及</w:t>
            </w:r>
            <w:r>
              <w:rPr>
                <w:rFonts w:hint="eastAsia" w:ascii="宋体" w:hAnsi="宋体" w:cs="宋体"/>
                <w:b/>
                <w:bCs/>
                <w:kern w:val="0"/>
                <w:sz w:val="24"/>
                <w:u w:val="none"/>
              </w:rPr>
              <w:t>加盖投标人公章的演示人员名单</w:t>
            </w:r>
            <w:r>
              <w:rPr>
                <w:rFonts w:hint="eastAsia" w:ascii="宋体" w:hAnsi="宋体" w:cs="宋体"/>
                <w:b/>
                <w:bCs/>
                <w:kern w:val="0"/>
                <w:sz w:val="24"/>
                <w:u w:val="none"/>
                <w:lang w:eastAsia="zh-CN"/>
              </w:rPr>
              <w:t>，</w:t>
            </w:r>
            <w:r>
              <w:rPr>
                <w:rFonts w:hint="eastAsia" w:ascii="宋体" w:hAnsi="宋体" w:eastAsia="宋体" w:cs="宋体"/>
                <w:b/>
                <w:bCs/>
                <w:i w:val="0"/>
                <w:iCs w:val="0"/>
                <w:color w:val="auto"/>
                <w:kern w:val="0"/>
                <w:sz w:val="24"/>
                <w:szCs w:val="24"/>
                <w:u w:val="none"/>
                <w:lang w:val="en-US" w:eastAsia="zh-CN" w:bidi="ar"/>
              </w:rPr>
              <w:t>未按要求提供以上材料的</w:t>
            </w:r>
            <w:r>
              <w:rPr>
                <w:rFonts w:hint="eastAsia" w:ascii="宋体" w:hAnsi="宋体" w:cs="宋体"/>
                <w:b/>
                <w:bCs/>
                <w:kern w:val="0"/>
                <w:sz w:val="24"/>
                <w:u w:val="none"/>
              </w:rPr>
              <w:t>视作放弃演示</w:t>
            </w:r>
            <w:r>
              <w:rPr>
                <w:rFonts w:hint="eastAsia" w:ascii="宋体" w:hAnsi="宋体" w:cs="宋体"/>
                <w:kern w:val="0"/>
                <w:sz w:val="24"/>
              </w:rPr>
              <w:t>。</w:t>
            </w:r>
          </w:p>
          <w:p w14:paraId="2E28A07E">
            <w:pPr>
              <w:snapToGrid w:val="0"/>
              <w:spacing w:line="360" w:lineRule="auto"/>
              <w:rPr>
                <w:rFonts w:hint="eastAsia" w:ascii="宋体" w:hAnsi="宋体" w:cs="宋体"/>
                <w:kern w:val="0"/>
                <w:sz w:val="24"/>
              </w:rPr>
            </w:pPr>
            <w:r>
              <w:rPr>
                <w:rFonts w:hint="eastAsia" w:ascii="宋体" w:hAnsi="宋体" w:cs="宋体"/>
                <w:kern w:val="0"/>
                <w:sz w:val="24"/>
                <w:lang w:val="en-US" w:eastAsia="zh-CN"/>
              </w:rPr>
              <w:t>④</w:t>
            </w:r>
            <w:r>
              <w:rPr>
                <w:rFonts w:hint="eastAsia"/>
                <w:sz w:val="24"/>
              </w:rPr>
              <w:t>讲</w:t>
            </w:r>
            <w:r>
              <w:rPr>
                <w:rFonts w:hint="eastAsia" w:ascii="宋体" w:hAnsi="宋体" w:cs="宋体"/>
                <w:kern w:val="0"/>
                <w:sz w:val="24"/>
              </w:rPr>
              <w:t>解演示所用（包含电脑、插线板、无线网络接入等）设备由投标人自备，请投标人于开标时间前到达并将设备自行调制至可演示状态。</w:t>
            </w:r>
          </w:p>
          <w:p w14:paraId="74A11950">
            <w:pPr>
              <w:numPr>
                <w:ilvl w:val="0"/>
                <w:numId w:val="2"/>
              </w:numPr>
              <w:snapToGrid w:val="0"/>
              <w:spacing w:line="360" w:lineRule="auto"/>
              <w:rPr>
                <w:rFonts w:hint="eastAsia" w:ascii="宋体" w:hAnsi="宋体" w:cs="宋体"/>
                <w:kern w:val="0"/>
                <w:sz w:val="24"/>
              </w:rPr>
            </w:pPr>
            <w:r>
              <w:rPr>
                <w:rFonts w:hint="eastAsia" w:ascii="宋体" w:hAnsi="宋体" w:cs="宋体"/>
                <w:kern w:val="0"/>
                <w:sz w:val="24"/>
              </w:rPr>
              <w:t>本项目不接受采用PPT、文档等固定图片演示。</w:t>
            </w:r>
          </w:p>
          <w:p w14:paraId="73F8AC5D">
            <w:pPr>
              <w:numPr>
                <w:ilvl w:val="255"/>
                <w:numId w:val="0"/>
              </w:numPr>
              <w:snapToGrid w:val="0"/>
              <w:spacing w:line="360" w:lineRule="auto"/>
              <w:rPr>
                <w:rFonts w:hint="eastAsia" w:ascii="宋体" w:hAnsi="宋体" w:cs="宋体"/>
                <w:kern w:val="0"/>
                <w:sz w:val="24"/>
              </w:rPr>
            </w:pPr>
            <w:r>
              <w:rPr>
                <w:rFonts w:ascii="宋体" w:hAnsi="宋体" w:cs="宋体"/>
                <w:b/>
                <w:bCs/>
                <w:spacing w:val="-2"/>
                <w:sz w:val="25"/>
                <w:szCs w:val="25"/>
              </w:rPr>
              <w:t>演示素材必须真实有效，若发现弄虚作假，投标人将全权负责。</w:t>
            </w:r>
          </w:p>
          <w:p w14:paraId="7892ACA4">
            <w:pPr>
              <w:snapToGrid w:val="0"/>
              <w:spacing w:line="360" w:lineRule="auto"/>
              <w:rPr>
                <w:rFonts w:hint="eastAsia" w:ascii="宋体" w:hAnsi="宋体" w:cs="宋体"/>
                <w:b/>
                <w:kern w:val="0"/>
                <w:sz w:val="24"/>
                <w:lang w:val="zh-CN"/>
              </w:rPr>
            </w:pPr>
            <w:r>
              <w:rPr>
                <w:rFonts w:hint="eastAsia" w:ascii="宋体" w:hAnsi="宋体" w:cs="宋体"/>
                <w:kern w:val="0"/>
                <w:sz w:val="24"/>
              </w:rPr>
              <w:t>注：因投标人自身原因导致无法演示或者演示效果不理想的，责任自负。</w:t>
            </w:r>
          </w:p>
        </w:tc>
      </w:tr>
      <w:tr w14:paraId="7C62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8" w:hRule="atLeast"/>
          <w:jc w:val="center"/>
        </w:trPr>
        <w:tc>
          <w:tcPr>
            <w:tcW w:w="767" w:type="dxa"/>
            <w:vMerge w:val="restart"/>
            <w:vAlign w:val="center"/>
          </w:tcPr>
          <w:p w14:paraId="43B6C7F9">
            <w:pPr>
              <w:snapToGrid w:val="0"/>
              <w:spacing w:line="360" w:lineRule="auto"/>
              <w:rPr>
                <w:rFonts w:hint="eastAsia" w:ascii="宋体" w:hAnsi="宋体" w:cs="宋体"/>
                <w:sz w:val="24"/>
              </w:rPr>
            </w:pPr>
          </w:p>
          <w:p w14:paraId="053BA965">
            <w:pPr>
              <w:snapToGrid w:val="0"/>
              <w:spacing w:line="360" w:lineRule="auto"/>
              <w:jc w:val="center"/>
              <w:rPr>
                <w:rFonts w:hint="eastAsia" w:ascii="宋体" w:hAnsi="宋体" w:cs="宋体"/>
                <w:sz w:val="24"/>
              </w:rPr>
            </w:pPr>
            <w:r>
              <w:rPr>
                <w:rFonts w:hint="eastAsia" w:ascii="宋体" w:hAnsi="宋体" w:cs="宋体"/>
                <w:sz w:val="24"/>
              </w:rPr>
              <w:t>8</w:t>
            </w:r>
          </w:p>
        </w:tc>
        <w:tc>
          <w:tcPr>
            <w:tcW w:w="1855" w:type="dxa"/>
            <w:vMerge w:val="restart"/>
            <w:vAlign w:val="center"/>
          </w:tcPr>
          <w:p w14:paraId="4D96AB6D">
            <w:pPr>
              <w:snapToGrid w:val="0"/>
              <w:spacing w:line="360" w:lineRule="auto"/>
              <w:jc w:val="center"/>
              <w:rPr>
                <w:rFonts w:hint="eastAsia" w:ascii="宋体" w:hAnsi="宋体" w:cs="宋体"/>
                <w:b/>
                <w:sz w:val="24"/>
              </w:rPr>
            </w:pPr>
            <w:r>
              <w:rPr>
                <w:rFonts w:hint="eastAsia" w:ascii="宋体" w:hAnsi="宋体" w:cs="宋体"/>
                <w:b/>
                <w:sz w:val="24"/>
              </w:rPr>
              <w:t>投标人应当提供的资格、资信证明文件</w:t>
            </w:r>
          </w:p>
        </w:tc>
        <w:tc>
          <w:tcPr>
            <w:tcW w:w="6374" w:type="dxa"/>
            <w:vAlign w:val="center"/>
          </w:tcPr>
          <w:p w14:paraId="49F831BB">
            <w:pPr>
              <w:spacing w:line="360" w:lineRule="auto"/>
              <w:rPr>
                <w:rFonts w:hint="eastAsia" w:ascii="宋体" w:hAnsi="宋体" w:cs="宋体"/>
                <w:sz w:val="24"/>
              </w:rPr>
            </w:pPr>
            <w:r>
              <w:rPr>
                <w:rFonts w:hint="eastAsia" w:ascii="宋体" w:hAnsi="宋体" w:cs="宋体"/>
                <w:sz w:val="24"/>
              </w:rPr>
              <w:t>（1）资格证明文件：见招标文件第二部分11.1。</w:t>
            </w:r>
          </w:p>
          <w:p w14:paraId="5E5F45DB">
            <w:pPr>
              <w:spacing w:line="360" w:lineRule="auto"/>
              <w:rPr>
                <w:rFonts w:hint="eastAsia"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71B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3" w:hRule="atLeast"/>
          <w:jc w:val="center"/>
        </w:trPr>
        <w:tc>
          <w:tcPr>
            <w:tcW w:w="767" w:type="dxa"/>
            <w:vMerge w:val="continue"/>
            <w:vAlign w:val="center"/>
          </w:tcPr>
          <w:p w14:paraId="29ABC544">
            <w:pPr>
              <w:snapToGrid w:val="0"/>
              <w:spacing w:line="360" w:lineRule="auto"/>
              <w:jc w:val="center"/>
              <w:rPr>
                <w:rFonts w:hint="eastAsia" w:ascii="宋体" w:hAnsi="宋体" w:cs="宋体"/>
                <w:sz w:val="24"/>
              </w:rPr>
            </w:pPr>
          </w:p>
        </w:tc>
        <w:tc>
          <w:tcPr>
            <w:tcW w:w="1855" w:type="dxa"/>
            <w:vMerge w:val="continue"/>
            <w:vAlign w:val="center"/>
          </w:tcPr>
          <w:p w14:paraId="79E4B2B6">
            <w:pPr>
              <w:snapToGrid w:val="0"/>
              <w:spacing w:line="360" w:lineRule="auto"/>
              <w:jc w:val="center"/>
              <w:rPr>
                <w:rFonts w:hint="eastAsia" w:ascii="宋体" w:hAnsi="宋体" w:cs="宋体"/>
                <w:b/>
                <w:sz w:val="24"/>
              </w:rPr>
            </w:pPr>
          </w:p>
        </w:tc>
        <w:tc>
          <w:tcPr>
            <w:tcW w:w="6374" w:type="dxa"/>
            <w:vAlign w:val="center"/>
          </w:tcPr>
          <w:p w14:paraId="544454D2">
            <w:pPr>
              <w:spacing w:line="360" w:lineRule="auto"/>
              <w:rPr>
                <w:rFonts w:hint="eastAsia" w:ascii="宋体" w:hAnsi="宋体" w:cs="宋体"/>
                <w:sz w:val="24"/>
              </w:rPr>
            </w:pPr>
            <w:r>
              <w:rPr>
                <w:rFonts w:hint="eastAsia" w:ascii="宋体" w:hAnsi="宋体" w:cs="宋体"/>
                <w:sz w:val="24"/>
              </w:rPr>
              <w:t>（2）资信证明文件：根据招标文件第四部分评标标准提供。</w:t>
            </w:r>
          </w:p>
        </w:tc>
      </w:tr>
      <w:tr w14:paraId="238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6C27592D">
            <w:pPr>
              <w:snapToGrid w:val="0"/>
              <w:spacing w:line="360" w:lineRule="auto"/>
              <w:rPr>
                <w:rFonts w:hint="eastAsia" w:ascii="宋体" w:hAnsi="宋体" w:cs="宋体"/>
                <w:sz w:val="24"/>
              </w:rPr>
            </w:pPr>
          </w:p>
          <w:p w14:paraId="2F773F53">
            <w:pPr>
              <w:snapToGrid w:val="0"/>
              <w:spacing w:line="360" w:lineRule="auto"/>
              <w:jc w:val="center"/>
              <w:rPr>
                <w:rFonts w:hint="eastAsia" w:ascii="宋体" w:hAnsi="宋体" w:cs="宋体"/>
                <w:sz w:val="24"/>
              </w:rPr>
            </w:pPr>
            <w:r>
              <w:rPr>
                <w:rFonts w:hint="eastAsia" w:ascii="宋体" w:hAnsi="宋体" w:cs="宋体"/>
                <w:sz w:val="24"/>
              </w:rPr>
              <w:t>9</w:t>
            </w:r>
          </w:p>
        </w:tc>
        <w:tc>
          <w:tcPr>
            <w:tcW w:w="1855" w:type="dxa"/>
            <w:vAlign w:val="center"/>
          </w:tcPr>
          <w:p w14:paraId="2CC971DA">
            <w:pPr>
              <w:snapToGrid w:val="0"/>
              <w:spacing w:line="360" w:lineRule="auto"/>
              <w:jc w:val="center"/>
              <w:rPr>
                <w:rFonts w:hint="eastAsia" w:ascii="宋体" w:hAnsi="宋体" w:cs="宋体"/>
                <w:b/>
                <w:sz w:val="24"/>
              </w:rPr>
            </w:pPr>
            <w:r>
              <w:rPr>
                <w:rFonts w:hint="eastAsia" w:ascii="宋体" w:hAnsi="宋体" w:cs="宋体"/>
                <w:b/>
                <w:sz w:val="24"/>
              </w:rPr>
              <w:t>节能产品、环境标志产品</w:t>
            </w:r>
          </w:p>
        </w:tc>
        <w:tc>
          <w:tcPr>
            <w:tcW w:w="6374" w:type="dxa"/>
            <w:vAlign w:val="center"/>
          </w:tcPr>
          <w:p w14:paraId="0CF2440A">
            <w:pPr>
              <w:pStyle w:val="81"/>
              <w:snapToGrid w:val="0"/>
              <w:spacing w:line="360" w:lineRule="auto"/>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采购人拟采购的产品属于品目清单范围的，采购人将依据国家确定的认证机构出具的、处于有效期之内的节能产品、环境标志产品认证证书，对获得证书的产品实施政府优先采购或强制采购。</w:t>
            </w:r>
          </w:p>
          <w:p w14:paraId="7D892981">
            <w:pPr>
              <w:numPr>
                <w:ilvl w:val="0"/>
                <w:numId w:val="0"/>
              </w:num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ym w:font="Wingdings 2" w:char="0052"/>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强制采购。产品：</w:t>
            </w:r>
          </w:p>
          <w:p w14:paraId="586CAAAB">
            <w:pPr>
              <w:numPr>
                <w:ilvl w:val="0"/>
                <w:numId w:val="0"/>
              </w:numPr>
              <w:spacing w:line="360" w:lineRule="auto"/>
              <w:rPr>
                <w:rFonts w:hint="eastAsia" w:ascii="宋体" w:hAnsi="宋体" w:eastAsia="宋体" w:cs="宋体"/>
                <w:color w:val="000000" w:themeColor="text1"/>
                <w:kern w:val="2"/>
                <w:sz w:val="24"/>
                <w:szCs w:val="24"/>
                <w:highlight w:val="yellow"/>
                <w:u w:val="none"/>
                <w:shd w:val="clear" w:color="FFFFFF"/>
                <w:lang w:val="en-US" w:eastAsia="zh-CN" w:bidi="ar-SA"/>
                <w14:textFill>
                  <w14:solidFill>
                    <w14:schemeClr w14:val="tx1"/>
                  </w14:solidFill>
                </w14:textFill>
              </w:rPr>
            </w:pPr>
            <w:r>
              <w:rPr>
                <w:rFonts w:hint="eastAsia" w:ascii="宋体" w:hAnsi="宋体" w:eastAsia="宋体" w:cs="宋体"/>
                <w:sz w:val="24"/>
                <w:szCs w:val="24"/>
              </w:rPr>
              <w:t>采购清单中</w:t>
            </w:r>
            <w:r>
              <w:rPr>
                <w:rFonts w:hint="eastAsia" w:ascii="宋体" w:hAnsi="宋体" w:eastAsia="宋体" w:cs="宋体"/>
                <w:b w:val="0"/>
                <w:bCs w:val="0"/>
                <w:i w:val="0"/>
                <w:iCs w:val="0"/>
                <w:color w:val="000000"/>
                <w:kern w:val="0"/>
                <w:sz w:val="24"/>
                <w:szCs w:val="24"/>
                <w:u w:val="none"/>
                <w:lang w:val="en-US" w:eastAsia="zh-CN" w:bidi="ar"/>
              </w:rPr>
              <w:t>化学智能顶装实验室</w:t>
            </w:r>
            <w:r>
              <w:rPr>
                <w:rFonts w:hint="eastAsia" w:ascii="宋体" w:hAnsi="宋体" w:eastAsia="宋体" w:cs="宋体"/>
                <w:sz w:val="24"/>
                <w:szCs w:val="24"/>
              </w:rPr>
              <w:t>序号</w:t>
            </w: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实验室水嘴，序号20二联水嘴</w:t>
            </w:r>
            <w:r>
              <w:rPr>
                <w:rFonts w:hint="eastAsia" w:ascii="宋体" w:hAnsi="宋体" w:eastAsia="宋体" w:cs="宋体"/>
                <w:sz w:val="24"/>
                <w:szCs w:val="24"/>
                <w:lang w:eastAsia="zh-CN"/>
              </w:rPr>
              <w:t>；</w:t>
            </w:r>
            <w:r>
              <w:rPr>
                <w:rFonts w:hint="eastAsia" w:ascii="宋体" w:hAnsi="宋体" w:eastAsia="宋体" w:cs="宋体"/>
                <w:sz w:val="24"/>
                <w:szCs w:val="24"/>
              </w:rPr>
              <w:t>采购清单中</w:t>
            </w:r>
            <w:r>
              <w:rPr>
                <w:rFonts w:hint="eastAsia" w:ascii="宋体" w:hAnsi="宋体" w:eastAsia="宋体" w:cs="宋体"/>
                <w:b w:val="0"/>
                <w:bCs w:val="0"/>
                <w:i w:val="0"/>
                <w:iCs w:val="0"/>
                <w:color w:val="000000"/>
                <w:kern w:val="0"/>
                <w:sz w:val="24"/>
                <w:szCs w:val="24"/>
                <w:u w:val="none"/>
                <w:lang w:val="en-US" w:eastAsia="zh-CN" w:bidi="ar"/>
              </w:rPr>
              <w:t>化学上通风实验室</w:t>
            </w:r>
            <w:r>
              <w:rPr>
                <w:rFonts w:hint="eastAsia" w:ascii="宋体" w:hAnsi="宋体" w:eastAsia="宋体" w:cs="宋体"/>
                <w:sz w:val="24"/>
                <w:szCs w:val="24"/>
              </w:rPr>
              <w:t>序号</w:t>
            </w: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实验室水嘴，序号12二联水嘴</w:t>
            </w:r>
            <w:r>
              <w:rPr>
                <w:rFonts w:hint="eastAsia" w:ascii="宋体" w:hAnsi="宋体" w:eastAsia="宋体" w:cs="宋体"/>
                <w:sz w:val="24"/>
                <w:szCs w:val="24"/>
                <w:lang w:eastAsia="zh-CN"/>
              </w:rPr>
              <w:t>；</w:t>
            </w:r>
            <w:r>
              <w:rPr>
                <w:rFonts w:hint="eastAsia" w:ascii="宋体" w:hAnsi="宋体" w:eastAsia="宋体" w:cs="宋体"/>
                <w:sz w:val="24"/>
                <w:szCs w:val="24"/>
              </w:rPr>
              <w:t>采购清单中</w:t>
            </w:r>
            <w:r>
              <w:rPr>
                <w:rFonts w:hint="eastAsia" w:ascii="宋体" w:hAnsi="宋体" w:eastAsia="宋体" w:cs="宋体"/>
                <w:b w:val="0"/>
                <w:bCs w:val="0"/>
                <w:i w:val="0"/>
                <w:iCs w:val="0"/>
                <w:color w:val="000000"/>
                <w:kern w:val="0"/>
                <w:sz w:val="24"/>
                <w:szCs w:val="24"/>
                <w:u w:val="none"/>
                <w:lang w:val="en-US" w:eastAsia="zh-CN" w:bidi="ar"/>
              </w:rPr>
              <w:t>生物智能顶装实验室</w:t>
            </w:r>
            <w:r>
              <w:rPr>
                <w:rFonts w:hint="eastAsia" w:ascii="宋体" w:hAnsi="宋体" w:eastAsia="宋体" w:cs="宋体"/>
                <w:sz w:val="24"/>
                <w:szCs w:val="24"/>
              </w:rPr>
              <w:t>序号</w:t>
            </w: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实验室水嘴，序号17二联水嘴</w:t>
            </w:r>
            <w:r>
              <w:rPr>
                <w:rFonts w:hint="eastAsia" w:ascii="宋体" w:hAnsi="宋体" w:eastAsia="宋体" w:cs="宋体"/>
                <w:sz w:val="24"/>
                <w:szCs w:val="24"/>
                <w:lang w:eastAsia="zh-CN"/>
              </w:rPr>
              <w:t>；</w:t>
            </w:r>
            <w:r>
              <w:rPr>
                <w:rFonts w:hint="eastAsia" w:ascii="宋体" w:hAnsi="宋体" w:eastAsia="宋体" w:cs="宋体"/>
                <w:sz w:val="24"/>
                <w:szCs w:val="24"/>
              </w:rPr>
              <w:t>采购清单中</w:t>
            </w:r>
            <w:r>
              <w:rPr>
                <w:rFonts w:hint="eastAsia" w:ascii="宋体" w:hAnsi="宋体" w:eastAsia="宋体" w:cs="宋体"/>
                <w:b w:val="0"/>
                <w:bCs w:val="0"/>
                <w:i w:val="0"/>
                <w:iCs w:val="0"/>
                <w:color w:val="000000"/>
                <w:kern w:val="0"/>
                <w:sz w:val="24"/>
                <w:szCs w:val="24"/>
                <w:u w:val="none"/>
                <w:lang w:val="en-US" w:eastAsia="zh-CN" w:bidi="ar"/>
              </w:rPr>
              <w:t>生物多维顶装实验室</w:t>
            </w:r>
            <w:r>
              <w:rPr>
                <w:rFonts w:hint="eastAsia" w:ascii="宋体" w:hAnsi="宋体" w:eastAsia="宋体" w:cs="宋体"/>
                <w:sz w:val="24"/>
                <w:szCs w:val="24"/>
              </w:rPr>
              <w:t>序号</w:t>
            </w: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实验室水嘴，序号17二联水嘴</w:t>
            </w:r>
            <w:r>
              <w:rPr>
                <w:rFonts w:hint="eastAsia" w:ascii="宋体" w:hAnsi="宋体" w:eastAsia="宋体" w:cs="宋体"/>
                <w:sz w:val="24"/>
                <w:szCs w:val="24"/>
                <w:lang w:eastAsia="zh-CN"/>
              </w:rPr>
              <w:t>。</w:t>
            </w:r>
          </w:p>
          <w:p w14:paraId="5975CD68">
            <w:pPr>
              <w:pStyle w:val="81"/>
              <w:spacing w:line="360" w:lineRule="auto"/>
              <w:ind w:firstLine="0" w:firstLineChars="0"/>
              <w:jc w:val="both"/>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实施政府强制采购，投标人</w:t>
            </w:r>
            <w:r>
              <w:rPr>
                <w:rFonts w:hint="eastAsia" w:ascii="宋体" w:hAnsi="宋体" w:cs="宋体"/>
                <w:b/>
                <w:bCs/>
                <w:color w:val="000000" w:themeColor="text1"/>
                <w:kern w:val="0"/>
                <w:sz w:val="24"/>
                <w:highlight w:val="none"/>
                <w14:textFill>
                  <w14:solidFill>
                    <w14:schemeClr w14:val="tx1"/>
                  </w14:solidFill>
                </w14:textFill>
              </w:rPr>
              <w:t>就</w:t>
            </w:r>
            <w:r>
              <w:rPr>
                <w:rFonts w:hint="eastAsia" w:ascii="宋体" w:hAnsi="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cs="宋体"/>
                <w:b/>
                <w:bCs/>
                <w:color w:val="000000" w:themeColor="text1"/>
                <w:kern w:val="0"/>
                <w:sz w:val="24"/>
                <w:highlight w:val="none"/>
                <w14:textFill>
                  <w14:solidFill>
                    <w14:schemeClr w14:val="tx1"/>
                  </w14:solidFill>
                </w14:textFill>
              </w:rPr>
              <w:t>提供</w:t>
            </w:r>
            <w:r>
              <w:rPr>
                <w:rFonts w:hint="eastAsia" w:ascii="宋体" w:hAnsi="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cs="宋体"/>
                <w:color w:val="000000" w:themeColor="text1"/>
                <w:kern w:val="0"/>
                <w:sz w:val="24"/>
                <w:highlight w:val="none"/>
                <w:lang w:val="zh-CN"/>
                <w14:textFill>
                  <w14:solidFill>
                    <w14:schemeClr w14:val="tx1"/>
                  </w14:solidFill>
                </w14:textFill>
              </w:rPr>
              <w:t>。</w:t>
            </w:r>
          </w:p>
          <w:p w14:paraId="655C5F7D">
            <w:pPr>
              <w:pStyle w:val="81"/>
              <w:spacing w:line="360" w:lineRule="auto"/>
              <w:ind w:firstLine="0" w:firstLineChars="0"/>
              <w:jc w:val="both"/>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ym w:font="Wingdings 2" w:char="00A3"/>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优先采购节能产品。产品：</w:t>
            </w:r>
            <w:r>
              <w:rPr>
                <w:rFonts w:hint="eastAsia" w:ascii="宋体" w:hAnsi="宋体" w:eastAsia="宋体" w:cs="宋体"/>
                <w:color w:val="000000" w:themeColor="text1"/>
                <w:kern w:val="2"/>
                <w:sz w:val="24"/>
                <w:szCs w:val="24"/>
                <w:highlight w:val="none"/>
                <w:u w:val="single"/>
                <w:shd w:val="clear" w:color="FFFFFF"/>
                <w:lang w:val="en-US" w:eastAsia="zh-CN" w:bidi="ar-SA"/>
                <w14:textFill>
                  <w14:solidFill>
                    <w14:schemeClr w14:val="tx1"/>
                  </w14:solidFill>
                </w14:textFill>
              </w:rPr>
              <w:t xml:space="preserve">        </w:t>
            </w:r>
          </w:p>
          <w:p w14:paraId="5C1FA3CF">
            <w:pPr>
              <w:pStyle w:val="81"/>
              <w:spacing w:line="360" w:lineRule="auto"/>
              <w:ind w:firstLine="0" w:firstLineChars="0"/>
              <w:jc w:val="both"/>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ym w:font="Wingdings 2" w:char="00A3"/>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优先采购环保产品。产品：</w:t>
            </w:r>
            <w:r>
              <w:rPr>
                <w:rFonts w:hint="eastAsia" w:ascii="宋体" w:hAnsi="宋体" w:eastAsia="宋体" w:cs="宋体"/>
                <w:color w:val="000000" w:themeColor="text1"/>
                <w:kern w:val="2"/>
                <w:sz w:val="24"/>
                <w:szCs w:val="24"/>
                <w:highlight w:val="none"/>
                <w:u w:val="single"/>
                <w:shd w:val="clear" w:color="FFFFFF"/>
                <w:lang w:val="en-US" w:eastAsia="zh-CN" w:bidi="ar-SA"/>
                <w14:textFill>
                  <w14:solidFill>
                    <w14:schemeClr w14:val="tx1"/>
                  </w14:solidFill>
                </w14:textFill>
              </w:rPr>
              <w:t xml:space="preserve">        </w:t>
            </w:r>
          </w:p>
          <w:p w14:paraId="21E3CCDC">
            <w:pPr>
              <w:spacing w:line="360" w:lineRule="auto"/>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ym w:font="Wingdings 2" w:char="00A3"/>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无。</w:t>
            </w:r>
          </w:p>
        </w:tc>
      </w:tr>
      <w:tr w14:paraId="0A99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9" w:hRule="atLeast"/>
          <w:jc w:val="center"/>
        </w:trPr>
        <w:tc>
          <w:tcPr>
            <w:tcW w:w="767" w:type="dxa"/>
            <w:vAlign w:val="center"/>
          </w:tcPr>
          <w:p w14:paraId="5A71B4FC">
            <w:pPr>
              <w:snapToGrid w:val="0"/>
              <w:spacing w:line="360" w:lineRule="auto"/>
              <w:rPr>
                <w:rFonts w:hint="eastAsia" w:ascii="宋体" w:hAnsi="宋体" w:cs="宋体"/>
                <w:sz w:val="24"/>
              </w:rPr>
            </w:pPr>
          </w:p>
          <w:p w14:paraId="559E1E3A">
            <w:pPr>
              <w:snapToGrid w:val="0"/>
              <w:spacing w:line="360" w:lineRule="auto"/>
              <w:jc w:val="center"/>
              <w:rPr>
                <w:rFonts w:hint="eastAsia" w:ascii="宋体" w:hAnsi="宋体" w:cs="宋体"/>
                <w:sz w:val="24"/>
              </w:rPr>
            </w:pPr>
            <w:r>
              <w:rPr>
                <w:rFonts w:hint="eastAsia" w:ascii="宋体" w:hAnsi="宋体" w:cs="宋体"/>
                <w:sz w:val="24"/>
              </w:rPr>
              <w:t>10</w:t>
            </w:r>
          </w:p>
        </w:tc>
        <w:tc>
          <w:tcPr>
            <w:tcW w:w="1855" w:type="dxa"/>
            <w:vAlign w:val="center"/>
          </w:tcPr>
          <w:p w14:paraId="3A79A194">
            <w:pPr>
              <w:snapToGrid w:val="0"/>
              <w:spacing w:line="360" w:lineRule="auto"/>
              <w:jc w:val="center"/>
              <w:rPr>
                <w:rFonts w:hint="eastAsia" w:ascii="宋体" w:hAnsi="宋体" w:cs="宋体"/>
                <w:b/>
                <w:sz w:val="24"/>
              </w:rPr>
            </w:pPr>
            <w:r>
              <w:rPr>
                <w:rFonts w:hint="eastAsia" w:ascii="宋体" w:hAnsi="宋体" w:cs="宋体"/>
                <w:b/>
                <w:sz w:val="24"/>
                <w:highlight w:val="none"/>
              </w:rPr>
              <w:t>报价要求</w:t>
            </w:r>
          </w:p>
        </w:tc>
        <w:tc>
          <w:tcPr>
            <w:tcW w:w="6374" w:type="dxa"/>
            <w:vAlign w:val="center"/>
          </w:tcPr>
          <w:p w14:paraId="633C5B24">
            <w:pPr>
              <w:widowControl/>
              <w:spacing w:line="360" w:lineRule="auto"/>
              <w:jc w:val="left"/>
              <w:rPr>
                <w:rFonts w:hint="eastAsia"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272CA5FC">
            <w:pPr>
              <w:widowControl/>
              <w:spacing w:line="360" w:lineRule="auto"/>
              <w:jc w:val="left"/>
              <w:rPr>
                <w:rFonts w:hint="eastAsia" w:ascii="宋体" w:hAnsi="宋体" w:cs="宋体"/>
                <w:b/>
                <w:kern w:val="0"/>
                <w:sz w:val="24"/>
                <w:lang w:val="zh-CN"/>
              </w:rPr>
            </w:pPr>
            <w:r>
              <w:rPr>
                <w:rFonts w:hint="eastAsia" w:ascii="宋体" w:hAnsi="宋体" w:cs="宋体"/>
                <w:b/>
                <w:kern w:val="0"/>
                <w:sz w:val="24"/>
                <w:lang w:val="zh-CN"/>
              </w:rPr>
              <w:t>投标报价出现下列情形的，投标无效：</w:t>
            </w:r>
          </w:p>
          <w:p w14:paraId="1E3E1FAC">
            <w:pPr>
              <w:widowControl/>
              <w:spacing w:line="360" w:lineRule="auto"/>
              <w:jc w:val="left"/>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lang w:val="en-US" w:eastAsia="zh-CN"/>
              </w:rPr>
              <w:t>1）</w:t>
            </w:r>
            <w:r>
              <w:rPr>
                <w:rFonts w:hint="eastAsia" w:ascii="宋体" w:hAnsi="宋体" w:cs="宋体"/>
                <w:b/>
                <w:kern w:val="0"/>
                <w:sz w:val="24"/>
                <w:lang w:val="zh-CN"/>
              </w:rPr>
              <w:t>投标文件出现不是唯一的、有选择性投标报价的；</w:t>
            </w:r>
          </w:p>
          <w:p w14:paraId="034DC094">
            <w:pPr>
              <w:widowControl/>
              <w:spacing w:line="360" w:lineRule="auto"/>
              <w:jc w:val="left"/>
              <w:rPr>
                <w:rFonts w:hint="eastAsia" w:ascii="宋体" w:hAnsi="宋体" w:cs="宋体"/>
                <w:kern w:val="0"/>
                <w:sz w:val="24"/>
                <w:lang w:val="zh-CN"/>
              </w:rPr>
            </w:pPr>
            <w:r>
              <w:rPr>
                <w:rFonts w:hint="eastAsia" w:ascii="宋体" w:hAnsi="宋体" w:cs="宋体"/>
                <w:b/>
                <w:kern w:val="0"/>
                <w:sz w:val="24"/>
                <w:lang w:val="zh-CN"/>
              </w:rPr>
              <w:t>（</w:t>
            </w:r>
            <w:r>
              <w:rPr>
                <w:rFonts w:hint="eastAsia" w:ascii="宋体" w:hAnsi="宋体" w:cs="宋体"/>
                <w:b/>
                <w:kern w:val="0"/>
                <w:sz w:val="24"/>
                <w:lang w:val="en-US" w:eastAsia="zh-CN"/>
              </w:rPr>
              <w:t>2）</w:t>
            </w:r>
            <w:r>
              <w:rPr>
                <w:rFonts w:hint="eastAsia" w:ascii="宋体" w:hAnsi="宋体" w:cs="宋体"/>
                <w:b/>
                <w:kern w:val="0"/>
                <w:sz w:val="24"/>
                <w:lang w:val="zh-CN"/>
              </w:rPr>
              <w:t>投标报价超过招标文件中规定的预算金额或者最高限价的;</w:t>
            </w:r>
          </w:p>
          <w:p w14:paraId="641C3435">
            <w:pPr>
              <w:widowControl/>
              <w:spacing w:line="360" w:lineRule="auto"/>
              <w:jc w:val="left"/>
              <w:rPr>
                <w:rFonts w:hint="eastAsia" w:ascii="宋体" w:hAnsi="宋体" w:cs="宋体"/>
                <w:b/>
                <w:sz w:val="24"/>
                <w:szCs w:val="21"/>
                <w:lang w:val="en-US" w:eastAsia="zh-CN"/>
              </w:rPr>
            </w:pPr>
            <w:r>
              <w:rPr>
                <w:rFonts w:hint="eastAsia" w:ascii="宋体" w:hAnsi="宋体" w:cs="宋体"/>
                <w:b/>
                <w:kern w:val="0"/>
                <w:sz w:val="24"/>
                <w:lang w:eastAsia="zh-CN"/>
              </w:rPr>
              <w:t>（</w:t>
            </w:r>
            <w:r>
              <w:rPr>
                <w:rFonts w:hint="eastAsia" w:ascii="宋体" w:hAnsi="宋体" w:cs="宋体"/>
                <w:b/>
                <w:kern w:val="0"/>
                <w:sz w:val="24"/>
                <w:lang w:val="en-US" w:eastAsia="zh-CN"/>
              </w:rPr>
              <w:t>3）</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b/>
                <w:sz w:val="24"/>
                <w:szCs w:val="21"/>
                <w:lang w:val="en-US" w:eastAsia="zh-CN"/>
              </w:rPr>
              <w:t>；</w:t>
            </w:r>
          </w:p>
          <w:p w14:paraId="3FBD56EA">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根据《关于推动解决政府采购异常低价问题的通知》（财库〔2026〕2号）规定，评审中出现下列情形之一的，评审委员会应当启动异常低价投标（响应）审查程序：</w:t>
            </w:r>
          </w:p>
          <w:p w14:paraId="0C66877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1）投标（响应）报价低于全部通过符合性审查供应商投标（响应）报价平均值50%的，即投标（响应）报价&lt;全部通过符合性审查供应商投标（响应）报价平均值×50%；</w:t>
            </w:r>
          </w:p>
          <w:p w14:paraId="06867ED8">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2）投标（响应）报价低于通过符合性审查的次低报价供应商投标（响应）报价50%的，即投标（响应）报价&lt;通过符合性审查的次低报价供应商投标（响应）报价×50%；</w:t>
            </w:r>
          </w:p>
          <w:p w14:paraId="0D399937">
            <w:pPr>
              <w:spacing w:line="360" w:lineRule="auto"/>
              <w:ind w:firstLine="241" w:firstLineChars="100"/>
              <w:rPr>
                <w:rFonts w:ascii="宋体" w:hAnsi="宋体" w:cs="宋体"/>
                <w:color w:val="auto"/>
                <w:highlight w:val="none"/>
              </w:rPr>
            </w:pPr>
            <w:r>
              <w:rPr>
                <w:rFonts w:hint="eastAsia" w:ascii="宋体" w:hAnsi="宋体" w:cs="宋体"/>
                <w:b/>
                <w:color w:val="auto"/>
                <w:sz w:val="24"/>
                <w:highlight w:val="none"/>
              </w:rPr>
              <w:t>3）投标（响应）报价低于采购项目最高限价45%的，即投标（响应）报价&lt;采购项目最高限价×45%；</w:t>
            </w:r>
          </w:p>
          <w:p w14:paraId="18B45340">
            <w:pPr>
              <w:widowControl/>
              <w:spacing w:line="360" w:lineRule="auto"/>
              <w:ind w:firstLine="241" w:firstLineChars="100"/>
              <w:jc w:val="left"/>
              <w:rPr>
                <w:rFonts w:hint="eastAsia"/>
                <w:lang w:val="en-US" w:eastAsia="zh-CN"/>
              </w:rPr>
            </w:pPr>
            <w:r>
              <w:rPr>
                <w:rFonts w:hint="eastAsia" w:ascii="宋体" w:hAnsi="宋体" w:cs="宋体"/>
                <w:b/>
                <w:bCs/>
                <w:color w:val="auto"/>
                <w:sz w:val="24"/>
                <w:szCs w:val="24"/>
                <w:highlight w:val="none"/>
              </w:rPr>
              <w:t>4）评审委员会基于专业判断，认为供应商报价过低，有可能影响产品质量或者不能诚信履约的其他情形。</w:t>
            </w:r>
          </w:p>
          <w:p w14:paraId="6E2572D4">
            <w:pPr>
              <w:widowControl/>
              <w:spacing w:line="360" w:lineRule="auto"/>
              <w:jc w:val="left"/>
              <w:rPr>
                <w:rFonts w:hint="eastAsia"/>
                <w:lang w:eastAsia="zh-CN"/>
              </w:rPr>
            </w:pPr>
            <w:r>
              <w:rPr>
                <w:rFonts w:hint="eastAsia" w:ascii="宋体" w:hAnsi="宋体" w:cs="宋体"/>
                <w:b/>
                <w:color w:val="auto"/>
                <w:kern w:val="0"/>
                <w:sz w:val="24"/>
                <w:highlight w:val="none"/>
              </w:rPr>
              <w:t>（4）</w:t>
            </w:r>
            <w:r>
              <w:rPr>
                <w:rFonts w:hint="eastAsia" w:ascii="宋体" w:hAnsi="宋体" w:cs="宋体"/>
                <w:b/>
                <w:kern w:val="0"/>
                <w:sz w:val="24"/>
              </w:rPr>
              <w:t>投标人对根据修正原则修正后的报价不确认的</w:t>
            </w:r>
            <w:r>
              <w:rPr>
                <w:rFonts w:hint="eastAsia" w:ascii="宋体" w:hAnsi="宋体" w:cs="宋体"/>
                <w:b/>
                <w:sz w:val="24"/>
              </w:rPr>
              <w:t>。</w:t>
            </w:r>
          </w:p>
          <w:p w14:paraId="596BFAFC">
            <w:pPr>
              <w:widowControl/>
              <w:spacing w:line="360" w:lineRule="auto"/>
              <w:jc w:val="left"/>
              <w:rPr>
                <w:rFonts w:hint="eastAsia" w:ascii="宋体" w:hAnsi="宋体" w:cs="宋体"/>
                <w:b/>
                <w:sz w:val="24"/>
              </w:rPr>
            </w:pPr>
            <w:r>
              <w:rPr>
                <w:rFonts w:hint="eastAsia" w:ascii="宋体" w:hAnsi="宋体" w:cs="宋体"/>
                <w:b/>
                <w:sz w:val="24"/>
                <w:lang w:eastAsia="zh-CN"/>
              </w:rPr>
              <w:t>（</w:t>
            </w:r>
            <w:r>
              <w:rPr>
                <w:rFonts w:hint="eastAsia" w:ascii="宋体" w:hAnsi="宋体" w:cs="宋体"/>
                <w:b/>
                <w:sz w:val="24"/>
                <w:lang w:val="en-US" w:eastAsia="zh-CN"/>
              </w:rPr>
              <w:t>5）</w:t>
            </w:r>
            <w:r>
              <w:rPr>
                <w:rFonts w:hint="eastAsia" w:ascii="宋体" w:hAnsi="宋体" w:cs="宋体"/>
                <w:b/>
                <w:sz w:val="24"/>
              </w:rPr>
              <w:t>其他说明：</w:t>
            </w:r>
          </w:p>
          <w:p w14:paraId="567B5926">
            <w:pPr>
              <w:widowControl/>
              <w:spacing w:line="360" w:lineRule="auto"/>
              <w:jc w:val="left"/>
              <w:rPr>
                <w:b/>
              </w:rPr>
            </w:pPr>
            <w:r>
              <w:rPr>
                <w:rFonts w:ascii="宋体" w:hAnsi="宋体" w:cs="宋体"/>
                <w:b/>
                <w:kern w:val="0"/>
                <w:sz w:val="24"/>
                <w:lang w:bidi="ar"/>
              </w:rPr>
              <w:t>1.本次投标报价仅可在报价文件中提交</w:t>
            </w:r>
            <w:r>
              <w:rPr>
                <w:rFonts w:hint="eastAsia" w:ascii="宋体" w:hAnsi="宋体" w:cs="宋体"/>
                <w:b/>
                <w:kern w:val="0"/>
                <w:sz w:val="24"/>
                <w:lang w:bidi="ar"/>
              </w:rPr>
              <w:t>；</w:t>
            </w:r>
          </w:p>
          <w:p w14:paraId="38579CEB">
            <w:pPr>
              <w:widowControl/>
              <w:spacing w:line="360" w:lineRule="auto"/>
              <w:jc w:val="left"/>
              <w:rPr>
                <w:b/>
              </w:rPr>
            </w:pPr>
            <w:r>
              <w:rPr>
                <w:rFonts w:ascii="宋体" w:hAnsi="宋体" w:cs="宋体"/>
                <w:b/>
                <w:kern w:val="0"/>
                <w:sz w:val="24"/>
                <w:lang w:bidi="ar"/>
              </w:rPr>
              <w:t>2.投标文件除报价文件外，其他任何部分均不得出现任何形式的报价、价格区间、优惠比例、成本测算等与价格相关的内容</w:t>
            </w:r>
            <w:r>
              <w:rPr>
                <w:rFonts w:hint="eastAsia" w:ascii="宋体" w:hAnsi="宋体" w:cs="宋体"/>
                <w:b/>
                <w:kern w:val="0"/>
                <w:sz w:val="24"/>
                <w:lang w:bidi="ar"/>
              </w:rPr>
              <w:t>；</w:t>
            </w:r>
          </w:p>
          <w:p w14:paraId="10EAB79C">
            <w:pPr>
              <w:widowControl/>
              <w:spacing w:line="360" w:lineRule="auto"/>
              <w:jc w:val="left"/>
              <w:rPr>
                <w:rFonts w:hint="eastAsia" w:ascii="宋体" w:hAnsi="宋体" w:cs="宋体"/>
                <w:b/>
                <w:sz w:val="24"/>
              </w:rPr>
            </w:pPr>
            <w:r>
              <w:rPr>
                <w:rFonts w:ascii="宋体" w:hAnsi="宋体" w:cs="宋体"/>
                <w:b/>
                <w:kern w:val="0"/>
                <w:sz w:val="24"/>
                <w:lang w:bidi="ar"/>
              </w:rPr>
              <w:t>3.违反上述约定的，</w:t>
            </w:r>
            <w:r>
              <w:rPr>
                <w:rFonts w:hint="eastAsia" w:ascii="宋体" w:hAnsi="宋体" w:cs="宋体"/>
                <w:b/>
                <w:kern w:val="0"/>
                <w:sz w:val="24"/>
                <w:lang w:bidi="ar"/>
              </w:rPr>
              <w:t>作</w:t>
            </w:r>
            <w:r>
              <w:rPr>
                <w:rFonts w:ascii="宋体" w:hAnsi="宋体" w:cs="宋体"/>
                <w:b/>
                <w:kern w:val="0"/>
                <w:sz w:val="24"/>
                <w:lang w:bidi="ar"/>
              </w:rPr>
              <w:t>投标</w:t>
            </w:r>
            <w:r>
              <w:rPr>
                <w:rFonts w:hint="eastAsia" w:ascii="宋体" w:hAnsi="宋体" w:cs="宋体"/>
                <w:b/>
                <w:kern w:val="0"/>
                <w:sz w:val="24"/>
                <w:lang w:bidi="ar"/>
              </w:rPr>
              <w:t>无效</w:t>
            </w:r>
            <w:r>
              <w:rPr>
                <w:rFonts w:ascii="宋体" w:hAnsi="宋体" w:cs="宋体"/>
                <w:b/>
                <w:kern w:val="0"/>
                <w:sz w:val="24"/>
                <w:lang w:bidi="ar"/>
              </w:rPr>
              <w:t>处理。</w:t>
            </w:r>
          </w:p>
        </w:tc>
      </w:tr>
      <w:tr w14:paraId="64CB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7A2399B4">
            <w:pPr>
              <w:snapToGrid w:val="0"/>
              <w:spacing w:line="360" w:lineRule="auto"/>
              <w:rPr>
                <w:rFonts w:hint="eastAsia" w:ascii="宋体" w:hAnsi="宋体" w:cs="宋体"/>
                <w:sz w:val="24"/>
              </w:rPr>
            </w:pPr>
          </w:p>
          <w:p w14:paraId="36CFA58A">
            <w:pPr>
              <w:snapToGrid w:val="0"/>
              <w:spacing w:line="360" w:lineRule="auto"/>
              <w:jc w:val="center"/>
              <w:rPr>
                <w:rFonts w:hint="eastAsia" w:ascii="宋体" w:hAnsi="宋体" w:cs="宋体"/>
                <w:sz w:val="24"/>
              </w:rPr>
            </w:pPr>
            <w:r>
              <w:rPr>
                <w:rFonts w:hint="eastAsia" w:ascii="宋体" w:hAnsi="宋体" w:cs="宋体"/>
                <w:sz w:val="24"/>
              </w:rPr>
              <w:t>11</w:t>
            </w:r>
          </w:p>
        </w:tc>
        <w:tc>
          <w:tcPr>
            <w:tcW w:w="1855" w:type="dxa"/>
            <w:vAlign w:val="center"/>
          </w:tcPr>
          <w:p w14:paraId="101ECDD3">
            <w:pPr>
              <w:snapToGrid w:val="0"/>
              <w:spacing w:line="360" w:lineRule="auto"/>
              <w:jc w:val="center"/>
              <w:rPr>
                <w:rFonts w:hint="eastAsia" w:ascii="宋体" w:hAnsi="宋体" w:cs="宋体"/>
                <w:b/>
                <w:sz w:val="24"/>
              </w:rPr>
            </w:pPr>
            <w:r>
              <w:rPr>
                <w:rFonts w:hint="eastAsia" w:ascii="宋体" w:hAnsi="宋体" w:cs="宋体"/>
                <w:b/>
                <w:sz w:val="24"/>
              </w:rPr>
              <w:t>中小企业信用融资</w:t>
            </w:r>
          </w:p>
        </w:tc>
        <w:tc>
          <w:tcPr>
            <w:tcW w:w="6374" w:type="dxa"/>
            <w:vAlign w:val="center"/>
          </w:tcPr>
          <w:p w14:paraId="16D7C2F0">
            <w:pPr>
              <w:spacing w:line="360" w:lineRule="auto"/>
              <w:ind w:firstLine="0" w:firstLineChars="0"/>
              <w:rPr>
                <w:rFonts w:hint="eastAsia"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2A1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1A83F3D9">
            <w:pPr>
              <w:snapToGrid w:val="0"/>
              <w:spacing w:line="360" w:lineRule="auto"/>
              <w:jc w:val="center"/>
              <w:rPr>
                <w:rFonts w:hint="eastAsia" w:ascii="宋体" w:hAnsi="宋体" w:cs="宋体"/>
                <w:sz w:val="24"/>
              </w:rPr>
            </w:pPr>
            <w:r>
              <w:rPr>
                <w:rFonts w:hint="eastAsia" w:ascii="宋体" w:hAnsi="宋体" w:cs="宋体"/>
                <w:sz w:val="24"/>
              </w:rPr>
              <w:t>12</w:t>
            </w:r>
          </w:p>
        </w:tc>
        <w:tc>
          <w:tcPr>
            <w:tcW w:w="1855" w:type="dxa"/>
            <w:vAlign w:val="center"/>
          </w:tcPr>
          <w:p w14:paraId="0BC87440">
            <w:pPr>
              <w:snapToGrid w:val="0"/>
              <w:spacing w:line="360" w:lineRule="auto"/>
              <w:jc w:val="center"/>
              <w:rPr>
                <w:rFonts w:hint="eastAsia" w:ascii="宋体" w:hAnsi="宋体" w:cs="宋体"/>
                <w:b/>
                <w:sz w:val="24"/>
              </w:rPr>
            </w:pPr>
            <w:r>
              <w:rPr>
                <w:rFonts w:hint="eastAsia" w:ascii="宋体" w:hAnsi="宋体" w:cs="宋体"/>
                <w:b/>
                <w:sz w:val="24"/>
              </w:rPr>
              <w:t xml:space="preserve">备份投标文件送达地点和签收人员 </w:t>
            </w:r>
          </w:p>
        </w:tc>
        <w:tc>
          <w:tcPr>
            <w:tcW w:w="6374" w:type="dxa"/>
            <w:vAlign w:val="center"/>
          </w:tcPr>
          <w:p w14:paraId="65FCAF59">
            <w:pPr>
              <w:pStyle w:val="32"/>
              <w:spacing w:line="360" w:lineRule="auto"/>
              <w:rPr>
                <w:rFonts w:hint="eastAsia" w:hAnsi="宋体" w:cs="宋体"/>
                <w:kern w:val="28"/>
                <w:sz w:val="24"/>
              </w:rPr>
            </w:pPr>
            <w:r>
              <w:rPr>
                <w:rFonts w:hint="eastAsia" w:hAnsi="宋体" w:cs="宋体"/>
                <w:kern w:val="28"/>
                <w:sz w:val="24"/>
                <w:szCs w:val="24"/>
              </w:rPr>
              <w:t>备份投标文件送达地点：</w:t>
            </w:r>
            <w:r>
              <w:rPr>
                <w:rFonts w:hint="eastAsia" w:hAnsi="宋体" w:cs="宋体"/>
                <w:sz w:val="24"/>
                <w:szCs w:val="24"/>
                <w:u w:val="single"/>
              </w:rPr>
              <w:t>杭州市临平区星桥街道星桥北路64号1幢1102室</w:t>
            </w:r>
            <w:r>
              <w:rPr>
                <w:rFonts w:hint="eastAsia" w:hAnsi="宋体" w:cs="宋体"/>
                <w:kern w:val="28"/>
                <w:sz w:val="24"/>
                <w:szCs w:val="24"/>
              </w:rPr>
              <w:t>；备份投标文件签收人员联系电话：</w:t>
            </w:r>
            <w:r>
              <w:rPr>
                <w:rFonts w:hint="eastAsia" w:hAnsi="宋体" w:cs="宋体"/>
                <w:color w:val="000000"/>
                <w:sz w:val="24"/>
                <w:u w:val="single"/>
              </w:rPr>
              <w:t>张工17706440394</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2B84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Merge w:val="restart"/>
            <w:vAlign w:val="center"/>
          </w:tcPr>
          <w:p w14:paraId="102743CA">
            <w:pPr>
              <w:snapToGrid w:val="0"/>
              <w:spacing w:line="360" w:lineRule="auto"/>
              <w:jc w:val="center"/>
              <w:rPr>
                <w:rFonts w:hint="eastAsia" w:ascii="宋体" w:hAnsi="宋体" w:cs="宋体"/>
                <w:sz w:val="24"/>
              </w:rPr>
            </w:pPr>
            <w:r>
              <w:rPr>
                <w:rFonts w:hint="eastAsia" w:ascii="宋体" w:hAnsi="宋体" w:cs="宋体"/>
                <w:sz w:val="24"/>
              </w:rPr>
              <w:t>13</w:t>
            </w:r>
          </w:p>
        </w:tc>
        <w:tc>
          <w:tcPr>
            <w:tcW w:w="1855" w:type="dxa"/>
            <w:vMerge w:val="restart"/>
            <w:vAlign w:val="center"/>
          </w:tcPr>
          <w:p w14:paraId="601AB380">
            <w:pPr>
              <w:snapToGrid w:val="0"/>
              <w:spacing w:line="360" w:lineRule="auto"/>
              <w:jc w:val="center"/>
              <w:rPr>
                <w:rFonts w:hint="eastAsia" w:ascii="宋体" w:hAnsi="宋体" w:cs="宋体"/>
                <w:b/>
                <w:sz w:val="24"/>
              </w:rPr>
            </w:pPr>
            <w:r>
              <w:rPr>
                <w:rFonts w:hint="eastAsia" w:ascii="宋体" w:hAnsi="宋体" w:cs="仿宋_GB2312"/>
                <w:b/>
                <w:sz w:val="24"/>
              </w:rPr>
              <w:t>特别说明</w:t>
            </w:r>
          </w:p>
        </w:tc>
        <w:tc>
          <w:tcPr>
            <w:tcW w:w="6374" w:type="dxa"/>
            <w:vAlign w:val="center"/>
          </w:tcPr>
          <w:p w14:paraId="32663A33">
            <w:pPr>
              <w:spacing w:line="360" w:lineRule="auto"/>
              <w:rPr>
                <w:rFonts w:hint="eastAsia"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34CA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Merge w:val="continue"/>
            <w:vAlign w:val="center"/>
          </w:tcPr>
          <w:p w14:paraId="382AC1E5">
            <w:pPr>
              <w:snapToGrid w:val="0"/>
              <w:spacing w:line="360" w:lineRule="auto"/>
              <w:jc w:val="center"/>
              <w:rPr>
                <w:rFonts w:hint="eastAsia" w:ascii="宋体" w:hAnsi="宋体" w:cs="宋体"/>
                <w:sz w:val="24"/>
              </w:rPr>
            </w:pPr>
          </w:p>
        </w:tc>
        <w:tc>
          <w:tcPr>
            <w:tcW w:w="1855" w:type="dxa"/>
            <w:vMerge w:val="continue"/>
            <w:vAlign w:val="center"/>
          </w:tcPr>
          <w:p w14:paraId="76FA26E2">
            <w:pPr>
              <w:snapToGrid w:val="0"/>
              <w:spacing w:line="360" w:lineRule="auto"/>
              <w:jc w:val="center"/>
              <w:rPr>
                <w:rFonts w:hint="eastAsia" w:ascii="宋体" w:hAnsi="宋体" w:cs="宋体"/>
                <w:b/>
                <w:sz w:val="24"/>
              </w:rPr>
            </w:pPr>
          </w:p>
        </w:tc>
        <w:tc>
          <w:tcPr>
            <w:tcW w:w="6374" w:type="dxa"/>
            <w:vAlign w:val="center"/>
          </w:tcPr>
          <w:p w14:paraId="2EA4B9A4">
            <w:pPr>
              <w:spacing w:line="360" w:lineRule="auto"/>
              <w:rPr>
                <w:rFonts w:hint="eastAsia" w:ascii="宋体" w:hAnsi="宋体" w:cs="宋体"/>
                <w:snapToGrid w:val="0"/>
                <w:kern w:val="28"/>
                <w:sz w:val="24"/>
              </w:rPr>
            </w:pPr>
            <w:r>
              <w:rPr>
                <w:rFonts w:hint="eastAsia" w:ascii="MS Mincho" w:hAnsi="MS Mincho" w:eastAsia="MS Mincho" w:cs="MS Mincho"/>
                <w:kern w:val="0"/>
                <w:sz w:val="24"/>
              </w:rPr>
              <w:t>☐</w:t>
            </w:r>
            <w:r>
              <w:rPr>
                <w:rFonts w:hint="eastAsia" w:ascii="宋体" w:hAnsi="宋体" w:cs="宋体"/>
                <w:snapToGrid w:val="0"/>
                <w:kern w:val="28"/>
                <w:sz w:val="24"/>
              </w:rPr>
              <w:t>联合体投标的，联合体各方均需按招标文件第四部分评标标准要求提供资信证明文件，否则视为不符合相关要求。</w:t>
            </w:r>
          </w:p>
          <w:p w14:paraId="7EAA6978">
            <w:pPr>
              <w:spacing w:line="360" w:lineRule="auto"/>
              <w:rPr>
                <w:rFonts w:hint="eastAsia" w:ascii="宋体" w:hAnsi="宋体" w:cs="宋体"/>
                <w:snapToGrid w:val="0"/>
                <w:kern w:val="28"/>
                <w:sz w:val="24"/>
              </w:rPr>
            </w:pPr>
            <w:r>
              <w:rPr>
                <w:rFonts w:hint="eastAsia" w:ascii="宋体" w:hAnsi="宋体" w:cs="Arial"/>
                <w:kern w:val="0"/>
                <w:sz w:val="24"/>
              </w:rPr>
              <w:sym w:font="Wingdings" w:char="00FE"/>
            </w: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03C5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31242AE9">
            <w:pPr>
              <w:snapToGrid w:val="0"/>
              <w:spacing w:line="360" w:lineRule="auto"/>
              <w:jc w:val="center"/>
              <w:rPr>
                <w:rFonts w:hint="eastAsia" w:ascii="宋体" w:hAnsi="宋体" w:cs="宋体"/>
                <w:sz w:val="24"/>
              </w:rPr>
            </w:pPr>
            <w:r>
              <w:rPr>
                <w:rFonts w:hint="eastAsia" w:ascii="宋体" w:hAnsi="宋体" w:cs="宋体"/>
                <w:sz w:val="24"/>
              </w:rPr>
              <w:t>14</w:t>
            </w:r>
          </w:p>
        </w:tc>
        <w:tc>
          <w:tcPr>
            <w:tcW w:w="1855" w:type="dxa"/>
            <w:vAlign w:val="center"/>
          </w:tcPr>
          <w:p w14:paraId="5E713ED0">
            <w:pPr>
              <w:snapToGrid w:val="0"/>
              <w:spacing w:line="360" w:lineRule="auto"/>
              <w:jc w:val="center"/>
              <w:rPr>
                <w:rFonts w:hint="eastAsia" w:ascii="宋体" w:hAnsi="宋体" w:cs="仿宋_GB2312"/>
                <w:b/>
                <w:sz w:val="24"/>
              </w:rPr>
            </w:pPr>
            <w:r>
              <w:rPr>
                <w:rFonts w:hint="eastAsia" w:ascii="宋体" w:hAnsi="宋体" w:cs="仿宋_GB2312"/>
                <w:b/>
                <w:sz w:val="24"/>
              </w:rPr>
              <w:t>中标候选人数量</w:t>
            </w:r>
          </w:p>
        </w:tc>
        <w:tc>
          <w:tcPr>
            <w:tcW w:w="6374" w:type="dxa"/>
            <w:vAlign w:val="center"/>
          </w:tcPr>
          <w:p w14:paraId="1483B771">
            <w:pPr>
              <w:spacing w:line="360" w:lineRule="auto"/>
              <w:rPr>
                <w:rFonts w:hint="eastAsia" w:ascii="宋体" w:hAnsi="宋体" w:cs="宋体"/>
                <w:kern w:val="0"/>
                <w:sz w:val="24"/>
              </w:rPr>
            </w:pPr>
            <w:r>
              <w:rPr>
                <w:rFonts w:hint="eastAsia" w:ascii="宋体" w:hAnsi="宋体" w:cs="宋体"/>
                <w:kern w:val="0"/>
                <w:sz w:val="24"/>
              </w:rPr>
              <w:t>本项目推荐的中标候选人数量：</w:t>
            </w:r>
            <w:r>
              <w:rPr>
                <w:rFonts w:hint="eastAsia" w:ascii="宋体" w:hAnsi="宋体" w:cs="宋体"/>
                <w:kern w:val="0"/>
                <w:sz w:val="24"/>
                <w:u w:val="single"/>
              </w:rPr>
              <w:t xml:space="preserve">   1   </w:t>
            </w:r>
            <w:r>
              <w:rPr>
                <w:rFonts w:hint="eastAsia" w:ascii="宋体" w:hAnsi="宋体" w:cs="宋体"/>
                <w:kern w:val="0"/>
                <w:sz w:val="24"/>
              </w:rPr>
              <w:t>。</w:t>
            </w:r>
          </w:p>
        </w:tc>
      </w:tr>
      <w:tr w14:paraId="7B29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45888286">
            <w:pPr>
              <w:snapToGrid w:val="0"/>
              <w:spacing w:line="360" w:lineRule="auto"/>
              <w:jc w:val="center"/>
              <w:rPr>
                <w:rFonts w:hint="eastAsia" w:ascii="宋体" w:hAnsi="宋体" w:cs="宋体"/>
                <w:sz w:val="24"/>
              </w:rPr>
            </w:pPr>
            <w:r>
              <w:rPr>
                <w:rFonts w:hint="eastAsia" w:ascii="宋体" w:hAnsi="宋体" w:cs="宋体"/>
                <w:sz w:val="24"/>
              </w:rPr>
              <w:t>15</w:t>
            </w:r>
          </w:p>
        </w:tc>
        <w:tc>
          <w:tcPr>
            <w:tcW w:w="1855" w:type="dxa"/>
            <w:vAlign w:val="center"/>
          </w:tcPr>
          <w:p w14:paraId="304F065B">
            <w:pPr>
              <w:snapToGrid w:val="0"/>
              <w:spacing w:line="360" w:lineRule="auto"/>
              <w:jc w:val="center"/>
              <w:rPr>
                <w:rFonts w:hint="eastAsia" w:ascii="宋体" w:hAnsi="宋体" w:cs="仿宋_GB2312"/>
                <w:b/>
                <w:sz w:val="24"/>
              </w:rPr>
            </w:pPr>
            <w:r>
              <w:rPr>
                <w:rFonts w:hint="eastAsia" w:ascii="宋体" w:hAnsi="宋体" w:cs="仿宋_GB2312"/>
                <w:b/>
                <w:sz w:val="24"/>
              </w:rPr>
              <w:t>代理费用收取方式及标准</w:t>
            </w:r>
          </w:p>
        </w:tc>
        <w:tc>
          <w:tcPr>
            <w:tcW w:w="6374" w:type="dxa"/>
            <w:vAlign w:val="center"/>
          </w:tcPr>
          <w:p w14:paraId="23D0E62A">
            <w:pPr>
              <w:spacing w:line="360" w:lineRule="auto"/>
              <w:rPr>
                <w:rFonts w:hint="eastAsia" w:ascii="宋体" w:hAnsi="宋体" w:cs="宋体"/>
                <w:kern w:val="0"/>
                <w:sz w:val="24"/>
              </w:rPr>
            </w:pPr>
            <w:r>
              <w:rPr>
                <w:rFonts w:hint="eastAsia" w:ascii="宋体" w:hAnsi="宋体" w:cs="宋体"/>
                <w:snapToGrid w:val="0"/>
                <w:kern w:val="28"/>
                <w:sz w:val="24"/>
              </w:rPr>
              <w:t>本次招标代理服务费由中标人支付，招标代理服务费按照国家计委印发的《招标代理服务收费管理暂行办法》计价格[2002]1980号文件计取，专家费由代理公司垫付并按实结算。</w:t>
            </w:r>
            <w:r>
              <w:rPr>
                <w:rFonts w:hint="eastAsia" w:ascii="宋体" w:hAnsi="宋体" w:cs="宋体"/>
                <w:sz w:val="24"/>
              </w:rPr>
              <w:t>投标人在报价时应综合考虑该笔费用，但不单列进投标总价。</w:t>
            </w:r>
          </w:p>
        </w:tc>
      </w:tr>
      <w:tr w14:paraId="078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7" w:type="dxa"/>
            <w:vAlign w:val="center"/>
          </w:tcPr>
          <w:p w14:paraId="310FE2D7">
            <w:pPr>
              <w:snapToGrid w:val="0"/>
              <w:spacing w:line="360" w:lineRule="auto"/>
              <w:jc w:val="center"/>
              <w:rPr>
                <w:rFonts w:hint="eastAsia" w:ascii="宋体" w:hAnsi="宋体" w:cs="宋体"/>
                <w:sz w:val="24"/>
              </w:rPr>
            </w:pPr>
            <w:r>
              <w:rPr>
                <w:rFonts w:hint="eastAsia" w:ascii="宋体" w:hAnsi="宋体" w:cs="宋体"/>
                <w:sz w:val="24"/>
              </w:rPr>
              <w:t>16</w:t>
            </w:r>
          </w:p>
        </w:tc>
        <w:tc>
          <w:tcPr>
            <w:tcW w:w="1855" w:type="dxa"/>
            <w:vAlign w:val="center"/>
          </w:tcPr>
          <w:p w14:paraId="133A92AD">
            <w:pPr>
              <w:snapToGrid w:val="0"/>
              <w:spacing w:line="360" w:lineRule="auto"/>
              <w:jc w:val="center"/>
              <w:rPr>
                <w:rFonts w:hint="eastAsia" w:ascii="宋体" w:hAnsi="宋体" w:cs="仿宋_GB2312"/>
                <w:b/>
                <w:sz w:val="24"/>
              </w:rPr>
            </w:pPr>
            <w:r>
              <w:rPr>
                <w:rFonts w:hint="eastAsia" w:ascii="宋体" w:hAnsi="宋体" w:cs="仿宋_GB2312"/>
                <w:b/>
                <w:sz w:val="24"/>
              </w:rPr>
              <w:t>其他要求</w:t>
            </w:r>
          </w:p>
        </w:tc>
        <w:tc>
          <w:tcPr>
            <w:tcW w:w="6374" w:type="dxa"/>
            <w:vAlign w:val="center"/>
          </w:tcPr>
          <w:p w14:paraId="6D231C4B">
            <w:pPr>
              <w:spacing w:line="360" w:lineRule="auto"/>
              <w:rPr>
                <w:rFonts w:hint="eastAsia" w:ascii="宋体" w:hAnsi="宋体" w:cs="宋体"/>
                <w:b/>
                <w:bCs/>
                <w:sz w:val="24"/>
              </w:rPr>
            </w:pPr>
            <w:r>
              <w:rPr>
                <w:rFonts w:hint="eastAsia" w:ascii="宋体" w:hAnsi="宋体" w:cs="宋体"/>
                <w:b/>
                <w:bCs/>
                <w:sz w:val="24"/>
              </w:rPr>
              <w:t>中标后提供承诺书和纸质版投标文件一式三份（正本一份红章版，副本二份，可为正本复印件），承诺书详见附件。</w:t>
            </w:r>
          </w:p>
        </w:tc>
      </w:tr>
      <w:bookmarkEnd w:id="10"/>
    </w:tbl>
    <w:p w14:paraId="1358C2A5">
      <w:pPr>
        <w:adjustRightInd/>
        <w:spacing w:line="240" w:lineRule="auto"/>
        <w:jc w:val="left"/>
        <w:rPr>
          <w:rFonts w:hint="eastAsia"/>
          <w:b/>
          <w:bCs/>
          <w:sz w:val="32"/>
          <w:szCs w:val="32"/>
        </w:rPr>
      </w:pPr>
      <w:bookmarkStart w:id="12" w:name="_Toc164416483"/>
      <w:bookmarkStart w:id="13" w:name="第三部分"/>
      <w:r>
        <w:rPr>
          <w:rFonts w:hint="eastAsia"/>
          <w:b/>
          <w:bCs/>
          <w:sz w:val="32"/>
          <w:szCs w:val="32"/>
        </w:rPr>
        <w:br w:type="page"/>
      </w:r>
    </w:p>
    <w:p w14:paraId="14A8C7F9">
      <w:pPr>
        <w:adjustRightInd/>
        <w:spacing w:line="360" w:lineRule="auto"/>
        <w:jc w:val="center"/>
        <w:rPr>
          <w:b/>
          <w:bCs/>
          <w:sz w:val="32"/>
          <w:szCs w:val="32"/>
        </w:rPr>
      </w:pPr>
      <w:r>
        <w:rPr>
          <w:rFonts w:hint="eastAsia"/>
          <w:b/>
          <w:bCs/>
          <w:sz w:val="32"/>
          <w:szCs w:val="32"/>
        </w:rPr>
        <w:t>一、总则</w:t>
      </w:r>
    </w:p>
    <w:p w14:paraId="370A405D">
      <w:pPr>
        <w:adjustRightInd/>
        <w:spacing w:line="360" w:lineRule="auto"/>
        <w:ind w:firstLine="0" w:firstLineChars="0"/>
        <w:jc w:val="left"/>
        <w:rPr>
          <w:rFonts w:hint="eastAsia" w:ascii="宋体" w:hAnsi="宋体" w:cs="宋体"/>
          <w:b/>
          <w:sz w:val="24"/>
        </w:rPr>
      </w:pPr>
      <w:r>
        <w:rPr>
          <w:rFonts w:hint="eastAsia" w:ascii="宋体" w:hAnsi="宋体" w:cs="宋体"/>
          <w:b/>
          <w:sz w:val="24"/>
        </w:rPr>
        <w:t>1.适用范围</w:t>
      </w:r>
    </w:p>
    <w:p w14:paraId="691C4CA5">
      <w:pPr>
        <w:snapToGrid w:val="0"/>
        <w:spacing w:line="360" w:lineRule="auto"/>
        <w:ind w:firstLine="480" w:firstLineChars="200"/>
        <w:jc w:val="left"/>
        <w:rPr>
          <w:rFonts w:hint="eastAsia"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1C480D92">
      <w:pPr>
        <w:adjustRightInd/>
        <w:spacing w:line="360" w:lineRule="auto"/>
        <w:rPr>
          <w:rFonts w:hint="eastAsia" w:ascii="宋体" w:hAnsi="宋体" w:cs="宋体"/>
          <w:b/>
          <w:sz w:val="24"/>
        </w:rPr>
      </w:pPr>
      <w:r>
        <w:rPr>
          <w:rFonts w:hint="eastAsia" w:ascii="宋体" w:hAnsi="宋体" w:cs="宋体"/>
          <w:b/>
          <w:sz w:val="24"/>
        </w:rPr>
        <w:t>2.定义</w:t>
      </w:r>
    </w:p>
    <w:p w14:paraId="52C218A8">
      <w:pPr>
        <w:spacing w:line="360" w:lineRule="auto"/>
        <w:ind w:firstLine="480" w:firstLineChars="200"/>
        <w:rPr>
          <w:rFonts w:hint="eastAsia" w:ascii="宋体" w:hAnsi="宋体" w:cs="宋体"/>
          <w:sz w:val="24"/>
        </w:rPr>
      </w:pPr>
      <w:r>
        <w:rPr>
          <w:rFonts w:hint="eastAsia" w:ascii="宋体" w:hAnsi="宋体" w:cs="宋体"/>
          <w:sz w:val="24"/>
        </w:rPr>
        <w:t>2.1 “采购人”系指招标公告中载明的本项目的采购人。</w:t>
      </w:r>
    </w:p>
    <w:p w14:paraId="090C2D95">
      <w:pPr>
        <w:spacing w:line="360" w:lineRule="auto"/>
        <w:ind w:firstLine="480" w:firstLineChars="200"/>
        <w:rPr>
          <w:rFonts w:hint="eastAsia" w:ascii="宋体" w:hAnsi="宋体" w:cs="宋体"/>
          <w:sz w:val="24"/>
        </w:rPr>
      </w:pPr>
      <w:r>
        <w:rPr>
          <w:rFonts w:hint="eastAsia" w:ascii="宋体" w:hAnsi="宋体" w:cs="宋体"/>
          <w:sz w:val="24"/>
        </w:rPr>
        <w:t>2.2 “采购代理机构”系指招标公告中载明的本项目的采购代理机构。</w:t>
      </w:r>
    </w:p>
    <w:p w14:paraId="4911EB54">
      <w:pPr>
        <w:spacing w:line="360" w:lineRule="auto"/>
        <w:ind w:firstLine="480" w:firstLineChars="200"/>
        <w:rPr>
          <w:rFonts w:hint="eastAsia" w:ascii="宋体" w:hAnsi="宋体" w:cs="宋体"/>
          <w:sz w:val="24"/>
        </w:rPr>
      </w:pPr>
      <w:r>
        <w:rPr>
          <w:rFonts w:hint="eastAsia" w:ascii="宋体" w:hAnsi="宋体" w:cs="宋体"/>
          <w:sz w:val="24"/>
        </w:rPr>
        <w:t>2.3 “投标人”系指是指响应招标、参加投标竞争的法人、其他组织或者自然人。</w:t>
      </w:r>
    </w:p>
    <w:p w14:paraId="41AB6A5E">
      <w:pPr>
        <w:spacing w:line="360" w:lineRule="auto"/>
        <w:ind w:firstLine="480" w:firstLineChars="200"/>
        <w:rPr>
          <w:rFonts w:hint="eastAsia"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755B945D">
      <w:pPr>
        <w:spacing w:line="360" w:lineRule="auto"/>
        <w:ind w:firstLine="480" w:firstLineChars="200"/>
        <w:rPr>
          <w:rFonts w:hint="eastAsia"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CC7A1BC">
      <w:pPr>
        <w:spacing w:line="360" w:lineRule="auto"/>
        <w:ind w:firstLine="480" w:firstLineChars="200"/>
        <w:rPr>
          <w:rFonts w:hint="eastAsia" w:ascii="宋体" w:hAnsi="宋体" w:cs="宋体"/>
          <w:sz w:val="24"/>
        </w:rPr>
      </w:pPr>
      <w:r>
        <w:rPr>
          <w:rFonts w:hint="eastAsia" w:ascii="宋体" w:hAnsi="宋体" w:cs="宋体"/>
          <w:sz w:val="24"/>
        </w:rPr>
        <w:t>2.6“电子交易平台”系指本项目政府采购活动所依托的政府采购云平台（https://www.zcygov.cn/）。</w:t>
      </w:r>
    </w:p>
    <w:p w14:paraId="18199D6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2.7 “▲” 系指实质性要求条款，“</w:t>
      </w:r>
      <w:r>
        <w:rPr>
          <w:rFonts w:ascii="Wingdings" w:hAnsi="Wingdings" w:cs="宋体"/>
          <w:kern w:val="0"/>
          <w:sz w:val="24"/>
        </w:rPr>
        <w:t></w:t>
      </w:r>
      <w:r>
        <w:rPr>
          <w:rFonts w:hint="eastAsia" w:ascii="宋体" w:hAnsi="宋体" w:cs="宋体"/>
          <w:sz w:val="24"/>
        </w:rPr>
        <w:t>” 系指适用本项目的要求，</w:t>
      </w:r>
      <w:r>
        <w:rPr>
          <w:rFonts w:hint="eastAsia" w:ascii="宋体" w:hAnsi="宋体" w:cs="宋体"/>
          <w:sz w:val="24"/>
          <w:lang w:eastAsia="zh-CN"/>
        </w:rPr>
        <w:t>“★”系指重要参数条款，</w:t>
      </w:r>
      <w:r>
        <w:rPr>
          <w:rFonts w:hint="eastAsia" w:ascii="宋体" w:hAnsi="宋体" w:cs="宋体"/>
          <w:sz w:val="24"/>
        </w:rPr>
        <w:t>“</w:t>
      </w:r>
      <w:r>
        <w:rPr>
          <w:rFonts w:hint="eastAsia" w:ascii="宋体" w:hAnsi="宋体" w:cs="宋体"/>
          <w:kern w:val="0"/>
          <w:sz w:val="24"/>
        </w:rPr>
        <w:t>☐</w:t>
      </w:r>
      <w:r>
        <w:rPr>
          <w:rFonts w:hint="eastAsia" w:ascii="宋体" w:hAnsi="宋体" w:cs="宋体"/>
          <w:sz w:val="24"/>
        </w:rPr>
        <w:t>” 系指不适用本项目的要求</w:t>
      </w:r>
      <w:r>
        <w:rPr>
          <w:rFonts w:hint="eastAsia" w:ascii="宋体" w:hAnsi="宋体" w:cs="宋体"/>
          <w:sz w:val="24"/>
          <w:lang w:eastAsia="zh-CN"/>
        </w:rPr>
        <w:t>。</w:t>
      </w:r>
    </w:p>
    <w:p w14:paraId="0223C9F3">
      <w:pPr>
        <w:spacing w:line="360" w:lineRule="auto"/>
        <w:ind w:firstLine="0" w:firstLineChars="0"/>
        <w:rPr>
          <w:rFonts w:hint="eastAsia" w:ascii="宋体" w:hAnsi="宋体" w:cs="宋体"/>
          <w:b/>
          <w:sz w:val="24"/>
        </w:rPr>
      </w:pPr>
      <w:r>
        <w:rPr>
          <w:rFonts w:hint="eastAsia" w:ascii="宋体" w:hAnsi="宋体" w:cs="宋体"/>
          <w:b/>
          <w:sz w:val="24"/>
        </w:rPr>
        <w:t>3.采购项目需要落实的政府采购政策</w:t>
      </w:r>
    </w:p>
    <w:p w14:paraId="6C086B0F">
      <w:pPr>
        <w:spacing w:line="360" w:lineRule="auto"/>
        <w:ind w:firstLine="480" w:firstLineChars="200"/>
        <w:rPr>
          <w:rFonts w:hint="eastAsia"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0E14582C">
      <w:pPr>
        <w:spacing w:line="360" w:lineRule="auto"/>
        <w:ind w:firstLine="480" w:firstLineChars="200"/>
        <w:rPr>
          <w:rFonts w:hint="eastAsia" w:ascii="宋体" w:hAnsi="宋体" w:cs="宋体"/>
          <w:sz w:val="24"/>
        </w:rPr>
      </w:pPr>
      <w:r>
        <w:rPr>
          <w:rFonts w:hint="eastAsia" w:ascii="宋体" w:hAnsi="宋体" w:cs="宋体"/>
          <w:sz w:val="24"/>
        </w:rPr>
        <w:t>3.2 支持绿色发展</w:t>
      </w:r>
    </w:p>
    <w:p w14:paraId="56C2767B">
      <w:pPr>
        <w:spacing w:line="360" w:lineRule="auto"/>
        <w:ind w:firstLine="480" w:firstLineChars="200"/>
        <w:rPr>
          <w:rFonts w:hint="eastAsia"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w:t>
      </w:r>
      <w:r>
        <w:rPr>
          <w:rFonts w:hint="eastAsia" w:ascii="宋体" w:hAnsi="宋体" w:cs="宋体"/>
          <w:b/>
          <w:sz w:val="24"/>
          <w:highlight w:val="none"/>
        </w:rPr>
        <w:t>政府强制采购的节能产品品目清单</w:t>
      </w:r>
      <w:r>
        <w:rPr>
          <w:rFonts w:hint="eastAsia" w:ascii="宋体" w:hAnsi="宋体" w:cs="宋体"/>
          <w:b/>
          <w:sz w:val="24"/>
        </w:rPr>
        <w:t>范围的，投标人相应的投标产品未获得国家确定的认证机构出具的、处于有效期之内的节能产品认证证书的，投标无效。</w:t>
      </w:r>
    </w:p>
    <w:p w14:paraId="03F9E1F8">
      <w:pPr>
        <w:spacing w:line="360" w:lineRule="auto"/>
        <w:ind w:firstLine="480" w:firstLineChars="200"/>
        <w:rPr>
          <w:rFonts w:hint="eastAsia"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14:paraId="50C8FAA4">
      <w:pPr>
        <w:spacing w:line="360" w:lineRule="auto"/>
        <w:ind w:firstLine="480" w:firstLineChars="200"/>
        <w:rPr>
          <w:rFonts w:hint="eastAsia"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4" w:name="_Hlk107568539"/>
      <w:r>
        <w:rPr>
          <w:rFonts w:hint="eastAsia" w:ascii="宋体" w:hAnsi="宋体" w:cs="宋体"/>
          <w:sz w:val="24"/>
        </w:rPr>
        <w:t>鼓励采购单位优先采购秸秆环保板材等资源综合利用产品。鼓励采购单位优先采购绿色物流配送服务、提供新能源交通工具的租赁服务。</w:t>
      </w:r>
    </w:p>
    <w:p w14:paraId="55102482">
      <w:pPr>
        <w:spacing w:line="360" w:lineRule="auto"/>
        <w:ind w:firstLine="480" w:firstLineChars="200"/>
        <w:rPr>
          <w:rFonts w:hint="eastAsia"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4"/>
    </w:p>
    <w:p w14:paraId="49452AD8">
      <w:pPr>
        <w:spacing w:line="360" w:lineRule="auto"/>
        <w:ind w:firstLine="480" w:firstLineChars="200"/>
        <w:rPr>
          <w:rFonts w:hint="eastAsia" w:ascii="宋体" w:hAnsi="宋体" w:cs="宋体"/>
          <w:sz w:val="24"/>
        </w:rPr>
      </w:pPr>
      <w:r>
        <w:rPr>
          <w:rFonts w:hint="eastAsia" w:ascii="宋体" w:hAnsi="宋体" w:cs="宋体"/>
          <w:sz w:val="24"/>
        </w:rPr>
        <w:t>3.3支持中小企业发展</w:t>
      </w:r>
    </w:p>
    <w:p w14:paraId="0F46096E">
      <w:pPr>
        <w:spacing w:line="360" w:lineRule="auto"/>
        <w:ind w:firstLine="480" w:firstLineChars="200"/>
        <w:rPr>
          <w:rFonts w:hint="eastAsia"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A81C08C">
      <w:pPr>
        <w:spacing w:line="360" w:lineRule="auto"/>
        <w:ind w:firstLine="480" w:firstLineChars="200"/>
        <w:rPr>
          <w:rFonts w:hint="eastAsia" w:ascii="宋体" w:hAnsi="宋体" w:cs="宋体"/>
          <w:sz w:val="24"/>
        </w:rPr>
      </w:pPr>
      <w:r>
        <w:rPr>
          <w:rFonts w:hint="eastAsia" w:ascii="宋体" w:hAnsi="宋体" w:cs="宋体"/>
          <w:sz w:val="24"/>
        </w:rPr>
        <w:t>符合中小企业划分标准的个体工商户，在政府采购活动中视同中小企业。</w:t>
      </w:r>
    </w:p>
    <w:p w14:paraId="46409B4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201CB3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36F67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hint="eastAsia" w:ascii="宋体" w:hAnsi="宋体" w:cs="宋体"/>
          <w:color w:val="auto"/>
          <w:sz w:val="24"/>
          <w:highlight w:val="none"/>
          <w:lang w:eastAsia="zh-CN"/>
        </w:rPr>
        <w:t>—</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hint="eastAsia" w:ascii="宋体" w:hAnsi="宋体" w:cs="宋体"/>
          <w:color w:val="auto"/>
          <w:sz w:val="24"/>
          <w:highlight w:val="none"/>
          <w:lang w:eastAsia="zh-CN"/>
        </w:rPr>
        <w:t>—</w:t>
      </w:r>
      <w:r>
        <w:rPr>
          <w:rFonts w:ascii="宋体" w:hAnsi="宋体" w:cs="宋体"/>
          <w:color w:val="auto"/>
          <w:sz w:val="24"/>
          <w:highlight w:val="none"/>
        </w:rPr>
        <w:t>6</w:t>
      </w:r>
      <w:r>
        <w:rPr>
          <w:rFonts w:hint="eastAsia" w:ascii="宋体" w:hAnsi="宋体" w:cs="宋体"/>
          <w:color w:val="auto"/>
          <w:sz w:val="24"/>
          <w:highlight w:val="none"/>
        </w:rPr>
        <w:t>%，用扣除后的价格参加评审。组成联合体或者接受分包的小微企业与联合体内其他企业、分包企业之间存在直接控股、管理关系的，不享受价格扣除优惠政策。</w:t>
      </w:r>
    </w:p>
    <w:p w14:paraId="4489CBCD">
      <w:pPr>
        <w:widowControl/>
        <w:spacing w:line="360" w:lineRule="auto"/>
        <w:ind w:firstLine="480" w:firstLineChars="200"/>
        <w:jc w:val="left"/>
        <w:rPr>
          <w:rFonts w:hint="eastAsia"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251D3FD8">
      <w:pPr>
        <w:spacing w:line="360" w:lineRule="auto"/>
        <w:ind w:firstLine="480" w:firstLineChars="200"/>
        <w:rPr>
          <w:rFonts w:hint="eastAsia"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3CC1B98">
      <w:pPr>
        <w:spacing w:line="360" w:lineRule="auto"/>
        <w:ind w:firstLine="480" w:firstLineChars="200"/>
        <w:rPr>
          <w:rFonts w:hint="eastAsia" w:ascii="宋体" w:hAnsi="宋体" w:cs="宋体"/>
          <w:sz w:val="24"/>
        </w:rPr>
      </w:pPr>
      <w:r>
        <w:rPr>
          <w:rFonts w:hint="eastAsia" w:ascii="宋体" w:hAnsi="宋体" w:cs="宋体"/>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754E02C3">
      <w:pPr>
        <w:spacing w:line="360" w:lineRule="auto"/>
        <w:ind w:firstLine="480" w:firstLineChars="200"/>
        <w:rPr>
          <w:rFonts w:hint="eastAsia"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13DDFC1D">
      <w:pPr>
        <w:spacing w:line="360" w:lineRule="auto"/>
        <w:ind w:firstLine="480" w:firstLineChars="200"/>
        <w:rPr>
          <w:rFonts w:hint="eastAsia" w:ascii="宋体" w:hAnsi="宋体" w:cs="宋体"/>
          <w:sz w:val="24"/>
        </w:rPr>
      </w:pPr>
      <w:r>
        <w:rPr>
          <w:rFonts w:hint="eastAsia" w:ascii="宋体" w:hAnsi="宋体" w:cs="宋体"/>
          <w:sz w:val="24"/>
        </w:rPr>
        <w:t>3.4</w:t>
      </w:r>
      <w:r>
        <w:rPr>
          <w:rFonts w:hint="eastAsia" w:ascii="宋体" w:hAnsi="宋体" w:cs="宋体"/>
          <w:bCs/>
          <w:sz w:val="24"/>
        </w:rPr>
        <w:t>支持创新发展</w:t>
      </w:r>
    </w:p>
    <w:p w14:paraId="7A3B1758">
      <w:pPr>
        <w:spacing w:line="360" w:lineRule="auto"/>
        <w:ind w:firstLine="480" w:firstLineChars="200"/>
        <w:rPr>
          <w:rFonts w:hint="eastAsia" w:ascii="宋体" w:hAnsi="宋体" w:cs="宋体"/>
          <w:sz w:val="24"/>
        </w:rPr>
      </w:pPr>
      <w:r>
        <w:rPr>
          <w:rFonts w:hint="eastAsia" w:ascii="宋体" w:hAnsi="宋体" w:cs="宋体"/>
          <w:sz w:val="24"/>
        </w:rPr>
        <w:t>3.4.1 首台套、“制造精品”、“专精特新”等创新产品按规定享受政府采购支持政策。</w:t>
      </w:r>
    </w:p>
    <w:p w14:paraId="5A0EA049">
      <w:pPr>
        <w:spacing w:line="360" w:lineRule="auto"/>
        <w:ind w:firstLine="480" w:firstLineChars="200"/>
        <w:rPr>
          <w:rFonts w:hint="eastAsia" w:ascii="宋体" w:hAnsi="宋体" w:cs="宋体"/>
          <w:sz w:val="24"/>
        </w:rPr>
      </w:pPr>
      <w:r>
        <w:rPr>
          <w:rFonts w:hint="eastAsia" w:ascii="宋体" w:hAnsi="宋体" w:cs="宋体"/>
          <w:sz w:val="24"/>
        </w:rPr>
        <w:t>3.4.2 采购人应当贯彻落实知识产权保护相关法律法规，应当采购使用正版软件。</w:t>
      </w:r>
    </w:p>
    <w:p w14:paraId="33170546">
      <w:pPr>
        <w:spacing w:line="360" w:lineRule="auto"/>
        <w:ind w:firstLine="480" w:firstLineChars="200"/>
        <w:rPr>
          <w:rFonts w:hint="eastAsia" w:ascii="宋体" w:hAnsi="宋体" w:cs="宋体"/>
          <w:sz w:val="24"/>
        </w:rPr>
      </w:pPr>
      <w:r>
        <w:rPr>
          <w:rFonts w:hint="eastAsia" w:ascii="宋体" w:hAnsi="宋体" w:cs="宋体"/>
          <w:sz w:val="24"/>
        </w:rPr>
        <w:t>3.5平等对待内外资企业和符合条件的破产重整企业</w:t>
      </w:r>
    </w:p>
    <w:p w14:paraId="50F92E7F">
      <w:pPr>
        <w:spacing w:line="360" w:lineRule="auto"/>
        <w:ind w:firstLine="480" w:firstLineChars="200"/>
        <w:rPr>
          <w:rFonts w:hint="eastAsia" w:ascii="宋体" w:hAnsi="宋体" w:cs="宋体"/>
          <w:sz w:val="24"/>
        </w:rPr>
      </w:pPr>
      <w:r>
        <w:rPr>
          <w:rFonts w:hint="eastAsia" w:ascii="宋体" w:hAnsi="宋体" w:cs="宋体"/>
          <w:sz w:val="24"/>
        </w:rPr>
        <w:t>平等对待内外资企业和符合条件的破产重整企业，切实保障企业公平竞争，平等维护企业的合法利益。</w:t>
      </w:r>
    </w:p>
    <w:p w14:paraId="5CD403CD">
      <w:pPr>
        <w:spacing w:line="360" w:lineRule="auto"/>
        <w:ind w:firstLine="240" w:firstLineChars="1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3.6 支持本国产品</w:t>
      </w:r>
    </w:p>
    <w:p w14:paraId="43737C3C">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3.6.1 </w:t>
      </w:r>
      <w:r>
        <w:rPr>
          <w:rFonts w:hint="eastAsia" w:ascii="宋体" w:hAnsi="宋体" w:eastAsia="宋体" w:cs="宋体"/>
          <w:color w:val="000000" w:themeColor="text1"/>
          <w:spacing w:val="0"/>
          <w:sz w:val="24"/>
          <w:szCs w:val="24"/>
          <w:highlight w:val="none"/>
          <w14:textFill>
            <w14:solidFill>
              <w14:schemeClr w14:val="tx1"/>
            </w14:solidFill>
          </w14:textFill>
        </w:rPr>
        <w:t>本国产品标准适用于货物，包括政府采购货物项目和服务项目中涉及的货物。</w:t>
      </w:r>
    </w:p>
    <w:p w14:paraId="46770DA0">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3.6.2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w:t>
      </w:r>
    </w:p>
    <w:p w14:paraId="2F628FDC">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3.6.</w:t>
      </w: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14:paraId="4E5E3C91">
      <w:pPr>
        <w:spacing w:line="360" w:lineRule="auto"/>
        <w:ind w:firstLine="480" w:firstLineChars="200"/>
        <w:rPr>
          <w:rFonts w:hint="eastAsia" w:ascii="宋体" w:hAnsi="宋体" w:cs="宋体"/>
          <w:sz w:val="24"/>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3.6.</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 xml:space="preserve"> 评审委员会</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000000" w:themeColor="text1"/>
          <w:spacing w:val="0"/>
          <w:sz w:val="24"/>
          <w:szCs w:val="24"/>
          <w:highlight w:val="none"/>
          <w:shd w:val="clear" w:fill="FFFFFF"/>
          <w14:textFill>
            <w14:solidFill>
              <w14:schemeClr w14:val="tx1"/>
            </w14:solidFill>
          </w14:textFill>
        </w:rPr>
        <w:t>国务院办公厅关于在政府采购中实施本国产品标准及相关政策的通知</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》规定要求的，供应商提供的相关产品视为不符合本国产品标准</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w:t>
      </w:r>
    </w:p>
    <w:p w14:paraId="0B998D57">
      <w:pPr>
        <w:spacing w:line="360" w:lineRule="auto"/>
        <w:ind w:firstLine="482" w:firstLineChars="200"/>
        <w:rPr>
          <w:rFonts w:hint="eastAsia" w:ascii="宋体" w:hAnsi="宋体" w:cs="宋体"/>
          <w:b/>
          <w:sz w:val="24"/>
        </w:rPr>
      </w:pPr>
      <w:r>
        <w:rPr>
          <w:rFonts w:hint="eastAsia" w:ascii="宋体" w:hAnsi="宋体" w:cs="宋体"/>
          <w:b/>
          <w:sz w:val="24"/>
        </w:rPr>
        <w:t>4. 询问、质疑、投诉、补偿救济</w:t>
      </w:r>
    </w:p>
    <w:p w14:paraId="0E641986">
      <w:pPr>
        <w:autoSpaceDE/>
        <w:autoSpaceDN/>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4.1在线询问、质疑、投诉。</w:t>
      </w:r>
    </w:p>
    <w:p w14:paraId="72EA3A23">
      <w:pPr>
        <w:autoSpaceDE/>
        <w:autoSpaceDN/>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9A56896">
      <w:pPr>
        <w:autoSpaceDE/>
        <w:autoSpaceDN/>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4.2供应商询问</w:t>
      </w:r>
    </w:p>
    <w:p w14:paraId="3A868AA2">
      <w:pPr>
        <w:autoSpaceDE/>
        <w:autoSpaceDN/>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D8336CF">
      <w:pPr>
        <w:autoSpaceDE/>
        <w:autoSpaceDN/>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4.3供应商质疑</w:t>
      </w:r>
    </w:p>
    <w:p w14:paraId="41EB91D9">
      <w:pPr>
        <w:pStyle w:val="32"/>
        <w:spacing w:line="360" w:lineRule="auto"/>
        <w:ind w:firstLine="480" w:firstLineChars="200"/>
        <w:rPr>
          <w:rFonts w:hint="eastAsia"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00BBDA34">
      <w:pPr>
        <w:pStyle w:val="32"/>
        <w:spacing w:line="360" w:lineRule="auto"/>
        <w:ind w:firstLine="480" w:firstLineChars="200"/>
        <w:rPr>
          <w:rFonts w:hint="eastAsia"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DBFAB55">
      <w:pPr>
        <w:pStyle w:val="5"/>
        <w:spacing w:line="360" w:lineRule="auto"/>
        <w:ind w:firstLine="480" w:firstLineChars="200"/>
        <w:rPr>
          <w:rFonts w:hint="eastAsia" w:hAnsi="宋体" w:cs="宋体"/>
          <w:color w:val="auto"/>
          <w:kern w:val="2"/>
          <w:sz w:val="24"/>
        </w:rPr>
      </w:pPr>
      <w:r>
        <w:rPr>
          <w:rFonts w:hint="eastAsia" w:hAnsi="宋体" w:cs="宋体"/>
          <w:color w:val="auto"/>
          <w:kern w:val="2"/>
          <w:sz w:val="24"/>
        </w:rPr>
        <w:t>4.3.2.1对招标文件提出质疑的，质疑期限为供应商获得招标文件之日或者招标文件公告期限届满之日起计算。</w:t>
      </w:r>
    </w:p>
    <w:p w14:paraId="755FE3FA">
      <w:pPr>
        <w:pStyle w:val="32"/>
        <w:spacing w:line="360" w:lineRule="auto"/>
        <w:ind w:left="479" w:leftChars="228"/>
        <w:rPr>
          <w:rFonts w:hint="eastAsia"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0922A0DD">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E96F7AD">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4.3.3.1供应商的姓名或者名称、地址、邮编、联系人及联系电话；</w:t>
      </w:r>
    </w:p>
    <w:p w14:paraId="62D504B5">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4.3.3.2质疑项目的名称、编号；</w:t>
      </w:r>
    </w:p>
    <w:p w14:paraId="5F340BCA">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4.3.3.3具体、明确的质疑事项和与质疑事项相关的请求；</w:t>
      </w:r>
    </w:p>
    <w:p w14:paraId="476AE35A">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4.3.3.4事实依据；</w:t>
      </w:r>
    </w:p>
    <w:p w14:paraId="04DD3D62">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4.3.3.5必要的法律依据；</w:t>
      </w:r>
    </w:p>
    <w:p w14:paraId="2CA07BF7">
      <w:pPr>
        <w:pStyle w:val="32"/>
        <w:spacing w:line="360" w:lineRule="auto"/>
        <w:ind w:firstLine="960" w:firstLineChars="400"/>
        <w:rPr>
          <w:rFonts w:hint="eastAsia" w:hAnsi="宋体" w:cs="宋体"/>
          <w:kern w:val="0"/>
          <w:sz w:val="24"/>
          <w:lang w:val="zh-CN"/>
        </w:rPr>
      </w:pPr>
      <w:r>
        <w:rPr>
          <w:rFonts w:hint="eastAsia" w:hAnsi="宋体" w:cs="宋体"/>
          <w:kern w:val="0"/>
          <w:sz w:val="24"/>
          <w:lang w:val="zh-CN"/>
        </w:rPr>
        <w:t>4.3.3.6提出质疑的日期。</w:t>
      </w:r>
    </w:p>
    <w:p w14:paraId="37516090">
      <w:pPr>
        <w:pStyle w:val="577"/>
        <w:shd w:val="clear" w:color="auto" w:fill="FFFFFF"/>
        <w:snapToGrid w:val="0"/>
        <w:spacing w:before="0" w:beforeAutospacing="0" w:after="0" w:afterAutospacing="0" w:line="360" w:lineRule="auto"/>
        <w:ind w:firstLine="400"/>
        <w:contextualSpacing/>
        <w:rPr>
          <w:rFonts w:hint="eastAsia"/>
        </w:rPr>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4134743">
      <w:pPr>
        <w:pStyle w:val="577"/>
        <w:shd w:val="clear" w:color="auto" w:fill="FFFFFF"/>
        <w:snapToGrid w:val="0"/>
        <w:spacing w:before="0" w:beforeAutospacing="0" w:after="0" w:afterAutospacing="0" w:line="360" w:lineRule="auto"/>
        <w:ind w:firstLine="400"/>
        <w:contextualSpacing/>
        <w:rPr>
          <w:rFonts w:hint="eastAsia"/>
        </w:rPr>
      </w:pPr>
      <w:r>
        <w:rPr>
          <w:rFonts w:hint="eastAsia"/>
        </w:rPr>
        <w:t>质疑函范本及制作说明详见附件2。</w:t>
      </w:r>
    </w:p>
    <w:p w14:paraId="64B22C24">
      <w:pPr>
        <w:pStyle w:val="577"/>
        <w:shd w:val="clear" w:color="auto" w:fill="FFFFFF"/>
        <w:snapToGrid w:val="0"/>
        <w:spacing w:before="0" w:beforeAutospacing="0" w:after="0" w:afterAutospacing="0" w:line="360" w:lineRule="auto"/>
        <w:ind w:firstLine="400"/>
        <w:contextualSpacing/>
        <w:rPr>
          <w:rFonts w:hint="eastAsia"/>
        </w:rPr>
      </w:pPr>
      <w:r>
        <w:rPr>
          <w:rFonts w:hint="eastAsia"/>
        </w:rPr>
        <w:t>4.3.4对同一采购程序环节的质疑，供应商须在法定质疑期内一次性提出。</w:t>
      </w:r>
    </w:p>
    <w:p w14:paraId="03841715">
      <w:pPr>
        <w:pStyle w:val="577"/>
        <w:shd w:val="clear" w:color="auto" w:fill="FFFFFF"/>
        <w:snapToGrid w:val="0"/>
        <w:spacing w:before="0" w:beforeAutospacing="0" w:after="0" w:afterAutospacing="0" w:line="360" w:lineRule="auto"/>
        <w:ind w:firstLine="400"/>
        <w:contextualSpacing/>
        <w:rPr>
          <w:rFonts w:hint="eastAsia"/>
        </w:rPr>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059215F7">
      <w:pPr>
        <w:pStyle w:val="577"/>
        <w:shd w:val="clear" w:color="auto" w:fill="FFFFFF"/>
        <w:snapToGrid w:val="0"/>
        <w:spacing w:before="0" w:beforeAutospacing="0" w:after="0" w:afterAutospacing="0" w:line="360" w:lineRule="auto"/>
        <w:ind w:firstLine="400"/>
        <w:contextualSpacing/>
        <w:rPr>
          <w:rFonts w:hint="eastAsia"/>
        </w:rPr>
      </w:pPr>
      <w:r>
        <w:rPr>
          <w:rFonts w:hint="eastAsia"/>
          <w:lang w:val="zh-CN"/>
        </w:rPr>
        <w:t>4.3</w:t>
      </w:r>
      <w:r>
        <w:rPr>
          <w:rFonts w:hint="eastAsia"/>
        </w:rPr>
        <w:t>.6询问或者质疑事项可能影响采购结果的，采购人应当暂停签订合同，已经签订合同的，应当中止履行合同。</w:t>
      </w:r>
    </w:p>
    <w:p w14:paraId="19F2AF9A">
      <w:pPr>
        <w:pStyle w:val="577"/>
        <w:shd w:val="clear" w:color="auto" w:fill="FFFFFF"/>
        <w:snapToGrid w:val="0"/>
        <w:spacing w:before="0" w:beforeAutospacing="0" w:after="0" w:afterAutospacing="0" w:line="360" w:lineRule="auto"/>
        <w:ind w:firstLine="400" w:firstLineChars="0"/>
        <w:contextualSpacing/>
        <w:rPr>
          <w:rFonts w:hint="eastAsia"/>
          <w:lang w:val="zh-CN"/>
        </w:rPr>
      </w:pPr>
      <w:r>
        <w:rPr>
          <w:rFonts w:hint="eastAsia"/>
          <w:lang w:val="zh-CN"/>
        </w:rPr>
        <w:t>4.4供应商投诉</w:t>
      </w:r>
    </w:p>
    <w:p w14:paraId="54FC21AE">
      <w:pPr>
        <w:pStyle w:val="577"/>
        <w:shd w:val="clear" w:color="auto" w:fill="FFFFFF"/>
        <w:snapToGrid w:val="0"/>
        <w:spacing w:before="0" w:beforeAutospacing="0" w:after="0" w:afterAutospacing="0" w:line="360" w:lineRule="auto"/>
        <w:ind w:firstLine="400"/>
        <w:contextualSpacing/>
        <w:rPr>
          <w:rFonts w:hint="eastAsia"/>
        </w:rPr>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71710C6C">
      <w:pPr>
        <w:pStyle w:val="577"/>
        <w:shd w:val="clear" w:color="auto" w:fill="FFFFFF"/>
        <w:snapToGrid w:val="0"/>
        <w:spacing w:before="0" w:beforeAutospacing="0" w:after="0" w:afterAutospacing="0" w:line="360" w:lineRule="auto"/>
        <w:ind w:firstLine="400"/>
        <w:contextualSpacing/>
        <w:rPr>
          <w:rFonts w:hint="eastAsia"/>
        </w:rPr>
      </w:pPr>
      <w:r>
        <w:rPr>
          <w:rFonts w:hint="eastAsia"/>
        </w:rPr>
        <w:t>4.4.</w:t>
      </w:r>
      <w:r>
        <w:rPr>
          <w:rFonts w:hint="eastAsia"/>
          <w:lang w:val="zh-CN"/>
        </w:rPr>
        <w:t>2</w:t>
      </w:r>
      <w:r>
        <w:rPr>
          <w:rFonts w:hint="eastAsia"/>
        </w:rPr>
        <w:t>供应商投诉的事项不得超出已质疑事项的范围，基于质疑答复内容提出的投诉事项除外。</w:t>
      </w:r>
    </w:p>
    <w:p w14:paraId="41BF0B3A">
      <w:pPr>
        <w:pStyle w:val="577"/>
        <w:shd w:val="clear" w:color="auto" w:fill="FFFFFF"/>
        <w:snapToGrid w:val="0"/>
        <w:spacing w:before="0" w:beforeAutospacing="0" w:after="0" w:afterAutospacing="0" w:line="360" w:lineRule="auto"/>
        <w:ind w:firstLine="400"/>
        <w:contextualSpacing/>
        <w:rPr>
          <w:rFonts w:hint="eastAsia"/>
        </w:rPr>
      </w:pPr>
      <w:r>
        <w:rPr>
          <w:rFonts w:hint="eastAsia"/>
        </w:rPr>
        <w:t>4.4.3供应商投诉应当有明确的请求和必要的证明材料。</w:t>
      </w:r>
    </w:p>
    <w:p w14:paraId="39B84E80">
      <w:pPr>
        <w:pStyle w:val="577"/>
        <w:shd w:val="clear" w:color="auto" w:fill="FFFFFF"/>
        <w:snapToGrid w:val="0"/>
        <w:spacing w:before="0" w:beforeAutospacing="0" w:after="0" w:afterAutospacing="0" w:line="360" w:lineRule="auto"/>
        <w:ind w:firstLine="400"/>
        <w:contextualSpacing/>
        <w:rPr>
          <w:rFonts w:hint="eastAsia"/>
        </w:rPr>
      </w:pPr>
      <w:r>
        <w:rPr>
          <w:rFonts w:hint="eastAsia"/>
        </w:rPr>
        <w:t>4.4.4以联合体形式参加政府采购活动的，其投诉应当由组成联合体的所有供应商共同提出。</w:t>
      </w:r>
    </w:p>
    <w:p w14:paraId="27D4258B">
      <w:pPr>
        <w:pStyle w:val="577"/>
        <w:shd w:val="clear" w:color="auto" w:fill="FFFFFF"/>
        <w:snapToGrid w:val="0"/>
        <w:spacing w:before="0" w:beforeAutospacing="0" w:after="0" w:afterAutospacing="0" w:line="360" w:lineRule="auto"/>
        <w:ind w:firstLine="400"/>
        <w:contextualSpacing/>
        <w:rPr>
          <w:rFonts w:hint="eastAsia"/>
        </w:rPr>
      </w:pPr>
      <w:r>
        <w:rPr>
          <w:rFonts w:hint="eastAsia"/>
        </w:rPr>
        <w:t>4.4.5</w:t>
      </w:r>
      <w:r>
        <w:rPr>
          <w:rFonts w:hint="eastAsia"/>
          <w:color w:val="000000" w:themeColor="text1"/>
          <w14:textFill>
            <w14:solidFill>
              <w14:schemeClr w14:val="tx1"/>
            </w14:solidFill>
          </w14:textFill>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w:t>
      </w:r>
      <w:r>
        <w:rPr>
          <w:rFonts w:hint="eastAsia"/>
          <w:color w:val="000000" w:themeColor="text1"/>
          <w:lang w:val="en-US" w:eastAsia="zh-CN"/>
          <w14:textFill>
            <w14:solidFill>
              <w14:schemeClr w14:val="tx1"/>
            </w14:solidFill>
          </w14:textFill>
        </w:rPr>
        <w:t>林</w:t>
      </w:r>
      <w:r>
        <w:rPr>
          <w:rFonts w:hint="eastAsia"/>
          <w:color w:val="000000" w:themeColor="text1"/>
          <w14:textFill>
            <w14:solidFill>
              <w14:schemeClr w14:val="tx1"/>
            </w14:solidFill>
          </w14:textFill>
        </w:rPr>
        <w:t>老师，电话：0571-87227671。</w:t>
      </w:r>
    </w:p>
    <w:p w14:paraId="4BEEFBCE">
      <w:pPr>
        <w:snapToGrid w:val="0"/>
        <w:spacing w:line="360" w:lineRule="auto"/>
        <w:ind w:firstLine="480" w:firstLineChars="200"/>
        <w:rPr>
          <w:rFonts w:hint="eastAsia" w:ascii="宋体" w:hAnsi="宋体" w:cs="仿宋"/>
          <w:sz w:val="24"/>
        </w:rPr>
      </w:pPr>
      <w:r>
        <w:rPr>
          <w:rFonts w:hint="eastAsia" w:ascii="宋体" w:hAnsi="宋体" w:cs="仿宋"/>
          <w:sz w:val="24"/>
        </w:rPr>
        <w:t>4.5 补偿救济</w:t>
      </w:r>
    </w:p>
    <w:p w14:paraId="04BDB3AA">
      <w:pPr>
        <w:snapToGrid w:val="0"/>
        <w:spacing w:line="360" w:lineRule="auto"/>
        <w:ind w:firstLine="480" w:firstLineChars="200"/>
      </w:pPr>
      <w:r>
        <w:rPr>
          <w:rFonts w:hint="eastAsia" w:ascii="宋体" w:hAnsi="宋体" w:cs="仿宋"/>
          <w:sz w:val="24"/>
        </w:rPr>
        <w:t>采购人因政策变化、规划调整而不履行政府采购合同的，供应商可依据《杭州市涉企补偿救济实施办法（试行）》向采购人提起补偿申请。</w:t>
      </w:r>
    </w:p>
    <w:p w14:paraId="2D94EC5A">
      <w:pPr>
        <w:pStyle w:val="577"/>
        <w:shd w:val="clear" w:color="auto" w:fill="FFFFFF"/>
        <w:snapToGrid w:val="0"/>
        <w:spacing w:before="0" w:beforeAutospacing="0" w:after="0" w:afterAutospacing="0" w:line="360" w:lineRule="auto"/>
        <w:ind w:firstLine="400"/>
        <w:contextualSpacing/>
        <w:rPr>
          <w:rFonts w:hint="eastAsia"/>
        </w:rPr>
      </w:pPr>
      <w:r>
        <w:rPr>
          <w:rFonts w:hint="eastAsia"/>
        </w:rPr>
        <w:t>投诉书范本及制作说明详见附件3。</w:t>
      </w:r>
    </w:p>
    <w:p w14:paraId="44CAB0EE">
      <w:pPr>
        <w:pStyle w:val="89"/>
        <w:snapToGrid w:val="0"/>
        <w:spacing w:before="0" w:line="360" w:lineRule="auto"/>
        <w:ind w:firstLine="360"/>
        <w:rPr>
          <w:rFonts w:hint="eastAsia" w:ascii="宋体" w:hAnsi="宋体" w:cs="宋体"/>
          <w:sz w:val="18"/>
          <w:szCs w:val="18"/>
        </w:rPr>
      </w:pPr>
    </w:p>
    <w:p w14:paraId="16F96D83">
      <w:pPr>
        <w:adjustRightInd/>
        <w:spacing w:line="360" w:lineRule="auto"/>
        <w:jc w:val="center"/>
        <w:rPr>
          <w:b/>
          <w:bCs/>
          <w:sz w:val="32"/>
          <w:szCs w:val="32"/>
        </w:rPr>
      </w:pPr>
      <w:r>
        <w:rPr>
          <w:rFonts w:hint="eastAsia"/>
          <w:b/>
          <w:bCs/>
          <w:sz w:val="32"/>
          <w:szCs w:val="32"/>
        </w:rPr>
        <w:t>二、招标文件的构成、澄清、修改</w:t>
      </w:r>
    </w:p>
    <w:p w14:paraId="6AEF463E">
      <w:pPr>
        <w:pStyle w:val="32"/>
        <w:spacing w:line="360" w:lineRule="auto"/>
        <w:rPr>
          <w:rFonts w:hint="eastAsia" w:hAnsi="宋体" w:cs="宋体"/>
          <w:b/>
          <w:sz w:val="24"/>
          <w:szCs w:val="24"/>
        </w:rPr>
      </w:pPr>
      <w:r>
        <w:rPr>
          <w:rFonts w:hint="eastAsia" w:hAnsi="宋体" w:cs="宋体"/>
          <w:b/>
          <w:sz w:val="24"/>
          <w:szCs w:val="24"/>
        </w:rPr>
        <w:t>5．招标文件的构成</w:t>
      </w:r>
    </w:p>
    <w:p w14:paraId="3616DBFC">
      <w:pPr>
        <w:pStyle w:val="32"/>
        <w:spacing w:line="360" w:lineRule="auto"/>
        <w:ind w:firstLine="480" w:firstLineChars="200"/>
        <w:rPr>
          <w:rFonts w:hint="eastAsia" w:hAnsi="宋体" w:cs="宋体"/>
          <w:sz w:val="24"/>
          <w:szCs w:val="24"/>
        </w:rPr>
      </w:pPr>
      <w:r>
        <w:rPr>
          <w:rFonts w:hint="eastAsia" w:hAnsi="宋体" w:cs="宋体"/>
          <w:sz w:val="24"/>
          <w:szCs w:val="24"/>
        </w:rPr>
        <w:t>5.1 招标文件包括下列文件及附件：</w:t>
      </w:r>
    </w:p>
    <w:p w14:paraId="21685DB9">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5.1.1招标公告；</w:t>
      </w:r>
    </w:p>
    <w:p w14:paraId="2CA8FED0">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5.1.2投标人须知；</w:t>
      </w:r>
    </w:p>
    <w:p w14:paraId="609D7DC0">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5.1.3采购需求；</w:t>
      </w:r>
    </w:p>
    <w:p w14:paraId="7F9358AD">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5.1.4评标办法；</w:t>
      </w:r>
    </w:p>
    <w:p w14:paraId="5B86BD97">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5.1.5拟签订的合同文本；</w:t>
      </w:r>
    </w:p>
    <w:p w14:paraId="4AA9DF21">
      <w:pPr>
        <w:pStyle w:val="32"/>
        <w:tabs>
          <w:tab w:val="left" w:pos="840"/>
        </w:tabs>
        <w:spacing w:line="360" w:lineRule="auto"/>
        <w:ind w:firstLine="960" w:firstLineChars="400"/>
        <w:rPr>
          <w:rFonts w:hint="eastAsia" w:hAnsi="宋体" w:cs="宋体"/>
          <w:sz w:val="24"/>
          <w:szCs w:val="24"/>
        </w:rPr>
      </w:pPr>
      <w:r>
        <w:rPr>
          <w:rFonts w:hint="eastAsia" w:hAnsi="宋体" w:cs="宋体"/>
          <w:sz w:val="24"/>
        </w:rPr>
        <w:t>5.1.6</w:t>
      </w:r>
      <w:r>
        <w:rPr>
          <w:rFonts w:hint="eastAsia" w:hAnsi="宋体" w:cs="宋体"/>
          <w:sz w:val="24"/>
          <w:szCs w:val="24"/>
        </w:rPr>
        <w:t>应提交的有关格式范例。</w:t>
      </w:r>
    </w:p>
    <w:p w14:paraId="5C04722F">
      <w:pPr>
        <w:spacing w:line="360" w:lineRule="auto"/>
        <w:ind w:firstLine="480" w:firstLineChars="200"/>
        <w:rPr>
          <w:rFonts w:hint="eastAsia"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79C8472">
      <w:pPr>
        <w:pStyle w:val="32"/>
        <w:spacing w:line="360" w:lineRule="auto"/>
        <w:rPr>
          <w:rFonts w:hint="eastAsia" w:hAnsi="宋体" w:cs="宋体"/>
          <w:b/>
          <w:sz w:val="24"/>
          <w:szCs w:val="24"/>
        </w:rPr>
      </w:pPr>
      <w:r>
        <w:rPr>
          <w:rFonts w:hint="eastAsia" w:hAnsi="宋体" w:cs="宋体"/>
          <w:b/>
          <w:sz w:val="24"/>
          <w:szCs w:val="24"/>
        </w:rPr>
        <w:t>6. 招标文件的澄清、修改</w:t>
      </w:r>
    </w:p>
    <w:p w14:paraId="506A9327">
      <w:pPr>
        <w:pStyle w:val="89"/>
        <w:snapToGrid w:val="0"/>
        <w:spacing w:before="0" w:line="360" w:lineRule="auto"/>
        <w:ind w:firstLine="480"/>
        <w:rPr>
          <w:rFonts w:hint="eastAsia" w:ascii="宋体" w:hAnsi="宋体" w:cs="宋体"/>
        </w:rPr>
      </w:pPr>
      <w:r>
        <w:rPr>
          <w:rFonts w:hint="eastAsia" w:ascii="宋体" w:hAnsi="宋体" w:cs="宋体"/>
        </w:rPr>
        <w:t>6.1已获取招标文件的潜在投标人，若有问题需要澄清，应于投标截止时间前，以书面形式向采购代理机构提出。</w:t>
      </w:r>
    </w:p>
    <w:p w14:paraId="184F712D">
      <w:pPr>
        <w:pStyle w:val="89"/>
        <w:snapToGrid w:val="0"/>
        <w:spacing w:before="0" w:line="360" w:lineRule="auto"/>
        <w:ind w:firstLine="480"/>
        <w:rPr>
          <w:rFonts w:hint="eastAsia"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FEE215">
      <w:pPr>
        <w:pStyle w:val="23"/>
        <w:autoSpaceDE/>
        <w:autoSpaceDN/>
        <w:spacing w:line="360" w:lineRule="auto"/>
        <w:rPr>
          <w:rFonts w:hint="eastAsia" w:hAnsi="宋体" w:cs="宋体"/>
          <w:sz w:val="18"/>
          <w:szCs w:val="18"/>
          <w:lang w:val="en-US"/>
        </w:rPr>
      </w:pPr>
      <w:r>
        <w:rPr>
          <w:rFonts w:hint="eastAsia" w:hAnsi="宋体" w:cs="宋体"/>
          <w:szCs w:val="24"/>
          <w:lang w:val="en-US"/>
        </w:rPr>
        <w:t xml:space="preserve">    </w:t>
      </w:r>
    </w:p>
    <w:p w14:paraId="552578BF">
      <w:pPr>
        <w:adjustRightInd/>
        <w:spacing w:line="360" w:lineRule="auto"/>
        <w:jc w:val="center"/>
        <w:rPr>
          <w:b/>
          <w:bCs/>
          <w:sz w:val="32"/>
          <w:szCs w:val="32"/>
        </w:rPr>
      </w:pPr>
      <w:r>
        <w:rPr>
          <w:rFonts w:hint="eastAsia"/>
          <w:b/>
          <w:bCs/>
          <w:sz w:val="32"/>
          <w:szCs w:val="32"/>
        </w:rPr>
        <w:t>三、投标</w:t>
      </w:r>
    </w:p>
    <w:p w14:paraId="41614DAB">
      <w:pPr>
        <w:pStyle w:val="32"/>
        <w:spacing w:line="360" w:lineRule="auto"/>
        <w:rPr>
          <w:rFonts w:hint="eastAsia" w:hAnsi="宋体" w:cs="宋体"/>
          <w:b/>
          <w:sz w:val="24"/>
          <w:szCs w:val="24"/>
        </w:rPr>
      </w:pPr>
      <w:r>
        <w:rPr>
          <w:rFonts w:hint="eastAsia" w:hAnsi="宋体" w:cs="宋体"/>
          <w:b/>
          <w:sz w:val="24"/>
          <w:szCs w:val="24"/>
        </w:rPr>
        <w:t>7. 招标文件的获取</w:t>
      </w:r>
    </w:p>
    <w:p w14:paraId="1E8B8DFF">
      <w:pPr>
        <w:spacing w:line="360" w:lineRule="auto"/>
        <w:ind w:firstLine="480" w:firstLineChars="200"/>
        <w:rPr>
          <w:rFonts w:hint="eastAsia"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5A9BB096">
      <w:pPr>
        <w:pStyle w:val="32"/>
        <w:spacing w:line="360" w:lineRule="auto"/>
        <w:rPr>
          <w:rFonts w:hint="eastAsia" w:hAnsi="宋体" w:cs="宋体"/>
          <w:b/>
          <w:sz w:val="24"/>
          <w:szCs w:val="24"/>
        </w:rPr>
      </w:pPr>
      <w:r>
        <w:rPr>
          <w:rFonts w:hint="eastAsia" w:hAnsi="宋体" w:cs="宋体"/>
          <w:b/>
          <w:sz w:val="24"/>
          <w:szCs w:val="24"/>
        </w:rPr>
        <w:t>8.开标前答疑会或现场考察</w:t>
      </w:r>
    </w:p>
    <w:p w14:paraId="4191F731">
      <w:pPr>
        <w:pStyle w:val="32"/>
        <w:spacing w:line="360" w:lineRule="auto"/>
        <w:ind w:firstLine="480" w:firstLineChars="200"/>
        <w:rPr>
          <w:rFonts w:hint="eastAsia"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15549EB">
      <w:pPr>
        <w:pStyle w:val="32"/>
        <w:spacing w:line="360" w:lineRule="auto"/>
        <w:rPr>
          <w:rFonts w:hint="eastAsia" w:hAnsi="宋体" w:cs="宋体"/>
          <w:color w:val="auto"/>
          <w:sz w:val="24"/>
        </w:rPr>
      </w:pPr>
      <w:r>
        <w:rPr>
          <w:rFonts w:hint="eastAsia" w:hAnsi="宋体" w:cs="宋体"/>
          <w:b/>
          <w:kern w:val="28"/>
          <w:sz w:val="24"/>
          <w:szCs w:val="24"/>
        </w:rPr>
        <w:t>9.投标保证金</w:t>
      </w:r>
      <w:r>
        <w:rPr>
          <w:rFonts w:hint="eastAsia" w:hAnsi="宋体" w:cs="宋体"/>
          <w:b/>
          <w:kern w:val="28"/>
          <w:sz w:val="24"/>
          <w:szCs w:val="24"/>
          <w:lang w:eastAsia="zh-CN"/>
        </w:rPr>
        <w:t>：</w:t>
      </w:r>
      <w:r>
        <w:rPr>
          <w:rFonts w:hint="eastAsia" w:hAnsi="宋体" w:cs="宋体"/>
          <w:color w:val="auto"/>
          <w:sz w:val="24"/>
        </w:rPr>
        <w:t>本项目不需缴纳投标保证金。</w:t>
      </w:r>
    </w:p>
    <w:p w14:paraId="5780E4C0">
      <w:pPr>
        <w:pStyle w:val="32"/>
        <w:spacing w:line="360" w:lineRule="auto"/>
        <w:rPr>
          <w:rFonts w:hint="eastAsia" w:hAnsi="宋体" w:cs="宋体"/>
          <w:b/>
          <w:sz w:val="24"/>
          <w:szCs w:val="24"/>
        </w:rPr>
      </w:pPr>
      <w:r>
        <w:rPr>
          <w:rFonts w:hint="eastAsia" w:hAnsi="宋体" w:cs="宋体"/>
          <w:b/>
          <w:sz w:val="24"/>
          <w:szCs w:val="24"/>
        </w:rPr>
        <w:t>10. 投标文件的语言</w:t>
      </w:r>
    </w:p>
    <w:p w14:paraId="629185C3">
      <w:pPr>
        <w:autoSpaceDE/>
        <w:autoSpaceDN/>
        <w:spacing w:line="360" w:lineRule="auto"/>
        <w:ind w:firstLine="480" w:firstLineChars="200"/>
        <w:rPr>
          <w:rFonts w:hint="eastAsia" w:ascii="宋体" w:hAnsi="宋体" w:cs="宋体"/>
          <w:sz w:val="24"/>
          <w:lang w:val="zh-CN"/>
        </w:rPr>
      </w:pPr>
      <w:r>
        <w:rPr>
          <w:rFonts w:hint="eastAsia" w:ascii="宋体" w:hAnsi="宋体" w:cs="宋体"/>
          <w:sz w:val="24"/>
        </w:rPr>
        <w:t>投标文件及投标人与采购有关的来往通知、函件和文件均应使用中文。</w:t>
      </w:r>
    </w:p>
    <w:p w14:paraId="4292CDBF">
      <w:pPr>
        <w:pStyle w:val="32"/>
        <w:spacing w:line="360" w:lineRule="auto"/>
        <w:rPr>
          <w:rFonts w:hint="eastAsia" w:hAnsi="宋体" w:cs="宋体"/>
          <w:b/>
          <w:sz w:val="24"/>
          <w:szCs w:val="24"/>
        </w:rPr>
      </w:pPr>
      <w:r>
        <w:rPr>
          <w:rFonts w:hint="eastAsia" w:hAnsi="宋体" w:cs="宋体"/>
          <w:b/>
          <w:sz w:val="24"/>
          <w:szCs w:val="24"/>
        </w:rPr>
        <w:t>11. 投标文件的组成</w:t>
      </w:r>
    </w:p>
    <w:p w14:paraId="49CF0499">
      <w:pPr>
        <w:snapToGrid w:val="0"/>
        <w:spacing w:line="360" w:lineRule="auto"/>
        <w:ind w:firstLine="482" w:firstLineChars="200"/>
        <w:rPr>
          <w:rFonts w:hint="eastAsia" w:ascii="宋体" w:hAnsi="宋体" w:cs="宋体"/>
          <w:sz w:val="24"/>
        </w:rPr>
      </w:pPr>
      <w:r>
        <w:rPr>
          <w:rFonts w:hint="eastAsia" w:ascii="宋体" w:hAnsi="宋体" w:cs="宋体"/>
          <w:b/>
          <w:bCs/>
          <w:sz w:val="24"/>
        </w:rPr>
        <w:t>11.1</w:t>
      </w:r>
      <w:r>
        <w:rPr>
          <w:rFonts w:hint="eastAsia" w:ascii="宋体" w:hAnsi="宋体" w:cs="宋体"/>
          <w:b/>
          <w:sz w:val="24"/>
        </w:rPr>
        <w:t>资格文件</w:t>
      </w:r>
      <w:r>
        <w:rPr>
          <w:rFonts w:hint="eastAsia" w:ascii="宋体" w:hAnsi="宋体" w:cs="宋体"/>
          <w:sz w:val="24"/>
        </w:rPr>
        <w:t>：</w:t>
      </w:r>
    </w:p>
    <w:p w14:paraId="086881CD">
      <w:pPr>
        <w:snapToGrid w:val="0"/>
        <w:spacing w:line="360" w:lineRule="auto"/>
        <w:ind w:firstLine="960" w:firstLineChars="400"/>
        <w:rPr>
          <w:rFonts w:hint="eastAsia" w:ascii="宋体" w:hAnsi="宋体" w:cs="宋体"/>
          <w:sz w:val="24"/>
        </w:rPr>
      </w:pPr>
      <w:r>
        <w:rPr>
          <w:rFonts w:hint="eastAsia" w:asciiTheme="minorEastAsia" w:hAnsiTheme="minorEastAsia" w:eastAsiaTheme="minorEastAsia" w:cstheme="minorEastAsia"/>
          <w:sz w:val="24"/>
        </w:rPr>
        <w:t>▲</w:t>
      </w:r>
      <w:r>
        <w:rPr>
          <w:rFonts w:hint="eastAsia" w:ascii="宋体" w:hAnsi="宋体" w:cs="宋体"/>
          <w:b/>
          <w:bCs/>
          <w:sz w:val="24"/>
        </w:rPr>
        <w:t>11.1.1符合参加政府采购活动应当具备的一般条件的承诺函；</w:t>
      </w:r>
    </w:p>
    <w:p w14:paraId="4429147B">
      <w:pPr>
        <w:snapToGrid w:val="0"/>
        <w:spacing w:line="360" w:lineRule="auto"/>
        <w:ind w:left="479" w:leftChars="228" w:firstLine="480" w:firstLineChars="200"/>
        <w:rPr>
          <w:rFonts w:hint="eastAsia" w:ascii="宋体" w:hAnsi="宋体" w:cs="宋体"/>
          <w:color w:val="000000"/>
          <w:sz w:val="24"/>
          <w:szCs w:val="21"/>
        </w:rPr>
      </w:pPr>
      <w:r>
        <w:rPr>
          <w:rFonts w:hint="eastAsia" w:asciiTheme="minorEastAsia" w:hAnsiTheme="minorEastAsia" w:eastAsiaTheme="minorEastAsia" w:cstheme="minorEastAsia"/>
          <w:sz w:val="24"/>
        </w:rPr>
        <w:t>▲</w:t>
      </w:r>
      <w:r>
        <w:rPr>
          <w:rFonts w:hint="eastAsia" w:ascii="宋体" w:hAnsi="宋体" w:cs="宋体"/>
          <w:b/>
          <w:bCs/>
          <w:sz w:val="24"/>
        </w:rPr>
        <w:t>11.1.2</w:t>
      </w:r>
      <w:r>
        <w:rPr>
          <w:rFonts w:hint="eastAsia" w:ascii="宋体" w:hAnsi="宋体" w:cs="宋体"/>
          <w:b/>
          <w:bCs/>
          <w:color w:val="000000"/>
          <w:sz w:val="24"/>
          <w:szCs w:val="21"/>
        </w:rPr>
        <w:t>营业执照，有效营业执照或者其他组织机构的营业执照或事业法人登记证书或其他市场监督管理部门登记证明材料；提供营业执照或其他执照扫描件或复印件加盖公章；</w:t>
      </w:r>
    </w:p>
    <w:p w14:paraId="668D1FF7">
      <w:pPr>
        <w:snapToGrid w:val="0"/>
        <w:spacing w:line="360" w:lineRule="auto"/>
        <w:ind w:left="479" w:leftChars="228" w:firstLine="480" w:firstLineChars="200"/>
        <w:rPr>
          <w:rFonts w:hint="eastAsia" w:ascii="宋体" w:hAnsi="宋体" w:cs="宋体"/>
          <w:sz w:val="24"/>
        </w:rPr>
      </w:pPr>
      <w:r>
        <w:rPr>
          <w:rFonts w:hint="eastAsia" w:ascii="宋体" w:hAnsi="宋体" w:cs="宋体"/>
          <w:sz w:val="24"/>
        </w:rPr>
        <w:t>1</w:t>
      </w:r>
      <w:r>
        <w:rPr>
          <w:rFonts w:ascii="宋体" w:hAnsi="宋体" w:cs="宋体"/>
          <w:sz w:val="24"/>
        </w:rPr>
        <w:t>1.1.</w:t>
      </w:r>
      <w:r>
        <w:rPr>
          <w:rFonts w:hint="eastAsia" w:ascii="宋体" w:hAnsi="宋体" w:cs="宋体"/>
          <w:sz w:val="24"/>
        </w:rPr>
        <w:t>3</w:t>
      </w:r>
      <w:r>
        <w:rPr>
          <w:rFonts w:hint="eastAsia" w:ascii="宋体" w:hAnsi="宋体" w:cs="宋体"/>
          <w:snapToGrid w:val="0"/>
          <w:kern w:val="28"/>
          <w:sz w:val="24"/>
          <w:szCs w:val="20"/>
        </w:rPr>
        <w:t>联合协议（若有)；</w:t>
      </w:r>
    </w:p>
    <w:p w14:paraId="19051D7D">
      <w:pPr>
        <w:snapToGrid w:val="0"/>
        <w:spacing w:line="360" w:lineRule="auto"/>
        <w:ind w:firstLine="960" w:firstLineChars="400"/>
        <w:rPr>
          <w:rFonts w:hint="eastAsia" w:ascii="宋体" w:hAnsi="宋体" w:cs="宋体"/>
          <w:sz w:val="24"/>
        </w:rPr>
      </w:pPr>
      <w:r>
        <w:rPr>
          <w:rFonts w:hint="eastAsia" w:asciiTheme="minorEastAsia" w:hAnsiTheme="minorEastAsia" w:eastAsiaTheme="minorEastAsia" w:cstheme="minorEastAsia"/>
          <w:sz w:val="24"/>
        </w:rPr>
        <w:t>▲</w:t>
      </w:r>
      <w:r>
        <w:rPr>
          <w:rFonts w:hint="eastAsia" w:ascii="宋体" w:hAnsi="宋体" w:cs="宋体"/>
          <w:b/>
          <w:bCs/>
          <w:sz w:val="24"/>
        </w:rPr>
        <w:t>11.1.4落实政府采购政策需满足的资格要求（</w:t>
      </w:r>
      <w:r>
        <w:rPr>
          <w:rFonts w:hint="eastAsia" w:ascii="宋体" w:hAnsi="宋体" w:cs="宋体"/>
          <w:b/>
          <w:bCs/>
          <w:color w:val="000000" w:themeColor="text1"/>
          <w:sz w:val="24"/>
          <w14:textFill>
            <w14:solidFill>
              <w14:schemeClr w14:val="tx1"/>
            </w14:solidFill>
          </w14:textFill>
        </w:rPr>
        <w:t>本项目为专门面向中小企业采购的项目,投标单位应为中型或小型企业或微企业或监狱企业和残疾人福利性单位；投标时提供中小企业申明函（格式后附），否则其投标文件作无效投标处理）；</w:t>
      </w:r>
    </w:p>
    <w:p w14:paraId="31B9DD39">
      <w:pPr>
        <w:snapToGrid w:val="0"/>
        <w:spacing w:line="360" w:lineRule="auto"/>
        <w:ind w:firstLine="960" w:firstLineChars="400"/>
        <w:rPr>
          <w:rFonts w:hint="eastAsia" w:ascii="宋体" w:hAnsi="宋体" w:cs="宋体"/>
          <w:sz w:val="24"/>
        </w:rPr>
      </w:pPr>
      <w:r>
        <w:rPr>
          <w:rFonts w:hint="eastAsia" w:ascii="宋体" w:hAnsi="宋体" w:cs="宋体"/>
          <w:sz w:val="24"/>
        </w:rPr>
        <w:t>11.1.5本项目的特定资格要求</w:t>
      </w:r>
      <w:r>
        <w:rPr>
          <w:rFonts w:hint="eastAsia" w:ascii="宋体" w:hAnsi="宋体" w:cs="宋体"/>
          <w:snapToGrid w:val="0"/>
          <w:kern w:val="28"/>
          <w:sz w:val="24"/>
          <w:szCs w:val="20"/>
        </w:rPr>
        <w:t>（若有)</w:t>
      </w:r>
      <w:r>
        <w:rPr>
          <w:rFonts w:hint="eastAsia" w:ascii="宋体" w:hAnsi="宋体" w:cs="宋体"/>
          <w:sz w:val="24"/>
        </w:rPr>
        <w:t>。</w:t>
      </w:r>
    </w:p>
    <w:p w14:paraId="08710429">
      <w:pPr>
        <w:snapToGrid w:val="0"/>
        <w:spacing w:line="360" w:lineRule="auto"/>
        <w:ind w:firstLine="482" w:firstLineChars="200"/>
        <w:rPr>
          <w:rFonts w:hint="eastAsia" w:ascii="宋体" w:hAnsi="宋体" w:cs="宋体"/>
          <w:sz w:val="24"/>
          <w:lang w:val="zh-CN"/>
        </w:rPr>
      </w:pPr>
      <w:r>
        <w:rPr>
          <w:rFonts w:hint="eastAsia" w:ascii="宋体" w:hAnsi="宋体" w:cs="宋体"/>
          <w:b/>
          <w:bCs/>
          <w:sz w:val="24"/>
          <w:lang w:val="zh-CN"/>
        </w:rPr>
        <w:t>11.</w:t>
      </w:r>
      <w:r>
        <w:rPr>
          <w:rFonts w:hint="eastAsia" w:ascii="宋体" w:hAnsi="宋体" w:cs="宋体"/>
          <w:b/>
          <w:bCs/>
          <w:sz w:val="24"/>
        </w:rPr>
        <w:t>2</w:t>
      </w:r>
      <w:r>
        <w:rPr>
          <w:rFonts w:hint="eastAsia" w:ascii="宋体" w:hAnsi="宋体" w:cs="宋体"/>
          <w:b/>
          <w:bCs/>
          <w:sz w:val="24"/>
          <w:lang w:val="zh-CN"/>
        </w:rPr>
        <w:t xml:space="preserve">  </w:t>
      </w:r>
      <w:r>
        <w:rPr>
          <w:rFonts w:hint="eastAsia" w:ascii="宋体" w:hAnsi="宋体" w:cs="宋体"/>
          <w:b/>
          <w:bCs/>
          <w:sz w:val="24"/>
        </w:rPr>
        <w:t>商务技术</w:t>
      </w:r>
      <w:r>
        <w:rPr>
          <w:rFonts w:hint="eastAsia" w:ascii="宋体" w:hAnsi="宋体" w:cs="宋体"/>
          <w:b/>
          <w:bCs/>
          <w:sz w:val="24"/>
          <w:lang w:val="zh-CN"/>
        </w:rPr>
        <w:t>文件</w:t>
      </w:r>
      <w:r>
        <w:rPr>
          <w:rFonts w:hint="eastAsia" w:ascii="宋体" w:hAnsi="宋体" w:cs="宋体"/>
          <w:sz w:val="24"/>
          <w:lang w:val="zh-CN"/>
        </w:rPr>
        <w:t>：</w:t>
      </w:r>
    </w:p>
    <w:p w14:paraId="60340C2C">
      <w:pPr>
        <w:snapToGrid w:val="0"/>
        <w:spacing w:line="360" w:lineRule="auto"/>
        <w:ind w:firstLine="960" w:firstLineChars="400"/>
        <w:rPr>
          <w:rFonts w:hint="eastAsia" w:ascii="宋体" w:hAnsi="宋体" w:cs="宋体"/>
          <w:sz w:val="24"/>
        </w:rPr>
      </w:pPr>
      <w:r>
        <w:rPr>
          <w:rFonts w:hint="eastAsia" w:asciiTheme="minorEastAsia" w:hAnsiTheme="minorEastAsia" w:eastAsiaTheme="minorEastAsia" w:cstheme="minorEastAsia"/>
          <w:sz w:val="24"/>
        </w:rPr>
        <w:t>▲</w:t>
      </w:r>
      <w:r>
        <w:rPr>
          <w:rFonts w:hint="eastAsia" w:ascii="宋体" w:hAnsi="宋体" w:cs="宋体"/>
          <w:b/>
          <w:bCs/>
          <w:sz w:val="24"/>
        </w:rPr>
        <w:t>11.2.1投标函；</w:t>
      </w:r>
      <w:r>
        <w:rPr>
          <w:rFonts w:hint="eastAsia" w:ascii="宋体" w:hAnsi="宋体" w:cs="宋体"/>
          <w:sz w:val="24"/>
          <w:lang w:val="zh-CN"/>
        </w:rPr>
        <w:t xml:space="preserve"> </w:t>
      </w:r>
    </w:p>
    <w:p w14:paraId="1C3293D0">
      <w:pPr>
        <w:snapToGrid w:val="0"/>
        <w:spacing w:line="360" w:lineRule="auto"/>
        <w:ind w:firstLine="960" w:firstLineChars="400"/>
        <w:rPr>
          <w:rFonts w:hint="eastAsia" w:ascii="宋体" w:hAnsi="宋体" w:cs="宋体"/>
          <w:sz w:val="24"/>
        </w:rPr>
      </w:pPr>
      <w:r>
        <w:rPr>
          <w:rFonts w:hint="eastAsia" w:asciiTheme="minorEastAsia" w:hAnsiTheme="minorEastAsia" w:eastAsiaTheme="minorEastAsia" w:cstheme="minorEastAsia"/>
          <w:sz w:val="24"/>
        </w:rPr>
        <w:t>▲</w:t>
      </w:r>
      <w:r>
        <w:rPr>
          <w:rFonts w:hint="eastAsia" w:ascii="宋体" w:hAnsi="宋体" w:cs="宋体"/>
          <w:b/>
          <w:bCs/>
          <w:sz w:val="24"/>
        </w:rPr>
        <w:t>11.2.2授权委托书或法定代表人（单位负责人、自然人本人）身份证明；</w:t>
      </w:r>
    </w:p>
    <w:p w14:paraId="680723D9">
      <w:pPr>
        <w:snapToGrid w:val="0"/>
        <w:spacing w:line="360" w:lineRule="auto"/>
        <w:ind w:firstLine="960" w:firstLineChars="400"/>
        <w:rPr>
          <w:rFonts w:hint="eastAsia"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（若有)</w:t>
      </w:r>
      <w:r>
        <w:rPr>
          <w:rFonts w:hint="eastAsia" w:ascii="宋体" w:hAnsi="宋体" w:cs="宋体"/>
          <w:sz w:val="24"/>
        </w:rPr>
        <w:t>；</w:t>
      </w:r>
    </w:p>
    <w:p w14:paraId="137F859C">
      <w:pPr>
        <w:snapToGrid w:val="0"/>
        <w:spacing w:line="360" w:lineRule="auto"/>
        <w:ind w:firstLine="960" w:firstLineChars="400"/>
        <w:rPr>
          <w:rFonts w:hint="eastAsia" w:ascii="宋体" w:hAnsi="宋体" w:cs="宋体"/>
          <w:sz w:val="24"/>
        </w:rPr>
      </w:pPr>
      <w:r>
        <w:rPr>
          <w:rFonts w:hint="eastAsia" w:asciiTheme="minorEastAsia" w:hAnsiTheme="minorEastAsia" w:eastAsiaTheme="minorEastAsia" w:cstheme="minorEastAsia"/>
          <w:sz w:val="24"/>
        </w:rPr>
        <w:t>▲</w:t>
      </w:r>
      <w:r>
        <w:rPr>
          <w:rFonts w:hint="eastAsia" w:ascii="宋体" w:hAnsi="宋体" w:cs="宋体"/>
          <w:b/>
          <w:bCs/>
          <w:sz w:val="24"/>
        </w:rPr>
        <w:t>11.2.</w:t>
      </w:r>
      <w:r>
        <w:rPr>
          <w:rFonts w:ascii="宋体" w:hAnsi="宋体" w:cs="宋体"/>
          <w:b/>
          <w:bCs/>
          <w:sz w:val="24"/>
        </w:rPr>
        <w:t>4</w:t>
      </w:r>
      <w:r>
        <w:rPr>
          <w:rFonts w:hint="eastAsia" w:ascii="宋体" w:hAnsi="宋体" w:cs="宋体"/>
          <w:b/>
          <w:bCs/>
          <w:sz w:val="24"/>
        </w:rPr>
        <w:t>符合性审查资料；</w:t>
      </w:r>
    </w:p>
    <w:p w14:paraId="6914A81B">
      <w:pPr>
        <w:snapToGrid w:val="0"/>
        <w:spacing w:line="360" w:lineRule="auto"/>
        <w:ind w:firstLine="960" w:firstLineChars="400"/>
        <w:rPr>
          <w:rFonts w:hint="eastAsia" w:ascii="宋体" w:hAnsi="宋体" w:cs="宋体"/>
          <w:sz w:val="24"/>
        </w:rPr>
      </w:pPr>
      <w:r>
        <w:rPr>
          <w:rFonts w:hint="eastAsia" w:asciiTheme="minorEastAsia" w:hAnsiTheme="minorEastAsia" w:eastAsiaTheme="minorEastAsia" w:cstheme="minorEastAsia"/>
          <w:sz w:val="24"/>
        </w:rPr>
        <w:t>▲</w:t>
      </w:r>
      <w:r>
        <w:rPr>
          <w:rFonts w:hint="eastAsia" w:ascii="宋体" w:hAnsi="宋体" w:cs="宋体"/>
          <w:b/>
          <w:bCs/>
          <w:sz w:val="24"/>
          <w:lang w:val="en-US" w:eastAsia="zh-CN"/>
        </w:rPr>
        <w:t>11.2.5</w:t>
      </w:r>
      <w:r>
        <w:rPr>
          <w:rFonts w:hint="eastAsia" w:ascii="宋体" w:hAnsi="宋体" w:cs="宋体"/>
          <w:b/>
          <w:bCs/>
          <w:sz w:val="24"/>
          <w:lang w:val="zh-CN"/>
        </w:rPr>
        <w:t>采购需求实质性内容响应表；</w:t>
      </w:r>
    </w:p>
    <w:p w14:paraId="5B6D1876">
      <w:pPr>
        <w:snapToGrid w:val="0"/>
        <w:spacing w:line="360" w:lineRule="auto"/>
        <w:ind w:firstLine="960" w:firstLineChars="400"/>
        <w:rPr>
          <w:rFonts w:hint="eastAsia" w:ascii="宋体" w:hAnsi="宋体" w:cs="宋体"/>
          <w:sz w:val="24"/>
        </w:rPr>
      </w:pPr>
      <w:r>
        <w:rPr>
          <w:rFonts w:hint="eastAsia" w:ascii="宋体" w:hAnsi="宋体" w:cs="宋体"/>
          <w:sz w:val="24"/>
        </w:rPr>
        <w:t>11.2.</w:t>
      </w:r>
      <w:r>
        <w:rPr>
          <w:rFonts w:hint="eastAsia" w:ascii="宋体" w:hAnsi="宋体" w:cs="宋体"/>
          <w:sz w:val="24"/>
          <w:lang w:val="en-US" w:eastAsia="zh-CN"/>
        </w:rPr>
        <w:t>6</w:t>
      </w:r>
      <w:r>
        <w:rPr>
          <w:rFonts w:hint="eastAsia" w:ascii="宋体" w:hAnsi="宋体" w:cs="宋体"/>
          <w:sz w:val="24"/>
        </w:rPr>
        <w:t>评标标准相应的商务技术资料；</w:t>
      </w:r>
    </w:p>
    <w:p w14:paraId="3273A609">
      <w:pPr>
        <w:snapToGrid w:val="0"/>
        <w:spacing w:line="360" w:lineRule="auto"/>
        <w:ind w:firstLine="960" w:firstLineChars="400"/>
        <w:rPr>
          <w:rFonts w:hint="eastAsia" w:ascii="宋体" w:hAnsi="宋体" w:eastAsia="宋体" w:cs="宋体"/>
          <w:sz w:val="24"/>
          <w:lang w:eastAsia="zh-CN"/>
        </w:rPr>
      </w:pPr>
      <w:r>
        <w:rPr>
          <w:rFonts w:hint="eastAsia" w:asciiTheme="minorEastAsia" w:hAnsiTheme="minorEastAsia" w:eastAsiaTheme="minorEastAsia" w:cstheme="minorEastAsia"/>
          <w:sz w:val="24"/>
        </w:rPr>
        <w:t>▲</w:t>
      </w:r>
      <w:r>
        <w:rPr>
          <w:rFonts w:hint="eastAsia" w:ascii="宋体" w:hAnsi="宋体" w:cs="宋体"/>
          <w:b/>
          <w:bCs/>
          <w:sz w:val="24"/>
        </w:rPr>
        <w:t>11.2.</w:t>
      </w:r>
      <w:r>
        <w:rPr>
          <w:rFonts w:hint="eastAsia" w:ascii="宋体" w:hAnsi="宋体" w:cs="宋体"/>
          <w:b/>
          <w:bCs/>
          <w:sz w:val="24"/>
          <w:lang w:val="en-US" w:eastAsia="zh-CN"/>
        </w:rPr>
        <w:t>7</w:t>
      </w:r>
      <w:r>
        <w:rPr>
          <w:rFonts w:hint="eastAsia" w:ascii="宋体" w:hAnsi="宋体" w:cs="宋体"/>
          <w:b/>
          <w:bCs/>
          <w:sz w:val="24"/>
        </w:rPr>
        <w:t>投标标的清单（根据采购需求清单明细提供投标标的清单）</w:t>
      </w:r>
      <w:r>
        <w:rPr>
          <w:rFonts w:hint="eastAsia" w:ascii="宋体" w:hAnsi="宋体" w:cs="宋体"/>
          <w:b/>
          <w:bCs/>
          <w:sz w:val="24"/>
          <w:lang w:eastAsia="zh-CN"/>
        </w:rPr>
        <w:t>；</w:t>
      </w:r>
    </w:p>
    <w:p w14:paraId="580FCAAB">
      <w:pPr>
        <w:snapToGrid w:val="0"/>
        <w:spacing w:line="360" w:lineRule="auto"/>
        <w:ind w:firstLine="960" w:firstLineChars="400"/>
        <w:rPr>
          <w:rFonts w:hint="eastAsia" w:ascii="宋体" w:hAnsi="宋体" w:cs="宋体"/>
          <w:sz w:val="24"/>
        </w:rPr>
      </w:pPr>
      <w:r>
        <w:rPr>
          <w:rFonts w:hint="eastAsia" w:ascii="宋体" w:hAnsi="宋体" w:cs="宋体"/>
          <w:sz w:val="24"/>
        </w:rPr>
        <w:t>11.2.</w:t>
      </w:r>
      <w:r>
        <w:rPr>
          <w:rFonts w:hint="eastAsia" w:ascii="宋体" w:hAnsi="宋体" w:cs="宋体"/>
          <w:sz w:val="24"/>
          <w:lang w:val="en-US" w:eastAsia="zh-CN"/>
        </w:rPr>
        <w:t>8</w:t>
      </w:r>
      <w:r>
        <w:rPr>
          <w:rFonts w:hint="eastAsia" w:ascii="宋体" w:hAnsi="宋体" w:cs="宋体"/>
          <w:sz w:val="24"/>
        </w:rPr>
        <w:t>商务技术偏离表；</w:t>
      </w:r>
    </w:p>
    <w:p w14:paraId="428EE1D6">
      <w:pPr>
        <w:snapToGrid w:val="0"/>
        <w:spacing w:line="360" w:lineRule="auto"/>
        <w:ind w:firstLine="964" w:firstLineChars="400"/>
        <w:rPr>
          <w:rFonts w:hint="eastAsia" w:ascii="宋体" w:hAnsi="宋体" w:cs="宋体"/>
          <w:sz w:val="24"/>
          <w:lang w:val="zh-CN"/>
        </w:rPr>
      </w:pPr>
      <w:r>
        <w:rPr>
          <w:rFonts w:hint="eastAsia" w:ascii="宋体" w:hAnsi="宋体" w:cs="宋体"/>
          <w:b/>
          <w:sz w:val="24"/>
        </w:rPr>
        <w:t>▲</w:t>
      </w:r>
      <w:r>
        <w:rPr>
          <w:rFonts w:hint="eastAsia" w:ascii="宋体" w:hAnsi="宋体" w:cs="宋体"/>
          <w:b/>
          <w:bCs/>
          <w:sz w:val="24"/>
          <w:lang w:val="zh-CN"/>
        </w:rPr>
        <w:t>11.</w:t>
      </w:r>
      <w:r>
        <w:rPr>
          <w:rFonts w:hint="eastAsia" w:ascii="宋体" w:hAnsi="宋体" w:cs="宋体"/>
          <w:b/>
          <w:bCs/>
          <w:sz w:val="24"/>
        </w:rPr>
        <w:t>2</w:t>
      </w:r>
      <w:r>
        <w:rPr>
          <w:rFonts w:hint="eastAsia" w:ascii="宋体" w:hAnsi="宋体" w:cs="宋体"/>
          <w:b/>
          <w:bCs/>
          <w:sz w:val="24"/>
          <w:lang w:val="zh-CN"/>
        </w:rPr>
        <w:t>.</w:t>
      </w:r>
      <w:r>
        <w:rPr>
          <w:rFonts w:hint="eastAsia" w:ascii="宋体" w:hAnsi="宋体" w:cs="宋体"/>
          <w:b/>
          <w:bCs/>
          <w:sz w:val="24"/>
          <w:lang w:val="en-US" w:eastAsia="zh-CN"/>
        </w:rPr>
        <w:t>9</w:t>
      </w:r>
      <w:r>
        <w:rPr>
          <w:rFonts w:hint="eastAsia" w:ascii="宋体" w:hAnsi="宋体" w:cs="宋体"/>
          <w:b/>
          <w:bCs/>
          <w:sz w:val="24"/>
          <w:lang w:val="zh-CN"/>
        </w:rPr>
        <w:t>政府采购供应商廉洁自律承诺书；</w:t>
      </w:r>
    </w:p>
    <w:p w14:paraId="3EDFC971">
      <w:pPr>
        <w:snapToGrid w:val="0"/>
        <w:spacing w:line="360" w:lineRule="auto"/>
        <w:ind w:firstLine="960" w:firstLineChars="400"/>
        <w:rPr>
          <w:rFonts w:hint="eastAsia" w:ascii="宋体" w:hAnsi="宋体" w:cs="宋体"/>
          <w:sz w:val="24"/>
          <w:lang w:val="zh-CN"/>
        </w:rPr>
      </w:pPr>
      <w:r>
        <w:rPr>
          <w:rFonts w:hint="eastAsia" w:ascii="宋体" w:hAnsi="宋体" w:cs="宋体"/>
          <w:sz w:val="24"/>
          <w:lang w:val="zh-CN"/>
        </w:rPr>
        <w:t>11.2.</w:t>
      </w:r>
      <w:r>
        <w:rPr>
          <w:rFonts w:hint="eastAsia" w:ascii="宋体" w:hAnsi="宋体" w:cs="宋体"/>
          <w:sz w:val="24"/>
          <w:lang w:val="en-US" w:eastAsia="zh-CN"/>
        </w:rPr>
        <w:t>10</w:t>
      </w:r>
      <w:r>
        <w:rPr>
          <w:rFonts w:hint="eastAsia" w:ascii="宋体" w:hAnsi="宋体" w:cs="宋体"/>
          <w:sz w:val="24"/>
          <w:lang w:val="zh-CN"/>
        </w:rPr>
        <w:t>政府采购活动现场确认声明书。</w:t>
      </w:r>
    </w:p>
    <w:p w14:paraId="2DEB0D5C">
      <w:pPr>
        <w:snapToGrid w:val="0"/>
        <w:spacing w:line="360" w:lineRule="auto"/>
        <w:ind w:firstLine="482" w:firstLineChars="200"/>
        <w:rPr>
          <w:rFonts w:hint="eastAsia"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sz w:val="24"/>
        </w:rPr>
        <w:t>报价文件：</w:t>
      </w:r>
      <w:r>
        <w:rPr>
          <w:rFonts w:hint="eastAsia" w:ascii="宋体" w:hAnsi="宋体" w:cs="宋体"/>
          <w:sz w:val="24"/>
        </w:rPr>
        <w:t xml:space="preserve"> </w:t>
      </w:r>
    </w:p>
    <w:p w14:paraId="1AAC2316">
      <w:pPr>
        <w:snapToGrid w:val="0"/>
        <w:spacing w:line="360" w:lineRule="auto"/>
        <w:ind w:firstLine="960" w:firstLineChars="400"/>
        <w:rPr>
          <w:rFonts w:hint="eastAsia" w:ascii="宋体" w:hAnsi="宋体" w:cs="宋体"/>
          <w:b/>
          <w:bCs/>
          <w:sz w:val="24"/>
        </w:rPr>
      </w:pPr>
      <w:r>
        <w:rPr>
          <w:rFonts w:hint="eastAsia" w:asciiTheme="minorEastAsia" w:hAnsiTheme="minorEastAsia" w:eastAsiaTheme="minorEastAsia" w:cstheme="minorEastAsia"/>
          <w:sz w:val="24"/>
        </w:rPr>
        <w:t>▲</w:t>
      </w:r>
      <w:r>
        <w:rPr>
          <w:rFonts w:hint="eastAsia" w:ascii="宋体" w:hAnsi="宋体" w:cs="宋体"/>
          <w:b/>
          <w:bCs/>
          <w:sz w:val="24"/>
        </w:rPr>
        <w:t>11.3.1开标一览表（报价表）；</w:t>
      </w:r>
    </w:p>
    <w:p w14:paraId="5BD460DB">
      <w:pPr>
        <w:snapToGrid w:val="0"/>
        <w:spacing w:line="360" w:lineRule="auto"/>
        <w:ind w:firstLine="960" w:firstLineChars="400"/>
        <w:rPr>
          <w:rFonts w:hint="eastAsia" w:ascii="宋体" w:hAnsi="宋体" w:cs="宋体"/>
          <w:sz w:val="24"/>
        </w:rPr>
      </w:pPr>
      <w:r>
        <w:rPr>
          <w:rFonts w:hint="eastAsia" w:ascii="宋体" w:hAnsi="宋体" w:cs="宋体"/>
          <w:sz w:val="24"/>
        </w:rPr>
        <w:t>11.3.2中小企业声明函（若有）；</w:t>
      </w:r>
    </w:p>
    <w:p w14:paraId="7C6CA87F">
      <w:pPr>
        <w:snapToGrid w:val="0"/>
        <w:spacing w:line="360" w:lineRule="auto"/>
        <w:ind w:firstLine="960" w:firstLineChars="400"/>
        <w:rPr>
          <w:rFonts w:hint="eastAsia" w:ascii="宋体" w:hAnsi="宋体" w:cs="宋体"/>
          <w:sz w:val="24"/>
        </w:rPr>
      </w:pPr>
      <w:r>
        <w:rPr>
          <w:rFonts w:hint="eastAsia" w:ascii="宋体" w:hAnsi="宋体" w:cs="宋体"/>
          <w:sz w:val="24"/>
          <w:lang w:val="en-US" w:eastAsia="zh-CN"/>
        </w:rPr>
        <w:t>11.3.3</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color w:val="auto"/>
          <w:sz w:val="24"/>
          <w:highlight w:val="none"/>
          <w:lang w:val="en-US" w:eastAsia="zh-CN"/>
        </w:rPr>
        <w:t>（</w:t>
      </w:r>
      <w:r>
        <w:rPr>
          <w:rFonts w:hint="eastAsia" w:ascii="宋体" w:hAnsi="宋体" w:cs="宋体"/>
          <w:sz w:val="24"/>
          <w:highlight w:val="none"/>
        </w:rPr>
        <w:t>若有</w:t>
      </w:r>
      <w:r>
        <w:rPr>
          <w:rFonts w:hint="eastAsia" w:ascii="宋体" w:hAnsi="宋体" w:cs="宋体"/>
          <w:color w:val="auto"/>
          <w:sz w:val="24"/>
          <w:highlight w:val="none"/>
          <w:lang w:val="en-US" w:eastAsia="zh-CN"/>
        </w:rPr>
        <w:t>）；</w:t>
      </w:r>
    </w:p>
    <w:p w14:paraId="78C2B7D3">
      <w:pPr>
        <w:snapToGrid w:val="0"/>
        <w:spacing w:line="360" w:lineRule="auto"/>
        <w:ind w:firstLine="960" w:firstLineChars="400"/>
        <w:rPr>
          <w:rFonts w:hint="default" w:ascii="宋体" w:hAnsi="宋体" w:eastAsia="宋体" w:cs="宋体"/>
          <w:sz w:val="24"/>
          <w:lang w:val="en-US" w:eastAsia="zh-CN"/>
        </w:rPr>
      </w:pPr>
    </w:p>
    <w:p w14:paraId="61FEB164">
      <w:pPr>
        <w:snapToGrid w:val="0"/>
        <w:spacing w:line="360" w:lineRule="auto"/>
        <w:ind w:firstLine="960" w:firstLineChars="400"/>
        <w:rPr>
          <w:rFonts w:hint="eastAsia" w:ascii="宋体" w:hAnsi="宋体" w:cs="宋体"/>
          <w:sz w:val="24"/>
        </w:rPr>
      </w:pPr>
      <w:r>
        <w:rPr>
          <w:rFonts w:hint="eastAsia" w:ascii="宋体" w:hAnsi="宋体" w:cs="宋体"/>
          <w:sz w:val="24"/>
        </w:rPr>
        <w:t>11.3.</w:t>
      </w:r>
      <w:r>
        <w:rPr>
          <w:rFonts w:hint="eastAsia" w:ascii="宋体" w:hAnsi="宋体" w:cs="宋体"/>
          <w:sz w:val="24"/>
          <w:lang w:val="en-US" w:eastAsia="zh-CN"/>
        </w:rPr>
        <w:t>4</w:t>
      </w:r>
      <w:r>
        <w:rPr>
          <w:rFonts w:hint="eastAsia" w:ascii="宋体" w:hAnsi="宋体" w:cs="宋体"/>
          <w:sz w:val="24"/>
        </w:rPr>
        <w:t>报价情况说明（若有）。</w:t>
      </w:r>
    </w:p>
    <w:p w14:paraId="502C5BA5">
      <w:pPr>
        <w:spacing w:line="360" w:lineRule="auto"/>
        <w:ind w:firstLine="723" w:firstLineChars="300"/>
        <w:rPr>
          <w:rFonts w:hint="eastAsia" w:ascii="宋体" w:hAnsi="宋体" w:cs="宋体"/>
          <w:b/>
          <w:sz w:val="24"/>
        </w:rPr>
      </w:pPr>
      <w:r>
        <w:rPr>
          <w:rFonts w:hint="eastAsia" w:ascii="宋体" w:hAnsi="宋体" w:cs="宋体"/>
          <w:b/>
          <w:sz w:val="24"/>
        </w:rPr>
        <w:t>投标文件含有采购人不能接受的附加条件的，投标无效；</w:t>
      </w:r>
    </w:p>
    <w:p w14:paraId="07E4D445">
      <w:pPr>
        <w:spacing w:line="360" w:lineRule="auto"/>
        <w:ind w:firstLine="723" w:firstLineChars="300"/>
        <w:rPr>
          <w:rFonts w:hint="eastAsia" w:ascii="宋体" w:hAnsi="宋体" w:cs="宋体"/>
          <w:b/>
          <w:sz w:val="24"/>
        </w:rPr>
      </w:pPr>
      <w:r>
        <w:rPr>
          <w:rFonts w:hint="eastAsia" w:ascii="宋体" w:hAnsi="宋体" w:cs="宋体"/>
          <w:b/>
          <w:sz w:val="24"/>
        </w:rPr>
        <w:t>投标人提供虚假材料投标的，投标无效。</w:t>
      </w:r>
    </w:p>
    <w:p w14:paraId="0FD93F21">
      <w:pPr>
        <w:spacing w:line="360" w:lineRule="auto"/>
        <w:ind w:firstLine="720" w:firstLineChars="300"/>
      </w:pPr>
      <w:r>
        <w:rPr>
          <w:rFonts w:hint="eastAsia"/>
          <w:sz w:val="24"/>
          <w:shd w:val="clear" w:color="auto" w:fill="FFFFFF"/>
        </w:rPr>
        <w:t>投标人应对投标文件中材料的真实性、合法性负责。投标人可事先在公开官网查询、核对相关证书和报告内容，确保投标（响应）文件资料准确无误。</w:t>
      </w:r>
    </w:p>
    <w:p w14:paraId="069AC237">
      <w:pPr>
        <w:snapToGrid w:val="0"/>
        <w:spacing w:line="360" w:lineRule="auto"/>
        <w:rPr>
          <w:rFonts w:hint="eastAsia" w:ascii="宋体" w:hAnsi="宋体" w:cs="宋体"/>
          <w:b/>
          <w:sz w:val="24"/>
        </w:rPr>
      </w:pPr>
      <w:r>
        <w:rPr>
          <w:rFonts w:hint="eastAsia" w:ascii="宋体" w:hAnsi="宋体" w:cs="宋体"/>
          <w:b/>
          <w:sz w:val="24"/>
        </w:rPr>
        <w:t>12</w:t>
      </w:r>
      <w:r>
        <w:rPr>
          <w:rFonts w:hint="eastAsia" w:ascii="宋体" w:hAnsi="宋体" w:cs="宋体"/>
          <w:b/>
          <w:sz w:val="24"/>
          <w:lang w:val="zh-CN"/>
        </w:rPr>
        <w:t xml:space="preserve">. </w:t>
      </w:r>
      <w:r>
        <w:rPr>
          <w:rFonts w:hint="eastAsia" w:ascii="宋体" w:hAnsi="宋体" w:cs="宋体"/>
          <w:b/>
          <w:sz w:val="24"/>
        </w:rPr>
        <w:t>投标文件的编制</w:t>
      </w:r>
    </w:p>
    <w:p w14:paraId="492BCE6A">
      <w:pPr>
        <w:spacing w:line="360" w:lineRule="auto"/>
        <w:ind w:firstLine="480" w:firstLineChars="200"/>
        <w:rPr>
          <w:rFonts w:hint="eastAsia"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8D2EA21">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9455DA0">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7E85D161">
      <w:pPr>
        <w:snapToGrid w:val="0"/>
        <w:spacing w:line="360" w:lineRule="auto"/>
        <w:rPr>
          <w:rFonts w:hint="eastAsia" w:ascii="宋体" w:hAnsi="宋体" w:cs="宋体"/>
          <w:b/>
          <w:sz w:val="24"/>
        </w:rPr>
      </w:pPr>
      <w:r>
        <w:rPr>
          <w:rFonts w:hint="eastAsia" w:ascii="宋体" w:hAnsi="宋体" w:cs="宋体"/>
          <w:b/>
          <w:sz w:val="24"/>
        </w:rPr>
        <w:t>13.投标文件的签署、盖章</w:t>
      </w:r>
    </w:p>
    <w:p w14:paraId="665455A9">
      <w:pPr>
        <w:pStyle w:val="89"/>
        <w:snapToGrid w:val="0"/>
        <w:spacing w:before="0" w:line="360" w:lineRule="auto"/>
        <w:ind w:firstLine="480"/>
        <w:rPr>
          <w:rFonts w:hint="eastAsia"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263110A3">
      <w:pPr>
        <w:pStyle w:val="89"/>
        <w:snapToGrid w:val="0"/>
        <w:spacing w:before="0" w:line="360" w:lineRule="auto"/>
        <w:ind w:firstLine="480"/>
        <w:rPr>
          <w:rFonts w:hint="eastAsia"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6A43D0F7">
      <w:pPr>
        <w:pStyle w:val="89"/>
        <w:snapToGrid w:val="0"/>
        <w:spacing w:before="0" w:line="360" w:lineRule="auto"/>
        <w:ind w:firstLine="480"/>
        <w:rPr>
          <w:rFonts w:hint="eastAsia" w:ascii="宋体" w:hAnsi="宋体" w:cs="宋体"/>
          <w:szCs w:val="24"/>
        </w:rPr>
      </w:pPr>
      <w:r>
        <w:rPr>
          <w:rFonts w:hint="eastAsia" w:ascii="宋体" w:hAnsi="宋体" w:cs="宋体"/>
        </w:rPr>
        <w:t>13.3招标文件对投标文件签署、盖章的要求适用于电子签名。</w:t>
      </w:r>
    </w:p>
    <w:p w14:paraId="1F4A0811">
      <w:pPr>
        <w:pStyle w:val="89"/>
        <w:numPr>
          <w:ilvl w:val="0"/>
          <w:numId w:val="3"/>
        </w:numPr>
        <w:spacing w:before="0" w:line="360" w:lineRule="auto"/>
        <w:ind w:firstLine="0" w:firstLineChars="0"/>
        <w:rPr>
          <w:rFonts w:hint="eastAsia" w:ascii="宋体" w:hAnsi="宋体" w:cs="宋体"/>
          <w:b/>
          <w:szCs w:val="24"/>
        </w:rPr>
      </w:pPr>
      <w:r>
        <w:rPr>
          <w:rFonts w:hint="eastAsia" w:ascii="宋体" w:hAnsi="宋体" w:cs="宋体"/>
          <w:b/>
          <w:szCs w:val="24"/>
        </w:rPr>
        <w:t>投标文件的提交、补充、修改、撤回</w:t>
      </w:r>
    </w:p>
    <w:p w14:paraId="4EE93113">
      <w:pPr>
        <w:pStyle w:val="89"/>
        <w:numPr>
          <w:ilvl w:val="255"/>
          <w:numId w:val="0"/>
        </w:numPr>
        <w:spacing w:before="0" w:line="360" w:lineRule="auto"/>
        <w:ind w:firstLine="480" w:firstLineChars="200"/>
        <w:rPr>
          <w:rFonts w:hint="eastAsia"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C24BB1E">
      <w:pPr>
        <w:pStyle w:val="89"/>
        <w:spacing w:before="0" w:line="360" w:lineRule="auto"/>
        <w:ind w:firstLine="480"/>
        <w:rPr>
          <w:rFonts w:hint="eastAsia"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75FBAD66">
      <w:pPr>
        <w:pStyle w:val="89"/>
        <w:spacing w:before="0" w:line="360" w:lineRule="auto"/>
        <w:ind w:firstLine="480"/>
        <w:rPr>
          <w:rFonts w:hint="eastAsia"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46388D8B">
      <w:pPr>
        <w:pStyle w:val="32"/>
        <w:spacing w:line="360" w:lineRule="auto"/>
        <w:rPr>
          <w:rFonts w:hint="eastAsia" w:hAnsi="宋体" w:cs="宋体"/>
          <w:b/>
          <w:sz w:val="24"/>
          <w:szCs w:val="24"/>
        </w:rPr>
      </w:pPr>
      <w:r>
        <w:rPr>
          <w:rFonts w:hint="eastAsia" w:hAnsi="宋体" w:cs="宋体"/>
          <w:b/>
          <w:sz w:val="24"/>
          <w:szCs w:val="24"/>
        </w:rPr>
        <w:t>15.备份投标文件</w:t>
      </w:r>
    </w:p>
    <w:p w14:paraId="5931B68A">
      <w:pPr>
        <w:pStyle w:val="32"/>
        <w:spacing w:line="360" w:lineRule="auto"/>
        <w:ind w:firstLine="360" w:firstLineChars="150"/>
        <w:rPr>
          <w:rFonts w:hint="eastAsia"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017770B0">
      <w:pPr>
        <w:pStyle w:val="32"/>
        <w:spacing w:line="360" w:lineRule="auto"/>
        <w:ind w:firstLine="480" w:firstLineChars="200"/>
        <w:rPr>
          <w:rFonts w:hint="eastAsia"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6E612514">
      <w:pPr>
        <w:pStyle w:val="32"/>
        <w:spacing w:line="360" w:lineRule="auto"/>
        <w:ind w:firstLine="480" w:firstLineChars="200"/>
        <w:rPr>
          <w:rFonts w:hint="eastAsia"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7927F575">
      <w:pPr>
        <w:pStyle w:val="32"/>
        <w:spacing w:line="360" w:lineRule="auto"/>
        <w:ind w:firstLine="480" w:firstLineChars="200"/>
        <w:rPr>
          <w:rFonts w:hint="eastAsia"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46CE4C6D">
      <w:pPr>
        <w:pStyle w:val="32"/>
        <w:spacing w:line="360" w:lineRule="auto"/>
        <w:ind w:firstLine="479" w:firstLineChars="199"/>
        <w:rPr>
          <w:rFonts w:hint="eastAsia" w:hAnsi="宋体" w:cs="宋体"/>
          <w:b/>
          <w:sz w:val="24"/>
          <w:szCs w:val="24"/>
        </w:rPr>
      </w:pPr>
      <w:r>
        <w:rPr>
          <w:rFonts w:hint="eastAsia" w:hAnsi="宋体" w:cs="宋体"/>
          <w:b/>
          <w:sz w:val="24"/>
          <w:szCs w:val="24"/>
        </w:rPr>
        <w:t>15.5投标人仅提交备份投标文件，未在电子交易平台传输递交投标文件的，投标无效。</w:t>
      </w:r>
    </w:p>
    <w:p w14:paraId="16F09E59">
      <w:pPr>
        <w:pStyle w:val="89"/>
        <w:spacing w:before="0" w:line="360" w:lineRule="auto"/>
        <w:ind w:firstLine="0" w:firstLineChars="0"/>
        <w:rPr>
          <w:rFonts w:hint="eastAsia" w:ascii="宋体" w:hAnsi="宋体" w:cs="宋体"/>
          <w:b/>
          <w:szCs w:val="24"/>
        </w:rPr>
      </w:pPr>
      <w:r>
        <w:rPr>
          <w:rFonts w:hint="eastAsia" w:ascii="宋体" w:hAnsi="宋体" w:cs="宋体"/>
          <w:b/>
          <w:szCs w:val="24"/>
        </w:rPr>
        <w:t>16.投标文件的无效处理</w:t>
      </w:r>
    </w:p>
    <w:p w14:paraId="3907F7CD">
      <w:pPr>
        <w:pStyle w:val="24"/>
        <w:spacing w:line="360" w:lineRule="auto"/>
        <w:ind w:firstLine="480" w:firstLineChars="200"/>
        <w:rPr>
          <w:rFonts w:hint="eastAsia"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74C53F29">
      <w:pPr>
        <w:pStyle w:val="89"/>
        <w:spacing w:before="0" w:line="360" w:lineRule="auto"/>
        <w:ind w:firstLine="0" w:firstLineChars="0"/>
        <w:rPr>
          <w:rFonts w:hint="eastAsia" w:ascii="宋体" w:hAnsi="宋体" w:cs="宋体"/>
          <w:b/>
          <w:szCs w:val="24"/>
        </w:rPr>
      </w:pPr>
      <w:r>
        <w:rPr>
          <w:rFonts w:hint="eastAsia" w:ascii="宋体" w:hAnsi="宋体" w:cs="宋体"/>
          <w:b/>
          <w:szCs w:val="24"/>
        </w:rPr>
        <w:t>17.投标有效期</w:t>
      </w:r>
    </w:p>
    <w:p w14:paraId="39AF5B58">
      <w:pPr>
        <w:spacing w:line="360" w:lineRule="auto"/>
        <w:ind w:firstLine="480" w:firstLineChars="200"/>
        <w:rPr>
          <w:rFonts w:hint="eastAsia"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7300C78">
      <w:pPr>
        <w:pStyle w:val="89"/>
        <w:spacing w:before="0" w:line="360" w:lineRule="auto"/>
        <w:ind w:firstLine="480"/>
        <w:rPr>
          <w:rFonts w:hint="eastAsia" w:ascii="宋体" w:hAnsi="宋体" w:cs="宋体"/>
        </w:rPr>
      </w:pPr>
      <w:r>
        <w:rPr>
          <w:rFonts w:hint="eastAsia" w:ascii="宋体" w:hAnsi="宋体" w:cs="宋体"/>
        </w:rPr>
        <w:t>17.2投标文件合格投递后，自投标截止日期起，在投标有效期内有效。</w:t>
      </w:r>
    </w:p>
    <w:p w14:paraId="17740227">
      <w:pPr>
        <w:pStyle w:val="89"/>
        <w:spacing w:before="0" w:line="360" w:lineRule="auto"/>
        <w:ind w:firstLine="480"/>
        <w:rPr>
          <w:rFonts w:hint="eastAsia"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1FFEEFA6">
      <w:pPr>
        <w:pStyle w:val="89"/>
        <w:spacing w:before="0" w:line="360" w:lineRule="auto"/>
        <w:ind w:firstLine="643"/>
        <w:rPr>
          <w:rFonts w:hint="eastAsia" w:ascii="宋体" w:hAnsi="宋体" w:cs="宋体"/>
          <w:b/>
          <w:sz w:val="32"/>
        </w:rPr>
      </w:pPr>
    </w:p>
    <w:p w14:paraId="1DFE91D9">
      <w:pPr>
        <w:pStyle w:val="89"/>
        <w:spacing w:before="0" w:line="360" w:lineRule="auto"/>
        <w:ind w:firstLine="1928" w:firstLineChars="600"/>
        <w:rPr>
          <w:rFonts w:hint="eastAsia" w:ascii="宋体" w:hAnsi="宋体" w:cs="宋体"/>
          <w:b/>
          <w:sz w:val="32"/>
        </w:rPr>
      </w:pPr>
      <w:r>
        <w:rPr>
          <w:rFonts w:hint="eastAsia" w:ascii="宋体" w:hAnsi="宋体" w:cs="宋体"/>
          <w:b/>
          <w:sz w:val="32"/>
        </w:rPr>
        <w:t>四、开标、资格审查与信用信息查询</w:t>
      </w:r>
    </w:p>
    <w:p w14:paraId="31170937">
      <w:pPr>
        <w:pStyle w:val="244"/>
        <w:autoSpaceDE/>
        <w:autoSpaceDN/>
        <w:spacing w:before="0" w:line="360" w:lineRule="auto"/>
        <w:ind w:left="0" w:firstLine="0" w:firstLineChars="0"/>
        <w:contextualSpacing/>
        <w:rPr>
          <w:rFonts w:hint="eastAsia"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3934D9FE">
      <w:pPr>
        <w:pStyle w:val="244"/>
        <w:autoSpaceDE/>
        <w:autoSpaceDN/>
        <w:spacing w:before="0" w:line="360" w:lineRule="auto"/>
        <w:ind w:left="0" w:firstLine="480" w:firstLineChars="200"/>
        <w:contextualSpacing/>
        <w:rPr>
          <w:rFonts w:hint="eastAsia"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21FE9DA9">
      <w:pPr>
        <w:pStyle w:val="244"/>
        <w:autoSpaceDE/>
        <w:autoSpaceDN/>
        <w:spacing w:before="0" w:line="360" w:lineRule="auto"/>
        <w:ind w:left="0" w:firstLine="240" w:firstLineChars="100"/>
        <w:contextualSpacing/>
        <w:rPr>
          <w:rFonts w:hint="eastAsia"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0FB24FA4">
      <w:pPr>
        <w:pStyle w:val="244"/>
        <w:autoSpaceDE/>
        <w:autoSpaceDN/>
        <w:spacing w:before="0" w:line="360" w:lineRule="auto"/>
        <w:ind w:left="0" w:firstLine="240" w:firstLineChars="100"/>
        <w:contextualSpacing/>
        <w:rPr>
          <w:rFonts w:hint="eastAsia" w:ascii="宋体" w:hAnsi="宋体" w:cs="宋体"/>
          <w:b/>
          <w:sz w:val="24"/>
        </w:rPr>
      </w:pPr>
      <w:r>
        <w:rPr>
          <w:rFonts w:hint="eastAsia" w:ascii="宋体" w:hAnsi="宋体" w:cs="宋体"/>
          <w:sz w:val="24"/>
        </w:rPr>
        <w:t>　</w:t>
      </w:r>
      <w:r>
        <w:rPr>
          <w:rFonts w:hint="eastAsia" w:ascii="宋体" w:hAnsi="宋体" w:cs="宋体"/>
          <w:b/>
          <w:bCs/>
          <w:sz w:val="24"/>
        </w:rPr>
        <w:t>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61036C83">
      <w:pPr>
        <w:widowControl/>
        <w:spacing w:line="360" w:lineRule="auto"/>
        <w:jc w:val="left"/>
        <w:rPr>
          <w:rFonts w:hint="eastAsia" w:ascii="宋体" w:hAnsi="宋体" w:cs="宋体"/>
          <w:b/>
          <w:sz w:val="24"/>
          <w:szCs w:val="20"/>
        </w:rPr>
      </w:pPr>
      <w:r>
        <w:rPr>
          <w:rFonts w:hint="eastAsia" w:ascii="宋体" w:hAnsi="宋体" w:cs="宋体"/>
          <w:b/>
          <w:sz w:val="24"/>
          <w:szCs w:val="20"/>
        </w:rPr>
        <w:t>19、资格审查</w:t>
      </w:r>
    </w:p>
    <w:p w14:paraId="48924E3C">
      <w:pPr>
        <w:snapToGrid w:val="0"/>
        <w:spacing w:line="360" w:lineRule="auto"/>
        <w:ind w:firstLine="480" w:firstLineChars="200"/>
        <w:rPr>
          <w:rFonts w:hint="eastAsia"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657DC415">
      <w:pPr>
        <w:pStyle w:val="89"/>
        <w:spacing w:before="0" w:line="360" w:lineRule="auto"/>
        <w:ind w:firstLine="480"/>
        <w:rPr>
          <w:rFonts w:hint="eastAsia"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2FC0764">
      <w:pPr>
        <w:pStyle w:val="89"/>
        <w:spacing w:before="0" w:line="360" w:lineRule="auto"/>
        <w:ind w:firstLine="480"/>
        <w:rPr>
          <w:rFonts w:hint="eastAsia"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21C360F1">
      <w:pPr>
        <w:pStyle w:val="89"/>
        <w:spacing w:before="0" w:line="360" w:lineRule="auto"/>
        <w:ind w:firstLine="480"/>
        <w:rPr>
          <w:rFonts w:hint="eastAsia"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7DD3A558">
      <w:pPr>
        <w:pStyle w:val="89"/>
        <w:spacing w:before="0" w:line="360" w:lineRule="auto"/>
        <w:ind w:firstLine="0" w:firstLineChars="0"/>
        <w:rPr>
          <w:rFonts w:hint="eastAsia" w:ascii="宋体" w:hAnsi="宋体" w:cs="宋体"/>
          <w:b/>
          <w:szCs w:val="24"/>
        </w:rPr>
      </w:pPr>
      <w:r>
        <w:rPr>
          <w:rFonts w:hint="eastAsia" w:ascii="宋体" w:hAnsi="宋体" w:cs="宋体"/>
          <w:b/>
          <w:szCs w:val="24"/>
        </w:rPr>
        <w:t>20、信用信息查询</w:t>
      </w:r>
    </w:p>
    <w:p w14:paraId="2AB94AB9">
      <w:pPr>
        <w:pStyle w:val="89"/>
        <w:spacing w:before="0" w:line="360" w:lineRule="auto"/>
        <w:ind w:firstLine="495" w:firstLineChars="0"/>
        <w:rPr>
          <w:rFonts w:hint="eastAsia"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3F1AC516">
      <w:pPr>
        <w:pStyle w:val="89"/>
        <w:spacing w:before="0" w:line="360" w:lineRule="auto"/>
        <w:ind w:firstLine="495" w:firstLineChars="0"/>
        <w:rPr>
          <w:rFonts w:hint="eastAsia"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728E3EF1">
      <w:pPr>
        <w:pStyle w:val="89"/>
        <w:spacing w:before="0" w:line="360" w:lineRule="auto"/>
        <w:ind w:firstLine="495" w:firstLineChars="0"/>
        <w:rPr>
          <w:rFonts w:hint="eastAsia"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D544EF0">
      <w:pPr>
        <w:pStyle w:val="89"/>
        <w:spacing w:before="0" w:line="360" w:lineRule="auto"/>
        <w:ind w:firstLine="480"/>
        <w:rPr>
          <w:rFonts w:hint="eastAsia"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1E11E71A">
      <w:pPr>
        <w:pStyle w:val="89"/>
        <w:spacing w:before="0" w:line="360" w:lineRule="auto"/>
        <w:ind w:firstLine="0" w:firstLineChars="0"/>
        <w:rPr>
          <w:rFonts w:hint="eastAsia" w:ascii="宋体" w:hAnsi="宋体" w:cs="宋体"/>
          <w:kern w:val="0"/>
          <w:szCs w:val="24"/>
        </w:rPr>
      </w:pPr>
    </w:p>
    <w:p w14:paraId="4A344607">
      <w:pPr>
        <w:spacing w:line="360" w:lineRule="auto"/>
        <w:ind w:left="120" w:leftChars="57" w:firstLine="482" w:firstLineChars="150"/>
        <w:jc w:val="center"/>
        <w:rPr>
          <w:rFonts w:hint="eastAsia" w:ascii="宋体" w:hAnsi="宋体" w:cs="宋体"/>
          <w:b/>
          <w:sz w:val="32"/>
        </w:rPr>
      </w:pPr>
      <w:r>
        <w:rPr>
          <w:rFonts w:hint="eastAsia" w:ascii="宋体" w:hAnsi="宋体" w:cs="宋体"/>
          <w:b/>
          <w:sz w:val="32"/>
        </w:rPr>
        <w:t>五、评标</w:t>
      </w:r>
    </w:p>
    <w:p w14:paraId="33599A51">
      <w:pPr>
        <w:spacing w:line="360" w:lineRule="auto"/>
        <w:rPr>
          <w:rFonts w:hint="eastAsia" w:ascii="宋体" w:hAnsi="宋体" w:cs="宋体"/>
          <w:b/>
          <w:sz w:val="24"/>
        </w:rPr>
      </w:pPr>
      <w:bookmarkStart w:id="16" w:name="_Toc91899903"/>
      <w:r>
        <w:rPr>
          <w:rFonts w:hint="eastAsia" w:ascii="宋体" w:hAnsi="宋体" w:cs="宋体"/>
          <w:bCs/>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0E2351BF">
      <w:pPr>
        <w:spacing w:line="360" w:lineRule="auto"/>
        <w:rPr>
          <w:rFonts w:hint="eastAsia" w:ascii="宋体" w:hAnsi="宋体" w:cs="宋体"/>
          <w:b/>
          <w:sz w:val="24"/>
        </w:rPr>
      </w:pPr>
    </w:p>
    <w:p w14:paraId="62AC6108">
      <w:pPr>
        <w:spacing w:line="360" w:lineRule="auto"/>
        <w:ind w:left="120" w:leftChars="57" w:firstLine="482" w:firstLineChars="150"/>
        <w:jc w:val="center"/>
        <w:rPr>
          <w:rFonts w:hint="eastAsia" w:ascii="宋体" w:hAnsi="宋体" w:cs="宋体"/>
          <w:b/>
          <w:sz w:val="32"/>
        </w:rPr>
      </w:pPr>
      <w:r>
        <w:rPr>
          <w:rFonts w:hint="eastAsia" w:ascii="宋体" w:hAnsi="宋体" w:cs="宋体"/>
          <w:b/>
          <w:sz w:val="32"/>
        </w:rPr>
        <w:t>六、定 标</w:t>
      </w:r>
    </w:p>
    <w:p w14:paraId="43434AC9">
      <w:pPr>
        <w:pStyle w:val="24"/>
        <w:spacing w:line="360" w:lineRule="auto"/>
        <w:ind w:left="479" w:hanging="479" w:hangingChars="199"/>
        <w:rPr>
          <w:rFonts w:hint="eastAsia" w:cs="宋体"/>
          <w:b/>
        </w:rPr>
      </w:pPr>
      <w:r>
        <w:rPr>
          <w:rFonts w:hint="eastAsia" w:cs="宋体"/>
          <w:b/>
        </w:rPr>
        <w:t>22. 确定中标供应商</w:t>
      </w:r>
    </w:p>
    <w:p w14:paraId="6489608A">
      <w:pPr>
        <w:pStyle w:val="89"/>
        <w:snapToGrid w:val="0"/>
        <w:spacing w:before="0" w:line="360" w:lineRule="auto"/>
        <w:ind w:firstLine="480"/>
        <w:rPr>
          <w:rFonts w:hint="eastAsia"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0A7862AA">
      <w:pPr>
        <w:pStyle w:val="89"/>
        <w:snapToGrid w:val="0"/>
        <w:spacing w:before="0" w:line="360" w:lineRule="auto"/>
        <w:ind w:firstLine="0" w:firstLineChars="0"/>
        <w:rPr>
          <w:rFonts w:hint="eastAsia" w:ascii="宋体" w:hAnsi="宋体" w:cs="宋体"/>
          <w:b/>
          <w:szCs w:val="24"/>
          <w:highlight w:val="none"/>
        </w:rPr>
      </w:pPr>
      <w:r>
        <w:rPr>
          <w:rFonts w:hint="eastAsia" w:ascii="宋体" w:hAnsi="宋体" w:cs="宋体"/>
          <w:b/>
          <w:szCs w:val="24"/>
          <w:highlight w:val="none"/>
        </w:rPr>
        <w:t>23. 中标通知与中标结果公告</w:t>
      </w:r>
    </w:p>
    <w:p w14:paraId="4B4A619B">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23.1自中标人确定之日起2个工作日内，采购代理机构通过电子交易平台向中标人发出中标通知书，同时编制发布采购结果公告。采购代理机构也可以以纸质形式进行中标通知。</w:t>
      </w:r>
    </w:p>
    <w:p w14:paraId="42CCB41E">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的名称、地址、联系方式，项目名称和项目编号，中标人名称、地址和中标金额，主要中标标的的名称、规格型号、数量、单价、服务要求、未中标情况说明、中标公告期限以及评审专家名单。</w:t>
      </w:r>
    </w:p>
    <w:p w14:paraId="3452B42E">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1D0172A2">
      <w:pPr>
        <w:snapToGrid/>
        <w:spacing w:line="360" w:lineRule="auto"/>
        <w:ind w:left="0" w:leftChars="0" w:firstLine="0" w:firstLineChars="0"/>
        <w:jc w:val="center"/>
        <w:rPr>
          <w:rFonts w:hint="eastAsia" w:ascii="宋体" w:hAnsi="宋体" w:cs="宋体"/>
          <w:b/>
          <w:sz w:val="32"/>
        </w:rPr>
      </w:pPr>
      <w:r>
        <w:rPr>
          <w:rFonts w:hint="eastAsia" w:ascii="宋体" w:hAnsi="宋体" w:cs="宋体"/>
          <w:b/>
          <w:sz w:val="32"/>
        </w:rPr>
        <w:t>七、合同授予</w:t>
      </w:r>
    </w:p>
    <w:p w14:paraId="59E0674A">
      <w:pPr>
        <w:pStyle w:val="24"/>
        <w:spacing w:line="360" w:lineRule="auto"/>
        <w:ind w:left="478" w:hanging="477" w:hangingChars="199"/>
        <w:rPr>
          <w:rFonts w:hint="eastAsia" w:cs="宋体"/>
          <w:b/>
        </w:rPr>
      </w:pPr>
      <w:r>
        <w:rPr>
          <w:rFonts w:hint="eastAsia" w:cs="宋体"/>
          <w:bCs/>
        </w:rPr>
        <w:t>24.</w:t>
      </w:r>
      <w:r>
        <w:rPr>
          <w:rFonts w:hint="eastAsia" w:cs="宋体"/>
        </w:rPr>
        <w:t>合同主要条款详见第五部分拟签订的合同文本。</w:t>
      </w:r>
    </w:p>
    <w:p w14:paraId="3A192073">
      <w:pPr>
        <w:pStyle w:val="24"/>
        <w:spacing w:line="360" w:lineRule="auto"/>
        <w:ind w:left="479" w:hanging="479" w:hangingChars="199"/>
        <w:rPr>
          <w:rFonts w:hint="eastAsia" w:cs="宋体"/>
          <w:b/>
        </w:rPr>
      </w:pPr>
      <w:r>
        <w:rPr>
          <w:rFonts w:hint="eastAsia" w:cs="宋体"/>
          <w:b/>
        </w:rPr>
        <w:t>25.合同的签订</w:t>
      </w:r>
    </w:p>
    <w:p w14:paraId="456A11EA">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44179EE">
      <w:pPr>
        <w:pStyle w:val="89"/>
        <w:snapToGrid w:val="0"/>
        <w:spacing w:before="0"/>
        <w:ind w:firstLine="480"/>
        <w:rPr>
          <w:rFonts w:hint="eastAsia"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55E2B16">
      <w:pPr>
        <w:pStyle w:val="89"/>
        <w:snapToGrid w:val="0"/>
        <w:spacing w:before="0"/>
        <w:ind w:firstLine="480"/>
        <w:rPr>
          <w:rFonts w:hint="eastAsia" w:ascii="宋体" w:hAnsi="宋体" w:cs="宋体"/>
        </w:rPr>
      </w:pPr>
      <w:r>
        <w:rPr>
          <w:rFonts w:hint="eastAsia" w:ascii="宋体" w:hAnsi="宋体" w:cs="宋体"/>
        </w:rPr>
        <w:t>25.3如签订合同并生效后，供应商无故拒绝或延期，除按照合同条款处理外，列入不良行为记录一次，并给予通报。</w:t>
      </w:r>
    </w:p>
    <w:p w14:paraId="248C14B5">
      <w:pPr>
        <w:pStyle w:val="89"/>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7F9D4956">
      <w:pPr>
        <w:pStyle w:val="89"/>
        <w:snapToGrid w:val="0"/>
        <w:spacing w:before="0" w:after="0"/>
        <w:ind w:firstLine="480"/>
        <w:rPr>
          <w:rFonts w:hint="eastAsia"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39B603BD">
      <w:pPr>
        <w:pStyle w:val="24"/>
        <w:spacing w:line="360" w:lineRule="auto"/>
        <w:ind w:left="479" w:hanging="479" w:hangingChars="199"/>
        <w:rPr>
          <w:rFonts w:hint="eastAsia" w:cs="宋体"/>
          <w:b/>
        </w:rPr>
      </w:pPr>
      <w:r>
        <w:rPr>
          <w:rFonts w:hint="eastAsia" w:cs="宋体"/>
          <w:b/>
        </w:rPr>
        <w:t>26. 履约保证金</w:t>
      </w:r>
    </w:p>
    <w:p w14:paraId="46E63466">
      <w:pPr>
        <w:tabs>
          <w:tab w:val="left" w:pos="0"/>
        </w:tabs>
        <w:spacing w:line="360" w:lineRule="auto"/>
        <w:ind w:firstLine="482"/>
        <w:rPr>
          <w:rFonts w:hint="eastAsia"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4AFE0212">
      <w:pPr>
        <w:tabs>
          <w:tab w:val="left" w:pos="0"/>
        </w:tabs>
        <w:spacing w:line="360" w:lineRule="auto"/>
        <w:ind w:firstLine="482"/>
        <w:rPr>
          <w:rFonts w:hint="eastAsia" w:ascii="宋体" w:hAnsi="宋体" w:cs="宋体"/>
          <w:snapToGrid w:val="0"/>
          <w:kern w:val="28"/>
          <w:sz w:val="24"/>
        </w:rPr>
      </w:pPr>
      <w:r>
        <w:rPr>
          <w:rFonts w:hint="eastAsia" w:ascii="宋体" w:hAnsi="宋体" w:cs="宋体"/>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cs="宋体"/>
          <w:color w:val="000000" w:themeColor="text1"/>
          <w:sz w:val="24"/>
          <w14:textFill>
            <w14:solidFill>
              <w14:schemeClr w14:val="tx1"/>
            </w14:solidFill>
          </w14:textFill>
        </w:rPr>
        <w:t>400-903-9583。</w:t>
      </w:r>
    </w:p>
    <w:p w14:paraId="6D15E332">
      <w:pPr>
        <w:pStyle w:val="24"/>
        <w:spacing w:line="360" w:lineRule="auto"/>
        <w:ind w:left="479" w:hanging="479" w:hangingChars="199"/>
        <w:rPr>
          <w:rFonts w:hint="eastAsia" w:cs="宋体"/>
          <w:b/>
        </w:rPr>
      </w:pPr>
      <w:r>
        <w:rPr>
          <w:rFonts w:hint="eastAsia" w:cs="宋体"/>
          <w:b/>
        </w:rPr>
        <w:t>27.预付款</w:t>
      </w:r>
    </w:p>
    <w:p w14:paraId="76ACB0A6">
      <w:pPr>
        <w:adjustRightInd/>
        <w:spacing w:line="360" w:lineRule="auto"/>
        <w:ind w:firstLine="480" w:firstLineChars="200"/>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ascii="宋体" w:hAnsi="宋体" w:cs="Times New Roman"/>
          <w:color w:val="auto"/>
          <w:kern w:val="2"/>
          <w:sz w:val="24"/>
          <w:highlight w:val="none"/>
        </w:rPr>
        <w:t>400-903-9583。</w:t>
      </w:r>
    </w:p>
    <w:p w14:paraId="7B2DBFAC">
      <w:pPr>
        <w:snapToGrid w:val="0"/>
        <w:spacing w:line="360" w:lineRule="auto"/>
        <w:rPr>
          <w:rFonts w:hint="eastAsia" w:ascii="宋体" w:hAnsi="宋体" w:cs="宋体"/>
          <w:b/>
          <w:sz w:val="32"/>
        </w:rPr>
      </w:pPr>
    </w:p>
    <w:p w14:paraId="57129CED">
      <w:pPr>
        <w:snapToGrid w:val="0"/>
        <w:spacing w:line="360" w:lineRule="auto"/>
        <w:ind w:firstLine="0" w:firstLineChars="0"/>
        <w:jc w:val="center"/>
        <w:rPr>
          <w:rFonts w:hint="eastAsia" w:ascii="宋体" w:hAnsi="宋体" w:cs="宋体"/>
          <w:b/>
          <w:sz w:val="24"/>
        </w:rPr>
      </w:pPr>
      <w:r>
        <w:rPr>
          <w:rFonts w:hint="eastAsia" w:ascii="宋体" w:hAnsi="宋体" w:cs="宋体"/>
          <w:b/>
          <w:sz w:val="32"/>
        </w:rPr>
        <w:t>八、电子交易活动的中止</w:t>
      </w:r>
    </w:p>
    <w:p w14:paraId="3116D806">
      <w:pPr>
        <w:pStyle w:val="89"/>
        <w:snapToGrid w:val="0"/>
        <w:spacing w:before="0"/>
        <w:ind w:firstLine="0" w:firstLineChars="0"/>
        <w:rPr>
          <w:rFonts w:hint="eastAsia" w:ascii="宋体" w:hAnsi="宋体" w:cs="宋体"/>
          <w:b/>
          <w:szCs w:val="24"/>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p>
    <w:p w14:paraId="06E2A010">
      <w:pPr>
        <w:pStyle w:val="89"/>
        <w:snapToGrid w:val="0"/>
        <w:spacing w:before="0"/>
        <w:ind w:firstLine="480" w:firstLineChars="200"/>
        <w:rPr>
          <w:rFonts w:hint="eastAsia" w:ascii="宋体" w:hAnsi="宋体" w:cs="宋体"/>
        </w:rPr>
      </w:pPr>
      <w:r>
        <w:rPr>
          <w:rFonts w:hint="eastAsia" w:ascii="宋体" w:hAnsi="宋体" w:cs="宋体"/>
        </w:rPr>
        <w:t>采购过程中出现以下情形，导致电子交易平台无法正常运行，或者无法保证电子交易的公平、公正和安全时，采购代理机构可中止电子交易活动：</w:t>
      </w:r>
    </w:p>
    <w:p w14:paraId="382BFAAB">
      <w:pPr>
        <w:pStyle w:val="89"/>
        <w:snapToGrid w:val="0"/>
        <w:spacing w:before="0"/>
        <w:ind w:firstLine="480"/>
        <w:rPr>
          <w:rFonts w:hint="eastAsia" w:ascii="宋体" w:hAnsi="宋体" w:cs="宋体"/>
        </w:rPr>
      </w:pPr>
      <w:r>
        <w:rPr>
          <w:rFonts w:hint="eastAsia" w:ascii="宋体" w:hAnsi="宋体" w:cs="宋体"/>
        </w:rPr>
        <w:t xml:space="preserve">28.1电子交易平台发生故障而无法登录访问的； </w:t>
      </w:r>
    </w:p>
    <w:p w14:paraId="1AACD8D8">
      <w:pPr>
        <w:pStyle w:val="89"/>
        <w:snapToGrid w:val="0"/>
        <w:spacing w:before="0"/>
        <w:ind w:firstLine="480"/>
        <w:rPr>
          <w:rFonts w:hint="eastAsia" w:ascii="宋体" w:hAnsi="宋体" w:cs="宋体"/>
        </w:rPr>
      </w:pPr>
      <w:r>
        <w:rPr>
          <w:rFonts w:hint="eastAsia" w:ascii="宋体" w:hAnsi="宋体" w:cs="宋体"/>
        </w:rPr>
        <w:t>28.2电子交易平台应用或数据库出现错误，不能进行正常操作的；</w:t>
      </w:r>
    </w:p>
    <w:p w14:paraId="567AEDDC">
      <w:pPr>
        <w:pStyle w:val="89"/>
        <w:snapToGrid w:val="0"/>
        <w:spacing w:before="0"/>
        <w:ind w:firstLine="480"/>
        <w:rPr>
          <w:rFonts w:hint="eastAsia" w:ascii="宋体" w:hAnsi="宋体" w:cs="宋体"/>
        </w:rPr>
      </w:pPr>
      <w:r>
        <w:rPr>
          <w:rFonts w:hint="eastAsia" w:ascii="宋体" w:hAnsi="宋体" w:cs="宋体"/>
        </w:rPr>
        <w:t>28.3电子交易平台发现严重安全漏洞，有潜在泄密危险的；</w:t>
      </w:r>
    </w:p>
    <w:p w14:paraId="1A4EBB41">
      <w:pPr>
        <w:pStyle w:val="89"/>
        <w:snapToGrid w:val="0"/>
        <w:spacing w:before="0"/>
        <w:ind w:firstLine="480"/>
        <w:rPr>
          <w:rFonts w:hint="eastAsia" w:ascii="宋体" w:hAnsi="宋体" w:cs="宋体"/>
        </w:rPr>
      </w:pPr>
      <w:r>
        <w:rPr>
          <w:rFonts w:hint="eastAsia" w:ascii="宋体" w:hAnsi="宋体" w:cs="宋体"/>
        </w:rPr>
        <w:t xml:space="preserve">28.4病毒发作导致不能进行正常操作的； </w:t>
      </w:r>
    </w:p>
    <w:p w14:paraId="3EECB2E1">
      <w:pPr>
        <w:pStyle w:val="89"/>
        <w:snapToGrid w:val="0"/>
        <w:spacing w:before="0"/>
        <w:ind w:firstLine="480"/>
        <w:rPr>
          <w:rFonts w:hint="eastAsia" w:ascii="宋体" w:hAnsi="宋体" w:cs="宋体"/>
        </w:rPr>
      </w:pPr>
      <w:r>
        <w:rPr>
          <w:rFonts w:hint="eastAsia" w:ascii="宋体" w:hAnsi="宋体" w:cs="宋体"/>
        </w:rPr>
        <w:t>28.5其他无法保证电子交易的公平、公正和安全的情况。</w:t>
      </w:r>
    </w:p>
    <w:p w14:paraId="31F4F2C1">
      <w:pPr>
        <w:pStyle w:val="89"/>
        <w:snapToGrid w:val="0"/>
        <w:spacing w:before="0"/>
        <w:ind w:firstLine="0" w:firstLineChars="0"/>
        <w:rPr>
          <w:rFonts w:hint="eastAsia" w:ascii="宋体" w:hAnsi="宋体" w:cs="宋体"/>
        </w:rPr>
      </w:pPr>
      <w:r>
        <w:rPr>
          <w:rFonts w:hint="eastAsia" w:ascii="宋体" w:hAnsi="宋体" w:cs="宋体"/>
        </w:rPr>
        <w:t>29.出现以上情形，不影响采购公平、公正性的，采购组织机构可以待上述情形消除后继续组织电子交易活动，也可以决定某些环节以纸质形式进行；影响或可能影响采购公平、公正性的，应当重新采购。</w:t>
      </w:r>
    </w:p>
    <w:p w14:paraId="781928EB">
      <w:pPr>
        <w:tabs>
          <w:tab w:val="left" w:pos="0"/>
        </w:tabs>
        <w:spacing w:line="360" w:lineRule="auto"/>
        <w:ind w:firstLine="480"/>
        <w:rPr>
          <w:rFonts w:hint="eastAsia" w:ascii="宋体" w:hAnsi="宋体" w:cs="宋体"/>
          <w:sz w:val="24"/>
        </w:rPr>
      </w:pPr>
    </w:p>
    <w:p w14:paraId="18AA6664">
      <w:pPr>
        <w:snapToGrid w:val="0"/>
        <w:spacing w:line="360" w:lineRule="auto"/>
        <w:ind w:left="120" w:leftChars="57" w:firstLine="482" w:firstLineChars="150"/>
        <w:jc w:val="center"/>
        <w:rPr>
          <w:rFonts w:hint="eastAsia" w:ascii="宋体" w:hAnsi="宋体" w:cs="宋体"/>
          <w:b/>
          <w:sz w:val="32"/>
        </w:rPr>
      </w:pPr>
      <w:r>
        <w:rPr>
          <w:rFonts w:hint="eastAsia" w:ascii="宋体" w:hAnsi="宋体" w:cs="宋体"/>
          <w:b/>
          <w:sz w:val="32"/>
        </w:rPr>
        <w:t>九、验收</w:t>
      </w:r>
    </w:p>
    <w:p w14:paraId="246AD10E">
      <w:pPr>
        <w:pStyle w:val="24"/>
        <w:spacing w:line="360" w:lineRule="auto"/>
        <w:ind w:firstLine="0" w:firstLineChars="0"/>
        <w:rPr>
          <w:rFonts w:hint="eastAsia" w:cs="宋体"/>
          <w:b/>
        </w:rPr>
      </w:pPr>
      <w:r>
        <w:rPr>
          <w:rFonts w:hint="eastAsia" w:cs="宋体"/>
          <w:b/>
        </w:rPr>
        <w:t>30.验收</w:t>
      </w:r>
    </w:p>
    <w:p w14:paraId="430C544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B224F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734F77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2BAFD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2001FF3">
      <w:pPr>
        <w:tabs>
          <w:tab w:val="left" w:pos="0"/>
        </w:tabs>
        <w:adjustRightInd w:val="0"/>
        <w:snapToGrid w:val="0"/>
        <w:spacing w:line="360" w:lineRule="auto"/>
        <w:ind w:left="0"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03812C5">
      <w:pPr>
        <w:tabs>
          <w:tab w:val="left" w:pos="0"/>
        </w:tabs>
        <w:spacing w:line="360" w:lineRule="auto"/>
        <w:ind w:firstLine="480"/>
        <w:rPr>
          <w:rFonts w:hint="eastAsia" w:ascii="宋体" w:hAnsi="宋体" w:cs="宋体"/>
          <w:kern w:val="0"/>
          <w:sz w:val="24"/>
        </w:rPr>
      </w:pPr>
    </w:p>
    <w:bookmarkEnd w:id="16"/>
    <w:p w14:paraId="0A294D13">
      <w:pPr>
        <w:tabs>
          <w:tab w:val="left" w:pos="0"/>
        </w:tabs>
        <w:spacing w:line="360" w:lineRule="auto"/>
        <w:ind w:firstLine="480"/>
        <w:rPr>
          <w:rFonts w:hint="eastAsia"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1107" w:right="1648" w:bottom="1187" w:left="1438" w:header="794" w:footer="964" w:gutter="0"/>
          <w:cols w:space="720" w:num="1"/>
          <w:titlePg/>
          <w:docGrid w:linePitch="312" w:charSpace="0"/>
        </w:sectPr>
      </w:pPr>
      <w:bookmarkStart w:id="17" w:name="_Hlt68403820"/>
      <w:bookmarkEnd w:id="17"/>
      <w:bookmarkStart w:id="18" w:name="_Hlt68073093"/>
      <w:bookmarkEnd w:id="18"/>
      <w:bookmarkStart w:id="19" w:name="_Hlt75236290"/>
      <w:bookmarkEnd w:id="19"/>
      <w:bookmarkStart w:id="20" w:name="_Hlt75236011"/>
      <w:bookmarkEnd w:id="20"/>
      <w:bookmarkStart w:id="21" w:name="_Hlt68072990"/>
      <w:bookmarkEnd w:id="21"/>
      <w:bookmarkStart w:id="22" w:name="_Hlt68057669"/>
      <w:bookmarkEnd w:id="22"/>
      <w:bookmarkStart w:id="23" w:name="_Hlt74714665"/>
      <w:bookmarkEnd w:id="23"/>
      <w:bookmarkStart w:id="24" w:name="_Hlt75236101"/>
      <w:bookmarkEnd w:id="24"/>
      <w:bookmarkStart w:id="25" w:name="_Hlt74707468"/>
      <w:bookmarkEnd w:id="25"/>
      <w:bookmarkStart w:id="26" w:name="_Hlt74729768"/>
      <w:bookmarkEnd w:id="26"/>
      <w:bookmarkStart w:id="27" w:name="_Hlt74730295"/>
      <w:bookmarkEnd w:id="27"/>
      <w:bookmarkStart w:id="28" w:name="_Hlt68072998"/>
      <w:bookmarkEnd w:id="28"/>
    </w:p>
    <w:bookmarkEnd w:id="12"/>
    <w:bookmarkEnd w:id="13"/>
    <w:p w14:paraId="347AEFA8">
      <w:pPr>
        <w:spacing w:line="360" w:lineRule="auto"/>
        <w:ind w:left="-420" w:leftChars="-200" w:firstLine="419" w:firstLineChars="116"/>
        <w:jc w:val="center"/>
        <w:outlineLvl w:val="0"/>
        <w:rPr>
          <w:rFonts w:hint="eastAsia" w:ascii="宋体" w:hAnsi="宋体" w:cs="宋体"/>
          <w:b/>
          <w:sz w:val="36"/>
          <w:szCs w:val="36"/>
        </w:rPr>
      </w:pPr>
      <w:bookmarkStart w:id="29" w:name="第四部分"/>
      <w:r>
        <w:rPr>
          <w:rFonts w:hint="eastAsia" w:ascii="宋体" w:hAnsi="宋体" w:cs="宋体"/>
          <w:b/>
          <w:sz w:val="36"/>
          <w:szCs w:val="36"/>
        </w:rPr>
        <w:t>第三部分 采购需求</w:t>
      </w:r>
    </w:p>
    <w:p w14:paraId="01D9CD19">
      <w:pPr>
        <w:pStyle w:val="58"/>
        <w:spacing w:line="360" w:lineRule="auto"/>
        <w:ind w:firstLine="482" w:firstLineChars="200"/>
        <w:jc w:val="left"/>
        <w:rPr>
          <w:rFonts w:hint="eastAsia" w:ascii="宋体" w:hAnsi="宋体" w:cs="宋体"/>
          <w:bCs/>
          <w:szCs w:val="24"/>
        </w:rPr>
      </w:pPr>
      <w:r>
        <w:rPr>
          <w:rFonts w:hint="eastAsia" w:ascii="宋体" w:hAnsi="宋体" w:eastAsia="宋体" w:cs="宋体"/>
          <w:b/>
          <w:color w:val="auto"/>
          <w:kern w:val="1"/>
          <w:sz w:val="24"/>
          <w:szCs w:val="24"/>
          <w:highlight w:val="none"/>
        </w:rPr>
        <w:t>采购需求中带“●”条款为实质性内容，</w:t>
      </w:r>
      <w:r>
        <w:rPr>
          <w:rFonts w:hint="eastAsia" w:ascii="宋体" w:hAnsi="宋体" w:cs="宋体"/>
          <w:b/>
          <w:bCs/>
          <w:color w:val="auto"/>
          <w:sz w:val="24"/>
          <w:highlight w:val="none"/>
        </w:rPr>
        <w:t>投标人须在投标文件中提供《</w:t>
      </w:r>
      <w:r>
        <w:rPr>
          <w:rFonts w:hint="eastAsia" w:ascii="宋体" w:hAnsi="宋体" w:cs="宋体"/>
          <w:b/>
          <w:bCs/>
          <w:color w:val="auto"/>
          <w:sz w:val="24"/>
          <w:highlight w:val="none"/>
          <w:lang w:val="en-US" w:eastAsia="zh-CN"/>
        </w:rPr>
        <w:t>采购需求实质性内容响应表</w:t>
      </w:r>
      <w:r>
        <w:rPr>
          <w:rFonts w:hint="eastAsia" w:ascii="宋体" w:hAnsi="宋体" w:cs="宋体"/>
          <w:b/>
          <w:bCs/>
          <w:color w:val="auto"/>
          <w:sz w:val="24"/>
          <w:highlight w:val="none"/>
        </w:rPr>
        <w:t>》（格式见第六部分 应提交的有关格式范例），如有任意一条未响应或不满足，将被视为无效。</w:t>
      </w:r>
    </w:p>
    <w:p w14:paraId="7A47926D">
      <w:pPr>
        <w:pStyle w:val="3"/>
        <w:rPr>
          <w:rFonts w:hint="default" w:ascii="宋体" w:hAnsi="宋体" w:eastAsia="宋体" w:cs="宋体"/>
          <w:b/>
          <w:color w:val="auto"/>
          <w:kern w:val="1"/>
          <w:sz w:val="24"/>
          <w:szCs w:val="24"/>
          <w:highlight w:val="none"/>
          <w:lang w:val="zh-CN"/>
        </w:rPr>
      </w:pPr>
      <w:r>
        <w:rPr>
          <w:rFonts w:hint="default" w:ascii="宋体" w:hAnsi="宋体" w:eastAsia="宋体" w:cs="宋体"/>
          <w:b/>
          <w:color w:val="auto"/>
          <w:kern w:val="1"/>
          <w:sz w:val="24"/>
          <w:szCs w:val="24"/>
          <w:highlight w:val="none"/>
          <w:lang w:val="zh-CN"/>
        </w:rPr>
        <w:t>一、项目概况</w:t>
      </w:r>
    </w:p>
    <w:p w14:paraId="4F0D5636">
      <w:pPr>
        <w:pStyle w:val="104"/>
        <w:adjustRightInd/>
        <w:ind w:firstLine="480"/>
        <w:rPr>
          <w:rFonts w:hint="eastAsia" w:ascii="宋体" w:hAnsi="宋体" w:eastAsia="宋体"/>
          <w:lang w:eastAsia="zh-CN"/>
        </w:rPr>
      </w:pPr>
      <w:r>
        <w:rPr>
          <w:rFonts w:hint="eastAsia" w:ascii="宋体" w:hAnsi="宋体" w:eastAsia="宋体"/>
          <w:lang w:eastAsia="zh-CN"/>
        </w:rPr>
        <w:t>本项目为“交钥匙”项目，采购内容为塘栖三中港北路学校实验室采购项目。投标报价包括设备费、安装调试费用、招标代理费、税金、运输及运输保险费、质保期内维修保养费、特殊工具费、售后服务费、培训费、政策性文件规定及合同包含的所有风险、责任等各项全部费用。</w:t>
      </w:r>
    </w:p>
    <w:p w14:paraId="70F2435C">
      <w:pPr>
        <w:pStyle w:val="3"/>
        <w:rPr>
          <w:rFonts w:hint="default" w:ascii="Times New Roman" w:hAnsi="Times New Roman" w:cs="Times New Roman"/>
          <w:b w:val="0"/>
          <w:sz w:val="24"/>
          <w:lang w:val="zh-CN"/>
        </w:rPr>
      </w:pPr>
      <w:bookmarkStart w:id="412" w:name="_GoBack"/>
      <w:bookmarkEnd w:id="412"/>
      <w:r>
        <w:rPr>
          <w:rFonts w:hint="default" w:ascii="宋体" w:hAnsi="宋体" w:eastAsia="宋体" w:cs="宋体"/>
          <w:b/>
          <w:bCs/>
          <w:color w:val="auto"/>
          <w:kern w:val="1"/>
          <w:sz w:val="24"/>
          <w:szCs w:val="24"/>
          <w:highlight w:val="none"/>
          <w:lang w:val="zh-CN" w:eastAsia="zh-CN"/>
        </w:rPr>
        <w:t>二</w:t>
      </w:r>
      <w:r>
        <w:rPr>
          <w:rFonts w:hint="default" w:ascii="宋体" w:hAnsi="宋体" w:eastAsia="宋体" w:cs="宋体"/>
          <w:b/>
          <w:bCs/>
          <w:color w:val="auto"/>
          <w:kern w:val="1"/>
          <w:sz w:val="24"/>
          <w:szCs w:val="24"/>
          <w:highlight w:val="none"/>
          <w:lang w:val="zh-CN"/>
        </w:rPr>
        <w:t>、</w:t>
      </w:r>
      <w:r>
        <w:rPr>
          <w:rFonts w:hint="default" w:ascii="宋体" w:hAnsi="宋体" w:eastAsia="宋体" w:cs="宋体"/>
          <w:b/>
          <w:color w:val="auto"/>
          <w:kern w:val="1"/>
          <w:sz w:val="24"/>
          <w:szCs w:val="24"/>
          <w:highlight w:val="none"/>
          <w:lang w:val="zh-CN"/>
        </w:rPr>
        <w:t>采购清单</w:t>
      </w:r>
    </w:p>
    <w:tbl>
      <w:tblPr>
        <w:tblStyle w:val="6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96"/>
        <w:gridCol w:w="6477"/>
        <w:gridCol w:w="725"/>
        <w:gridCol w:w="737"/>
      </w:tblGrid>
      <w:tr w14:paraId="3ADD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657" w:type="dxa"/>
            <w:gridSpan w:val="5"/>
            <w:noWrap/>
            <w:vAlign w:val="center"/>
          </w:tcPr>
          <w:p w14:paraId="122C2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化学智能顶装实验室</w:t>
            </w:r>
          </w:p>
        </w:tc>
      </w:tr>
      <w:tr w14:paraId="3D8C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2855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96" w:type="dxa"/>
            <w:noWrap w:val="0"/>
            <w:vAlign w:val="center"/>
          </w:tcPr>
          <w:p w14:paraId="4339D9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477" w:type="dxa"/>
            <w:noWrap w:val="0"/>
            <w:vAlign w:val="center"/>
          </w:tcPr>
          <w:p w14:paraId="62E688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725" w:type="dxa"/>
            <w:noWrap/>
            <w:vAlign w:val="center"/>
          </w:tcPr>
          <w:p w14:paraId="41279D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37" w:type="dxa"/>
            <w:noWrap/>
            <w:vAlign w:val="center"/>
          </w:tcPr>
          <w:p w14:paraId="01710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3AEA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B251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37D91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教师演示台</w:t>
            </w:r>
          </w:p>
        </w:tc>
        <w:tc>
          <w:tcPr>
            <w:tcW w:w="6477" w:type="dxa"/>
            <w:noWrap w:val="0"/>
            <w:vAlign w:val="center"/>
          </w:tcPr>
          <w:p w14:paraId="4FABD2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★3.台面：采用≥15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厚新型陶瓷台面（台面需整张不可拼接）。釉面与胚体经高温一体烧结而成，不脱落、不脱层。为满足实验室对台面苛刻的要求，需满足如下性能：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A、水槽切口截面耐污染性能：为保证水槽孔截面长时间使用后依然洁净不污染，有较强的耐腐性。依据GB/T24820-2024《实验室家具通用技术条件》，对</w:t>
            </w:r>
            <w:r>
              <w:rPr>
                <w:rFonts w:hint="eastAsia" w:ascii="宋体" w:hAnsi="宋体" w:eastAsia="宋体" w:cs="宋体"/>
                <w:i w:val="0"/>
                <w:iCs w:val="0"/>
                <w:color w:val="000000"/>
                <w:kern w:val="0"/>
                <w:sz w:val="24"/>
                <w:szCs w:val="24"/>
                <w:highlight w:val="none"/>
                <w:u w:val="none"/>
                <w:lang w:val="en-US" w:eastAsia="zh-CN" w:bidi="ar"/>
              </w:rPr>
              <w:t>马克笔、酱油、碘伏、红墨水、丙酮、二氯甲烷等污染物接触水槽孔截面不低于48小时的测试。测试结果要求达到5级（无明显变化）。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B、耐磨要求：为保证台面在长时间使用中表面耐磨的稳定性，参照GB/T3810.7-2016检测标准，台面表面耐磨等级不低于4级/2100转；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C、颜色稳定性：为保证台面的美观度，参照GB/T17657-2022技术要求,耐光色牢度不低于4级。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D、破坏强度：为保证台面在使用中的安全性，参照T/CIQA10-2020技术要求，台面受外力破坏承受不低于12000N；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E、硬度要求：为保证台面在使用过程中能承受一部分锐器、钝器的刻刮，参照JC/T872-2019标准，台面莫氏硬度不低于6级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提供满足以上技术要</w:t>
            </w:r>
            <w:r>
              <w:rPr>
                <w:rFonts w:hint="eastAsia" w:ascii="宋体" w:hAnsi="宋体" w:eastAsia="宋体" w:cs="宋体"/>
                <w:b/>
                <w:bCs/>
                <w:i w:val="0"/>
                <w:iCs w:val="0"/>
                <w:color w:val="000000"/>
                <w:kern w:val="0"/>
                <w:sz w:val="24"/>
                <w:szCs w:val="24"/>
                <w:u w:val="none"/>
                <w:lang w:val="en-US" w:eastAsia="zh-CN" w:bidi="ar"/>
              </w:rPr>
              <w:t>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4.柜身：柜体为落地式结构，采用镀锌钢板，厚度≥1.0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，采用</w:t>
            </w:r>
            <w:r>
              <w:rPr>
                <w:rFonts w:hint="eastAsia" w:ascii="宋体" w:hAnsi="宋体" w:cs="宋体"/>
                <w:i w:val="0"/>
                <w:iCs w:val="0"/>
                <w:color w:val="000000"/>
                <w:kern w:val="0"/>
                <w:sz w:val="24"/>
                <w:szCs w:val="24"/>
                <w:u w:val="none"/>
                <w:lang w:val="en-US" w:eastAsia="zh-CN" w:bidi="ar"/>
              </w:rPr>
              <w:t>CO₂</w:t>
            </w:r>
            <w:r>
              <w:rPr>
                <w:rFonts w:hint="eastAsia" w:ascii="宋体" w:hAnsi="宋体" w:eastAsia="宋体" w:cs="宋体"/>
                <w:i w:val="0"/>
                <w:iCs w:val="0"/>
                <w:color w:val="000000"/>
                <w:kern w:val="0"/>
                <w:sz w:val="24"/>
                <w:szCs w:val="24"/>
                <w:u w:val="none"/>
                <w:lang w:val="en-US" w:eastAsia="zh-CN" w:bidi="ar"/>
              </w:rPr>
              <w:t>保护焊焊接，打磨处理，表面经耐酸碱环氧树脂粉末烤漆处理，表面硬度附着力、耐腐蚀性符合国家标准，所有钣金的表面接缝均应满焊，焊接处均应打磨平整以保持为连续的平滑表面。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5.门板及抽面：采用镀锌钢板，内设隔音材料，保证关门减少噪音；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6.滑轨：采用三节重型滚珠滑轨，承重性强，滑动性能良好，无噪音；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7.合页：采用大弯合页，可开门弧度大于90度，开合次数万次以上；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8.桌脚：采用ABS注塑专用桌垫固定；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9.教师演示台技术性能要求需满足GB/T24820-2024《实验室家具通用技术条件》检测依据，理化性能金属喷漆（塑）涂层硬度≥3H；耐腐蚀100h内，观察在溶剂中样板上划道两侧3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以外，应无气泡产生；附着力不低于2级；物理、化学实验台面耐高温应无裂纹；</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10.教师演示台技术性能需满足GB/T 9286-2021 《色漆和清漆 划格试验》及GB/T 10125-2021 《人造气氛腐蚀试验 盐雾试验》，中性盐雾试验不低于10级，附着力不低于2级；</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p>
        </w:tc>
        <w:tc>
          <w:tcPr>
            <w:tcW w:w="725" w:type="dxa"/>
            <w:noWrap w:val="0"/>
            <w:vAlign w:val="center"/>
          </w:tcPr>
          <w:p w14:paraId="2EE99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44C315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3103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D538B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2975C3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实验室水嘴</w:t>
            </w:r>
          </w:p>
        </w:tc>
        <w:tc>
          <w:tcPr>
            <w:tcW w:w="6477" w:type="dxa"/>
            <w:noWrap w:val="0"/>
            <w:vAlign w:val="center"/>
          </w:tcPr>
          <w:p w14:paraId="453F87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颈式实验室专用化验水嘴：要求防酸碱、防锈、防虹吸、防阻塞，表面环氧树脂喷涂。出水嘴为铜质瓷芯，高头，便于多用途使用，可拆卸清洗阻塞。出水嘴可拆卸，内有成型螺纹，可方便连接循环等特殊用水水管。</w:t>
            </w:r>
          </w:p>
        </w:tc>
        <w:tc>
          <w:tcPr>
            <w:tcW w:w="725" w:type="dxa"/>
            <w:noWrap w:val="0"/>
            <w:vAlign w:val="center"/>
          </w:tcPr>
          <w:p w14:paraId="0D900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3EFD3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B7C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837B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24AAB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防腐水槽</w:t>
            </w:r>
          </w:p>
        </w:tc>
        <w:tc>
          <w:tcPr>
            <w:tcW w:w="6477" w:type="dxa"/>
            <w:noWrap w:val="0"/>
            <w:vAlign w:val="center"/>
          </w:tcPr>
          <w:p w14:paraId="535006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2.采用高密度PP一体化成型水槽，易清洁，耐腐蚀，且利于台面残水自然回流，美观实用；具耐酸碱、耐有机溶剂、耐紫外线等特点。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★3.防腐水槽耐腐蚀性能要求需满足依据GB/T 11547-2008《塑料 耐液体化学试剂性能的测定》、GB/T 2411-2008《塑料和硬橡胶使用硬度计测定压痕硬度(邵氏硬度)》检测标准，耐液体化学试剂性能48h，硫酸(40%)、硝酸(40%)、氢氧化钾（40%)、硝酸银(1%)检测无变化，理化性能塑料件硬度邵氏D硬度≥HD63。耐液体化学试剂性能48h，盐酸37%，检测结果无变化</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p>
        </w:tc>
        <w:tc>
          <w:tcPr>
            <w:tcW w:w="725" w:type="dxa"/>
            <w:noWrap w:val="0"/>
            <w:vAlign w:val="center"/>
          </w:tcPr>
          <w:p w14:paraId="66898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2545B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EF1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A10D5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47118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教师演示电源</w:t>
            </w:r>
          </w:p>
        </w:tc>
        <w:tc>
          <w:tcPr>
            <w:tcW w:w="6477" w:type="dxa"/>
            <w:noWrap w:val="0"/>
            <w:vAlign w:val="center"/>
          </w:tcPr>
          <w:p w14:paraId="3C4DA7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总电源装置在教师桌组合柜内，抽屉式电源盒设计，内装有教师演示电源，主控学生电源装置。内设有漏电过载自动保护总开关，工作指示灯。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（1）输入电源：AC220V±10%、频率50Hz；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工作环境：支持</w:t>
            </w:r>
            <w:r>
              <w:rPr>
                <w:rFonts w:hint="eastAsia" w:ascii="宋体" w:hAnsi="宋体" w:eastAsia="宋体" w:cs="宋体"/>
                <w:i w:val="0"/>
                <w:iCs w:val="0"/>
                <w:color w:val="000000"/>
                <w:kern w:val="0"/>
                <w:sz w:val="24"/>
                <w:szCs w:val="24"/>
                <w:u w:val="none"/>
                <w:lang w:val="en-US" w:eastAsia="zh-CN" w:bidi="ar"/>
              </w:rPr>
              <w:t>温度-10℃~+40℃，相对湿度＜85％（25℃）海拔＜4000m；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（3）人身安全保护体系：配备漏电短路保护器做总电源开关；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控制面板采用7寸液晶屏控制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（5）市电AC220V/10A（两位五孔国标插座），为其它用电器提供电源；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（6）直流稳压电源：液晶显示，数字键盘触屏输入，0-30V/2A，电压调整率可达0.1V；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（7）交流低压电源：液晶显示，数字键盘触屏输入，0-30V/2A，电压调整率为0.1V；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（8）教师测试用交流高压170V、300V输出；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（9）教师测试用9V大电流输出；</w:t>
            </w:r>
          </w:p>
        </w:tc>
        <w:tc>
          <w:tcPr>
            <w:tcW w:w="725" w:type="dxa"/>
            <w:noWrap w:val="0"/>
            <w:vAlign w:val="center"/>
          </w:tcPr>
          <w:p w14:paraId="310A7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205AF1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EAF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009CD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6BDF3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紧急洗眼器</w:t>
            </w:r>
          </w:p>
        </w:tc>
        <w:tc>
          <w:tcPr>
            <w:tcW w:w="6477" w:type="dxa"/>
            <w:noWrap w:val="0"/>
            <w:vAlign w:val="center"/>
          </w:tcPr>
          <w:p w14:paraId="20FB9E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1.主体：加厚铜质,高度240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2.涂层：高亮度超厚电镀层，耐腐蚀、耐热，防紫外线辐射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3.洗眼头：模注一体成型，软性橡胶并带有缓冲滤网，出水经缓压处理呈泡沫柱状，可持续均匀柔和,去除水中杂质，避免水束冲伤眼睛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并</w:t>
            </w:r>
            <w:r>
              <w:rPr>
                <w:rFonts w:hint="eastAsia" w:ascii="宋体" w:hAnsi="宋体" w:cs="宋体"/>
                <w:i w:val="0"/>
                <w:iCs w:val="0"/>
                <w:color w:val="000000"/>
                <w:kern w:val="0"/>
                <w:sz w:val="24"/>
                <w:szCs w:val="24"/>
                <w:u w:val="none"/>
                <w:lang w:val="en-US" w:eastAsia="zh-CN" w:bidi="ar"/>
              </w:rPr>
              <w:t>可</w:t>
            </w:r>
            <w:r>
              <w:rPr>
                <w:rFonts w:hint="eastAsia" w:ascii="宋体" w:hAnsi="宋体" w:eastAsia="宋体" w:cs="宋体"/>
                <w:i w:val="0"/>
                <w:iCs w:val="0"/>
                <w:color w:val="000000"/>
                <w:kern w:val="0"/>
                <w:sz w:val="24"/>
                <w:szCs w:val="24"/>
                <w:u w:val="none"/>
                <w:lang w:val="en-US" w:eastAsia="zh-CN" w:bidi="ar"/>
              </w:rPr>
              <w:t>维持冲洗至少15分钟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4.防尘盖：PP 材质，设置防尘盖,使用时自动被水冲开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5.开关：采用杠杆结构，铜质按压阀通过塑料手柄操作，水流在1秒钟内快速启动，启闭方便,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6.控水阀：止逆阀，其阀门可自动关闭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7.软管：供水软管长度1.4米，软性 PVC 管外覆不锈钢网,外层包裹PE管，有效防止生锈、磨损、划手。</w:t>
            </w:r>
          </w:p>
        </w:tc>
        <w:tc>
          <w:tcPr>
            <w:tcW w:w="725" w:type="dxa"/>
            <w:noWrap w:val="0"/>
            <w:vAlign w:val="center"/>
          </w:tcPr>
          <w:p w14:paraId="0D080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20AE2F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21D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C54C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327F12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学生实验桌</w:t>
            </w:r>
            <w:r>
              <w:rPr>
                <w:rFonts w:hint="eastAsia" w:ascii="宋体" w:hAnsi="宋体" w:cs="宋体"/>
                <w:b/>
                <w:bCs/>
                <w:i w:val="0"/>
                <w:iCs w:val="0"/>
                <w:color w:val="000000"/>
                <w:kern w:val="0"/>
                <w:sz w:val="24"/>
                <w:szCs w:val="24"/>
                <w:u w:val="none"/>
                <w:lang w:val="en-US" w:eastAsia="zh-CN" w:bidi="ar"/>
              </w:rPr>
              <w:t>（提供样品）</w:t>
            </w:r>
          </w:p>
        </w:tc>
        <w:tc>
          <w:tcPr>
            <w:tcW w:w="6477" w:type="dxa"/>
            <w:noWrap w:val="0"/>
            <w:vAlign w:val="center"/>
          </w:tcPr>
          <w:p w14:paraId="2B0E68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厚无甲醛新型环保陶瓷台面，台面表面为实验室专业耐腐蚀、耐污染、抗冲击釉面。坯体一体实芯，釉面和坯体经高温一体烧结而成。需满足如下性能：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A</w:t>
            </w:r>
            <w:r>
              <w:rPr>
                <w:rFonts w:hint="eastAsia" w:ascii="宋体" w:hAnsi="宋体" w:eastAsia="宋体" w:cs="宋体"/>
                <w:i w:val="0"/>
                <w:iCs w:val="0"/>
                <w:color w:val="000000"/>
                <w:kern w:val="0"/>
                <w:sz w:val="24"/>
                <w:szCs w:val="24"/>
                <w:u w:val="none"/>
                <w:lang w:val="en-US" w:eastAsia="zh-CN" w:bidi="ar"/>
              </w:rPr>
              <w:t>、台面表面耐污染性能:参照GB/T17657-2022检测标准，检测内容不低于 60种试剂，至少含氢氧化钙饱和溶液、二氧六环99%、甲酚红、乙醇99%、王水、红药水、硝酸银、立顿红茶(9g/L)、氢氧化钾、硝酸65%、硫酸98%、双氧水3%、二甲苯、高氯酸72%、二甲基甲酰胺99%、乙醚99%、糠醛99%、甲苯99%、过氧化氢、仁和碘酒、丁酮87%、二氯甲烷99%、铬酸60%、二氯乙酸、92#汽油、丙酮99%、苯99%、四氯化碳、氯仿99%、片状氢氧化钠、磷酸85%、乙酸乙酯99%、乙酸99%、盐酸37%、甲醛37%、氨水28%、松节油(分析纯)等化学试剂，污染物接触时长不小于 48h,检测结果不低于5 级无明显变化。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B</w:t>
            </w:r>
            <w:r>
              <w:rPr>
                <w:rFonts w:hint="eastAsia" w:ascii="宋体" w:hAnsi="宋体" w:eastAsia="宋体" w:cs="宋体"/>
                <w:i w:val="0"/>
                <w:iCs w:val="0"/>
                <w:color w:val="000000"/>
                <w:kern w:val="0"/>
                <w:sz w:val="24"/>
                <w:szCs w:val="24"/>
                <w:u w:val="none"/>
                <w:lang w:val="en-US" w:eastAsia="zh-CN" w:bidi="ar"/>
              </w:rPr>
              <w:t>、抗冲击性能：为保证台面使用的安全性，参照T/CIQA10-2020标准，台面抗冲击性（恢复系数）不低于0.856。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C</w:t>
            </w:r>
            <w:r>
              <w:rPr>
                <w:rFonts w:hint="eastAsia" w:ascii="宋体" w:hAnsi="宋体" w:eastAsia="宋体" w:cs="宋体"/>
                <w:i w:val="0"/>
                <w:iCs w:val="0"/>
                <w:color w:val="000000"/>
                <w:kern w:val="0"/>
                <w:sz w:val="24"/>
                <w:szCs w:val="24"/>
                <w:u w:val="none"/>
                <w:lang w:val="en-US" w:eastAsia="zh-CN" w:bidi="ar"/>
              </w:rPr>
              <w:t>、台面表面耐冷热循环性能：为避免热胀冷缩对台面造成的伤害，参照GB/T17657-2022标准，检测结果需达到台面表面无裂纹无鼓包现象。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D</w:t>
            </w:r>
            <w:r>
              <w:rPr>
                <w:rFonts w:hint="eastAsia" w:ascii="宋体" w:hAnsi="宋体" w:eastAsia="宋体" w:cs="宋体"/>
                <w:i w:val="0"/>
                <w:iCs w:val="0"/>
                <w:color w:val="000000"/>
                <w:kern w:val="0"/>
                <w:sz w:val="24"/>
                <w:szCs w:val="24"/>
                <w:u w:val="none"/>
                <w:lang w:val="en-US" w:eastAsia="zh-CN" w:bidi="ar"/>
              </w:rPr>
              <w:t>、颜色稳定性：为保证台面的美观度，参照</w:t>
            </w:r>
            <w:r>
              <w:rPr>
                <w:rFonts w:hint="eastAsia" w:ascii="宋体" w:hAnsi="宋体" w:eastAsia="宋体" w:cs="宋体"/>
                <w:i w:val="0"/>
                <w:iCs w:val="0"/>
                <w:color w:val="000000"/>
                <w:kern w:val="0"/>
                <w:sz w:val="24"/>
                <w:szCs w:val="24"/>
                <w:highlight w:val="none"/>
                <w:u w:val="none"/>
                <w:lang w:val="en-US" w:eastAsia="zh-CN" w:bidi="ar"/>
              </w:rPr>
              <w:t>GB/T17657-2022</w:t>
            </w:r>
            <w:r>
              <w:rPr>
                <w:rFonts w:hint="eastAsia" w:ascii="宋体" w:hAnsi="宋体" w:eastAsia="宋体" w:cs="宋体"/>
                <w:i w:val="0"/>
                <w:iCs w:val="0"/>
                <w:color w:val="000000"/>
                <w:kern w:val="0"/>
                <w:sz w:val="24"/>
                <w:szCs w:val="24"/>
                <w:u w:val="none"/>
                <w:lang w:val="en-US" w:eastAsia="zh-CN" w:bidi="ar"/>
              </w:rPr>
              <w:t>标准,耐光色牢度不低于4级。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新型塑铝结构：学生位镂空式，侧脚采用三段式高强度铝合金结构，立柱采用双立柱形式内嵌入上下铸铝脚，台面背部档水板，左右挡水板，台面下部设有专用书包斗，中间设挂凳卡，两个书包斗中间电源盒，符合人体工程学设计，外形美观，产品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桌腿：由上中下三段组成，上、下支座和双立柱连接，双立柱间嵌入亚克力装饰板的造型。立柱采用规格35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36㎜铝合金型材，壁厚</w:t>
            </w: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1.5㎜，侧脚上横脚规格564×85×58㎜，侧脚下脚规格525×85×60㎜，立柱内嵌入上下铸铝脚</w:t>
            </w:r>
            <w:r>
              <w:rPr>
                <w:rFonts w:hint="eastAsia" w:ascii="宋体" w:hAnsi="宋体" w:cs="宋体"/>
                <w:i w:val="0"/>
                <w:iCs w:val="0"/>
                <w:color w:val="000000"/>
                <w:kern w:val="0"/>
                <w:sz w:val="24"/>
                <w:szCs w:val="24"/>
                <w:u w:val="none"/>
                <w:lang w:val="en-US" w:eastAsia="zh-CN" w:bidi="ar"/>
              </w:rPr>
              <w:t>深度</w:t>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u w:val="none"/>
                <w:lang w:val="en-US" w:eastAsia="zh-CN" w:bidi="ar"/>
              </w:rPr>
              <w:t>，并用高强度内六角螺丝连接，上下脚采用高强度铝合金模具压铸一次成型。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左、右脚拼装连接：前、后梁采用44×25㎜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壁厚</w:t>
            </w: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1.2㎜铝合金型材,中梁采用20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20㎜，壁厚</w:t>
            </w: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1.2㎜铁管，外观喷塑，左右侧脚下梁采采用60×30×2㎜椭圆spcc碳钢无缝钢管，管材两端截面与5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桌脚配有可调整底脚，桌侧脚设置专用孔位可与地面固定，配有跟台面同色ABS脚套装饰盖。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台面前挡水板：背板挡水板,左右挡水板采用73.5×25㎜厚度</w:t>
            </w: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1.5㎜铝合金型材，转角和尾端采用铝合金压铸转接件与背挡水板形成卡扣式相连接。</w:t>
            </w:r>
          </w:p>
        </w:tc>
        <w:tc>
          <w:tcPr>
            <w:tcW w:w="725" w:type="dxa"/>
            <w:noWrap w:val="0"/>
            <w:vAlign w:val="center"/>
          </w:tcPr>
          <w:p w14:paraId="62AF3E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6668A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33CD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4D5DB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79E6CE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学生实验凳</w:t>
            </w:r>
          </w:p>
        </w:tc>
        <w:tc>
          <w:tcPr>
            <w:tcW w:w="6477" w:type="dxa"/>
            <w:noWrap w:val="0"/>
            <w:vAlign w:val="center"/>
          </w:tcPr>
          <w:p w14:paraId="391CAD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产品规格：Φ320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1.凳面材质：采用环保型ABS改性塑料一次性注塑成型。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2.凳面尺寸：</w:t>
            </w:r>
            <w:r>
              <w:rPr>
                <w:rFonts w:hint="eastAsia" w:ascii="宋体" w:hAnsi="宋体" w:eastAsia="宋体" w:cs="宋体"/>
                <w:i w:val="0"/>
                <w:iCs w:val="0"/>
                <w:color w:val="000000"/>
                <w:kern w:val="0"/>
                <w:sz w:val="24"/>
                <w:szCs w:val="24"/>
                <w:highlight w:val="none"/>
                <w:u w:val="none"/>
                <w:lang w:val="en-US" w:eastAsia="zh-CN" w:bidi="ar"/>
              </w:rPr>
              <w:t>凳面ф320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×厚</w:t>
            </w:r>
            <w:r>
              <w:rPr>
                <w:rFonts w:hint="eastAsia"/>
                <w:sz w:val="24"/>
                <w:szCs w:val="24"/>
                <w:lang w:val="en-US" w:eastAsia="zh-CN"/>
              </w:rPr>
              <w:t>≥</w:t>
            </w: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3.表面带防滑，舒适耐用。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4.凳钢架椭圆形，脚钢架材质及形状：椭圆形无缝钢管，钢管尺寸16×34×1.2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。固定圆盘采用SPCC钢板，直径185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5.脚垫材质：采用PP加耐磨纤维质塑料，实心倒勾式一体射出成型。实验凳有调节升降功能，带定位销，具有防晃动功能；高度可以在450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范围内自由调整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学生实验凳技术性能要求需满足GB/T24820-2024《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 xml:space="preserve"> 以下锈点≤20 点/dm2,其中直径≥1.0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锈点不超过5点(距边缘棱角 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 xml:space="preserve"> 以内的不计)；</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p>
        </w:tc>
        <w:tc>
          <w:tcPr>
            <w:tcW w:w="725" w:type="dxa"/>
            <w:noWrap w:val="0"/>
            <w:vAlign w:val="center"/>
          </w:tcPr>
          <w:p w14:paraId="0DA6E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37" w:type="dxa"/>
            <w:noWrap w:val="0"/>
            <w:vAlign w:val="center"/>
          </w:tcPr>
          <w:p w14:paraId="79A07C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10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0AA3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6" w:type="dxa"/>
            <w:noWrap w:val="0"/>
            <w:vAlign w:val="center"/>
          </w:tcPr>
          <w:p w14:paraId="56DC77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示教终端硬件</w:t>
            </w:r>
          </w:p>
        </w:tc>
        <w:tc>
          <w:tcPr>
            <w:tcW w:w="6477" w:type="dxa"/>
            <w:noWrap w:val="0"/>
            <w:vAlign w:val="top"/>
          </w:tcPr>
          <w:p w14:paraId="20968CF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国产CPU，≥8核，主频≥2.2GHz，NPU算力≥6TOPS。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内存≥8GB。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内置存储≥128GB。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支持多点（≥10点）触控，分辨率≥1920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电源输入采用220V AC持续供电，并通过适配器转换。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设备无内置锂电池，无需定期充电，教室电源拉闸可以批量自动关机、合闸可以批量自动开机；</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w:t>
            </w:r>
            <w:r>
              <w:rPr>
                <w:rFonts w:hint="eastAsia" w:ascii="宋体" w:hAnsi="宋体" w:cs="宋体"/>
                <w:b/>
                <w:bCs/>
                <w:i w:val="0"/>
                <w:iCs w:val="0"/>
                <w:color w:val="000000"/>
                <w:kern w:val="0"/>
                <w:sz w:val="24"/>
                <w:szCs w:val="24"/>
                <w:highlight w:val="none"/>
                <w:u w:val="none"/>
                <w:lang w:val="en-US" w:eastAsia="zh-CN" w:bidi="ar"/>
              </w:rPr>
              <w:t>或</w:t>
            </w:r>
            <w:r>
              <w:rPr>
                <w:rFonts w:hint="eastAsia" w:ascii="宋体" w:hAnsi="宋体" w:eastAsia="宋体" w:cs="宋体"/>
                <w:b/>
                <w:bCs/>
                <w:i w:val="0"/>
                <w:iCs w:val="0"/>
                <w:color w:val="000000"/>
                <w:kern w:val="0"/>
                <w:sz w:val="24"/>
                <w:szCs w:val="24"/>
                <w:highlight w:val="none"/>
                <w:u w:val="none"/>
                <w:lang w:val="en-US" w:eastAsia="zh-CN" w:bidi="ar"/>
              </w:rPr>
              <w:t>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终端应具备不少于3个USB3.0、1个Type-C和1个HDMI扩展接口，并支持通过USB接口接入电子目镜或数码显微镜显示图像、支持接入耳机、麦克风、支持接入智能笔、支持为补光灯、智能笔等设备充电，支持通过HDMI接口接入显示屏实时投屏，投屏分辨率不低于1920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1080（60Hz）；</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w:t>
            </w:r>
            <w:r>
              <w:rPr>
                <w:rFonts w:hint="eastAsia" w:ascii="宋体" w:hAnsi="宋体" w:cs="宋体"/>
                <w:b/>
                <w:bCs/>
                <w:i w:val="0"/>
                <w:iCs w:val="0"/>
                <w:color w:val="000000"/>
                <w:kern w:val="0"/>
                <w:sz w:val="24"/>
                <w:szCs w:val="24"/>
                <w:highlight w:val="none"/>
                <w:u w:val="none"/>
                <w:lang w:val="en-US" w:eastAsia="zh-CN" w:bidi="ar"/>
              </w:rPr>
              <w:t>或</w:t>
            </w:r>
            <w:r>
              <w:rPr>
                <w:rFonts w:hint="eastAsia" w:ascii="宋体" w:hAnsi="宋体" w:eastAsia="宋体" w:cs="宋体"/>
                <w:b/>
                <w:bCs/>
                <w:i w:val="0"/>
                <w:iCs w:val="0"/>
                <w:color w:val="000000"/>
                <w:kern w:val="0"/>
                <w:sz w:val="24"/>
                <w:szCs w:val="24"/>
                <w:highlight w:val="none"/>
                <w:u w:val="none"/>
                <w:lang w:val="en-US" w:eastAsia="zh-CN" w:bidi="ar"/>
              </w:rPr>
              <w:t>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终端机身主体和底座采用钢制材料，表面油漆喷涂均匀，防锈耐酸耐腐蚀。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终端底座支持用于标准实验桌，底座长度不超过30</w:t>
            </w:r>
            <w:r>
              <w:rPr>
                <w:rFonts w:hint="eastAsia" w:ascii="宋体" w:hAnsi="宋体" w:cs="宋体"/>
                <w:i w:val="0"/>
                <w:iCs w:val="0"/>
                <w:color w:val="000000"/>
                <w:kern w:val="0"/>
                <w:sz w:val="24"/>
                <w:szCs w:val="24"/>
                <w:highlight w:val="none"/>
                <w:u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，宽度不超过15</w:t>
            </w:r>
            <w:r>
              <w:rPr>
                <w:rFonts w:hint="eastAsia" w:ascii="宋体" w:hAnsi="宋体" w:cs="宋体"/>
                <w:i w:val="0"/>
                <w:iCs w:val="0"/>
                <w:color w:val="000000"/>
                <w:kern w:val="0"/>
                <w:sz w:val="24"/>
                <w:szCs w:val="24"/>
                <w:highlight w:val="none"/>
                <w:u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w:t>
            </w:r>
          </w:p>
          <w:p w14:paraId="0A2886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终端采用安全设计，主机只保留电源按钮，无其他物理触点或按钮，防止学生误操作影响考试进程。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终端具备内置物理形态的状态指示灯，和一体机融为一体，而非外挂接入；通过状态灯的颜色和闪烁准确及时指示异常状态，且支持按照校级平台的指令进行实验考场终端批量闪烁及按需进行颜色变换。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电源接口不外露，网线接口不外露，机身背部平整无凸出。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终端机身内置喇叭，能够播放声音。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支持通过俯视、侧视和正视三路摄像头同时录制实验操作过程和操作细节，分辨率支持1080P、1440P，编码格式支持H.264、H.265，最大帧率≥30FPS。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摄像头采用一体化支架，支持折叠和伸缩收纳。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俯视摄像头</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完全展开状态下能在一个画面内拍摄整个实验桌面。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侧视摄像头支持5档可调，即高档位、高中档位、中档位、中低档位、低档位，满足不同实验的考试和教学需要。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支持通过正视摄像头对用户进行人脸识别认证，具备人证核验功能。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19.</w:t>
            </w:r>
            <w:r>
              <w:rPr>
                <w:rFonts w:hint="eastAsia" w:ascii="宋体" w:hAnsi="宋体" w:eastAsia="宋体" w:cs="宋体"/>
                <w:i w:val="0"/>
                <w:iCs w:val="0"/>
                <w:color w:val="000000"/>
                <w:kern w:val="0"/>
                <w:sz w:val="24"/>
                <w:szCs w:val="24"/>
                <w:u w:val="none"/>
                <w:lang w:val="en-US" w:eastAsia="zh-CN" w:bidi="ar"/>
              </w:rPr>
              <w:t>摄像头线材全隐藏，完全不外露，摄像头支架不可自由伸缩和旋转，使用过程中稳定维持固定拍摄角度。</w:t>
            </w:r>
          </w:p>
        </w:tc>
        <w:tc>
          <w:tcPr>
            <w:tcW w:w="725" w:type="dxa"/>
            <w:noWrap/>
            <w:vAlign w:val="center"/>
          </w:tcPr>
          <w:p w14:paraId="3BCE1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7ED125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AF2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48D2A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6" w:type="dxa"/>
            <w:noWrap w:val="0"/>
            <w:vAlign w:val="center"/>
          </w:tcPr>
          <w:p w14:paraId="17A1C1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示教终端互动软件</w:t>
            </w:r>
          </w:p>
        </w:tc>
        <w:tc>
          <w:tcPr>
            <w:tcW w:w="6477" w:type="dxa"/>
            <w:noWrap w:val="0"/>
            <w:vAlign w:val="top"/>
          </w:tcPr>
          <w:p w14:paraId="29FF18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一、学生软件终端设备配套使用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支持开机自动进入实验界面，且无法通过触屏操作退出；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系统支持自动和管理平台建立连接，根据业务需要保持通信；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考试前，系统支持接收来自管理平台的指令，并在终端屏幕上显示考生信息和座位号，以供考生核对身份；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考生通过触摸屏填写答题卡，支持单选题、多选题、填空题、画图题等题型；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考生提前做完实验支持自主提交，或者在倒计时结束时系统自动提交；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生物学显微镜类实验支持电子目镜、数码显微镜拍照功能，采集显微镜成像实时图片，并支持在显微镜拍照图像上涂写；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支持设备发生异常时及时在终端屏幕和监考页面告警提醒；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支持通过管理平台远程批量升级；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终端软件应支持通过管理平台远程控制学生终端重启；在网络通畅条件下，发出重启后，终端软件应支持终端在1秒内响应，并重置终端状态；</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w:t>
            </w:r>
            <w:r>
              <w:rPr>
                <w:rFonts w:hint="eastAsia" w:ascii="宋体" w:hAnsi="宋体" w:cs="宋体"/>
                <w:b/>
                <w:bCs/>
                <w:i w:val="0"/>
                <w:iCs w:val="0"/>
                <w:color w:val="000000"/>
                <w:kern w:val="0"/>
                <w:sz w:val="24"/>
                <w:szCs w:val="24"/>
                <w:highlight w:val="none"/>
                <w:u w:val="none"/>
                <w:lang w:val="en-US" w:eastAsia="zh-CN" w:bidi="ar"/>
              </w:rPr>
              <w:t>或</w:t>
            </w:r>
            <w:r>
              <w:rPr>
                <w:rFonts w:hint="eastAsia" w:ascii="宋体" w:hAnsi="宋体" w:eastAsia="宋体" w:cs="宋体"/>
                <w:b/>
                <w:bCs/>
                <w:i w:val="0"/>
                <w:iCs w:val="0"/>
                <w:color w:val="000000"/>
                <w:kern w:val="0"/>
                <w:sz w:val="24"/>
                <w:szCs w:val="24"/>
                <w:highlight w:val="none"/>
                <w:u w:val="none"/>
                <w:lang w:val="en-US" w:eastAsia="zh-CN" w:bidi="ar"/>
              </w:rPr>
              <w:t>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二、教师软件终端设备配套使用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软件具有广泛的兼容性，支持三摄和双摄，支持USB摄像头和IPC。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支持多路视频实时回显功能，在演示过程中，支持同时回显三路或两路摄像头的实时画面。若接入电子目镜，系统支持自动识别并同步显示其视频流，所有画面在同一界面中清晰呈现，无明显延迟。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在实验过程中通过HDMI接口进行实时投屏，可通过HDMI线将终端的屏幕内容（包括摄像头画面、操作界面等）实时投射至外部显示设备（如大屏幕或投影仪），以物理连接方式保障传输稳定性与画质，满足教学演示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支持画面布局切换，支持显示3路摄像头分屏布局，支持全屏查看/切换某一路画面，提升演示灵活性与可视效果。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支持演示视频录制功能，在演示状态下，支持设置录制时长，支持一键开始录制。</w:t>
            </w:r>
          </w:p>
        </w:tc>
        <w:tc>
          <w:tcPr>
            <w:tcW w:w="725" w:type="dxa"/>
            <w:noWrap/>
            <w:vAlign w:val="center"/>
          </w:tcPr>
          <w:p w14:paraId="2628B5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00A7A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852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74077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6" w:type="dxa"/>
            <w:noWrap w:val="0"/>
            <w:vAlign w:val="center"/>
          </w:tcPr>
          <w:p w14:paraId="6AD40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智能控制柜</w:t>
            </w:r>
          </w:p>
        </w:tc>
        <w:tc>
          <w:tcPr>
            <w:tcW w:w="6477" w:type="dxa"/>
            <w:noWrap w:val="0"/>
            <w:vAlign w:val="center"/>
          </w:tcPr>
          <w:p w14:paraId="6A72BB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体采用镀锌钢板，钣金的表面接缝均应满焊，焊接处均应打磨平整以保持为连续的平滑表面。主框架采用镀锌钢板经折弯焊焊接制作，板经钣金折弯成形、焊接制作，表面喷塑处理。机柜正面门板未遮挡出亚克力丝印发光型号字体装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3.结构：壁挂式设计，柜门内≥嵌10寸触控屏，柜身内含各种控制系统硬件模块。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4.可通过配套附件实现以下功能：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4.控制方式：空间电压矢量控制；5.输出频率：1.00~400.0 HZ；6.过载能力：150% 额定电流；7.保护功能：输入缺相、输入欠压、直流过压、过载等。</w:t>
            </w:r>
          </w:p>
        </w:tc>
        <w:tc>
          <w:tcPr>
            <w:tcW w:w="725" w:type="dxa"/>
            <w:noWrap/>
            <w:vAlign w:val="center"/>
          </w:tcPr>
          <w:p w14:paraId="797DD3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7F51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B98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F74A9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6" w:type="dxa"/>
            <w:noWrap w:val="0"/>
            <w:vAlign w:val="center"/>
          </w:tcPr>
          <w:p w14:paraId="57BB2D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智能控制平台</w:t>
            </w:r>
          </w:p>
        </w:tc>
        <w:tc>
          <w:tcPr>
            <w:tcW w:w="6477" w:type="dxa"/>
            <w:noWrap w:val="0"/>
            <w:vAlign w:val="center"/>
          </w:tcPr>
          <w:p w14:paraId="010246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1.通风控制系统：无极变频控制，可精确控制通风风量；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2.供水控制系统：集中控制整个教室的给排水；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3.照明控制系统：集中控制整个舱体照明；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4.电源控制系统：可控制学生端220v电源输出与关闭，可控制学生端低压电源的锁定与受控，调节范围为1～30V，分辨率可达0.1V,最小调节单元1V。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5.摇臂控制系统：可实现摆臂升降功能；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8.实时监测吊装运行状态，故障报警；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9.软件可通过网络升级；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10.系统可同步到其他安装有智能控制平台APP的移动终端，如安卓平板、手机等同时操作；</w:t>
            </w:r>
          </w:p>
        </w:tc>
        <w:tc>
          <w:tcPr>
            <w:tcW w:w="725" w:type="dxa"/>
            <w:noWrap/>
            <w:vAlign w:val="center"/>
          </w:tcPr>
          <w:p w14:paraId="240DB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3E80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D0C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9FF78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6" w:type="dxa"/>
            <w:noWrap w:val="0"/>
            <w:vAlign w:val="center"/>
          </w:tcPr>
          <w:p w14:paraId="002E7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无线终端控制系统</w:t>
            </w:r>
          </w:p>
        </w:tc>
        <w:tc>
          <w:tcPr>
            <w:tcW w:w="6477" w:type="dxa"/>
            <w:noWrap w:val="0"/>
            <w:vAlign w:val="center"/>
          </w:tcPr>
          <w:p w14:paraId="1C9A3C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1.硬件：屏幕不小于10英寸、安卓系统。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2.通风控制系统：无极变频控制，可精确控制通风风量；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3.供水控制系统：集中控制整个教室的给排水，可进行单选、全选、及分组控制；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4.照明控制系统：集中控制整个舱体照明，可进行单选、全选及分组控制；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5.电源控制系统：可控制学生端220v电源输出与关闭，也可控制学生端低压电源的锁定与受控，调节范围为0～30V，分辨率可达0.1V,额定电流2A； 最小调节单元可达1V。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6.摇臂控制系统：可以实现单个控制、集中控制、组合控制；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9.实时监测顶装运行状态，故障报警；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10.软件可通过网络升级；</w:t>
            </w:r>
          </w:p>
        </w:tc>
        <w:tc>
          <w:tcPr>
            <w:tcW w:w="725" w:type="dxa"/>
            <w:noWrap/>
            <w:vAlign w:val="center"/>
          </w:tcPr>
          <w:p w14:paraId="4FF09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9E8D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4BF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58E37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6" w:type="dxa"/>
            <w:noWrap w:val="0"/>
            <w:vAlign w:val="center"/>
          </w:tcPr>
          <w:p w14:paraId="67E47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学生分组控制系统</w:t>
            </w:r>
          </w:p>
        </w:tc>
        <w:tc>
          <w:tcPr>
            <w:tcW w:w="6477" w:type="dxa"/>
            <w:noWrap w:val="0"/>
            <w:vAlign w:val="center"/>
          </w:tcPr>
          <w:p w14:paraId="0CB9B2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可以对学生端模块的电源控制系统、照明控制系统、给排水控制系统、智能摇臂控制系统进行独立分组控制，实现全选、单选控制功能；</w:t>
            </w:r>
          </w:p>
        </w:tc>
        <w:tc>
          <w:tcPr>
            <w:tcW w:w="725" w:type="dxa"/>
            <w:noWrap/>
            <w:vAlign w:val="center"/>
          </w:tcPr>
          <w:p w14:paraId="1D573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032CF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3CC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9CD2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6" w:type="dxa"/>
            <w:noWrap w:val="0"/>
            <w:vAlign w:val="center"/>
          </w:tcPr>
          <w:p w14:paraId="13DFFD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智能故障警示系统</w:t>
            </w:r>
          </w:p>
        </w:tc>
        <w:tc>
          <w:tcPr>
            <w:tcW w:w="6477" w:type="dxa"/>
            <w:noWrap w:val="0"/>
            <w:vAlign w:val="center"/>
          </w:tcPr>
          <w:p w14:paraId="0B9E3A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725" w:type="dxa"/>
            <w:noWrap/>
            <w:vAlign w:val="center"/>
          </w:tcPr>
          <w:p w14:paraId="6FFA9A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7797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6C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0A84D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6" w:type="dxa"/>
            <w:noWrap w:val="0"/>
            <w:vAlign w:val="center"/>
          </w:tcPr>
          <w:p w14:paraId="612F33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急停控制系统</w:t>
            </w:r>
          </w:p>
        </w:tc>
        <w:tc>
          <w:tcPr>
            <w:tcW w:w="6477" w:type="dxa"/>
            <w:noWrap w:val="0"/>
            <w:vAlign w:val="center"/>
          </w:tcPr>
          <w:p w14:paraId="7F5EE2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集成化控制系统，出现故障或现场有需要时紧急制动，确保实验操作时的安全性。</w:t>
            </w:r>
          </w:p>
        </w:tc>
        <w:tc>
          <w:tcPr>
            <w:tcW w:w="725" w:type="dxa"/>
            <w:noWrap/>
            <w:vAlign w:val="center"/>
          </w:tcPr>
          <w:p w14:paraId="0FFF0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A152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BF7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6DD3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96" w:type="dxa"/>
            <w:noWrap w:val="0"/>
            <w:vAlign w:val="center"/>
          </w:tcPr>
          <w:p w14:paraId="7C418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顶装系统主体框架</w:t>
            </w:r>
          </w:p>
        </w:tc>
        <w:tc>
          <w:tcPr>
            <w:tcW w:w="6477" w:type="dxa"/>
            <w:noWrap w:val="0"/>
            <w:vAlign w:val="center"/>
          </w:tcPr>
          <w:p w14:paraId="0DA7A0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1.采购标准化模块编组，1200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为一组；连体头尾尺寸1260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2.整体采购钢构件及注塑件组合而成；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3.承重骨架采用钢管，腔体采用≥1.2</w:t>
            </w:r>
            <w:r>
              <w:rPr>
                <w:rFonts w:hint="eastAsia" w:ascii="宋体" w:hAnsi="宋体" w:cs="宋体"/>
                <w:i w:val="0"/>
                <w:iCs w:val="0"/>
                <w:color w:val="000000"/>
                <w:kern w:val="0"/>
                <w:sz w:val="24"/>
                <w:szCs w:val="24"/>
                <w:u w:val="none"/>
                <w:lang w:val="en-US" w:eastAsia="zh-CN" w:bidi="ar"/>
              </w:rPr>
              <w:t>mm厚</w:t>
            </w:r>
            <w:r>
              <w:rPr>
                <w:rFonts w:hint="eastAsia" w:ascii="宋体" w:hAnsi="宋体" w:eastAsia="宋体" w:cs="宋体"/>
                <w:i w:val="0"/>
                <w:iCs w:val="0"/>
                <w:color w:val="000000"/>
                <w:kern w:val="0"/>
                <w:sz w:val="24"/>
                <w:szCs w:val="24"/>
                <w:u w:val="none"/>
                <w:lang w:val="en-US" w:eastAsia="zh-CN" w:bidi="ar"/>
              </w:rPr>
              <w:t>镀锌钢板，两头承重处采用≥2.5</w:t>
            </w:r>
            <w:r>
              <w:rPr>
                <w:rFonts w:hint="eastAsia" w:ascii="宋体" w:hAnsi="宋体" w:cs="宋体"/>
                <w:i w:val="0"/>
                <w:iCs w:val="0"/>
                <w:color w:val="000000"/>
                <w:kern w:val="0"/>
                <w:sz w:val="24"/>
                <w:szCs w:val="24"/>
                <w:u w:val="none"/>
                <w:lang w:val="en-US" w:eastAsia="zh-CN" w:bidi="ar"/>
              </w:rPr>
              <w:t>mm厚</w:t>
            </w:r>
            <w:r>
              <w:rPr>
                <w:rFonts w:hint="eastAsia" w:ascii="宋体" w:hAnsi="宋体" w:eastAsia="宋体" w:cs="宋体"/>
                <w:i w:val="0"/>
                <w:iCs w:val="0"/>
                <w:color w:val="000000"/>
                <w:kern w:val="0"/>
                <w:sz w:val="24"/>
                <w:szCs w:val="24"/>
                <w:u w:val="none"/>
                <w:lang w:val="en-US" w:eastAsia="zh-CN" w:bidi="ar"/>
              </w:rPr>
              <w:t>镀锌钢板加强，所有钢构件表面经高温粉体烤漆处理，强度高、耐腐蚀、结构稳定。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p>
        </w:tc>
        <w:tc>
          <w:tcPr>
            <w:tcW w:w="725" w:type="dxa"/>
            <w:noWrap/>
            <w:vAlign w:val="center"/>
          </w:tcPr>
          <w:p w14:paraId="08612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24D96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B88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D30F0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96" w:type="dxa"/>
            <w:noWrap w:val="0"/>
            <w:vAlign w:val="center"/>
          </w:tcPr>
          <w:p w14:paraId="249A1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舱体防尘装饰模块</w:t>
            </w:r>
          </w:p>
        </w:tc>
        <w:tc>
          <w:tcPr>
            <w:tcW w:w="6477" w:type="dxa"/>
            <w:noWrap w:val="0"/>
            <w:vAlign w:val="center"/>
          </w:tcPr>
          <w:p w14:paraId="26DFDB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i w:val="0"/>
                <w:iCs w:val="0"/>
                <w:color w:val="000000"/>
                <w:kern w:val="0"/>
                <w:sz w:val="24"/>
                <w:szCs w:val="24"/>
                <w:highlight w:val="none"/>
                <w:u w:val="none"/>
                <w:lang w:val="en-US" w:eastAsia="zh-CN" w:bidi="ar"/>
              </w:rPr>
              <w:t>1200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300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22</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2.材质：采用1.2</w:t>
            </w:r>
            <w:r>
              <w:rPr>
                <w:rFonts w:hint="eastAsia" w:ascii="宋体" w:hAnsi="宋体" w:cs="宋体"/>
                <w:i w:val="0"/>
                <w:iCs w:val="0"/>
                <w:color w:val="000000"/>
                <w:kern w:val="0"/>
                <w:sz w:val="24"/>
                <w:szCs w:val="24"/>
                <w:u w:val="none"/>
                <w:lang w:val="en-US" w:eastAsia="zh-CN" w:bidi="ar"/>
              </w:rPr>
              <w:t>mm厚</w:t>
            </w:r>
            <w:r>
              <w:rPr>
                <w:rFonts w:hint="eastAsia" w:ascii="宋体" w:hAnsi="宋体" w:eastAsia="宋体" w:cs="宋体"/>
                <w:i w:val="0"/>
                <w:iCs w:val="0"/>
                <w:color w:val="000000"/>
                <w:kern w:val="0"/>
                <w:sz w:val="24"/>
                <w:szCs w:val="24"/>
                <w:u w:val="none"/>
                <w:lang w:val="en-US" w:eastAsia="zh-CN" w:bidi="ar"/>
              </w:rPr>
              <w:t>镀锌钢板折弯焊接表面喷塑成型。</w:t>
            </w:r>
          </w:p>
        </w:tc>
        <w:tc>
          <w:tcPr>
            <w:tcW w:w="725" w:type="dxa"/>
            <w:noWrap/>
            <w:vAlign w:val="center"/>
          </w:tcPr>
          <w:p w14:paraId="28F27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3B966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D4D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9C1D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96" w:type="dxa"/>
            <w:noWrap w:val="0"/>
            <w:vAlign w:val="center"/>
          </w:tcPr>
          <w:p w14:paraId="451F1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吊装智能摇臂升降系统</w:t>
            </w:r>
          </w:p>
        </w:tc>
        <w:tc>
          <w:tcPr>
            <w:tcW w:w="6477" w:type="dxa"/>
            <w:noWrap w:val="0"/>
            <w:vAlign w:val="center"/>
          </w:tcPr>
          <w:p w14:paraId="7E1B7D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1.采用静音低压直流24V推杆电机推动注塑高强度尼龙一体成型的曲柄连杆机构，实现摇臂上下90°转动升降；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2.摆臂升降主管，采用挤铝工艺挤出成型正椭圆管，</w:t>
            </w:r>
            <w:r>
              <w:rPr>
                <w:rFonts w:hint="eastAsia" w:ascii="宋体" w:hAnsi="宋体" w:eastAsia="宋体" w:cs="宋体"/>
                <w:i w:val="0"/>
                <w:iCs w:val="0"/>
                <w:color w:val="000000"/>
                <w:kern w:val="0"/>
                <w:sz w:val="24"/>
                <w:szCs w:val="24"/>
                <w:highlight w:val="none"/>
                <w:u w:val="none"/>
                <w:lang w:val="en-US" w:eastAsia="zh-CN" w:bidi="ar"/>
              </w:rPr>
              <w:t>外形尺寸170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880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，厚度操作模块：1.操作模块采用ABS工程塑料外壳，外形圆润；矩形外观尺寸≥</w:t>
            </w:r>
            <w:r>
              <w:rPr>
                <w:rFonts w:hint="eastAsia" w:ascii="宋体" w:hAnsi="宋体" w:eastAsia="宋体" w:cs="宋体"/>
                <w:i w:val="0"/>
                <w:iCs w:val="0"/>
                <w:color w:val="000000"/>
                <w:kern w:val="0"/>
                <w:sz w:val="24"/>
                <w:szCs w:val="24"/>
                <w:u w:val="none"/>
                <w:lang w:val="en-US" w:eastAsia="zh-CN" w:bidi="ar"/>
              </w:rPr>
              <w:t>1.8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，表面经高温粉体烤漆处理，耐腐蚀、防烤漆剥落；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3.摆臂主管内部可设备强电线路、给排水管、风管，为保障电路安全，水电线路采用隔离设计;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4.系统自带障碍物保护功能，运动过程中遇到障碍物时会自动停止并报警。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5.学生端操作模块：操作模块采用ABS工程塑料外壳，外形圆润；</w:t>
            </w:r>
            <w:r>
              <w:rPr>
                <w:rFonts w:hint="eastAsia" w:ascii="宋体" w:hAnsi="宋体" w:eastAsia="宋体" w:cs="宋体"/>
                <w:i w:val="0"/>
                <w:iCs w:val="0"/>
                <w:color w:val="000000"/>
                <w:kern w:val="0"/>
                <w:sz w:val="24"/>
                <w:szCs w:val="24"/>
                <w:highlight w:val="none"/>
                <w:u w:val="none"/>
                <w:lang w:val="en-US" w:eastAsia="zh-CN" w:bidi="ar"/>
              </w:rPr>
              <w:t>矩形外观尺寸270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178</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；操作模块安装5寸LCD段码液晶屏</w:t>
            </w:r>
            <w:r>
              <w:rPr>
                <w:rFonts w:hint="eastAsia" w:ascii="宋体" w:hAnsi="宋体" w:eastAsia="宋体" w:cs="宋体"/>
                <w:i w:val="0"/>
                <w:iCs w:val="0"/>
                <w:color w:val="000000"/>
                <w:kern w:val="0"/>
                <w:sz w:val="24"/>
                <w:szCs w:val="24"/>
                <w:u w:val="none"/>
                <w:lang w:val="en-US" w:eastAsia="zh-CN" w:bidi="ar"/>
              </w:rPr>
              <w:t>；集成高压电源模块、低压电源模块、网络模块、USB模块、急停模块；单独设置一键求助功能按键，当学生端按举手求组模块，教师控制终端实时定位显示当前学生求助序号，低压电源。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6.内置网络模块和USB模块。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7.智能灯光照明装置：接收智能控制平台控制，可分组开启和关闭。</w:t>
            </w:r>
          </w:p>
        </w:tc>
        <w:tc>
          <w:tcPr>
            <w:tcW w:w="725" w:type="dxa"/>
            <w:noWrap/>
            <w:vAlign w:val="center"/>
          </w:tcPr>
          <w:p w14:paraId="0F5800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3AEA87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C7A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F56E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96" w:type="dxa"/>
            <w:noWrap w:val="0"/>
            <w:vAlign w:val="center"/>
          </w:tcPr>
          <w:p w14:paraId="0BF678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水槽柜</w:t>
            </w:r>
          </w:p>
        </w:tc>
        <w:tc>
          <w:tcPr>
            <w:tcW w:w="6477" w:type="dxa"/>
            <w:noWrap w:val="0"/>
            <w:vAlign w:val="center"/>
          </w:tcPr>
          <w:p w14:paraId="716EEA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835（±5）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2.结构:钢塑结构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3.1、水槽：采用环保PP改性材质，一次性注塑成型，具有较高强度的韧性及耐磨、耐酸碱性，水槽外观可视尺寸</w:t>
            </w:r>
            <w:r>
              <w:rPr>
                <w:rFonts w:hint="eastAsia" w:ascii="宋体" w:hAnsi="宋体" w:eastAsia="宋体" w:cs="宋体"/>
                <w:i w:val="0"/>
                <w:iCs w:val="0"/>
                <w:color w:val="000000"/>
                <w:kern w:val="0"/>
                <w:sz w:val="24"/>
                <w:szCs w:val="24"/>
                <w:highlight w:val="none"/>
                <w:u w:val="none"/>
                <w:lang w:val="en-US" w:eastAsia="zh-CN" w:bidi="ar"/>
              </w:rPr>
              <w:t>590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440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220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，内空尺寸：390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400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245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u w:val="none"/>
                <w:lang w:val="en-US" w:eastAsia="zh-CN" w:bidi="ar"/>
              </w:rPr>
              <w:t>；水槽底部配置PP滤水网(Φ110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)及PP防溅网(315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)，放水时防止有水滴溅出；水槽柜上部配备专用阻尼器翻盖滴水架，翻盖打开配有12根滴水棒，方便学生实验时滤干试管；并预留洗眼器专用安装位。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3.2、柜体：主框架采用不小于1.2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厚冷轧钢板，表面经环保除油、除锈前处理并经过环氧树脂粉末喷塑处理。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3.3、配有可调节脚垫。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槽柜技术性能要求需满足GB/T24820-2024《实验室家具通用技术条件》检测依据，塑料件外观应无裂纹、明显变形、缩水、针孔，应无凹陷、飞边、折皱、疙瘩，应无气泡、杂质、伤痕、白印，表面应光洁、应无划痕、毛刺、拉毛、污渍；</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t>。</w:t>
            </w:r>
          </w:p>
        </w:tc>
        <w:tc>
          <w:tcPr>
            <w:tcW w:w="725" w:type="dxa"/>
            <w:noWrap/>
            <w:vAlign w:val="center"/>
          </w:tcPr>
          <w:p w14:paraId="7654D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6E9FAA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8A7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08C3D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96" w:type="dxa"/>
            <w:noWrap w:val="0"/>
            <w:vAlign w:val="center"/>
          </w:tcPr>
          <w:p w14:paraId="69D426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二联水嘴</w:t>
            </w:r>
          </w:p>
        </w:tc>
        <w:tc>
          <w:tcPr>
            <w:tcW w:w="6477" w:type="dxa"/>
            <w:noWrap w:val="0"/>
            <w:vAlign w:val="center"/>
          </w:tcPr>
          <w:p w14:paraId="436DAF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产品设计为两个独立控制的阀门和两个出水口，出水嘴设计为可以插皮管的尖嘴型。翻转龙头可以在直立的情况下使用，也可以在翻转90度的情况下使用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1.结构类型：双口设计。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2.安装方式：壁式安装，节省实验室台面空间。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3.材质：主体材料全铜，确保在实验环境下长期稳定使用。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4.规格尺寸：管径尺寸</w:t>
            </w:r>
            <w:r>
              <w:rPr>
                <w:rFonts w:hint="eastAsia" w:ascii="宋体" w:hAnsi="宋体" w:cs="宋体"/>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，出水口尺寸5.2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5.阀芯：采用陶瓷阀芯，保证开关寿命长且水流控制精确。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6.涂层处理：环氧树脂涂层，增强产品的耐腐蚀性和耐用性。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7.接口标准：符合实验室用水系统的连接标准G1/2</w:t>
            </w:r>
          </w:p>
        </w:tc>
        <w:tc>
          <w:tcPr>
            <w:tcW w:w="725" w:type="dxa"/>
            <w:noWrap/>
            <w:vAlign w:val="center"/>
          </w:tcPr>
          <w:p w14:paraId="2A1FC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71E52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33D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0ECC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96" w:type="dxa"/>
            <w:noWrap w:val="0"/>
            <w:vAlign w:val="center"/>
          </w:tcPr>
          <w:p w14:paraId="1A417E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智能给排水系统</w:t>
            </w:r>
          </w:p>
        </w:tc>
        <w:tc>
          <w:tcPr>
            <w:tcW w:w="6477" w:type="dxa"/>
            <w:noWrap w:val="0"/>
            <w:vAlign w:val="center"/>
          </w:tcPr>
          <w:p w14:paraId="33859C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1.设置下水口，下水口内设置三级过滤装置。第一级设置pp过滤盖板，第二级设置不锈钢过滤提网，第三级设置可抛弃型过滤袋，过滤微粒</w:t>
            </w:r>
            <w:r>
              <w:rPr>
                <w:rFonts w:hint="eastAsia"/>
                <w:sz w:val="24"/>
                <w:szCs w:val="24"/>
                <w:lang w:val="en-US" w:eastAsia="zh-CN"/>
              </w:rPr>
              <w:t>≥</w:t>
            </w:r>
            <w:r>
              <w:rPr>
                <w:rFonts w:hint="eastAsia" w:ascii="宋体" w:hAnsi="宋体" w:eastAsia="宋体" w:cs="宋体"/>
                <w:i w:val="0"/>
                <w:iCs w:val="0"/>
                <w:color w:val="000000"/>
                <w:kern w:val="0"/>
                <w:sz w:val="24"/>
                <w:szCs w:val="24"/>
                <w:highlight w:val="none"/>
                <w:u w:val="none"/>
                <w:lang w:val="en-US" w:eastAsia="zh-CN" w:bidi="ar"/>
              </w:rPr>
              <w:t>30μ</w:t>
            </w:r>
            <w:r>
              <w:rPr>
                <w:rFonts w:hint="eastAsia" w:ascii="宋体" w:hAnsi="宋体" w:eastAsia="宋体" w:cs="宋体"/>
                <w:i w:val="0"/>
                <w:iCs w:val="0"/>
                <w:color w:val="000000"/>
                <w:kern w:val="0"/>
                <w:sz w:val="24"/>
                <w:szCs w:val="24"/>
                <w:u w:val="none"/>
                <w:lang w:val="en-US" w:eastAsia="zh-CN" w:bidi="ar"/>
              </w:rPr>
              <w:t>；三级过滤装置可防止水管堵塞。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2.水槽顶部设置进水、排水及电线信号线快速接头。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3.设置储水装置，进水口与水槽出水口相连。储水装置带有抽水泵，液位感应器，电路控制系统;当水位到达液位器高位时，水泵自动启动工作抽水，直至抽到液位感应器低位，水泵停止工作。</w:t>
            </w:r>
          </w:p>
        </w:tc>
        <w:tc>
          <w:tcPr>
            <w:tcW w:w="725" w:type="dxa"/>
            <w:noWrap/>
            <w:vAlign w:val="center"/>
          </w:tcPr>
          <w:p w14:paraId="78172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30CEB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138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9163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96" w:type="dxa"/>
            <w:noWrap w:val="0"/>
            <w:vAlign w:val="center"/>
          </w:tcPr>
          <w:p w14:paraId="2C2B1F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给排水快速接口</w:t>
            </w:r>
          </w:p>
        </w:tc>
        <w:tc>
          <w:tcPr>
            <w:tcW w:w="6477" w:type="dxa"/>
            <w:noWrap w:val="0"/>
            <w:vAlign w:val="center"/>
          </w:tcPr>
          <w:p w14:paraId="5CFCB5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无滴漏快速接头，接口与学生水槽柜采用硅胶软管（具有防酸、防碱、耐腐蚀功能）连接，接口均采用自动锁紧插拔式连接方式（拔掉时没有污水流出），用时接上，不用时可收起；插拔方便，可在给水打开状态下任意插拔，不滴漏。</w:t>
            </w:r>
          </w:p>
        </w:tc>
        <w:tc>
          <w:tcPr>
            <w:tcW w:w="725" w:type="dxa"/>
            <w:noWrap/>
            <w:vAlign w:val="center"/>
          </w:tcPr>
          <w:p w14:paraId="5D97DD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7A98B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6C7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B550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96" w:type="dxa"/>
            <w:noWrap w:val="0"/>
            <w:vAlign w:val="center"/>
          </w:tcPr>
          <w:p w14:paraId="0F08C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可伸缩风管</w:t>
            </w:r>
          </w:p>
        </w:tc>
        <w:tc>
          <w:tcPr>
            <w:tcW w:w="6477" w:type="dxa"/>
            <w:noWrap w:val="0"/>
            <w:vAlign w:val="center"/>
          </w:tcPr>
          <w:p w14:paraId="568EAD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采用DN60PP可伸缩软管，不使用时隐藏在摆臂升降主管内，使用时拉出与学生桌上风管固定装置连接</w:t>
            </w:r>
          </w:p>
        </w:tc>
        <w:tc>
          <w:tcPr>
            <w:tcW w:w="725" w:type="dxa"/>
            <w:noWrap/>
            <w:vAlign w:val="center"/>
          </w:tcPr>
          <w:p w14:paraId="0CF7EA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7" w:type="dxa"/>
            <w:noWrap/>
            <w:vAlign w:val="center"/>
          </w:tcPr>
          <w:p w14:paraId="08B714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A56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2291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96" w:type="dxa"/>
            <w:noWrap w:val="0"/>
            <w:vAlign w:val="center"/>
          </w:tcPr>
          <w:p w14:paraId="3E46A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桌面风管固定装置</w:t>
            </w:r>
          </w:p>
        </w:tc>
        <w:tc>
          <w:tcPr>
            <w:tcW w:w="6477" w:type="dxa"/>
            <w:noWrap w:val="0"/>
            <w:vAlign w:val="center"/>
          </w:tcPr>
          <w:p w14:paraId="181C67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钢构件，钢管件所有直角处圆弧处理，表面经打磨高温粉体烤漆处理，表面光滑无毛刺；装置包括滑块、伸缩风管链接卡扣、万向吸风罩链接卡扣、翻转等功能；安装在实验桌后挡水，使用时可根据需要左右滑动，不使用时为不遮挡学生视线，可翻转于学生桌后；</w:t>
            </w:r>
          </w:p>
        </w:tc>
        <w:tc>
          <w:tcPr>
            <w:tcW w:w="725" w:type="dxa"/>
            <w:noWrap/>
            <w:vAlign w:val="center"/>
          </w:tcPr>
          <w:p w14:paraId="13F32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7" w:type="dxa"/>
            <w:noWrap/>
            <w:vAlign w:val="center"/>
          </w:tcPr>
          <w:p w14:paraId="26161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D30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4E40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96" w:type="dxa"/>
            <w:noWrap w:val="0"/>
            <w:vAlign w:val="center"/>
          </w:tcPr>
          <w:p w14:paraId="1C0E9C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桌面吸风罩</w:t>
            </w:r>
          </w:p>
        </w:tc>
        <w:tc>
          <w:tcPr>
            <w:tcW w:w="6477" w:type="dxa"/>
            <w:noWrap w:val="0"/>
            <w:vAlign w:val="center"/>
          </w:tcPr>
          <w:p w14:paraId="412B25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采用DN60PP可伸缩硬管与桌面风管固定装置连接，吸风口采用DN160橡胶材质。</w:t>
            </w:r>
          </w:p>
        </w:tc>
        <w:tc>
          <w:tcPr>
            <w:tcW w:w="725" w:type="dxa"/>
            <w:noWrap/>
            <w:vAlign w:val="center"/>
          </w:tcPr>
          <w:p w14:paraId="0540A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7" w:type="dxa"/>
            <w:noWrap/>
            <w:vAlign w:val="center"/>
          </w:tcPr>
          <w:p w14:paraId="1BED5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42B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EF2F3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96" w:type="dxa"/>
            <w:noWrap w:val="0"/>
            <w:vAlign w:val="center"/>
          </w:tcPr>
          <w:p w14:paraId="68FB2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教师端万向吸风罩</w:t>
            </w:r>
          </w:p>
        </w:tc>
        <w:tc>
          <w:tcPr>
            <w:tcW w:w="6477" w:type="dxa"/>
            <w:noWrap w:val="0"/>
            <w:vAlign w:val="center"/>
          </w:tcPr>
          <w:p w14:paraId="26F427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1.规格：主体管径75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,通风罩口直径375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，额定排气量350m³/h。，主体最大拉伸角度135°，支架总长度990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，可定制长度，支架管道接口外径90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，适用于到工作台面高度1500～2400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2.采用高密度PP材质，独特的关节结构使关节调整时极具灵活性，根据实地需求可360°自由旋转调节方向，以便气流经过时降低不必要产生的湍流，以固定架为中心垂直拉伸最大活动半径可达1650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3.抽气罩吊顶处配有装饰盘，确保抽气罩安装后吊顶处不会出现黑边，保证实验室的整体美观。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4.关节密封圈：采用高密度橡胶。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5.关节连接杆：</w:t>
            </w:r>
            <w:r>
              <w:rPr>
                <w:rFonts w:hint="eastAsia" w:ascii="宋体" w:hAnsi="宋体" w:cs="宋体"/>
                <w:i w:val="0"/>
                <w:iCs w:val="0"/>
                <w:color w:val="000000"/>
                <w:kern w:val="0"/>
                <w:sz w:val="24"/>
                <w:szCs w:val="24"/>
                <w:u w:val="none"/>
                <w:lang w:val="en-US" w:eastAsia="zh-CN" w:bidi="ar"/>
              </w:rPr>
              <w:t>304及以上不锈钢</w:t>
            </w:r>
            <w:r>
              <w:rPr>
                <w:rFonts w:hint="eastAsia" w:ascii="宋体" w:hAnsi="宋体" w:eastAsia="宋体" w:cs="宋体"/>
                <w:i w:val="0"/>
                <w:iCs w:val="0"/>
                <w:color w:val="000000"/>
                <w:kern w:val="0"/>
                <w:sz w:val="24"/>
                <w:szCs w:val="24"/>
                <w:u w:val="none"/>
                <w:lang w:val="en-US" w:eastAsia="zh-CN" w:bidi="ar"/>
              </w:rPr>
              <w:t>材质；关节弹簧装置：</w:t>
            </w:r>
            <w:r>
              <w:rPr>
                <w:rFonts w:hint="eastAsia" w:ascii="宋体" w:hAnsi="宋体" w:cs="宋体"/>
                <w:i w:val="0"/>
                <w:iCs w:val="0"/>
                <w:color w:val="000000"/>
                <w:kern w:val="0"/>
                <w:sz w:val="24"/>
                <w:szCs w:val="24"/>
                <w:u w:val="none"/>
                <w:lang w:val="en-US" w:eastAsia="zh-CN" w:bidi="ar"/>
              </w:rPr>
              <w:t>304及以上不锈钢</w:t>
            </w:r>
            <w:r>
              <w:rPr>
                <w:rFonts w:hint="eastAsia" w:ascii="宋体" w:hAnsi="宋体" w:eastAsia="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6.关节松紧旋钮：高密度PP材质，内嵌</w:t>
            </w:r>
            <w:r>
              <w:rPr>
                <w:rFonts w:hint="eastAsia" w:ascii="宋体" w:hAnsi="宋体" w:cs="宋体"/>
                <w:i w:val="0"/>
                <w:iCs w:val="0"/>
                <w:color w:val="000000"/>
                <w:kern w:val="0"/>
                <w:sz w:val="24"/>
                <w:szCs w:val="24"/>
                <w:u w:val="none"/>
                <w:lang w:val="en-US" w:eastAsia="zh-CN" w:bidi="ar"/>
              </w:rPr>
              <w:t>304及以上不锈钢</w:t>
            </w:r>
            <w:r>
              <w:rPr>
                <w:rFonts w:hint="eastAsia" w:ascii="宋体" w:hAnsi="宋体" w:eastAsia="宋体" w:cs="宋体"/>
                <w:i w:val="0"/>
                <w:iCs w:val="0"/>
                <w:color w:val="000000"/>
                <w:kern w:val="0"/>
                <w:sz w:val="24"/>
                <w:szCs w:val="24"/>
                <w:u w:val="none"/>
                <w:lang w:val="en-US" w:eastAsia="zh-CN" w:bidi="ar"/>
              </w:rPr>
              <w:t>推力轴承，与关节连接杆锁合。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7.压力轴承装置防下垂、下滑，避免松动。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8.气流调节阀：调节阀挡风板设在罩口与管连接处，调节精度高，手动调节外部阀门旋钮，操作方便，控制进入通风管道内的气流量。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9.固定底座：模具注塑一体成型，牢度强，不易脱落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10.集气罩：PP白色/红色/透明。</w:t>
            </w:r>
          </w:p>
        </w:tc>
        <w:tc>
          <w:tcPr>
            <w:tcW w:w="725" w:type="dxa"/>
            <w:noWrap/>
            <w:vAlign w:val="center"/>
          </w:tcPr>
          <w:p w14:paraId="14265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4E300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435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95165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96" w:type="dxa"/>
            <w:noWrap w:val="0"/>
            <w:vAlign w:val="center"/>
          </w:tcPr>
          <w:p w14:paraId="52F14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变频调速风机</w:t>
            </w:r>
          </w:p>
        </w:tc>
        <w:tc>
          <w:tcPr>
            <w:tcW w:w="6477" w:type="dxa"/>
            <w:noWrap w:val="0"/>
            <w:vAlign w:val="center"/>
          </w:tcPr>
          <w:p w14:paraId="20F08D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外壳采用聚丙烯PP板，具有抗紫外线、耐老化、耐强酸、强碱与抗腐蚀的特性。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2.电机防雨罩的结构简单，使用检修方便，可有效防止电机被雨水打湿，延长电机使用寿命，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3.自带减震垫可减少地面的震动，有效降低风机的动载荷，从而延长风机的使用寿命；叶轮根据不同性能参数由</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个</w:t>
            </w:r>
            <w:r>
              <w:rPr>
                <w:rFonts w:hint="eastAsia" w:ascii="宋体" w:hAnsi="宋体" w:eastAsia="宋体" w:cs="宋体"/>
                <w:i w:val="0"/>
                <w:iCs w:val="0"/>
                <w:color w:val="000000"/>
                <w:kern w:val="0"/>
                <w:sz w:val="24"/>
                <w:szCs w:val="24"/>
                <w:u w:val="none"/>
                <w:lang w:val="en-US" w:eastAsia="zh-CN" w:bidi="ar"/>
              </w:rPr>
              <w:t>后倾的机翼型叶片、曲线型前盖板和平板后盘组成，增强有效排风量。风机</w:t>
            </w:r>
            <w:r>
              <w:rPr>
                <w:rFonts w:hint="eastAsia" w:ascii="宋体" w:hAnsi="宋体" w:cs="宋体"/>
                <w:i w:val="0"/>
                <w:iCs w:val="0"/>
                <w:color w:val="000000"/>
                <w:kern w:val="0"/>
                <w:sz w:val="24"/>
                <w:szCs w:val="24"/>
                <w:u w:val="none"/>
                <w:lang w:val="en-US" w:eastAsia="zh-CN" w:bidi="ar"/>
              </w:rPr>
              <w:t>额定</w:t>
            </w:r>
            <w:r>
              <w:rPr>
                <w:rFonts w:hint="eastAsia" w:ascii="宋体" w:hAnsi="宋体" w:eastAsia="宋体" w:cs="宋体"/>
                <w:i w:val="0"/>
                <w:iCs w:val="0"/>
                <w:color w:val="000000"/>
                <w:kern w:val="0"/>
                <w:sz w:val="24"/>
                <w:szCs w:val="24"/>
                <w:u w:val="none"/>
                <w:lang w:val="en-US" w:eastAsia="zh-CN" w:bidi="ar"/>
              </w:rPr>
              <w:t>功率：5.5KW。</w:t>
            </w:r>
          </w:p>
        </w:tc>
        <w:tc>
          <w:tcPr>
            <w:tcW w:w="725" w:type="dxa"/>
            <w:noWrap/>
            <w:vAlign w:val="center"/>
          </w:tcPr>
          <w:p w14:paraId="2CD57B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386C7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56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512BB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96" w:type="dxa"/>
            <w:noWrap w:val="0"/>
            <w:vAlign w:val="center"/>
          </w:tcPr>
          <w:p w14:paraId="75738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电气布线</w:t>
            </w:r>
          </w:p>
        </w:tc>
        <w:tc>
          <w:tcPr>
            <w:tcW w:w="6477" w:type="dxa"/>
            <w:noWrap w:val="0"/>
            <w:vAlign w:val="center"/>
          </w:tcPr>
          <w:p w14:paraId="2C4C3B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供电布线：模块化设计，每组模块间采用活接式连接，方便安装、检修。采用通用铜芯电线进行系统布线。</w:t>
            </w:r>
          </w:p>
        </w:tc>
        <w:tc>
          <w:tcPr>
            <w:tcW w:w="725" w:type="dxa"/>
            <w:noWrap/>
            <w:vAlign w:val="center"/>
          </w:tcPr>
          <w:p w14:paraId="46F4DC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4A0AE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07A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AF94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96" w:type="dxa"/>
            <w:noWrap w:val="0"/>
            <w:vAlign w:val="center"/>
          </w:tcPr>
          <w:p w14:paraId="5A9AF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给排水管道布置</w:t>
            </w:r>
          </w:p>
        </w:tc>
        <w:tc>
          <w:tcPr>
            <w:tcW w:w="6477" w:type="dxa"/>
            <w:noWrap w:val="0"/>
            <w:vAlign w:val="center"/>
          </w:tcPr>
          <w:p w14:paraId="5A96E2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给水管：给水主管选用φ20-32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PP-R给水管；</w:t>
            </w:r>
          </w:p>
          <w:p w14:paraId="181E04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排水管：排水管选用加厚φ50-75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PVC-U国标管。（具有防酸、防碱、耐腐蚀功能）。</w:t>
            </w:r>
          </w:p>
        </w:tc>
        <w:tc>
          <w:tcPr>
            <w:tcW w:w="725" w:type="dxa"/>
            <w:noWrap/>
            <w:vAlign w:val="center"/>
          </w:tcPr>
          <w:p w14:paraId="5CCE8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FC8A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02BD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7185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96" w:type="dxa"/>
            <w:noWrap w:val="0"/>
            <w:vAlign w:val="center"/>
          </w:tcPr>
          <w:p w14:paraId="7EAD6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室内通风支管</w:t>
            </w:r>
          </w:p>
        </w:tc>
        <w:tc>
          <w:tcPr>
            <w:tcW w:w="6477" w:type="dxa"/>
            <w:noWrap w:val="0"/>
            <w:vAlign w:val="center"/>
          </w:tcPr>
          <w:p w14:paraId="7BC550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主管通向学生桌的主支管采用Φ200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的PVC圆管、支管采用Φ110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的PVC圆管，合理设计布置通风走向。</w:t>
            </w:r>
          </w:p>
        </w:tc>
        <w:tc>
          <w:tcPr>
            <w:tcW w:w="725" w:type="dxa"/>
            <w:noWrap/>
            <w:vAlign w:val="center"/>
          </w:tcPr>
          <w:p w14:paraId="3E61F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022EB9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35C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8B13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96" w:type="dxa"/>
            <w:noWrap w:val="0"/>
            <w:vAlign w:val="center"/>
          </w:tcPr>
          <w:p w14:paraId="3FE64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室外通风管道</w:t>
            </w:r>
          </w:p>
        </w:tc>
        <w:tc>
          <w:tcPr>
            <w:tcW w:w="6477" w:type="dxa"/>
            <w:noWrap w:val="0"/>
            <w:vAlign w:val="center"/>
          </w:tcPr>
          <w:p w14:paraId="35214B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室外采用Φ400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的PVC圆管,通至楼顶风机处。合理设计布置通风走向。</w:t>
            </w:r>
          </w:p>
        </w:tc>
        <w:tc>
          <w:tcPr>
            <w:tcW w:w="725" w:type="dxa"/>
            <w:noWrap/>
            <w:vAlign w:val="center"/>
          </w:tcPr>
          <w:p w14:paraId="463D7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F404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E75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9314B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96" w:type="dxa"/>
            <w:noWrap w:val="0"/>
            <w:vAlign w:val="center"/>
          </w:tcPr>
          <w:p w14:paraId="2F8F69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吊装系统安装</w:t>
            </w:r>
            <w:r>
              <w:rPr>
                <w:rFonts w:hint="eastAsia" w:ascii="宋体" w:hAnsi="宋体" w:cs="宋体"/>
                <w:i w:val="0"/>
                <w:iCs w:val="0"/>
                <w:color w:val="000000"/>
                <w:kern w:val="0"/>
                <w:sz w:val="24"/>
                <w:szCs w:val="24"/>
                <w:highlight w:val="none"/>
                <w:u w:val="none"/>
                <w:lang w:val="en-US" w:eastAsia="zh-CN" w:bidi="ar"/>
              </w:rPr>
              <w:t>辅件</w:t>
            </w:r>
          </w:p>
        </w:tc>
        <w:tc>
          <w:tcPr>
            <w:tcW w:w="6477" w:type="dxa"/>
            <w:noWrap w:val="0"/>
            <w:vAlign w:val="center"/>
          </w:tcPr>
          <w:p w14:paraId="61D336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主要辅件有：矩形钢、三角构件、直角座、龙骨架连接件、吊装挂件、安装连接板等。</w:t>
            </w:r>
          </w:p>
        </w:tc>
        <w:tc>
          <w:tcPr>
            <w:tcW w:w="725" w:type="dxa"/>
            <w:noWrap/>
            <w:vAlign w:val="center"/>
          </w:tcPr>
          <w:p w14:paraId="78E5A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319E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8BD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2C999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3</w:t>
            </w:r>
          </w:p>
        </w:tc>
        <w:tc>
          <w:tcPr>
            <w:tcW w:w="996" w:type="dxa"/>
            <w:noWrap w:val="0"/>
            <w:vAlign w:val="center"/>
          </w:tcPr>
          <w:p w14:paraId="7A9729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文创改造</w:t>
            </w:r>
          </w:p>
        </w:tc>
        <w:tc>
          <w:tcPr>
            <w:tcW w:w="6477" w:type="dxa"/>
            <w:noWrap w:val="0"/>
            <w:vAlign w:val="center"/>
          </w:tcPr>
          <w:p w14:paraId="66E418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室内吊顶优化改造，墙面文化改造，水电改造等</w:t>
            </w:r>
          </w:p>
        </w:tc>
        <w:tc>
          <w:tcPr>
            <w:tcW w:w="725" w:type="dxa"/>
            <w:noWrap/>
            <w:vAlign w:val="center"/>
          </w:tcPr>
          <w:p w14:paraId="3A1DA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4C87FF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A83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06FEF4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化学上通风实验室</w:t>
            </w:r>
          </w:p>
        </w:tc>
      </w:tr>
      <w:tr w14:paraId="2785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378B4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51B83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教师演示台</w:t>
            </w:r>
          </w:p>
        </w:tc>
        <w:tc>
          <w:tcPr>
            <w:tcW w:w="6477" w:type="dxa"/>
            <w:noWrap w:val="0"/>
            <w:vAlign w:val="center"/>
          </w:tcPr>
          <w:p w14:paraId="065B15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3.台面：采用≥15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厚新型陶瓷台面（台面需整张不可拼接）。釉面与胚体经高温一体烧结而成，不脱落、不脱层。为满足实验室对台面苛刻的要求；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4.柜身：柜体为落地式结构，采用镀锌钢板，厚度≥1.0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，采用CO₂保护焊焊接，打磨处理，表面经耐酸碱环氧树脂粉末烤漆处理，表面硬度附着力、耐腐蚀性符合国家标准，所有钣金的表面接缝均应满焊，焊接处均应打磨平整以保持为连续的平滑表面。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5.门板及抽面：采用镀锌钢板，内设隔音材料，保证关门减少噪音；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6.滑轨：采用三节重型滚珠滑轨，承重性强，滑动性能良好，无噪音；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7.合页：采用大弯合页，可开门弧度大于90度，开合次数万次以上；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8.桌脚：采用ABS注塑专用桌垫固定；</w:t>
            </w:r>
          </w:p>
        </w:tc>
        <w:tc>
          <w:tcPr>
            <w:tcW w:w="725" w:type="dxa"/>
            <w:noWrap w:val="0"/>
            <w:vAlign w:val="center"/>
          </w:tcPr>
          <w:p w14:paraId="018E9F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041CB4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7EEF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47D10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23BD35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实验室水嘴</w:t>
            </w:r>
          </w:p>
        </w:tc>
        <w:tc>
          <w:tcPr>
            <w:tcW w:w="6477" w:type="dxa"/>
            <w:noWrap w:val="0"/>
            <w:vAlign w:val="center"/>
          </w:tcPr>
          <w:p w14:paraId="5A86E7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颈式实验室专用化验水嘴：要求防酸碱、防锈、防虹吸、防阻塞，表面环氧树脂喷涂。出水嘴为铜质瓷芯，高头，便于多用途使用，可拆卸清洗阻塞。出水嘴可拆卸，内有成型螺纹，可方便连接循环等特殊用水水管。</w:t>
            </w:r>
          </w:p>
        </w:tc>
        <w:tc>
          <w:tcPr>
            <w:tcW w:w="725" w:type="dxa"/>
            <w:noWrap w:val="0"/>
            <w:vAlign w:val="center"/>
          </w:tcPr>
          <w:p w14:paraId="1AE00B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70A1D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2A6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A3DF6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61E1C2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防腐水槽</w:t>
            </w:r>
          </w:p>
        </w:tc>
        <w:tc>
          <w:tcPr>
            <w:tcW w:w="6477" w:type="dxa"/>
            <w:noWrap w:val="0"/>
            <w:vAlign w:val="center"/>
          </w:tcPr>
          <w:p w14:paraId="4C04DE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2.采用实验室专用高密度PP一体化成型水槽，易清洁，耐腐蚀，且利于台面残水自然回流，美观实用；具耐酸碱、耐有机溶剂、耐紫外线等特点。</w:t>
            </w:r>
          </w:p>
        </w:tc>
        <w:tc>
          <w:tcPr>
            <w:tcW w:w="725" w:type="dxa"/>
            <w:noWrap w:val="0"/>
            <w:vAlign w:val="center"/>
          </w:tcPr>
          <w:p w14:paraId="166D5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1A8D66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CED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DD18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558E0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教师演示电源</w:t>
            </w:r>
          </w:p>
        </w:tc>
        <w:tc>
          <w:tcPr>
            <w:tcW w:w="6477" w:type="dxa"/>
            <w:noWrap w:val="0"/>
            <w:vAlign w:val="center"/>
          </w:tcPr>
          <w:p w14:paraId="407228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总电源装置在教师桌组合柜内，抽屉式电源盒设计，内装有教师演示电源，主控学生电源装置。内设有漏电过载自动保护总开关，工作指示灯。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（1）输入电源：AC220V±10%、频率50Hz；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工作环境：支持</w:t>
            </w:r>
            <w:r>
              <w:rPr>
                <w:rFonts w:hint="eastAsia" w:ascii="宋体" w:hAnsi="宋体" w:eastAsia="宋体" w:cs="宋体"/>
                <w:i w:val="0"/>
                <w:iCs w:val="0"/>
                <w:color w:val="000000"/>
                <w:kern w:val="0"/>
                <w:sz w:val="24"/>
                <w:szCs w:val="24"/>
                <w:u w:val="none"/>
                <w:lang w:val="en-US" w:eastAsia="zh-CN" w:bidi="ar"/>
              </w:rPr>
              <w:t>温度-10℃~+40℃，相对湿度＜85％（25℃）海拔＜4000m；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（3）人身安全保护体系：配备漏电短路保护器做总电源开关，对人身安全和用电设备起到保障作用；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控制面板采用7寸液晶屏控制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（5）市电AC220V/10A（两位五孔国标插座），为其它用电器提供电源；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（6）直流稳压电源：液晶显示，数字键盘触屏输入，0-30V/2A，电压调整率可达0.1V；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（7）交流低压电源：液晶显示，数字键盘触屏输入，0-30V/2A，电压调整率为0.1V；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（8）教师测试用交流高压170V、300V输出；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（9）教师测试用9V大电流输出；</w:t>
            </w:r>
          </w:p>
        </w:tc>
        <w:tc>
          <w:tcPr>
            <w:tcW w:w="725" w:type="dxa"/>
            <w:noWrap w:val="0"/>
            <w:vAlign w:val="center"/>
          </w:tcPr>
          <w:p w14:paraId="08504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1B993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A41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428AD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1909D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紧急洗眼器</w:t>
            </w:r>
          </w:p>
        </w:tc>
        <w:tc>
          <w:tcPr>
            <w:tcW w:w="6477" w:type="dxa"/>
            <w:noWrap w:val="0"/>
            <w:vAlign w:val="center"/>
          </w:tcPr>
          <w:p w14:paraId="3AFC843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主体：加厚铜质,高度240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2.涂层：高亮度超厚电镀层，耐腐蚀、耐热，防紫外线辐射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3.洗眼头：模注一体成型，软性橡胶并带有缓冲滤网，出水经缓压处理呈泡沫柱状，可持续均匀柔和,去除水中杂质，避免水束冲伤眼睛</w:t>
            </w:r>
          </w:p>
          <w:p w14:paraId="5D1C8F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4.防尘盖：PP 材质，设置防尘盖,使用时自动被水冲开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5.开关：采用杠杆结构，铜质按压阀通过塑料手柄操作，水流在 1 秒钟内快速启动，启闭方便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6.控水阀：止逆阀，其阀门可自动关闭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7.软管：供水软管长度1.4米，软性 PVC 管外覆不锈钢网,外层包裹PE管，有效防止生锈、磨损、划手。</w:t>
            </w:r>
          </w:p>
        </w:tc>
        <w:tc>
          <w:tcPr>
            <w:tcW w:w="725" w:type="dxa"/>
            <w:noWrap w:val="0"/>
            <w:vAlign w:val="center"/>
          </w:tcPr>
          <w:p w14:paraId="6510CC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17AC4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E67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319C5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50B64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学生实验桌</w:t>
            </w:r>
          </w:p>
        </w:tc>
        <w:tc>
          <w:tcPr>
            <w:tcW w:w="6477" w:type="dxa"/>
            <w:noWrap w:val="0"/>
            <w:vAlign w:val="center"/>
          </w:tcPr>
          <w:p w14:paraId="1D3248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厚无甲醛新型环保陶瓷台面，台面表面为实验室专业耐腐蚀、耐污染、抗冲击釉面。坯体一体实芯，釉面和坯体经高温一体烧结而成。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新型塑铝结构：学生位镂空式，侧脚采用三段式高强度铝合金结构，立柱采用双立柱形式内嵌入上下铸铝脚，台面背部档水板，左右挡水板，台面下部设有专用书包斗，中间设挂凳卡，两个书包斗中间电源盒，符合人体工程学设计，外形美观，产品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桌腿：由上中下三段组成，上、下支座和双立柱连接，双立柱间嵌入亚克力装饰板的造型。立柱采用规格35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36㎜铝合金型材，壁厚≥1.5㎜，侧脚上横脚规格564×85×58㎜，侧脚下脚规格525×85×60㎜，立柱内嵌入上下铸铝脚</w:t>
            </w:r>
            <w:r>
              <w:rPr>
                <w:rFonts w:hint="eastAsia" w:ascii="宋体" w:hAnsi="宋体" w:cs="宋体"/>
                <w:i w:val="0"/>
                <w:iCs w:val="0"/>
                <w:color w:val="000000"/>
                <w:kern w:val="0"/>
                <w:sz w:val="24"/>
                <w:szCs w:val="24"/>
                <w:u w:val="none"/>
                <w:lang w:val="en-US" w:eastAsia="zh-CN" w:bidi="ar"/>
              </w:rPr>
              <w:t>深度</w:t>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并用高强度内六角螺丝连接，上下脚采用高强度铝合金模具压铸一次成型。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5.左、右脚拼装连接：前、后梁采用44×25㎜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壁厚≥1.2㎜铝合金型材,中梁采用20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20㎜，壁厚≥1.2㎜铁管，外观喷塑，左右侧脚下梁采采用60×30×2㎜椭圆spcc碳钢无缝钢管，管材两端截面与5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6.桌脚配有可调整底脚，桌侧脚设置专用孔位可与地面固定，配有跟台面同色ABS脚套装饰盖。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7.台面前挡水板：背板挡水板,左右挡水板采用73.5×25㎜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厚度≥1.5㎜铝合金型材，转角和尾端采用铝合金压铸转接件与背挡水板形成卡扣式相连接。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★8.学生实验桌技术性能要求需满足GB/T 24820-2024《实验室家具通用技术条件》、安全性能实验台面接缝应平整、紧密，不应渗水、开缝；理化性能金属喷漆（塑）涂层硬度≥4H；耐腐蚀100h内，观察在溶剂中样板上划道两侧3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以外，应无气泡产生；塑料件耐老化性能外观颜色评级≥3级；</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p>
        </w:tc>
        <w:tc>
          <w:tcPr>
            <w:tcW w:w="725" w:type="dxa"/>
            <w:noWrap w:val="0"/>
            <w:vAlign w:val="center"/>
          </w:tcPr>
          <w:p w14:paraId="7ACF7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3C887C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69AE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417D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30FA8D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多功能柱</w:t>
            </w:r>
          </w:p>
        </w:tc>
        <w:tc>
          <w:tcPr>
            <w:tcW w:w="6477" w:type="dxa"/>
            <w:noWrap w:val="0"/>
            <w:vAlign w:val="center"/>
          </w:tcPr>
          <w:p w14:paraId="3DB988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1.规格：330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192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718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2.整体采用厚度大于1.0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厚一级冷轧镀锌钢板</w:t>
            </w:r>
            <w:r>
              <w:rPr>
                <w:rFonts w:hint="eastAsia" w:ascii="宋体" w:hAnsi="宋体" w:eastAsia="宋体" w:cs="宋体"/>
                <w:i w:val="0"/>
                <w:iCs w:val="0"/>
                <w:color w:val="000000"/>
                <w:kern w:val="0"/>
                <w:sz w:val="24"/>
                <w:szCs w:val="24"/>
                <w:highlight w:val="none"/>
                <w:u w:val="none"/>
                <w:lang w:val="en-US" w:eastAsia="zh-CN" w:bidi="ar"/>
              </w:rPr>
              <w:t>（SPCCT）</w:t>
            </w:r>
            <w:r>
              <w:rPr>
                <w:rFonts w:hint="eastAsia" w:ascii="宋体" w:hAnsi="宋体" w:eastAsia="宋体" w:cs="宋体"/>
                <w:i w:val="0"/>
                <w:iCs w:val="0"/>
                <w:color w:val="000000"/>
                <w:kern w:val="0"/>
                <w:sz w:val="24"/>
                <w:szCs w:val="24"/>
                <w:u w:val="none"/>
                <w:lang w:val="en-US" w:eastAsia="zh-CN" w:bidi="ar"/>
              </w:rPr>
              <w:t>，四脚圆弧处理，地脚线缩进3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，前后二块黑白相间喷涂镀锌钢板,用内六角螺丝拼接而成，方便检修。</w:t>
            </w:r>
          </w:p>
        </w:tc>
        <w:tc>
          <w:tcPr>
            <w:tcW w:w="725" w:type="dxa"/>
            <w:noWrap w:val="0"/>
            <w:vAlign w:val="center"/>
          </w:tcPr>
          <w:p w14:paraId="52BA5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70412D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C0E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72AF7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6" w:type="dxa"/>
            <w:noWrap w:val="0"/>
            <w:vAlign w:val="center"/>
          </w:tcPr>
          <w:p w14:paraId="4EBBE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学生实验凳</w:t>
            </w:r>
          </w:p>
        </w:tc>
        <w:tc>
          <w:tcPr>
            <w:tcW w:w="6477" w:type="dxa"/>
            <w:noWrap w:val="0"/>
            <w:vAlign w:val="center"/>
          </w:tcPr>
          <w:p w14:paraId="114CF9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产品规格：Φ320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1.凳面材质：采用环保型ABS改性塑料一次性注塑成型。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2.凳面尺寸：凳面ф320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3.表面带防滑，舒适耐用。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4.凳钢架椭圆形，脚钢架材质及形状：椭圆形无缝钢管，钢管尺寸16×34×1.2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。固定圆盘采用SPCC钢板，直径185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5.脚垫材质：采用PP加耐磨纤维质塑料，实心倒勾式一体射出成型。实验凳有调节升降功能，带定位销，具有防晃动功能；高度可以在450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范围内自由调整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6.学生实验凳技术性能要求需满足GB/T3325-2024《金属家具通用技术条件》检测依据，理化性能（塑料件）拉伸强度保持率≥80.9%，断裂伸长率保持率≥80.7%，冲击强度保持率≥76.5%，外观颜色变色评级≥4 级；</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p>
        </w:tc>
        <w:tc>
          <w:tcPr>
            <w:tcW w:w="725" w:type="dxa"/>
            <w:noWrap w:val="0"/>
            <w:vAlign w:val="center"/>
          </w:tcPr>
          <w:p w14:paraId="47D0A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37" w:type="dxa"/>
            <w:noWrap w:val="0"/>
            <w:vAlign w:val="center"/>
          </w:tcPr>
          <w:p w14:paraId="09275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AA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30CC0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6" w:type="dxa"/>
            <w:noWrap w:val="0"/>
            <w:vAlign w:val="center"/>
          </w:tcPr>
          <w:p w14:paraId="16FE1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实验电源</w:t>
            </w:r>
          </w:p>
        </w:tc>
        <w:tc>
          <w:tcPr>
            <w:tcW w:w="6477" w:type="dxa"/>
            <w:noWrap w:val="0"/>
            <w:vAlign w:val="center"/>
          </w:tcPr>
          <w:p w14:paraId="0B2162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1.规格：165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195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2.ABS嵌入式电源盒，可放置书包斗中间，安装方便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3.学生电源低压可以独立自由分组，也可以教师智能控制端统一设置分组；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4.锁定与受控，锁定状态，学生端低压无法调整，接受教师智能控制端统一设置电压与电流；解除锁定可由学生端自由调整；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5.学生电源采用PC亮光薄膜面板，电容式触摸键盘，显示采用2寸LCD段码液晶屏；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6.调节范围为0～30V，分辨率可达0.1V,额定电流2A； 最小调节单元可达1V，具有过载保护智能检测功能；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220V交流输出设置新国标五孔插座，带过载保护。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8.功能模块单独设置一键求助功能按键，当学生端按举手求组模块，教师控制台可实施语音播报当前学生座位号。</w:t>
            </w:r>
          </w:p>
        </w:tc>
        <w:tc>
          <w:tcPr>
            <w:tcW w:w="725" w:type="dxa"/>
            <w:noWrap w:val="0"/>
            <w:vAlign w:val="center"/>
          </w:tcPr>
          <w:p w14:paraId="78588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05419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7E5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0E792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6" w:type="dxa"/>
            <w:noWrap w:val="0"/>
            <w:vAlign w:val="center"/>
          </w:tcPr>
          <w:p w14:paraId="623F6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化学多维课堂</w:t>
            </w:r>
          </w:p>
        </w:tc>
        <w:tc>
          <w:tcPr>
            <w:tcW w:w="6477" w:type="dxa"/>
            <w:noWrap w:val="0"/>
            <w:vAlign w:val="center"/>
          </w:tcPr>
          <w:p w14:paraId="05AB3B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符合初中化学教材的3D交互资源数量不少于80节，教学视频不少于75节，演示资源数量不少于80节，教学课件不少于60节，资源支持按学段、年级、章节精准选取对应课程，同时支持按知识点筛选及关键词搜索课程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2.实验内容包含实验简介、实验目的、实验原理、实验步骤、实验现象、实验结论、常见考点等模块，便于用户快速掌握实验要点，提升课堂教学效率。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3.所有实验器材模型均为3D高精度、高保真模型，非简单的二维或2.5D模型，整个实验过程中，无需点击其他按键即可对单个器材进行全方位的观察及交互。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4.需提供初中化学常用实验器材库，支持从任意视角对实验器材进行独立观察与展示，器材数量不少于145个。每个器材均配备知识卡片，介绍其用途、特性等内容，以帮助学生理解与学习。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5.系统内置互动习题不少于10万道，支持按单个教学单元或单节课随机生成习题；题型涵盖单选题、多选题、判断题、简答题，每道题目均配有答案与解析。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★6.支持实验教学任务模块，支持教师发布实验教学任务并查看学生完成情况，学生登录软件后完成教师发布的实验任务，实现课前预习和课后复习实验的教学效果</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w:t>
            </w:r>
            <w:r>
              <w:rPr>
                <w:rFonts w:hint="eastAsia" w:ascii="宋体" w:hAnsi="宋体" w:cs="宋体"/>
                <w:b/>
                <w:bCs/>
                <w:i w:val="0"/>
                <w:iCs w:val="0"/>
                <w:color w:val="000000"/>
                <w:kern w:val="0"/>
                <w:sz w:val="24"/>
                <w:szCs w:val="24"/>
                <w:highlight w:val="none"/>
                <w:u w:val="none"/>
                <w:lang w:val="en-US" w:eastAsia="zh-CN" w:bidi="ar"/>
              </w:rPr>
              <w:t>或</w:t>
            </w:r>
            <w:r>
              <w:rPr>
                <w:rFonts w:hint="eastAsia" w:ascii="宋体" w:hAnsi="宋体" w:eastAsia="宋体" w:cs="宋体"/>
                <w:b/>
                <w:bCs/>
                <w:i w:val="0"/>
                <w:iCs w:val="0"/>
                <w:color w:val="000000"/>
                <w:kern w:val="0"/>
                <w:sz w:val="24"/>
                <w:szCs w:val="24"/>
                <w:highlight w:val="none"/>
                <w:u w:val="none"/>
                <w:lang w:val="en-US" w:eastAsia="zh-CN" w:bidi="ar"/>
              </w:rPr>
              <w:t>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★7.要求资源支持通过触控、鼠标的方式，对实验器材/药品进行移动和右键菜单操作、对操作界面进行放大缩小、旋转和移动；</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w:t>
            </w:r>
            <w:r>
              <w:rPr>
                <w:rFonts w:hint="eastAsia" w:ascii="宋体" w:hAnsi="宋体" w:cs="宋体"/>
                <w:b/>
                <w:bCs/>
                <w:i w:val="0"/>
                <w:iCs w:val="0"/>
                <w:color w:val="000000"/>
                <w:kern w:val="0"/>
                <w:sz w:val="24"/>
                <w:szCs w:val="24"/>
                <w:highlight w:val="none"/>
                <w:u w:val="none"/>
                <w:lang w:val="en-US" w:eastAsia="zh-CN" w:bidi="ar"/>
              </w:rPr>
              <w:t>或</w:t>
            </w:r>
            <w:r>
              <w:rPr>
                <w:rFonts w:hint="eastAsia" w:ascii="宋体" w:hAnsi="宋体" w:eastAsia="宋体" w:cs="宋体"/>
                <w:b/>
                <w:bCs/>
                <w:i w:val="0"/>
                <w:iCs w:val="0"/>
                <w:color w:val="000000"/>
                <w:kern w:val="0"/>
                <w:sz w:val="24"/>
                <w:szCs w:val="24"/>
                <w:highlight w:val="none"/>
                <w:u w:val="none"/>
                <w:lang w:val="en-US" w:eastAsia="zh-CN" w:bidi="ar"/>
              </w:rPr>
              <w:t>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二、实验操作练测系统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1.★软件需以考试操作步骤为标准，充分模拟真实实验操作中的各个环节，至少包括实验前器材检查、实验操作内容、填写实验报告数据、实验后器材整理，强化学生实验操作流程，避免遗漏操作环节；</w:t>
            </w:r>
            <w:r>
              <w:rPr>
                <w:rFonts w:hint="eastAsia" w:ascii="宋体" w:hAnsi="宋体" w:eastAsia="宋体" w:cs="宋体"/>
                <w:b/>
                <w:bCs/>
                <w:i w:val="0"/>
                <w:iCs w:val="0"/>
                <w:color w:val="auto"/>
                <w:kern w:val="0"/>
                <w:sz w:val="24"/>
                <w:szCs w:val="24"/>
                <w:highlight w:val="none"/>
                <w:u w:val="none"/>
                <w:lang w:val="en-US" w:eastAsia="zh-CN" w:bidi="ar"/>
              </w:rPr>
              <w:t>提供满足以上技术要求并具有CMA</w:t>
            </w:r>
            <w:r>
              <w:rPr>
                <w:rFonts w:hint="eastAsia" w:ascii="宋体" w:hAnsi="宋体" w:cs="宋体"/>
                <w:b/>
                <w:bCs/>
                <w:i w:val="0"/>
                <w:iCs w:val="0"/>
                <w:color w:val="000000"/>
                <w:kern w:val="0"/>
                <w:sz w:val="24"/>
                <w:szCs w:val="24"/>
                <w:highlight w:val="none"/>
                <w:u w:val="none"/>
                <w:lang w:val="en-US" w:eastAsia="zh-CN" w:bidi="ar"/>
              </w:rPr>
              <w:t>或</w:t>
            </w:r>
            <w:r>
              <w:rPr>
                <w:rFonts w:hint="eastAsia" w:ascii="宋体" w:hAnsi="宋体" w:eastAsia="宋体" w:cs="宋体"/>
                <w:b/>
                <w:bCs/>
                <w:i w:val="0"/>
                <w:iCs w:val="0"/>
                <w:color w:val="auto"/>
                <w:kern w:val="0"/>
                <w:sz w:val="24"/>
                <w:szCs w:val="24"/>
                <w:highlight w:val="none"/>
                <w:u w:val="none"/>
                <w:lang w:val="en-US" w:eastAsia="zh-CN" w:bidi="ar"/>
              </w:rPr>
              <w:t>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验操作必须严格按照考试操作规范制作，例如弹簧测力计调零、天平的使用、显微镜的摆放与操作、称量固体药品时要在托盘中放称量纸、正确的量筒读数及胶头滴管如何吸取和滴加溶液等内容都有规范的指导及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练习模式与自测模式两类测评模式，用户可依据自身学习情况自主选择对应模式开展操作。同时配套教学视频资源，针对每一项实验操作内容提供标准、规范的实验演示操作，便于用户通过观摩学习快速掌握实验操作流程，有效降低学习成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4.练习模式下，支持针对实验各关键节点，采用文字提示、器材高亮等形式操作引导，辅助学生按规范流程完成测评实验。</w:t>
            </w:r>
          </w:p>
        </w:tc>
        <w:tc>
          <w:tcPr>
            <w:tcW w:w="725" w:type="dxa"/>
            <w:noWrap/>
            <w:vAlign w:val="center"/>
          </w:tcPr>
          <w:p w14:paraId="315D64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5B746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31B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B673B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6" w:type="dxa"/>
            <w:noWrap w:val="0"/>
            <w:vAlign w:val="center"/>
          </w:tcPr>
          <w:p w14:paraId="7CB29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水槽柜</w:t>
            </w:r>
          </w:p>
        </w:tc>
        <w:tc>
          <w:tcPr>
            <w:tcW w:w="6477" w:type="dxa"/>
            <w:noWrap w:val="0"/>
            <w:vAlign w:val="center"/>
          </w:tcPr>
          <w:p w14:paraId="3C921E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835（±5）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2.结构：钢塑结构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3.1、水槽：采用环保PP改性材质，一次性注塑成型，具有较高强度的韧性及耐磨、耐酸碱性，水槽外观可视尺寸590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，内空尺寸：390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245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；水槽底部配置PP滤水网(Φ110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)及PP防溅网(315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)，放水时防止有水滴溅出；水槽柜上部配备专用阻尼器翻盖滴水架，翻盖打开配有12根滴水棒，方便学生实验时滤干试管；并预留洗眼器专用安装位。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3.2、柜体：主框架采用不小于1.2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厚冷轧钢板，表面经环保除油、除锈前处理并经过环氧树脂粉末喷塑处理。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3.3、配有可调节脚垫。</w:t>
            </w:r>
          </w:p>
        </w:tc>
        <w:tc>
          <w:tcPr>
            <w:tcW w:w="725" w:type="dxa"/>
            <w:noWrap/>
            <w:vAlign w:val="center"/>
          </w:tcPr>
          <w:p w14:paraId="1C2E0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4B452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0DC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BB7C4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6" w:type="dxa"/>
            <w:noWrap w:val="0"/>
            <w:vAlign w:val="center"/>
          </w:tcPr>
          <w:p w14:paraId="17C853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二联水嘴</w:t>
            </w:r>
          </w:p>
        </w:tc>
        <w:tc>
          <w:tcPr>
            <w:tcW w:w="6477" w:type="dxa"/>
            <w:noWrap w:val="0"/>
            <w:vAlign w:val="center"/>
          </w:tcPr>
          <w:p w14:paraId="0A30D2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产品设计为两个独立控制的阀门和两个出水口，出水嘴设计为可以插皮管的尖嘴型。翻转龙头可以在直立的情况下使用，也可以在翻转90度的情况下使用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1.结构类型：双口设计。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2.安装方式：壁式安装，节省实验室台面空间。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3.材质：主体材料全铜，确保在实验环境下长期稳定使用。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4.规格尺寸：管径尺寸</w:t>
            </w:r>
            <w:r>
              <w:rPr>
                <w:rFonts w:hint="eastAsia" w:ascii="宋体" w:hAnsi="宋体" w:cs="宋体"/>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，出水口尺寸5.2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5.阀芯：采用陶瓷阀芯，保证开关寿命长且水流控制精确。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6.涂层处理：环氧树脂涂层，增强产品的耐腐蚀性和耐用性。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7.接口标准：符合实验室用水系统的连接标准G1/2</w:t>
            </w:r>
          </w:p>
        </w:tc>
        <w:tc>
          <w:tcPr>
            <w:tcW w:w="725" w:type="dxa"/>
            <w:noWrap/>
            <w:vAlign w:val="center"/>
          </w:tcPr>
          <w:p w14:paraId="4FAC8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14F250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FC1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DB7B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6" w:type="dxa"/>
            <w:noWrap w:val="0"/>
            <w:vAlign w:val="center"/>
          </w:tcPr>
          <w:p w14:paraId="5C4DC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多功能实验下水装置</w:t>
            </w:r>
          </w:p>
        </w:tc>
        <w:tc>
          <w:tcPr>
            <w:tcW w:w="6477" w:type="dxa"/>
            <w:noWrap w:val="0"/>
            <w:vAlign w:val="center"/>
          </w:tcPr>
          <w:p w14:paraId="199631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采用“S”型防腐蛇形PP管；过滤防堵处理、防止污水及异味倒灌。</w:t>
            </w:r>
          </w:p>
        </w:tc>
        <w:tc>
          <w:tcPr>
            <w:tcW w:w="725" w:type="dxa"/>
            <w:noWrap/>
            <w:vAlign w:val="center"/>
          </w:tcPr>
          <w:p w14:paraId="6622EF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12AE1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3B0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8443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6" w:type="dxa"/>
            <w:noWrap w:val="0"/>
            <w:vAlign w:val="center"/>
          </w:tcPr>
          <w:p w14:paraId="50722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电气布线（地上部分）</w:t>
            </w:r>
          </w:p>
        </w:tc>
        <w:tc>
          <w:tcPr>
            <w:tcW w:w="6477" w:type="dxa"/>
            <w:noWrap w:val="0"/>
            <w:vAlign w:val="center"/>
          </w:tcPr>
          <w:p w14:paraId="05F797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国标阻燃PVC线管，国标铜芯线，4平方毫米、2.5平方毫米（地上部分）</w:t>
            </w:r>
          </w:p>
        </w:tc>
        <w:tc>
          <w:tcPr>
            <w:tcW w:w="725" w:type="dxa"/>
            <w:noWrap w:val="0"/>
            <w:vAlign w:val="center"/>
          </w:tcPr>
          <w:p w14:paraId="6C41ED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7C4A5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3C1B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4254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6" w:type="dxa"/>
            <w:noWrap w:val="0"/>
            <w:vAlign w:val="center"/>
          </w:tcPr>
          <w:p w14:paraId="33752B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室内给排水系统（地上部分）</w:t>
            </w:r>
          </w:p>
        </w:tc>
        <w:tc>
          <w:tcPr>
            <w:tcW w:w="6477" w:type="dxa"/>
            <w:noWrap w:val="0"/>
            <w:vAlign w:val="center"/>
          </w:tcPr>
          <w:p w14:paraId="7F0261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国标直径20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PPR管、国标直径50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防腐PVC管（地上部分）</w:t>
            </w:r>
          </w:p>
        </w:tc>
        <w:tc>
          <w:tcPr>
            <w:tcW w:w="725" w:type="dxa"/>
            <w:noWrap w:val="0"/>
            <w:vAlign w:val="center"/>
          </w:tcPr>
          <w:p w14:paraId="2199B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7D4BC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1CD1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482B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96" w:type="dxa"/>
            <w:noWrap w:val="0"/>
            <w:vAlign w:val="center"/>
          </w:tcPr>
          <w:p w14:paraId="246CA6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防腐风机</w:t>
            </w:r>
          </w:p>
        </w:tc>
        <w:tc>
          <w:tcPr>
            <w:tcW w:w="6477" w:type="dxa"/>
            <w:noWrap w:val="0"/>
            <w:vAlign w:val="center"/>
          </w:tcPr>
          <w:p w14:paraId="799FAF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1.外壳采用米灰色聚丙烯PP板，具有抗紫外线、耐老化、耐强酸、强碱与抗腐蚀的特性。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2.电机防雨罩的结构简单，使用检修方便，可有效防止电机被雨水打湿，延长电机使用寿命，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3.自带减震垫可减少地面的震动，有效降低风机的动载荷，从而延长风机的使用寿命； 叶轮根据不同性能参数由</w:t>
            </w:r>
            <w:r>
              <w:rPr>
                <w:rFonts w:hint="eastAsia" w:ascii="宋体" w:hAnsi="宋体" w:eastAsia="宋体" w:cs="宋体"/>
                <w:i w:val="0"/>
                <w:iCs w:val="0"/>
                <w:color w:val="000000"/>
                <w:kern w:val="0"/>
                <w:sz w:val="24"/>
                <w:szCs w:val="24"/>
                <w:highlight w:val="none"/>
                <w:u w:val="none"/>
                <w:lang w:val="en-US" w:eastAsia="zh-CN" w:bidi="ar"/>
              </w:rPr>
              <w:t>8个</w:t>
            </w:r>
            <w:r>
              <w:rPr>
                <w:rFonts w:hint="eastAsia" w:ascii="宋体" w:hAnsi="宋体" w:eastAsia="宋体" w:cs="宋体"/>
                <w:i w:val="0"/>
                <w:iCs w:val="0"/>
                <w:color w:val="000000"/>
                <w:kern w:val="0"/>
                <w:sz w:val="24"/>
                <w:szCs w:val="24"/>
                <w:u w:val="none"/>
                <w:lang w:val="en-US" w:eastAsia="zh-CN" w:bidi="ar"/>
              </w:rPr>
              <w:t>后倾的机翼型叶片、曲线型前盖板和平板后盘组成，增强有效排风量。风机</w:t>
            </w:r>
            <w:r>
              <w:rPr>
                <w:rFonts w:hint="eastAsia" w:ascii="宋体" w:hAnsi="宋体" w:cs="宋体"/>
                <w:i w:val="0"/>
                <w:iCs w:val="0"/>
                <w:color w:val="000000"/>
                <w:kern w:val="0"/>
                <w:sz w:val="24"/>
                <w:szCs w:val="24"/>
                <w:u w:val="none"/>
                <w:lang w:val="en-US" w:eastAsia="zh-CN" w:bidi="ar"/>
              </w:rPr>
              <w:t>额定</w:t>
            </w:r>
            <w:r>
              <w:rPr>
                <w:rFonts w:hint="eastAsia" w:ascii="宋体" w:hAnsi="宋体" w:eastAsia="宋体" w:cs="宋体"/>
                <w:i w:val="0"/>
                <w:iCs w:val="0"/>
                <w:color w:val="000000"/>
                <w:kern w:val="0"/>
                <w:sz w:val="24"/>
                <w:szCs w:val="24"/>
                <w:u w:val="none"/>
                <w:lang w:val="en-US" w:eastAsia="zh-CN" w:bidi="ar"/>
              </w:rPr>
              <w:t>功率：5.5KW。</w:t>
            </w:r>
          </w:p>
        </w:tc>
        <w:tc>
          <w:tcPr>
            <w:tcW w:w="725" w:type="dxa"/>
            <w:noWrap w:val="0"/>
            <w:vAlign w:val="center"/>
          </w:tcPr>
          <w:p w14:paraId="510A1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427D1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A7C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32210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96" w:type="dxa"/>
            <w:noWrap w:val="0"/>
            <w:vAlign w:val="center"/>
          </w:tcPr>
          <w:p w14:paraId="5A763B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风机控制线</w:t>
            </w:r>
          </w:p>
        </w:tc>
        <w:tc>
          <w:tcPr>
            <w:tcW w:w="6477" w:type="dxa"/>
            <w:noWrap/>
            <w:vAlign w:val="center"/>
          </w:tcPr>
          <w:p w14:paraId="5CD61D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楼顶风机至教师总控处，采用国标专用4平方5根；4根2.5平方电线</w:t>
            </w:r>
          </w:p>
        </w:tc>
        <w:tc>
          <w:tcPr>
            <w:tcW w:w="725" w:type="dxa"/>
            <w:noWrap w:val="0"/>
            <w:vAlign w:val="center"/>
          </w:tcPr>
          <w:p w14:paraId="723839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69F41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06A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C119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96" w:type="dxa"/>
            <w:noWrap w:val="0"/>
            <w:vAlign w:val="center"/>
          </w:tcPr>
          <w:p w14:paraId="58F894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风机变频调速装置</w:t>
            </w:r>
          </w:p>
        </w:tc>
        <w:tc>
          <w:tcPr>
            <w:tcW w:w="6477" w:type="dxa"/>
            <w:noWrap w:val="0"/>
            <w:vAlign w:val="center"/>
          </w:tcPr>
          <w:p w14:paraId="4986E2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0-50HZ调节高级电子集成电路，可以控制风机的启动和关闭，无级调速，随意控制风机风速风量大小</w:t>
            </w:r>
          </w:p>
        </w:tc>
        <w:tc>
          <w:tcPr>
            <w:tcW w:w="725" w:type="dxa"/>
            <w:noWrap w:val="0"/>
            <w:vAlign w:val="center"/>
          </w:tcPr>
          <w:p w14:paraId="730C3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1B5E94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9CE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E617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96" w:type="dxa"/>
            <w:noWrap w:val="0"/>
            <w:vAlign w:val="center"/>
          </w:tcPr>
          <w:p w14:paraId="2BEA2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风机进出口消声装置</w:t>
            </w:r>
          </w:p>
        </w:tc>
        <w:tc>
          <w:tcPr>
            <w:tcW w:w="6477" w:type="dxa"/>
            <w:noWrap w:val="0"/>
            <w:vAlign w:val="center"/>
          </w:tcPr>
          <w:p w14:paraId="4BFE0B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，分内外管两层，内管采用微小孔消声原理，夹层中有吸声材料，有效降低管道噪声。</w:t>
            </w:r>
          </w:p>
        </w:tc>
        <w:tc>
          <w:tcPr>
            <w:tcW w:w="725" w:type="dxa"/>
            <w:noWrap w:val="0"/>
            <w:vAlign w:val="center"/>
          </w:tcPr>
          <w:p w14:paraId="4FD5A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43535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318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561E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96" w:type="dxa"/>
            <w:noWrap w:val="0"/>
            <w:vAlign w:val="center"/>
          </w:tcPr>
          <w:p w14:paraId="7A692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防雨帽</w:t>
            </w:r>
          </w:p>
        </w:tc>
        <w:tc>
          <w:tcPr>
            <w:tcW w:w="6477" w:type="dxa"/>
            <w:noWrap w:val="0"/>
            <w:vAlign w:val="center"/>
          </w:tcPr>
          <w:p w14:paraId="7AE7F7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PVC材质，主要用于对专用通风机的防护</w:t>
            </w:r>
          </w:p>
        </w:tc>
        <w:tc>
          <w:tcPr>
            <w:tcW w:w="725" w:type="dxa"/>
            <w:noWrap w:val="0"/>
            <w:vAlign w:val="center"/>
          </w:tcPr>
          <w:p w14:paraId="2E68F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2935B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EDF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7A810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96" w:type="dxa"/>
            <w:noWrap w:val="0"/>
            <w:vAlign w:val="center"/>
          </w:tcPr>
          <w:p w14:paraId="2C709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万向吸风罩</w:t>
            </w:r>
          </w:p>
        </w:tc>
        <w:tc>
          <w:tcPr>
            <w:tcW w:w="6477" w:type="dxa"/>
            <w:noWrap w:val="0"/>
            <w:vAlign w:val="center"/>
          </w:tcPr>
          <w:p w14:paraId="3BC256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1.规格：主体管径≥75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,通风罩口直径≥375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，额定排气量350m³/h。，主体最大拉伸角度≥135°，支架总长度≥990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，可定制长度，支架管道接口外径90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，适用于到工作台面高度1500～2400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2.采用高密度PP材质，独特的关节结构使关节调整时极具灵活性，根据实地需求可360°自由旋转调节方向，以便气流经过时降低不必要产生的湍流，以固定架为中心垂直拉伸最大活动半径可达1650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3.抽气罩吊顶处配有装饰盘，确保抽气罩安装后吊顶处不会出现黑边，保证实验室的整体美观。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4.关节密封圈：采用高密度橡胶。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5.关节连接杆：</w:t>
            </w:r>
            <w:r>
              <w:rPr>
                <w:rFonts w:hint="eastAsia" w:ascii="宋体" w:hAnsi="宋体" w:cs="宋体"/>
                <w:i w:val="0"/>
                <w:iCs w:val="0"/>
                <w:color w:val="000000"/>
                <w:kern w:val="0"/>
                <w:sz w:val="24"/>
                <w:szCs w:val="24"/>
                <w:u w:val="none"/>
                <w:lang w:val="en-US" w:eastAsia="zh-CN" w:bidi="ar"/>
              </w:rPr>
              <w:t>304及以上不锈钢</w:t>
            </w:r>
            <w:r>
              <w:rPr>
                <w:rFonts w:hint="eastAsia" w:ascii="宋体" w:hAnsi="宋体" w:eastAsia="宋体" w:cs="宋体"/>
                <w:i w:val="0"/>
                <w:iCs w:val="0"/>
                <w:color w:val="000000"/>
                <w:kern w:val="0"/>
                <w:sz w:val="24"/>
                <w:szCs w:val="24"/>
                <w:u w:val="none"/>
                <w:lang w:val="en-US" w:eastAsia="zh-CN" w:bidi="ar"/>
              </w:rPr>
              <w:t>材质；关节弹簧装置：</w:t>
            </w:r>
            <w:r>
              <w:rPr>
                <w:rFonts w:hint="eastAsia" w:ascii="宋体" w:hAnsi="宋体" w:cs="宋体"/>
                <w:i w:val="0"/>
                <w:iCs w:val="0"/>
                <w:color w:val="000000"/>
                <w:kern w:val="0"/>
                <w:sz w:val="24"/>
                <w:szCs w:val="24"/>
                <w:u w:val="none"/>
                <w:lang w:val="en-US" w:eastAsia="zh-CN" w:bidi="ar"/>
              </w:rPr>
              <w:t>304及以上不锈钢</w:t>
            </w:r>
            <w:r>
              <w:rPr>
                <w:rFonts w:hint="eastAsia" w:ascii="宋体" w:hAnsi="宋体" w:eastAsia="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6.关节松紧旋钮：高密度PP材质，内嵌</w:t>
            </w:r>
            <w:r>
              <w:rPr>
                <w:rFonts w:hint="eastAsia" w:ascii="宋体" w:hAnsi="宋体" w:cs="宋体"/>
                <w:i w:val="0"/>
                <w:iCs w:val="0"/>
                <w:color w:val="000000"/>
                <w:kern w:val="0"/>
                <w:sz w:val="24"/>
                <w:szCs w:val="24"/>
                <w:u w:val="none"/>
                <w:lang w:val="en-US" w:eastAsia="zh-CN" w:bidi="ar"/>
              </w:rPr>
              <w:t>304及以上不锈钢</w:t>
            </w:r>
            <w:r>
              <w:rPr>
                <w:rFonts w:hint="eastAsia" w:ascii="宋体" w:hAnsi="宋体" w:eastAsia="宋体" w:cs="宋体"/>
                <w:i w:val="0"/>
                <w:iCs w:val="0"/>
                <w:color w:val="000000"/>
                <w:kern w:val="0"/>
                <w:sz w:val="24"/>
                <w:szCs w:val="24"/>
                <w:u w:val="none"/>
                <w:lang w:val="en-US" w:eastAsia="zh-CN" w:bidi="ar"/>
              </w:rPr>
              <w:t>推力轴承，与关节连接杆锁合。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7.压力轴承装置防下垂、下滑，避免松动。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8.气流调节阀：调节阀挡风板设在罩口与管连接处，调节精度高，手动调节外部阀门旋钮，操作方便，控制进入通风管道内的气流量。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9.固定底座：模具注塑一体成型，牢度强，不易脱落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10.集气罩：PP白色/红色/透明。</w:t>
            </w:r>
          </w:p>
        </w:tc>
        <w:tc>
          <w:tcPr>
            <w:tcW w:w="725" w:type="dxa"/>
            <w:noWrap w:val="0"/>
            <w:vAlign w:val="center"/>
          </w:tcPr>
          <w:p w14:paraId="39FB5A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737" w:type="dxa"/>
            <w:noWrap w:val="0"/>
            <w:vAlign w:val="center"/>
          </w:tcPr>
          <w:p w14:paraId="661DC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175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0418F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96" w:type="dxa"/>
            <w:noWrap w:val="0"/>
            <w:vAlign w:val="center"/>
          </w:tcPr>
          <w:p w14:paraId="51BBF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减振器</w:t>
            </w:r>
          </w:p>
        </w:tc>
        <w:tc>
          <w:tcPr>
            <w:tcW w:w="6477" w:type="dxa"/>
            <w:noWrap w:val="0"/>
            <w:vAlign w:val="center"/>
          </w:tcPr>
          <w:p w14:paraId="402899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强力弹性橡胶减振</w:t>
            </w:r>
          </w:p>
        </w:tc>
        <w:tc>
          <w:tcPr>
            <w:tcW w:w="725" w:type="dxa"/>
            <w:noWrap w:val="0"/>
            <w:vAlign w:val="center"/>
          </w:tcPr>
          <w:p w14:paraId="3F732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970A1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A45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9FC2F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96" w:type="dxa"/>
            <w:noWrap w:val="0"/>
            <w:vAlign w:val="center"/>
          </w:tcPr>
          <w:p w14:paraId="7FEC2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风机进出口柔性接头</w:t>
            </w:r>
          </w:p>
        </w:tc>
        <w:tc>
          <w:tcPr>
            <w:tcW w:w="6477" w:type="dxa"/>
            <w:noWrap w:val="0"/>
            <w:vAlign w:val="center"/>
          </w:tcPr>
          <w:p w14:paraId="05D75A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柔性材质，通风机与消声器的连接，消除因震动引起的微量错位对通风机的影响。</w:t>
            </w:r>
          </w:p>
        </w:tc>
        <w:tc>
          <w:tcPr>
            <w:tcW w:w="725" w:type="dxa"/>
            <w:noWrap w:val="0"/>
            <w:vAlign w:val="center"/>
          </w:tcPr>
          <w:p w14:paraId="1722A1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14E638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107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E9488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96" w:type="dxa"/>
            <w:noWrap w:val="0"/>
            <w:vAlign w:val="center"/>
          </w:tcPr>
          <w:p w14:paraId="42E05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室内通风支管</w:t>
            </w:r>
          </w:p>
        </w:tc>
        <w:tc>
          <w:tcPr>
            <w:tcW w:w="6477" w:type="dxa"/>
            <w:noWrap w:val="0"/>
            <w:vAlign w:val="center"/>
          </w:tcPr>
          <w:p w14:paraId="16416A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主管通向学生桌的主支管采用Φ200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的PVC圆管、支管采用Φ110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的PVC圆管，合理设计布置通风走向。</w:t>
            </w:r>
          </w:p>
        </w:tc>
        <w:tc>
          <w:tcPr>
            <w:tcW w:w="725" w:type="dxa"/>
            <w:noWrap w:val="0"/>
            <w:vAlign w:val="center"/>
          </w:tcPr>
          <w:p w14:paraId="352AFA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03EB7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AD2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195B4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96" w:type="dxa"/>
            <w:noWrap w:val="0"/>
            <w:vAlign w:val="center"/>
          </w:tcPr>
          <w:p w14:paraId="19E1E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室外通风管道</w:t>
            </w:r>
          </w:p>
        </w:tc>
        <w:tc>
          <w:tcPr>
            <w:tcW w:w="6477" w:type="dxa"/>
            <w:noWrap w:val="0"/>
            <w:vAlign w:val="center"/>
          </w:tcPr>
          <w:p w14:paraId="7EA04E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室外采用Φ400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的PVC圆管,通至楼顶风机处。合理设计布置通风走向。</w:t>
            </w:r>
          </w:p>
        </w:tc>
        <w:tc>
          <w:tcPr>
            <w:tcW w:w="725" w:type="dxa"/>
            <w:noWrap w:val="0"/>
            <w:vAlign w:val="center"/>
          </w:tcPr>
          <w:p w14:paraId="73ACD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25FF0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39A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F903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96" w:type="dxa"/>
            <w:noWrap w:val="0"/>
            <w:vAlign w:val="center"/>
          </w:tcPr>
          <w:p w14:paraId="11BF5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文创改造</w:t>
            </w:r>
          </w:p>
        </w:tc>
        <w:tc>
          <w:tcPr>
            <w:tcW w:w="6477" w:type="dxa"/>
            <w:noWrap w:val="0"/>
            <w:vAlign w:val="center"/>
          </w:tcPr>
          <w:p w14:paraId="283FE8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室内吊顶优化改造，墙面文化改造，水电优化等</w:t>
            </w:r>
          </w:p>
        </w:tc>
        <w:tc>
          <w:tcPr>
            <w:tcW w:w="725" w:type="dxa"/>
            <w:noWrap/>
            <w:vAlign w:val="center"/>
          </w:tcPr>
          <w:p w14:paraId="73C84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FA3C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15A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7D385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化学仪器准备室</w:t>
            </w:r>
          </w:p>
        </w:tc>
      </w:tr>
      <w:tr w14:paraId="3CFC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8A0E7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0F7A2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准备桌</w:t>
            </w:r>
          </w:p>
        </w:tc>
        <w:tc>
          <w:tcPr>
            <w:tcW w:w="6477" w:type="dxa"/>
            <w:noWrap w:val="0"/>
            <w:vAlign w:val="top"/>
          </w:tcPr>
          <w:p w14:paraId="4C0FA2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2.台面：采用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厚双面理化膜实芯理化板。台面需倒圆边，</w:t>
            </w:r>
            <w:r>
              <w:rPr>
                <w:rFonts w:hint="eastAsia" w:ascii="宋体" w:hAnsi="宋体" w:cs="宋体"/>
                <w:i w:val="0"/>
                <w:iCs w:val="0"/>
                <w:color w:val="000000"/>
                <w:kern w:val="0"/>
                <w:sz w:val="24"/>
                <w:szCs w:val="24"/>
                <w:u w:val="none"/>
                <w:lang w:val="en-US" w:eastAsia="zh-CN" w:bidi="ar"/>
              </w:rPr>
              <w:t>表面光滑平整</w:t>
            </w:r>
            <w:r>
              <w:rPr>
                <w:rFonts w:hint="eastAsia" w:ascii="宋体" w:hAnsi="宋体" w:eastAsia="宋体" w:cs="宋体"/>
                <w:i w:val="0"/>
                <w:iCs w:val="0"/>
                <w:color w:val="000000"/>
                <w:kern w:val="0"/>
                <w:sz w:val="24"/>
                <w:szCs w:val="24"/>
                <w:u w:val="none"/>
                <w:lang w:val="en-US" w:eastAsia="zh-CN" w:bidi="ar"/>
              </w:rPr>
              <w:t>，需具有耐强酸碱、防腐蚀、防静电、耐辐射、耐磨、抗污染、易清洁、耐冲击、耐高温、防水、防火等特点。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柜身：柜体为落地式结构，所有底柜正面应为平装嵌入式结构设计。所有钣金的表面接缝均应满焊，焊接处均应打磨平整以保持为连续的平滑表面。主框架采用镀锌钢板，表面钢制部分采用酸洗、磷化、除油、除锈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4.滑轨：采用三节静音滑轨；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5.合页：采用合页，开合十万次以上；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6.连接件：ABS专用连接组装件；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7.桌脚：采用ABS注塑专用桌垫固定；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8.配1组PP防腐水槽及1组三联水龙头，两组岛式电源。</w:t>
            </w:r>
          </w:p>
        </w:tc>
        <w:tc>
          <w:tcPr>
            <w:tcW w:w="725" w:type="dxa"/>
            <w:noWrap/>
            <w:vAlign w:val="center"/>
          </w:tcPr>
          <w:p w14:paraId="226C1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FACD4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7A5C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0EEA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5E79D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仪器柜</w:t>
            </w:r>
          </w:p>
        </w:tc>
        <w:tc>
          <w:tcPr>
            <w:tcW w:w="6477" w:type="dxa"/>
            <w:noWrap w:val="0"/>
            <w:vAlign w:val="center"/>
          </w:tcPr>
          <w:p w14:paraId="6128F1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2.柜体：侧板、顶底板采用ABS/PP材料模具一次成型，表面沙面和光面相结合处理，保证柜体之坚固及密封性，耐腐蚀性强，顶板、底板可预留模具成型排风孔。</w:t>
            </w:r>
            <w:r>
              <w:rPr>
                <w:rFonts w:hint="eastAsia" w:ascii="宋体" w:hAnsi="宋体" w:eastAsia="宋体" w:cs="宋体"/>
                <w:i w:val="0"/>
                <w:iCs w:val="0"/>
                <w:color w:val="000000"/>
                <w:kern w:val="0"/>
                <w:sz w:val="24"/>
                <w:szCs w:val="24"/>
                <w:highlight w:val="none"/>
                <w:u w:val="none"/>
                <w:lang w:val="en-US" w:eastAsia="zh-CN" w:bidi="ar"/>
              </w:rPr>
              <w:t>底部镶嵌</w:t>
            </w:r>
            <w:r>
              <w:rPr>
                <w:rFonts w:hint="eastAsia" w:ascii="宋体" w:hAnsi="宋体" w:cs="宋体"/>
                <w:i w:val="0"/>
                <w:iCs w:val="0"/>
                <w:color w:val="000000"/>
                <w:kern w:val="0"/>
                <w:sz w:val="24"/>
                <w:szCs w:val="24"/>
                <w:highlight w:val="none"/>
                <w:u w:val="none"/>
                <w:lang w:val="en-US" w:eastAsia="zh-CN" w:bidi="ar"/>
              </w:rPr>
              <w:t>15×30×1.2mm</w:t>
            </w:r>
            <w:r>
              <w:rPr>
                <w:rFonts w:hint="eastAsia" w:ascii="宋体" w:hAnsi="宋体" w:eastAsia="宋体" w:cs="宋体"/>
                <w:i w:val="0"/>
                <w:iCs w:val="0"/>
                <w:color w:val="000000"/>
                <w:kern w:val="0"/>
                <w:sz w:val="24"/>
                <w:szCs w:val="24"/>
                <w:u w:val="none"/>
                <w:lang w:val="en-US" w:eastAsia="zh-CN" w:bidi="ar"/>
              </w:rPr>
              <w:t>钢制横梁，承重力强。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3.上柜柜门：内框采用ABS/PP材质模具一次成型，外嵌≥5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厚钢化烤漆玻璃，中间烤漆镂空制作。上下拉手及三角对称五点固定，防止玻璃的松动或开合。伸缩式PP旋转门轴，四角圆弧倒角，内侧弧形圆边。颜色可选配。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4.下柜柜门：内框采用ABS/PP材质模具一次成型，外嵌≥5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厚钢化烤漆玻璃。上下拉手及三角对称五点固定，防止玻璃的松动或开合。伸缩式ABS旋转门轴，四角圆弧倒角，内侧弧形圆边。颜色可选配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5.层板：上柜配置两块活动层板，下柜配置一块活动层板，层板全部采用ABS/PP材料模具一次成型，表面沙面和光面相结合处理，四周有阻水边，底部镶嵌两根</w:t>
            </w:r>
            <w:r>
              <w:rPr>
                <w:rFonts w:hint="eastAsia" w:ascii="宋体" w:hAnsi="宋体" w:cs="宋体"/>
                <w:i w:val="0"/>
                <w:iCs w:val="0"/>
                <w:color w:val="000000"/>
                <w:kern w:val="0"/>
                <w:sz w:val="24"/>
                <w:szCs w:val="24"/>
                <w:highlight w:val="none"/>
                <w:u w:val="none"/>
                <w:lang w:val="en-US" w:eastAsia="zh-CN" w:bidi="ar"/>
              </w:rPr>
              <w:t>15×30×1.2mm</w:t>
            </w:r>
            <w:r>
              <w:rPr>
                <w:rFonts w:hint="eastAsia" w:ascii="宋体" w:hAnsi="宋体" w:eastAsia="宋体" w:cs="宋体"/>
                <w:i w:val="0"/>
                <w:iCs w:val="0"/>
                <w:color w:val="000000"/>
                <w:kern w:val="0"/>
                <w:sz w:val="24"/>
                <w:szCs w:val="24"/>
                <w:u w:val="none"/>
                <w:lang w:val="en-US" w:eastAsia="zh-CN" w:bidi="ar"/>
              </w:rPr>
              <w:t>钢制横梁，承重力强。整体设计为活动式，可随意抽取放在合适的隔层，自由组合各层空间。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6.拉手：采用ABS材料模具一次成型，直角梯形四周倒圆与柜门平行，开启方便。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7.铰链：采用ABS材料模具一次成型，伸缩式PP旋转门轴，永不生锈，耐腐蚀性好。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8.仪器柜技术性能要求需满足GB/T9286-2021《色漆和清漆划格试验》、GB/T10125-2021《人造气氛腐蚀试验》检测依据，中性盐雾试验不低于10级，附着力不低于2级；</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p>
        </w:tc>
        <w:tc>
          <w:tcPr>
            <w:tcW w:w="725" w:type="dxa"/>
            <w:noWrap/>
            <w:vAlign w:val="center"/>
          </w:tcPr>
          <w:p w14:paraId="76369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7" w:type="dxa"/>
            <w:noWrap/>
            <w:vAlign w:val="center"/>
          </w:tcPr>
          <w:p w14:paraId="2F1F5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02CD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BCA8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466104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污水处理设备</w:t>
            </w:r>
          </w:p>
        </w:tc>
        <w:tc>
          <w:tcPr>
            <w:tcW w:w="6477" w:type="dxa"/>
            <w:noWrap w:val="0"/>
            <w:vAlign w:val="center"/>
          </w:tcPr>
          <w:p w14:paraId="631DFC40">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产品结构：日处理量≥1吨/天 </w:t>
            </w:r>
          </w:p>
          <w:p w14:paraId="6530D8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1.该设备用于对实验室所产生的实验室综合废水（包括实验室排出的少量药品、化学试剂、试液、残留试剂、容器洗涤、仪器清洗等）进行全自动处理，处理达标后自动排入市政排污管道。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反应池采用PP材质焊接一体成型；PP板密度≥0.9g/cm³，符合GB/T1033.1-2008《塑料.非泡沫塑料密度的测定，第一部分：浸渍法，液体比重瓶法和滴定法》的要求；拉伸屈服应力≥30Mpa；弯曲模量≥1000Mpa；冲击强度：测试条件23℃下≥25 kJ/m²；耐酸碱性能：10%盐酸，10%氢氧化钠，24h，无明显变色、溶胀、开裂</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3.设备采用金属外壳，做防腐蚀喷涂处理，漆膜理化性能（耐冲击）：在温度15-35℃，大气压力86-106Kpa，撞击能力1J条件下，冲击高度≥（3次）100cm，漆膜表面无裂痕、无剥落、无裂纹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★4.设备内部设备加药箱采用PE耐腐蚀材质，壁厚≥1</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，耐酸碱性能：10%盐酸，10%氢氧化钠，24h，无明显变色、溶胀、开裂；变形测试符合GB/T 13508-2025《聚乙烯吹塑容器》要求，在试样中注入标称容量要求的内装液，在(20±5)°C环境下放置180d，无变形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二、系统工作原理及技术要求：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1.主要处理实验室废水有害物质的种类：无机物类、有机物类、生物类废水等；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2.全流程深度处理工艺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采用废水收集→pH 精准调节→重金属捕捉→光催化氧化→絮凝沉淀→高级氧化→多介质过滤→新型微滤装置→杀菌消毒一体化闭环处理工艺，污染物去除彻底、出水稳定达标。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3.出水水质标准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经系统处理后，废水可直接排入市政污水管网，满足城市污水排放及生态环保要求。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4.智能液位自动控制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搭载高精度液位传感模块，自动控制进水泵及整机运行，实现无人值守、按需启停。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5.在线 pH 智能调控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配置工业级在线 pH 监测仪表，支持迟滞量自定义设置，自动控制加药泵启停与投加速率，实现酸碱度精准调节。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6.重金属螯合与混凝沉降系统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采用新型环保高效重金属螯合剂及助凝剂，高效去除重金属、胶体、悬浮物等污染物，处理效果稳定可靠。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7.高级氧化装置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采用臭氧高级氧化技术，实现消毒、脱色、除异味、降解酚 / 氰类物质、去除铁锰离子等多重功效。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8.光催化氧化装置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利用紫外光催化氧化作用，高效去除水体异味、微生物、胶体、色素及小分子有机污染物，显著提升出水品质。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9.多介质复合过滤系统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多级复合过滤单元，深度去除悬浮物、胶体、残留重金属及细菌、病毒，保障出水清澈安全。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10.新型微滤装置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深度净化，进一步过滤实验废液里的蛋白胶体、有机大分子絮团、乳化杂质等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11.杀菌消毒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杀灭或清除废水中的的病原微生物（细菌、病毒、真菌等）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三、智能化控制系统：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全天候全自动运行：PLC触摸屏控制，设备具备全自动启停、自适应运行功能，无需人工定时开关机，可匹配实验室加班及非工作时段运行需求，24 小时稳定运行。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手动维护与校准功能：支持手动模式下设备清洗、参数校正、单元调试，便于日常维护、检修与精度校准。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在线监测系统:可实时监测污废水处理过程当中的PH,进水流量等各项指标，实时监测设备运行状态。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四、设备性能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1.用电安全：耐压试验：动力电路导线与保护联结电路之间，施加1000V试验电压，持续时间不少于1s，试验过程不得出现击穿、放电现象；</w:t>
            </w:r>
          </w:p>
          <w:p w14:paraId="4B473B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外壳机械强度：静态承受30N作用力，通过直径12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刚性棒施加；动态承受5J能量钢球撞击，试验后外壳无裂纹</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★2.活性炭吸附性能：碘吸附值≥1000mg/g，活性炭灰分≤1.0%，四氯化碳吸附率≥80%，比表面积≥1200㎡/g，强度≥90%</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p>
        </w:tc>
        <w:tc>
          <w:tcPr>
            <w:tcW w:w="725" w:type="dxa"/>
            <w:noWrap/>
            <w:vAlign w:val="center"/>
          </w:tcPr>
          <w:p w14:paraId="7F71A1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60F3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1A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2520CF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化学危化品室</w:t>
            </w:r>
          </w:p>
        </w:tc>
      </w:tr>
      <w:tr w14:paraId="1B5A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18974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ign w:val="center"/>
          </w:tcPr>
          <w:p w14:paraId="017DE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通风操作柜</w:t>
            </w:r>
          </w:p>
        </w:tc>
        <w:tc>
          <w:tcPr>
            <w:tcW w:w="6477" w:type="dxa"/>
            <w:noWrap w:val="0"/>
            <w:vAlign w:val="center"/>
          </w:tcPr>
          <w:p w14:paraId="683A867C">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规格：1500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2350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2.材质（1）主体框架左右旁板、前钢板、下柜体均采用（裸板）≥1.0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厚钢板，2000W全自动数控激光切割机下料，折弯采用全自动数控折弯机一次性一体折弯成型，表面经环氧树脂粉末静电流水线自动化喷涂及高温固化，具有较好的光洁度和耐腐蚀性。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（2）顶板≥7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厚实芯抗倍特板，具有良好的防腐蚀、化学抗性。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（3）内衬板、导流板、后背板采用≥4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厚实芯抗倍特板具有良好的防腐蚀、化学抗性。导流板为三段式结构，导流板固定件使用PP材质制作一体成型。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（4）移动视窗门框及拉手为铝合金型材，表面经环氧树脂粉末静电流水线自动化喷涂及高温固化。框内嵌入4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钢化玻璃，门开启高度为740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,自由升降，移门上下滑动装置采用同步轴轮皮带式结构，无级任意停留，移门导向装置由抗腐蚀的聚氯乙稀材质构成。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（5）台面采用实芯理化板四周加厚（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厚），耐酸碱，耐冲击，耐腐蚀，甲醛</w:t>
            </w:r>
            <w:r>
              <w:rPr>
                <w:rFonts w:hint="eastAsia" w:ascii="宋体" w:hAnsi="宋体" w:cs="宋体"/>
                <w:i w:val="0"/>
                <w:iCs w:val="0"/>
                <w:color w:val="000000"/>
                <w:kern w:val="0"/>
                <w:sz w:val="24"/>
                <w:szCs w:val="24"/>
                <w:u w:val="none"/>
                <w:lang w:val="en-US" w:eastAsia="zh-CN" w:bidi="ar"/>
              </w:rPr>
              <w:t>释放量</w:t>
            </w:r>
            <w:r>
              <w:rPr>
                <w:rFonts w:hint="eastAsia" w:ascii="宋体" w:hAnsi="宋体" w:eastAsia="宋体" w:cs="宋体"/>
                <w:i w:val="0"/>
                <w:iCs w:val="0"/>
                <w:color w:val="000000"/>
                <w:kern w:val="0"/>
                <w:sz w:val="24"/>
                <w:szCs w:val="24"/>
                <w:u w:val="none"/>
                <w:lang w:val="en-US" w:eastAsia="zh-CN" w:bidi="ar"/>
              </w:rPr>
              <w:t>达到E1</w:t>
            </w:r>
            <w:r>
              <w:rPr>
                <w:rFonts w:hint="eastAsia" w:ascii="宋体" w:hAnsi="宋体" w:cs="宋体"/>
                <w:i w:val="0"/>
                <w:iCs w:val="0"/>
                <w:color w:val="000000"/>
                <w:kern w:val="0"/>
                <w:sz w:val="24"/>
                <w:szCs w:val="24"/>
                <w:u w:val="none"/>
                <w:lang w:val="en-US" w:eastAsia="zh-CN" w:bidi="ar"/>
              </w:rPr>
              <w:t>及以上</w:t>
            </w:r>
            <w:r>
              <w:rPr>
                <w:rFonts w:hint="eastAsia" w:ascii="宋体" w:hAnsi="宋体" w:eastAsia="宋体" w:cs="宋体"/>
                <w:i w:val="0"/>
                <w:iCs w:val="0"/>
                <w:color w:val="000000"/>
                <w:kern w:val="0"/>
                <w:sz w:val="24"/>
                <w:szCs w:val="24"/>
                <w:u w:val="none"/>
                <w:lang w:val="en-US" w:eastAsia="zh-CN" w:bidi="ar"/>
              </w:rPr>
              <w:t>级别标准。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（6）连接部分所有的内部连接装置都需隐藏布置和抗腐蚀，没有外露的螺钉，外部连接装置都抗化学腐蚀的不锈钢部件与非金属材料。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排气出口采用PP集气罩模具一体成型，出风口直径250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圆孔，套管连接，减少气体扰流。</w:t>
            </w:r>
          </w:p>
        </w:tc>
        <w:tc>
          <w:tcPr>
            <w:tcW w:w="725" w:type="dxa"/>
            <w:noWrap/>
            <w:vAlign w:val="center"/>
          </w:tcPr>
          <w:p w14:paraId="4A49B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227479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2A11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B41A7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7D932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危险药品柜</w:t>
            </w:r>
          </w:p>
        </w:tc>
        <w:tc>
          <w:tcPr>
            <w:tcW w:w="6477" w:type="dxa"/>
            <w:noWrap w:val="0"/>
            <w:vAlign w:val="center"/>
          </w:tcPr>
          <w:p w14:paraId="751BEC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1.规格：900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2.材质：(1)柜体采用≥1.0</w:t>
            </w:r>
            <w:r>
              <w:rPr>
                <w:rFonts w:hint="eastAsia" w:ascii="宋体" w:hAnsi="宋体" w:cs="宋体"/>
                <w:i w:val="0"/>
                <w:iCs w:val="0"/>
                <w:color w:val="000000"/>
                <w:kern w:val="0"/>
                <w:sz w:val="24"/>
                <w:szCs w:val="24"/>
                <w:u w:val="none"/>
                <w:lang w:val="en-US" w:eastAsia="zh-CN" w:bidi="ar"/>
              </w:rPr>
              <w:t>mm厚</w:t>
            </w:r>
            <w:r>
              <w:rPr>
                <w:rFonts w:hint="eastAsia" w:ascii="宋体" w:hAnsi="宋体" w:eastAsia="宋体" w:cs="宋体"/>
                <w:i w:val="0"/>
                <w:iCs w:val="0"/>
                <w:color w:val="000000"/>
                <w:kern w:val="0"/>
                <w:sz w:val="24"/>
                <w:szCs w:val="24"/>
                <w:u w:val="none"/>
                <w:lang w:val="en-US" w:eastAsia="zh-CN" w:bidi="ar"/>
              </w:rPr>
              <w:t>冷轧钢板，底座采用≥2.0</w:t>
            </w:r>
            <w:r>
              <w:rPr>
                <w:rFonts w:hint="eastAsia" w:ascii="宋体" w:hAnsi="宋体" w:cs="宋体"/>
                <w:i w:val="0"/>
                <w:iCs w:val="0"/>
                <w:color w:val="000000"/>
                <w:kern w:val="0"/>
                <w:sz w:val="24"/>
                <w:szCs w:val="24"/>
                <w:u w:val="none"/>
                <w:lang w:val="en-US" w:eastAsia="zh-CN" w:bidi="ar"/>
              </w:rPr>
              <w:t>mm厚</w:t>
            </w:r>
            <w:r>
              <w:rPr>
                <w:rFonts w:hint="eastAsia" w:ascii="宋体" w:hAnsi="宋体" w:eastAsia="宋体" w:cs="宋体"/>
                <w:i w:val="0"/>
                <w:iCs w:val="0"/>
                <w:color w:val="000000"/>
                <w:kern w:val="0"/>
                <w:sz w:val="24"/>
                <w:szCs w:val="24"/>
                <w:u w:val="none"/>
                <w:lang w:val="en-US" w:eastAsia="zh-CN" w:bidi="ar"/>
              </w:rPr>
              <w:t>的冷轧钢板制作，经酸洗磷化后静电喷涂，高温固化处理。保持高光洁度并最大限度的降低腐蚀和湿气及紫外线的影响。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(2)顶板有直径110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出风口。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(3)内部（上、下、左、右）采用5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抗强酸碱耐冲击的瓷白色PP板做内胆，隔层防火棉填充，采用PP螺丝与柜体连接。同时还配置3块三层阶梯的PP活动层板，层板设有5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的通气孔。柜体底部设置进风口及可调风阀，控制风量大小。内部最下层还留有可以存放不少于120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厚黄沙的填充腔（漏液槽），用于存放金属钠、黄磷（白磷）等易燃物品；挡板应与柜体连为一体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底部加装4个16寸活动轮，便于储存柜的移动。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门采用连续平滑钢琴式铰链，确保门能开180度，配置锌合金拉手。柜门与柜体之间安装防火膨胀密封件，当温度为150℃-180℃时密封条局部膨胀，温度达到750℃时密封条全部膨胀，膨胀比例1：5，以确保储存药品的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(5)温湿度控制面板位于柜体右上角：柜体顶部配置温湿度传感器，对柜内相对温湿度实时监控，数字显示设定和测量值，如超过设定的测量值即时报警提示。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报警功能:VOC、温湿度超过设定值，报警提示，报警方式采用声光报警。</w:t>
            </w:r>
          </w:p>
        </w:tc>
        <w:tc>
          <w:tcPr>
            <w:tcW w:w="725" w:type="dxa"/>
            <w:noWrap w:val="0"/>
            <w:vAlign w:val="center"/>
          </w:tcPr>
          <w:p w14:paraId="4356D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37" w:type="dxa"/>
            <w:noWrap w:val="0"/>
            <w:vAlign w:val="center"/>
          </w:tcPr>
          <w:p w14:paraId="5B9AEB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677E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C58A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73B215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易燃品储存柜</w:t>
            </w:r>
          </w:p>
        </w:tc>
        <w:tc>
          <w:tcPr>
            <w:tcW w:w="6477" w:type="dxa"/>
            <w:noWrap w:val="0"/>
            <w:vAlign w:val="center"/>
          </w:tcPr>
          <w:p w14:paraId="71906E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规格：1090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460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整体为双层≥1.2</w:t>
            </w:r>
            <w:r>
              <w:rPr>
                <w:rFonts w:hint="eastAsia" w:ascii="宋体" w:hAnsi="宋体" w:cs="宋体"/>
                <w:i w:val="0"/>
                <w:iCs w:val="0"/>
                <w:color w:val="000000"/>
                <w:kern w:val="0"/>
                <w:sz w:val="24"/>
                <w:szCs w:val="24"/>
                <w:u w:val="none"/>
                <w:lang w:val="en-US" w:eastAsia="zh-CN" w:bidi="ar"/>
              </w:rPr>
              <w:t>mm厚</w:t>
            </w:r>
            <w:r>
              <w:rPr>
                <w:rFonts w:hint="eastAsia" w:ascii="宋体" w:hAnsi="宋体" w:eastAsia="宋体" w:cs="宋体"/>
                <w:i w:val="0"/>
                <w:iCs w:val="0"/>
                <w:color w:val="000000"/>
                <w:kern w:val="0"/>
                <w:sz w:val="24"/>
                <w:szCs w:val="24"/>
                <w:u w:val="none"/>
                <w:lang w:val="en-US" w:eastAsia="zh-CN" w:bidi="ar"/>
              </w:rPr>
              <w:t>防火钢板构造，两层钢板之间间隔不低于40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，内填特种防火材料。柜体采用全焊接，非铆结构。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内外部喷涂前经酸洗磷化处理后覆有环氧和聚酯混合耐防化无铅图层，保持高光洁度并最大限度的降低腐蚀和湿气及紫外线的影响.红色和蓝色柜分别用粉做氟碳喷涂。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连续钢琴铰链便于平滑关闭。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采用冷轧钢板，增加强度，防火性能更好。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醒目的反光标签，在火灾情况下具有高可见性。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焊接的隔板挂钩连接隔板提供最大防滑性。不易损坏。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本产品具有防爆性能。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镀锌层板，防腐蚀，防液漏，承重力不低于150公斤。独特的安全角度设计，层板可安全的引导意外飞溅的液体到防漏蓄液槽的底部。蓄液槽高度为不低于50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.柜身底部设置50mm高防漏液槽，可最大程度防止化学液体外溢</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柜身设有静电接地传导端口，方便连接静电接地导线。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内置消焰装置通风口，位于柜体两侧，更好的保持通风和排气。</w:t>
            </w:r>
          </w:p>
        </w:tc>
        <w:tc>
          <w:tcPr>
            <w:tcW w:w="725" w:type="dxa"/>
            <w:noWrap w:val="0"/>
            <w:vAlign w:val="center"/>
          </w:tcPr>
          <w:p w14:paraId="010F5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37" w:type="dxa"/>
            <w:noWrap w:val="0"/>
            <w:vAlign w:val="center"/>
          </w:tcPr>
          <w:p w14:paraId="09B399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63EC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B13E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ign w:val="center"/>
          </w:tcPr>
          <w:p w14:paraId="1A6FC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药品柜</w:t>
            </w:r>
          </w:p>
        </w:tc>
        <w:tc>
          <w:tcPr>
            <w:tcW w:w="6477" w:type="dxa"/>
            <w:noWrap w:val="0"/>
            <w:vAlign w:val="center"/>
          </w:tcPr>
          <w:p w14:paraId="39E706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1.规格：900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2.采用瓷白色PP（聚丙烯）板材，具有耐腐蚀性，经同色焊条无缝焊接处理，柜体四边卷立柱，保证柜体的坚固及密封性；侧板为整体焊接成型,采用同质PP板制作，8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一体成型板材。边框加厚至16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3.上柜门内嵌≥5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钢化玻璃制作。同材质PP玻璃卡件，使玻璃可自行更换。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4.三块可调层板，一次注塑成形承重可达80KG以上。四边可防水。层板正面带卡槽，可分别放置红、黄、蓝三种颜色卡片，以区分层板上所放试剂类别。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5.柜门开口贴有警示标签，提醒周围人群注意安全。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6.锁扣为一次注塑成形双锁扣，挂锁外部为ABS外壳包裹，无金属外漏。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药品柜技术性能要求需满足GB/T24820-2024《实验室家具通用技术条件》检测依据，玻璃件外观外露周边应磨边处理，安装牢固，玻璃应光洁平滑，不应有裂纹、划伤、沙粒、疙瘩和麻点等缺陷；理化性能（塑料件），耐老化性，室内用:500h：冲击强度的保持率≥60%;外观颜色变色评级≥3 级；柜类强度及耐久性，搁板弯曲挠度变化值≤0.55%，顶板、底板最大挠度≤0.55%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p>
        </w:tc>
        <w:tc>
          <w:tcPr>
            <w:tcW w:w="725" w:type="dxa"/>
            <w:noWrap/>
            <w:vAlign w:val="center"/>
          </w:tcPr>
          <w:p w14:paraId="33EC7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17B21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5489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1D1FB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73FB2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沙箱</w:t>
            </w:r>
          </w:p>
        </w:tc>
        <w:tc>
          <w:tcPr>
            <w:tcW w:w="6477" w:type="dxa"/>
            <w:noWrap/>
            <w:vAlign w:val="center"/>
          </w:tcPr>
          <w:p w14:paraId="1042EC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40CM铁皮材质</w:t>
            </w:r>
          </w:p>
        </w:tc>
        <w:tc>
          <w:tcPr>
            <w:tcW w:w="725" w:type="dxa"/>
            <w:noWrap/>
            <w:vAlign w:val="center"/>
          </w:tcPr>
          <w:p w14:paraId="4B74F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148E3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04D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3398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3FBEC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通风系统</w:t>
            </w:r>
          </w:p>
        </w:tc>
        <w:tc>
          <w:tcPr>
            <w:tcW w:w="6477" w:type="dxa"/>
            <w:noWrap/>
            <w:vAlign w:val="center"/>
          </w:tcPr>
          <w:p w14:paraId="351AA1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小型轴流风机，铺设管道</w:t>
            </w:r>
          </w:p>
        </w:tc>
        <w:tc>
          <w:tcPr>
            <w:tcW w:w="725" w:type="dxa"/>
            <w:noWrap/>
            <w:vAlign w:val="center"/>
          </w:tcPr>
          <w:p w14:paraId="567F5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C5B2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8E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1DBA9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生物智能顶装实验室</w:t>
            </w:r>
          </w:p>
        </w:tc>
      </w:tr>
      <w:tr w14:paraId="7E15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FAA80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6FCDE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教师演示台</w:t>
            </w:r>
          </w:p>
        </w:tc>
        <w:tc>
          <w:tcPr>
            <w:tcW w:w="6477" w:type="dxa"/>
            <w:noWrap w:val="0"/>
            <w:vAlign w:val="center"/>
          </w:tcPr>
          <w:p w14:paraId="117651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3.台面：采用≥15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厚新型陶瓷台面（台面需整张不可拼接）。釉面与胚体经高温一体烧结而成，不脱落、不脱层。为满足实验室对台面苛刻的要求，需满足如下性能：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4.柜身：柜体为落地式结构，采用镀锌钢板，厚度≥1.0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，采用</w:t>
            </w:r>
            <w:r>
              <w:rPr>
                <w:rFonts w:hint="eastAsia" w:ascii="宋体" w:hAnsi="宋体" w:cs="宋体"/>
                <w:i w:val="0"/>
                <w:iCs w:val="0"/>
                <w:color w:val="000000"/>
                <w:kern w:val="0"/>
                <w:sz w:val="24"/>
                <w:szCs w:val="24"/>
                <w:u w:val="none"/>
                <w:lang w:val="en-US" w:eastAsia="zh-CN" w:bidi="ar"/>
              </w:rPr>
              <w:t>CO₂</w:t>
            </w:r>
            <w:r>
              <w:rPr>
                <w:rFonts w:hint="eastAsia" w:ascii="宋体" w:hAnsi="宋体" w:eastAsia="宋体" w:cs="宋体"/>
                <w:i w:val="0"/>
                <w:iCs w:val="0"/>
                <w:color w:val="000000"/>
                <w:kern w:val="0"/>
                <w:sz w:val="24"/>
                <w:szCs w:val="24"/>
                <w:u w:val="none"/>
                <w:lang w:val="en-US" w:eastAsia="zh-CN" w:bidi="ar"/>
              </w:rPr>
              <w:t>保护焊焊接，打磨处理，表面经耐酸碱环氧树脂粉末烤漆处理，表面硬度附着力、耐腐蚀性符合国家标准，所有钣金的表面接缝均应满焊，焊接处均应打磨平整以保持为连续的平滑表面。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5.门板及抽面：采用镀锌钢板，内设隔音材料，保证关门减少噪音；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6.滑轨：采用三节重型滚珠滑轨，承重性强，滑动性能良好，无噪音；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7.合页：采用大弯合页，可开门弧度大于90度，开合次数万次以上；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8.桌脚：采用ABS注塑专用桌垫固定；</w:t>
            </w:r>
          </w:p>
        </w:tc>
        <w:tc>
          <w:tcPr>
            <w:tcW w:w="725" w:type="dxa"/>
            <w:noWrap w:val="0"/>
            <w:vAlign w:val="center"/>
          </w:tcPr>
          <w:p w14:paraId="59D832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53690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2924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601D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43808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实验室水嘴</w:t>
            </w:r>
          </w:p>
        </w:tc>
        <w:tc>
          <w:tcPr>
            <w:tcW w:w="6477" w:type="dxa"/>
            <w:noWrap w:val="0"/>
            <w:vAlign w:val="center"/>
          </w:tcPr>
          <w:p w14:paraId="2EC9C7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颈式实验室专用化验水嘴：要求防酸碱、防锈、防虹吸、防阻塞，表面环氧树脂喷涂。出水嘴为铜质瓷芯，高头，便于多用途使用，可拆卸清洗阻塞。出水嘴可拆卸，内有成型螺纹，可方便连接循环等特殊用水水管。</w:t>
            </w:r>
          </w:p>
        </w:tc>
        <w:tc>
          <w:tcPr>
            <w:tcW w:w="725" w:type="dxa"/>
            <w:noWrap w:val="0"/>
            <w:vAlign w:val="center"/>
          </w:tcPr>
          <w:p w14:paraId="20279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552B3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8B3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2E65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0736EC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防腐水槽</w:t>
            </w:r>
          </w:p>
        </w:tc>
        <w:tc>
          <w:tcPr>
            <w:tcW w:w="6477" w:type="dxa"/>
            <w:noWrap w:val="0"/>
            <w:vAlign w:val="center"/>
          </w:tcPr>
          <w:p w14:paraId="25BC0F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2.采用实验室专用高密度PP一体化成型水槽，易清洁，耐腐蚀，且利于台面残水自然回流，美观实用；具耐酸碱、耐有机溶剂、耐紫外线等特点。</w:t>
            </w:r>
          </w:p>
        </w:tc>
        <w:tc>
          <w:tcPr>
            <w:tcW w:w="725" w:type="dxa"/>
            <w:noWrap w:val="0"/>
            <w:vAlign w:val="center"/>
          </w:tcPr>
          <w:p w14:paraId="2E66F3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1730FA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28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85453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205AC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教师演示电源</w:t>
            </w:r>
          </w:p>
        </w:tc>
        <w:tc>
          <w:tcPr>
            <w:tcW w:w="6477" w:type="dxa"/>
            <w:noWrap w:val="0"/>
            <w:vAlign w:val="center"/>
          </w:tcPr>
          <w:p w14:paraId="19531E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总电源装置在教师桌组合柜内，抽屉式电源盒设计，内装有教师演示电源，主控学生电源装置。内设有漏电过载自动保护总开关，工作指示灯。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（1）输入电源：AC220V±10%、频率50Hz；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工作环境：支持</w:t>
            </w:r>
            <w:r>
              <w:rPr>
                <w:rFonts w:hint="eastAsia" w:ascii="宋体" w:hAnsi="宋体" w:eastAsia="宋体" w:cs="宋体"/>
                <w:i w:val="0"/>
                <w:iCs w:val="0"/>
                <w:color w:val="000000"/>
                <w:kern w:val="0"/>
                <w:sz w:val="24"/>
                <w:szCs w:val="24"/>
                <w:u w:val="none"/>
                <w:lang w:val="en-US" w:eastAsia="zh-CN" w:bidi="ar"/>
              </w:rPr>
              <w:t>温度-10℃~+40℃，相对湿度＜85％（25℃）海拔＜4000m；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（3）人身安全保护体系：配备漏电短路保护器做总电源开关，对人身安全和用电设备起到保障作用；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控制面板采用7寸液晶屏控制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（5）市电AC220V/10A（两位五孔国标插座），为其它用电器提供电源；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（6）直流稳压电源：液晶显示，数字键盘触屏输入，0-30V/2A，电压调整率可达0.1V；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（7）交流低压电源：液晶显示，数字键盘触屏输入，0-30V/2A，电压调整率为0.1V；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（8）教师测试用交流高压170V、300V输出；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（9）教师测试用9V大电流输出；</w:t>
            </w:r>
          </w:p>
        </w:tc>
        <w:tc>
          <w:tcPr>
            <w:tcW w:w="725" w:type="dxa"/>
            <w:noWrap w:val="0"/>
            <w:vAlign w:val="center"/>
          </w:tcPr>
          <w:p w14:paraId="4A6EB2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26F50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5DC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35B0C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0E87E6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学生实验桌</w:t>
            </w:r>
          </w:p>
        </w:tc>
        <w:tc>
          <w:tcPr>
            <w:tcW w:w="6477" w:type="dxa"/>
            <w:noWrap w:val="0"/>
            <w:vAlign w:val="center"/>
          </w:tcPr>
          <w:p w14:paraId="148223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厚无甲醛新型环保陶瓷台面，台面表面为实验室专业耐腐蚀、耐污染、抗冲击釉面。坯体一体实芯，釉面和坯体经高温一体烧结而成。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新型塑铝结构：学生位镂空式，侧脚采用三段式高强度铝合金结构，立柱采用双立柱形式内嵌入上下铸铝脚，台面背部档水板，左右挡水板，台面下部设有专用书包斗，中间设挂凳卡，两个书包斗中间电源盒，符合人体工程学设计，外形美观，产品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桌腿：由上中下三段组成，上、下支座和双立柱连接，双立柱间嵌入亚克力装饰板的造型。立柱采用规格35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36㎜铝合金型材，壁厚≥1.5㎜，侧脚上横脚规格564×85×58㎜，侧脚下脚规格525×85×60㎜，立柱内嵌入上下铸铝脚</w:t>
            </w:r>
            <w:r>
              <w:rPr>
                <w:rFonts w:hint="eastAsia" w:ascii="宋体" w:hAnsi="宋体" w:cs="宋体"/>
                <w:i w:val="0"/>
                <w:iCs w:val="0"/>
                <w:color w:val="000000"/>
                <w:kern w:val="0"/>
                <w:sz w:val="24"/>
                <w:szCs w:val="24"/>
                <w:u w:val="none"/>
                <w:lang w:val="en-US" w:eastAsia="zh-CN" w:bidi="ar"/>
              </w:rPr>
              <w:t>深度</w:t>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u w:val="none"/>
                <w:lang w:val="en-US" w:eastAsia="zh-CN" w:bidi="ar"/>
              </w:rPr>
              <w:t>，并用高强度内六角螺丝连接，上下脚采用高强度铝合金模具压铸一次成型。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左、右脚拼装连接：前、后梁采用44×25㎜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壁厚≥1.2㎜铝合金型材,中梁采用20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20㎜，壁厚≥1.2㎜铁管，外观喷塑，左右侧脚下梁采采用60×30×2㎜椭圆spcc碳钢无缝钢管，管材两端截面与5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桌脚配有可调整底脚，桌侧脚设置专用孔位可与地面固定，配有跟台面同色ABS脚套装饰盖。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台面前挡水板：背板挡水板,左右挡水板采用73.5×25㎜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1.5㎜铝合金型材，转角和尾端采用铝合金压铸转接件与背挡水板形成卡扣式相连接。</w:t>
            </w:r>
          </w:p>
        </w:tc>
        <w:tc>
          <w:tcPr>
            <w:tcW w:w="725" w:type="dxa"/>
            <w:noWrap w:val="0"/>
            <w:vAlign w:val="center"/>
          </w:tcPr>
          <w:p w14:paraId="0A03E4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773E6F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5E05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49F1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4FAF6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学生实验凳</w:t>
            </w:r>
          </w:p>
        </w:tc>
        <w:tc>
          <w:tcPr>
            <w:tcW w:w="6477" w:type="dxa"/>
            <w:noWrap w:val="0"/>
            <w:vAlign w:val="center"/>
          </w:tcPr>
          <w:p w14:paraId="685FF8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产品规格：≥Φ320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1.凳面材质：采用环保型ABS改性塑料一次性注塑成型。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2.凳面尺寸：凳面ф320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3.表面带防滑，舒适耐用。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4.凳钢架椭圆形，脚钢架材质及形状：椭圆形无缝钢管，钢管尺寸16×34×1.2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。固定圆盘采用SPCC钢板，直径185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5.脚垫材质：采用PP加耐磨纤维质塑料，实心倒勾式一体射出成型。实验凳有调节升降功能，带定位销，具有防晃动功能；高度可以在450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范围内自由调整</w:t>
            </w:r>
          </w:p>
        </w:tc>
        <w:tc>
          <w:tcPr>
            <w:tcW w:w="725" w:type="dxa"/>
            <w:noWrap w:val="0"/>
            <w:vAlign w:val="center"/>
          </w:tcPr>
          <w:p w14:paraId="4FDE8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37" w:type="dxa"/>
            <w:noWrap w:val="0"/>
            <w:vAlign w:val="center"/>
          </w:tcPr>
          <w:p w14:paraId="45B69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213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1329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53940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智能控制柜</w:t>
            </w:r>
          </w:p>
        </w:tc>
        <w:tc>
          <w:tcPr>
            <w:tcW w:w="6477" w:type="dxa"/>
            <w:noWrap w:val="0"/>
            <w:vAlign w:val="center"/>
          </w:tcPr>
          <w:p w14:paraId="20C741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体采用镀锌钢板，钣金的表面接缝均应满焊，焊接处均应打磨平整以保持为连续的平滑表面。主框架采用镀锌钢板经折弯焊焊接制作，板经钣金折弯成形、焊接制作，表面喷塑处理。机柜正面门板未遮挡出亚克力丝印发光型号字体装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3.结构：壁挂式设计，柜门内≥嵌10寸触控屏，柜身内含各种控制系统硬件模块。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4.可通过配套附件实现以下功能：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4.控制方式：空间电压矢量控制；5.输出频率：1.00~400.0 HZ；6.过载能力：150% 额定电流；7.保护功能：输入缺相、输入欠压、直流过压、过载等。</w:t>
            </w:r>
          </w:p>
        </w:tc>
        <w:tc>
          <w:tcPr>
            <w:tcW w:w="725" w:type="dxa"/>
            <w:noWrap/>
            <w:vAlign w:val="center"/>
          </w:tcPr>
          <w:p w14:paraId="5AF87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051D35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6EA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7646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6" w:type="dxa"/>
            <w:noWrap w:val="0"/>
            <w:vAlign w:val="center"/>
          </w:tcPr>
          <w:p w14:paraId="3465B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智能控制平台</w:t>
            </w:r>
          </w:p>
        </w:tc>
        <w:tc>
          <w:tcPr>
            <w:tcW w:w="6477" w:type="dxa"/>
            <w:noWrap w:val="0"/>
            <w:vAlign w:val="center"/>
          </w:tcPr>
          <w:p w14:paraId="1720009D">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通风控制系统：无极变频控制，可精确控制通风风量；</w:t>
            </w:r>
          </w:p>
          <w:p w14:paraId="3453B5F9">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2.供水控制系统：集中控制整个教室的给排水；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3.照明控制系统：集中控制整个舱体照明；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4.电源控制系统：可控制学生端220v电源输出与关闭，可控制学生端低压电源的锁定与受控，调节范围为1～30V，分辨率可达0.1V,最小调节单元1V。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5.摇臂控制系统：可实现摆臂升降功能；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8.实时监测吊装运行状态，故障报警；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9.软件可通过网络升级；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10.系统可同步到其他安装有智能控制平台APP的移动终端，如安卓平板、手机等同时操作；</w:t>
            </w:r>
          </w:p>
        </w:tc>
        <w:tc>
          <w:tcPr>
            <w:tcW w:w="725" w:type="dxa"/>
            <w:noWrap/>
            <w:vAlign w:val="center"/>
          </w:tcPr>
          <w:p w14:paraId="0A3FF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67B46E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E3D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EDE9F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6" w:type="dxa"/>
            <w:noWrap w:val="0"/>
            <w:vAlign w:val="center"/>
          </w:tcPr>
          <w:p w14:paraId="5FF75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无线终端控制系统</w:t>
            </w:r>
          </w:p>
        </w:tc>
        <w:tc>
          <w:tcPr>
            <w:tcW w:w="6477" w:type="dxa"/>
            <w:noWrap w:val="0"/>
            <w:vAlign w:val="center"/>
          </w:tcPr>
          <w:p w14:paraId="79250F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1.硬件：屏幕不小于10英寸、安卓系统。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2.通风控制系统：无极变频控制，可精确控制通风风量；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3.供水控制系统：集中控制整个教室的给排水，可进行单选、全选、及分组控制；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4.照明控制系统：集中控制整个舱体照明，可进行单选、全选及分组控制；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5.电源控制系统：可控制学生端220v电源输出与关闭，也可控制学生端低压电源的锁定与受控，调节范围为0～30V，分辨率可达0.1V,额定电流2A； 最小调节单元可达1V。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6.摇臂控制系统：可以实现单个控制、集中控制、组合控制；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9.实时监测顶装运行状态，故障报警；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10.软件可通过网络升级；</w:t>
            </w:r>
          </w:p>
        </w:tc>
        <w:tc>
          <w:tcPr>
            <w:tcW w:w="725" w:type="dxa"/>
            <w:noWrap/>
            <w:vAlign w:val="center"/>
          </w:tcPr>
          <w:p w14:paraId="53247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C02D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B9B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84B09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6" w:type="dxa"/>
            <w:noWrap w:val="0"/>
            <w:vAlign w:val="center"/>
          </w:tcPr>
          <w:p w14:paraId="2FF82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学生分组控制系统</w:t>
            </w:r>
          </w:p>
        </w:tc>
        <w:tc>
          <w:tcPr>
            <w:tcW w:w="6477" w:type="dxa"/>
            <w:noWrap w:val="0"/>
            <w:vAlign w:val="center"/>
          </w:tcPr>
          <w:p w14:paraId="45DAAF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可以对学生端模块的电源控制系统、照明控制系统、给排水控制系统、智能摇臂控制系统进行独立分组控制，实现全选、单选控制功能；</w:t>
            </w:r>
          </w:p>
        </w:tc>
        <w:tc>
          <w:tcPr>
            <w:tcW w:w="725" w:type="dxa"/>
            <w:noWrap/>
            <w:vAlign w:val="center"/>
          </w:tcPr>
          <w:p w14:paraId="50849A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6D6857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75A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4D33C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6" w:type="dxa"/>
            <w:noWrap w:val="0"/>
            <w:vAlign w:val="center"/>
          </w:tcPr>
          <w:p w14:paraId="0355F3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智能故障警示系统</w:t>
            </w:r>
          </w:p>
        </w:tc>
        <w:tc>
          <w:tcPr>
            <w:tcW w:w="6477" w:type="dxa"/>
            <w:noWrap w:val="0"/>
            <w:vAlign w:val="center"/>
          </w:tcPr>
          <w:p w14:paraId="32C15A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725" w:type="dxa"/>
            <w:noWrap/>
            <w:vAlign w:val="center"/>
          </w:tcPr>
          <w:p w14:paraId="1F8881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D860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4D1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663A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6" w:type="dxa"/>
            <w:noWrap w:val="0"/>
            <w:vAlign w:val="center"/>
          </w:tcPr>
          <w:p w14:paraId="66CB2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急停控制系统</w:t>
            </w:r>
          </w:p>
        </w:tc>
        <w:tc>
          <w:tcPr>
            <w:tcW w:w="6477" w:type="dxa"/>
            <w:noWrap w:val="0"/>
            <w:vAlign w:val="center"/>
          </w:tcPr>
          <w:p w14:paraId="5F60A3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集成化控制系统，出现故障或现场有需要时紧急制动，确保实验操作时的安全性。</w:t>
            </w:r>
          </w:p>
        </w:tc>
        <w:tc>
          <w:tcPr>
            <w:tcW w:w="725" w:type="dxa"/>
            <w:noWrap/>
            <w:vAlign w:val="center"/>
          </w:tcPr>
          <w:p w14:paraId="2EECB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7E12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61D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5CFA9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6" w:type="dxa"/>
            <w:noWrap w:val="0"/>
            <w:vAlign w:val="center"/>
          </w:tcPr>
          <w:p w14:paraId="4B17D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顶装系统主体框架</w:t>
            </w:r>
          </w:p>
        </w:tc>
        <w:tc>
          <w:tcPr>
            <w:tcW w:w="6477" w:type="dxa"/>
            <w:noWrap w:val="0"/>
            <w:vAlign w:val="center"/>
          </w:tcPr>
          <w:p w14:paraId="51498A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1.采购标准化模块编组，1200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为一组；连体头尾尺寸1260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2.整体采购钢构件及注塑件组合而成；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3.承重骨架采用钢管，腔体采用≥1.2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镀锌钢板，两头承重处采用≥2.5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镀锌钢板加强，所有钢构件表面经高温粉体烤漆处理，强度高、耐腐蚀、结构稳定。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p>
        </w:tc>
        <w:tc>
          <w:tcPr>
            <w:tcW w:w="725" w:type="dxa"/>
            <w:noWrap/>
            <w:vAlign w:val="center"/>
          </w:tcPr>
          <w:p w14:paraId="428C9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649277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B8A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0F56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6" w:type="dxa"/>
            <w:noWrap w:val="0"/>
            <w:vAlign w:val="center"/>
          </w:tcPr>
          <w:p w14:paraId="765B5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舱体防尘装饰模块</w:t>
            </w:r>
          </w:p>
        </w:tc>
        <w:tc>
          <w:tcPr>
            <w:tcW w:w="6477" w:type="dxa"/>
            <w:noWrap w:val="0"/>
            <w:vAlign w:val="center"/>
          </w:tcPr>
          <w:p w14:paraId="301F32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2.材质：采用≥1.2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镀锌钢板折弯焊接表面喷塑成型。</w:t>
            </w:r>
          </w:p>
        </w:tc>
        <w:tc>
          <w:tcPr>
            <w:tcW w:w="725" w:type="dxa"/>
            <w:noWrap/>
            <w:vAlign w:val="center"/>
          </w:tcPr>
          <w:p w14:paraId="0DFC6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1A5475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320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C09A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6" w:type="dxa"/>
            <w:noWrap w:val="0"/>
            <w:vAlign w:val="center"/>
          </w:tcPr>
          <w:p w14:paraId="407AC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吊装智能摇臂升降系统</w:t>
            </w:r>
          </w:p>
        </w:tc>
        <w:tc>
          <w:tcPr>
            <w:tcW w:w="6477" w:type="dxa"/>
            <w:noWrap w:val="0"/>
            <w:vAlign w:val="center"/>
          </w:tcPr>
          <w:p w14:paraId="2BB83F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1.采用静音低压直流24V推杆电机推动注塑高强度尼龙一体成型的曲柄连杆机构，实现摇臂上下90°转动升降；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2.摆臂升降主管，采用挤铝工艺挤出成型正椭圆管，</w:t>
            </w:r>
            <w:r>
              <w:rPr>
                <w:rFonts w:hint="eastAsia" w:ascii="宋体" w:hAnsi="宋体" w:eastAsia="宋体" w:cs="宋体"/>
                <w:i w:val="0"/>
                <w:iCs w:val="0"/>
                <w:color w:val="000000"/>
                <w:kern w:val="0"/>
                <w:sz w:val="24"/>
                <w:szCs w:val="24"/>
                <w:highlight w:val="none"/>
                <w:u w:val="none"/>
                <w:lang w:val="en-US" w:eastAsia="zh-CN" w:bidi="ar"/>
              </w:rPr>
              <w:t>外形尺寸170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880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，厚度≥1.8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，表面经高温粉体烤漆处理，耐腐蚀、防烤漆剥落；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3.摆臂主管内部可设备强电线路、给排水管、风管，为保障电路安全，水电线路采用隔离设计;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4.系统自带障碍物保护功能，运动过程中遇到障碍物时会自动停止并报警。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5.学生端操作模块：1.操作模块采用ABS工程塑料外壳，外形圆润；</w:t>
            </w:r>
            <w:r>
              <w:rPr>
                <w:rFonts w:hint="eastAsia" w:ascii="宋体" w:hAnsi="宋体" w:eastAsia="宋体" w:cs="宋体"/>
                <w:i w:val="0"/>
                <w:iCs w:val="0"/>
                <w:color w:val="000000"/>
                <w:kern w:val="0"/>
                <w:sz w:val="24"/>
                <w:szCs w:val="24"/>
                <w:highlight w:val="none"/>
                <w:u w:val="none"/>
                <w:lang w:val="en-US" w:eastAsia="zh-CN" w:bidi="ar"/>
              </w:rPr>
              <w:t>矩形外观尺寸270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178</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；操作模块安装5寸LCD段码液晶屏</w:t>
            </w:r>
            <w:r>
              <w:rPr>
                <w:rFonts w:hint="eastAsia" w:ascii="宋体" w:hAnsi="宋体" w:eastAsia="宋体" w:cs="宋体"/>
                <w:i w:val="0"/>
                <w:iCs w:val="0"/>
                <w:color w:val="000000"/>
                <w:kern w:val="0"/>
                <w:sz w:val="24"/>
                <w:szCs w:val="24"/>
                <w:u w:val="none"/>
                <w:lang w:val="en-US" w:eastAsia="zh-CN" w:bidi="ar"/>
              </w:rPr>
              <w:t>；集成高压电源模块、低压电源模块、网络模块、USB模块、急停模块；单独设置一键求助功能按键，当学生端按举手求组模块，教师控制终端实时定位显示当前学生求助序号，低压电源。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6.内置网络模块和USB模块。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7.智能灯光照明装置：接收智能控制平台控制，可分组开启和关闭。</w:t>
            </w:r>
          </w:p>
        </w:tc>
        <w:tc>
          <w:tcPr>
            <w:tcW w:w="725" w:type="dxa"/>
            <w:noWrap/>
            <w:vAlign w:val="center"/>
          </w:tcPr>
          <w:p w14:paraId="6A35F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302C4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794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27E12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96" w:type="dxa"/>
            <w:noWrap w:val="0"/>
            <w:vAlign w:val="center"/>
          </w:tcPr>
          <w:p w14:paraId="412F82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水槽柜</w:t>
            </w:r>
          </w:p>
        </w:tc>
        <w:tc>
          <w:tcPr>
            <w:tcW w:w="6477" w:type="dxa"/>
            <w:noWrap w:val="0"/>
            <w:vAlign w:val="center"/>
          </w:tcPr>
          <w:p w14:paraId="0826A2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835（±5）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2.结构:钢塑结构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3.1、水槽：采用环保PP改性材质，一次性注塑成型，具有较高强度的韧性及耐磨、耐酸碱性，</w:t>
            </w:r>
            <w:r>
              <w:rPr>
                <w:rFonts w:hint="eastAsia" w:ascii="宋体" w:hAnsi="宋体" w:eastAsia="宋体" w:cs="宋体"/>
                <w:i w:val="0"/>
                <w:iCs w:val="0"/>
                <w:color w:val="000000"/>
                <w:kern w:val="0"/>
                <w:sz w:val="24"/>
                <w:szCs w:val="24"/>
                <w:highlight w:val="none"/>
                <w:u w:val="none"/>
                <w:lang w:val="en-US" w:eastAsia="zh-CN" w:bidi="ar"/>
              </w:rPr>
              <w:t>水槽外观可视尺寸590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440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220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，内空尺寸：390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400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245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水槽底部配置PP滤水网(Φ110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)及PP防溅网(315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)，放水时防止有水滴溅出；水槽柜上部配备专用阻尼器翻盖滴水架，翻盖打开配有12根滴水棒，方便学生实验时滤干试管；并预留洗眼器专用安装位。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3.2、柜体：主框架采用不小于1.2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厚冷轧钢板，表面经环保除油、除锈前处理并经过环氧树脂粉末喷塑处理。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3.3、配有可调节脚垫。</w:t>
            </w:r>
          </w:p>
        </w:tc>
        <w:tc>
          <w:tcPr>
            <w:tcW w:w="725" w:type="dxa"/>
            <w:noWrap/>
            <w:vAlign w:val="center"/>
          </w:tcPr>
          <w:p w14:paraId="72424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053473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01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F6A9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96" w:type="dxa"/>
            <w:noWrap w:val="0"/>
            <w:vAlign w:val="center"/>
          </w:tcPr>
          <w:p w14:paraId="168EA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二联水嘴</w:t>
            </w:r>
          </w:p>
        </w:tc>
        <w:tc>
          <w:tcPr>
            <w:tcW w:w="6477" w:type="dxa"/>
            <w:noWrap w:val="0"/>
            <w:vAlign w:val="center"/>
          </w:tcPr>
          <w:p w14:paraId="1A51CE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产品设计为两个独立控制的阀门和两个出水口，出水嘴设计为可以插皮管的尖嘴型。翻转龙头可以在直立的情况下使用，也可以在翻转90度的情况下使用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1.结构类型：双口设计。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2.安装方式：壁式安装，节省实验室台面空间。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3.材质：主体材料全铜，确保在实验环境下长期稳定使用。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4.规格尺寸：管径尺寸</w:t>
            </w:r>
            <w:r>
              <w:rPr>
                <w:rFonts w:hint="eastAsia" w:ascii="宋体" w:hAnsi="宋体" w:cs="宋体"/>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，出水口尺寸5.2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5.阀芯：采用陶瓷阀芯，保证开关寿命长且水流控制精确。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6.涂层处理：环氧树脂涂层，增强产品的耐腐蚀性和耐用性。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7.接口标准：符合实验室用水系统的连接标准G1/2</w:t>
            </w:r>
          </w:p>
        </w:tc>
        <w:tc>
          <w:tcPr>
            <w:tcW w:w="725" w:type="dxa"/>
            <w:noWrap/>
            <w:vAlign w:val="center"/>
          </w:tcPr>
          <w:p w14:paraId="5E546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22EDA2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9B6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7A88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96" w:type="dxa"/>
            <w:noWrap w:val="0"/>
            <w:vAlign w:val="center"/>
          </w:tcPr>
          <w:p w14:paraId="4D20A3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智能给排水系统</w:t>
            </w:r>
          </w:p>
        </w:tc>
        <w:tc>
          <w:tcPr>
            <w:tcW w:w="6477" w:type="dxa"/>
            <w:noWrap w:val="0"/>
            <w:vAlign w:val="center"/>
          </w:tcPr>
          <w:p w14:paraId="60B9EE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1.设置下水口，下水口内设置三级过滤装置。第一级设置pp过滤盖板，第二级设置不锈钢过滤提网，第三级设置可抛弃型过滤袋，过滤微粒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30μ</w:t>
            </w:r>
            <w:r>
              <w:rPr>
                <w:rFonts w:hint="eastAsia" w:ascii="宋体" w:hAnsi="宋体" w:eastAsia="宋体" w:cs="宋体"/>
                <w:i w:val="0"/>
                <w:iCs w:val="0"/>
                <w:color w:val="000000"/>
                <w:kern w:val="0"/>
                <w:sz w:val="24"/>
                <w:szCs w:val="24"/>
                <w:u w:val="none"/>
                <w:lang w:val="en-US" w:eastAsia="zh-CN" w:bidi="ar"/>
              </w:rPr>
              <w:t>；三级过滤装置可防止水管堵塞。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2.水槽顶部设置进水、排水及电线信号线快速接头。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3.设置储水装置，进水口与水槽出水口相连。储水装置带有抽水泵，液位感应器，电路控制系统;当水位到达液位器高位时，水泵自动启动工作抽水，直至抽到液位感应器低位，水泵停止工作。</w:t>
            </w:r>
          </w:p>
        </w:tc>
        <w:tc>
          <w:tcPr>
            <w:tcW w:w="725" w:type="dxa"/>
            <w:noWrap/>
            <w:vAlign w:val="center"/>
          </w:tcPr>
          <w:p w14:paraId="6224B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2FA26A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93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0A01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96" w:type="dxa"/>
            <w:noWrap w:val="0"/>
            <w:vAlign w:val="center"/>
          </w:tcPr>
          <w:p w14:paraId="66FE6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给排水快速接口</w:t>
            </w:r>
          </w:p>
        </w:tc>
        <w:tc>
          <w:tcPr>
            <w:tcW w:w="6477" w:type="dxa"/>
            <w:noWrap w:val="0"/>
            <w:vAlign w:val="center"/>
          </w:tcPr>
          <w:p w14:paraId="148800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无滴漏快速接头，接口与学生水槽柜采用硅胶软管（具有防酸、防碱、耐腐蚀功能）连接，接口均采用自动锁紧插拔式连接方式（拔掉时没有污水流出），用时接上，不用时可收起；插拔方便，可在给水打开状态下任意插拔，不滴漏。</w:t>
            </w:r>
          </w:p>
        </w:tc>
        <w:tc>
          <w:tcPr>
            <w:tcW w:w="725" w:type="dxa"/>
            <w:noWrap/>
            <w:vAlign w:val="center"/>
          </w:tcPr>
          <w:p w14:paraId="2F907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3B920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760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96B0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96" w:type="dxa"/>
            <w:noWrap w:val="0"/>
            <w:vAlign w:val="center"/>
          </w:tcPr>
          <w:p w14:paraId="3969F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电气布线</w:t>
            </w:r>
          </w:p>
        </w:tc>
        <w:tc>
          <w:tcPr>
            <w:tcW w:w="6477" w:type="dxa"/>
            <w:noWrap w:val="0"/>
            <w:vAlign w:val="center"/>
          </w:tcPr>
          <w:p w14:paraId="2FC1E4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供电布线：模块化设计，每组模块间采用活接式连接，方便安装、检修。采用通用铜芯电线进行系统布线。</w:t>
            </w:r>
          </w:p>
        </w:tc>
        <w:tc>
          <w:tcPr>
            <w:tcW w:w="725" w:type="dxa"/>
            <w:noWrap/>
            <w:vAlign w:val="center"/>
          </w:tcPr>
          <w:p w14:paraId="377BA8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3C5E1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3C34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85858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96" w:type="dxa"/>
            <w:noWrap w:val="0"/>
            <w:vAlign w:val="center"/>
          </w:tcPr>
          <w:p w14:paraId="17368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给排水管道布置</w:t>
            </w:r>
          </w:p>
        </w:tc>
        <w:tc>
          <w:tcPr>
            <w:tcW w:w="6477" w:type="dxa"/>
            <w:noWrap w:val="0"/>
            <w:vAlign w:val="center"/>
          </w:tcPr>
          <w:p w14:paraId="160526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给水管：给水主管选用φ20-32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PP-R给水管；排水管：排水管选用加厚φ50-75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PVC-U国标管。（具有防酸、防碱、耐腐蚀功能）。</w:t>
            </w:r>
          </w:p>
        </w:tc>
        <w:tc>
          <w:tcPr>
            <w:tcW w:w="725" w:type="dxa"/>
            <w:noWrap/>
            <w:vAlign w:val="center"/>
          </w:tcPr>
          <w:p w14:paraId="6F606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58716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6DC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74C7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96" w:type="dxa"/>
            <w:noWrap w:val="0"/>
            <w:vAlign w:val="center"/>
          </w:tcPr>
          <w:p w14:paraId="05A8E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吊装系统安装</w:t>
            </w:r>
            <w:r>
              <w:rPr>
                <w:rFonts w:hint="eastAsia" w:ascii="宋体" w:hAnsi="宋体" w:cs="宋体"/>
                <w:i w:val="0"/>
                <w:iCs w:val="0"/>
                <w:color w:val="000000"/>
                <w:kern w:val="0"/>
                <w:sz w:val="24"/>
                <w:szCs w:val="24"/>
                <w:u w:val="none"/>
                <w:lang w:val="en-US" w:eastAsia="zh-CN" w:bidi="ar"/>
              </w:rPr>
              <w:t>辅件</w:t>
            </w:r>
          </w:p>
        </w:tc>
        <w:tc>
          <w:tcPr>
            <w:tcW w:w="6477" w:type="dxa"/>
            <w:noWrap w:val="0"/>
            <w:vAlign w:val="center"/>
          </w:tcPr>
          <w:p w14:paraId="60ACED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采用固定横梁吊装方式</w:t>
            </w:r>
            <w:r>
              <w:rPr>
                <w:rFonts w:hint="eastAsia" w:ascii="宋体" w:hAnsi="宋体" w:eastAsia="宋体" w:cs="宋体"/>
                <w:i w:val="0"/>
                <w:iCs w:val="0"/>
                <w:color w:val="000000"/>
                <w:kern w:val="0"/>
                <w:sz w:val="24"/>
                <w:szCs w:val="24"/>
                <w:u w:val="none"/>
                <w:lang w:val="en-US" w:eastAsia="zh-CN" w:bidi="ar"/>
              </w:rPr>
              <w:t>，减少楼板承重，防止左右晃动，可进行上下、左右的平衡调节。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主要辅件有：矩形钢、三角构件、直角座、龙骨架连接件、吊装挂件、安装连接板等。</w:t>
            </w:r>
          </w:p>
        </w:tc>
        <w:tc>
          <w:tcPr>
            <w:tcW w:w="725" w:type="dxa"/>
            <w:noWrap/>
            <w:vAlign w:val="center"/>
          </w:tcPr>
          <w:p w14:paraId="61DC5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D431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5E6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FDD5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996" w:type="dxa"/>
            <w:noWrap w:val="0"/>
            <w:vAlign w:val="center"/>
          </w:tcPr>
          <w:p w14:paraId="18FF0D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文创改造</w:t>
            </w:r>
          </w:p>
        </w:tc>
        <w:tc>
          <w:tcPr>
            <w:tcW w:w="6477" w:type="dxa"/>
            <w:noWrap w:val="0"/>
            <w:vAlign w:val="center"/>
          </w:tcPr>
          <w:p w14:paraId="6BDC18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室内吊顶优化改造，墙面文化改造，水电改造等</w:t>
            </w:r>
          </w:p>
        </w:tc>
        <w:tc>
          <w:tcPr>
            <w:tcW w:w="725" w:type="dxa"/>
            <w:noWrap/>
            <w:vAlign w:val="center"/>
          </w:tcPr>
          <w:p w14:paraId="22C7D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62AF3C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873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1E9E1A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生物多维顶装实验室</w:t>
            </w:r>
          </w:p>
        </w:tc>
      </w:tr>
      <w:tr w14:paraId="5E91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72A64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08FE12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教师演示台</w:t>
            </w:r>
          </w:p>
        </w:tc>
        <w:tc>
          <w:tcPr>
            <w:tcW w:w="6477" w:type="dxa"/>
            <w:noWrap w:val="0"/>
            <w:vAlign w:val="center"/>
          </w:tcPr>
          <w:p w14:paraId="400FAE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3.台面：采用≥15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厚新型陶瓷台面（台面需整张不可拼接）。釉面与胚体经高温一体烧结而成，不脱落、不脱层。为满足实验室对台面苛刻的要求，需满足如下性能：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4.柜身：柜体为落地式结构，采用镀锌钢板，厚度≥1.0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，采用</w:t>
            </w:r>
            <w:r>
              <w:rPr>
                <w:rFonts w:hint="eastAsia" w:ascii="宋体" w:hAnsi="宋体" w:cs="宋体"/>
                <w:i w:val="0"/>
                <w:iCs w:val="0"/>
                <w:color w:val="000000"/>
                <w:kern w:val="0"/>
                <w:sz w:val="24"/>
                <w:szCs w:val="24"/>
                <w:u w:val="none"/>
                <w:lang w:val="en-US" w:eastAsia="zh-CN" w:bidi="ar"/>
              </w:rPr>
              <w:t>CO₂</w:t>
            </w:r>
            <w:r>
              <w:rPr>
                <w:rFonts w:hint="eastAsia" w:ascii="宋体" w:hAnsi="宋体" w:eastAsia="宋体" w:cs="宋体"/>
                <w:i w:val="0"/>
                <w:iCs w:val="0"/>
                <w:color w:val="000000"/>
                <w:kern w:val="0"/>
                <w:sz w:val="24"/>
                <w:szCs w:val="24"/>
                <w:u w:val="none"/>
                <w:lang w:val="en-US" w:eastAsia="zh-CN" w:bidi="ar"/>
              </w:rPr>
              <w:t>保护焊焊接，打磨处理，表面经耐酸碱环氧树脂粉末烤漆处理，表面硬度附着力、耐腐蚀性符合国家标准，所有钣金的表面接缝均应满焊，焊接处均应打磨平整以保持为连续的平滑表面。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5.门板及抽面：采用镀锌钢板，内设隔音材料，保证关门减少噪音；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6.滑轨：采用三节重型滚珠滑轨，承重性强，滑动性能良好，无噪音；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7.合页：采用大弯合页，可开门弧度大于90度，开合次数万次以上；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8.桌脚：采用ABS注塑专用桌垫固定；</w:t>
            </w:r>
          </w:p>
        </w:tc>
        <w:tc>
          <w:tcPr>
            <w:tcW w:w="725" w:type="dxa"/>
            <w:noWrap w:val="0"/>
            <w:vAlign w:val="center"/>
          </w:tcPr>
          <w:p w14:paraId="236B9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5633C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518A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4700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0AE5A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实验室水嘴</w:t>
            </w:r>
          </w:p>
        </w:tc>
        <w:tc>
          <w:tcPr>
            <w:tcW w:w="6477" w:type="dxa"/>
            <w:noWrap w:val="0"/>
            <w:vAlign w:val="center"/>
          </w:tcPr>
          <w:p w14:paraId="18FBC7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颈式实验室专用化验水嘴：要求防酸碱、防锈、防虹吸、防阻塞，表面环氧树脂喷涂。出水嘴为铜质瓷芯，高头，便于多用途使用，可拆卸清洗阻塞。出水嘴可拆卸，内有成型螺纹，可方便连接循环等特殊用水水管。</w:t>
            </w:r>
          </w:p>
        </w:tc>
        <w:tc>
          <w:tcPr>
            <w:tcW w:w="725" w:type="dxa"/>
            <w:noWrap w:val="0"/>
            <w:vAlign w:val="center"/>
          </w:tcPr>
          <w:p w14:paraId="10532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04452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658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8F450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0192B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防腐水槽</w:t>
            </w:r>
          </w:p>
        </w:tc>
        <w:tc>
          <w:tcPr>
            <w:tcW w:w="6477" w:type="dxa"/>
            <w:noWrap w:val="0"/>
            <w:vAlign w:val="center"/>
          </w:tcPr>
          <w:p w14:paraId="5F1F12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2.采用实验室专用高密度PP一体化成型水槽，易清洁，耐腐蚀，且利于台面残水自然回流，美观实用；具耐酸碱、耐有机溶剂、耐紫外线等特点。</w:t>
            </w:r>
          </w:p>
        </w:tc>
        <w:tc>
          <w:tcPr>
            <w:tcW w:w="725" w:type="dxa"/>
            <w:noWrap w:val="0"/>
            <w:vAlign w:val="center"/>
          </w:tcPr>
          <w:p w14:paraId="508CE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747C4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9A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B94A7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33461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教师演示电源</w:t>
            </w:r>
          </w:p>
        </w:tc>
        <w:tc>
          <w:tcPr>
            <w:tcW w:w="6477" w:type="dxa"/>
            <w:noWrap w:val="0"/>
            <w:vAlign w:val="center"/>
          </w:tcPr>
          <w:p w14:paraId="07667D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总电源装置在教师桌组合柜内，抽屉式电源盒设计，内装有教师演示电源，主控学生电源装置。内设有漏电过载自动保护总开关，工作指示灯。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（1）输入电源：AC220V±10%、频率50Hz；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工作环境：支持</w:t>
            </w:r>
            <w:r>
              <w:rPr>
                <w:rFonts w:hint="eastAsia" w:ascii="宋体" w:hAnsi="宋体" w:eastAsia="宋体" w:cs="宋体"/>
                <w:i w:val="0"/>
                <w:iCs w:val="0"/>
                <w:color w:val="000000"/>
                <w:kern w:val="0"/>
                <w:sz w:val="24"/>
                <w:szCs w:val="24"/>
                <w:u w:val="none"/>
                <w:lang w:val="en-US" w:eastAsia="zh-CN" w:bidi="ar"/>
              </w:rPr>
              <w:t>温度-10℃~+40℃，相对湿度＜85％（25℃）海拔＜4000m；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（3）人身安全保护体系：配备漏电短路保护器做总电源开关，对人身安全和用电设备起到保障作用；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控制面板采用7寸液晶屏控制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（5）市电AC220V/10A（两位五孔国标插座），为其它用电器提供电源；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（6）直流稳压电源：液晶显示，数字键盘触屏输入，0-30V/2A，电压调整率可达0.1V；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（7）交流低压电源：液晶显示，数字键盘触屏输入，0-30V/2A，电压调整率为0.1V；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（8）教师测试用交流高压170V、300V输出；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（9）教师测试用9V大电流输出；</w:t>
            </w:r>
          </w:p>
        </w:tc>
        <w:tc>
          <w:tcPr>
            <w:tcW w:w="725" w:type="dxa"/>
            <w:noWrap w:val="0"/>
            <w:vAlign w:val="center"/>
          </w:tcPr>
          <w:p w14:paraId="7533D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424AE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524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41FE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696E8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学生实验桌</w:t>
            </w:r>
          </w:p>
        </w:tc>
        <w:tc>
          <w:tcPr>
            <w:tcW w:w="6477" w:type="dxa"/>
            <w:noWrap w:val="0"/>
            <w:vAlign w:val="center"/>
          </w:tcPr>
          <w:p w14:paraId="75FEE7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厚无甲醛新型环保陶瓷台面，台面表面为实验室专业耐腐蚀、耐污染、抗冲击釉面。坯体一体实芯，釉面和坯体经高温一体烧结而成。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新型塑铝结构：学生位镂空式，侧脚采用三段式高强度铝合金结构，立柱采用双立柱形式内嵌入上下铸铝脚，台面背部档水板，左右挡水板，台面下部设有专用书包斗，中间设挂凳卡，两个书包斗中间电源盒，符合人体工程学设计，外形美观，产品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4.桌腿：由上中下三段组成，上、下支座和双立柱连接，双立柱间嵌入亚克力装饰板的造型。</w:t>
            </w:r>
            <w:r>
              <w:rPr>
                <w:rFonts w:hint="eastAsia" w:ascii="宋体" w:hAnsi="宋体" w:eastAsia="宋体" w:cs="宋体"/>
                <w:i w:val="0"/>
                <w:iCs w:val="0"/>
                <w:color w:val="000000"/>
                <w:kern w:val="0"/>
                <w:sz w:val="24"/>
                <w:szCs w:val="24"/>
                <w:highlight w:val="none"/>
                <w:u w:val="none"/>
                <w:lang w:val="en-US" w:eastAsia="zh-CN" w:bidi="ar"/>
              </w:rPr>
              <w:t>立柱采用规格35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36㎜铝合金型材，壁厚≥1.5㎜，侧脚上横脚规格564×85×58㎜，侧脚下脚规格525×85×60㎜</w:t>
            </w:r>
            <w:r>
              <w:rPr>
                <w:rFonts w:hint="eastAsia" w:ascii="宋体" w:hAnsi="宋体" w:eastAsia="宋体" w:cs="宋体"/>
                <w:i w:val="0"/>
                <w:iCs w:val="0"/>
                <w:color w:val="000000"/>
                <w:kern w:val="0"/>
                <w:sz w:val="24"/>
                <w:szCs w:val="24"/>
                <w:u w:val="none"/>
                <w:lang w:val="en-US" w:eastAsia="zh-CN" w:bidi="ar"/>
              </w:rPr>
              <w:t>，立柱内嵌入上下铸铝脚</w:t>
            </w:r>
            <w:r>
              <w:rPr>
                <w:rFonts w:hint="eastAsia" w:ascii="宋体" w:hAnsi="宋体" w:cs="宋体"/>
                <w:i w:val="0"/>
                <w:iCs w:val="0"/>
                <w:color w:val="000000"/>
                <w:kern w:val="0"/>
                <w:sz w:val="24"/>
                <w:szCs w:val="24"/>
                <w:u w:val="none"/>
                <w:lang w:val="en-US" w:eastAsia="zh-CN" w:bidi="ar"/>
              </w:rPr>
              <w:t>深度</w:t>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，并用高强度内六角螺丝连接，上下脚采用高强度铝合金模具压铸一次成型。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5.左、右脚拼装连接：前、</w:t>
            </w:r>
            <w:r>
              <w:rPr>
                <w:rFonts w:hint="eastAsia" w:ascii="宋体" w:hAnsi="宋体" w:eastAsia="宋体" w:cs="宋体"/>
                <w:i w:val="0"/>
                <w:iCs w:val="0"/>
                <w:color w:val="000000"/>
                <w:kern w:val="0"/>
                <w:sz w:val="24"/>
                <w:szCs w:val="24"/>
                <w:highlight w:val="none"/>
                <w:u w:val="none"/>
                <w:lang w:val="en-US" w:eastAsia="zh-CN" w:bidi="ar"/>
              </w:rPr>
              <w:t>后梁采用44×25㎜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壁厚≥1.2㎜铝合金型材,中梁采用20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20㎜，壁厚≥1.2㎜铁管，外观喷塑，左右侧脚下梁采采用60×30×2㎜椭圆spcc碳</w:t>
            </w:r>
            <w:r>
              <w:rPr>
                <w:rFonts w:hint="eastAsia" w:ascii="宋体" w:hAnsi="宋体" w:eastAsia="宋体" w:cs="宋体"/>
                <w:i w:val="0"/>
                <w:iCs w:val="0"/>
                <w:color w:val="000000"/>
                <w:kern w:val="0"/>
                <w:sz w:val="24"/>
                <w:szCs w:val="24"/>
                <w:u w:val="none"/>
                <w:lang w:val="en-US" w:eastAsia="zh-CN" w:bidi="ar"/>
              </w:rPr>
              <w:t>钢无缝钢管，管材两端截面与5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6.桌脚配有可调整底脚，桌侧脚设置专用孔位可与地面固定，配有跟台面同色ABS脚套装饰盖。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7.台面前挡水板：背板挡水板,左右挡水板采用73.5×25㎜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1.5㎜铝合金型材，转角和尾端采用铝合金压铸转接件与背挡水板形成卡扣式相连接。</w:t>
            </w:r>
          </w:p>
        </w:tc>
        <w:tc>
          <w:tcPr>
            <w:tcW w:w="725" w:type="dxa"/>
            <w:noWrap w:val="0"/>
            <w:vAlign w:val="center"/>
          </w:tcPr>
          <w:p w14:paraId="46B81C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672A5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14A3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BD4F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15BD5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学生实验凳</w:t>
            </w:r>
          </w:p>
        </w:tc>
        <w:tc>
          <w:tcPr>
            <w:tcW w:w="6477" w:type="dxa"/>
            <w:noWrap w:val="0"/>
            <w:vAlign w:val="center"/>
          </w:tcPr>
          <w:p w14:paraId="6AD5C1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产品规格：Φ320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1.凳面材质：采用环保型ABS改性塑料一次性注塑成型。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凳面尺寸：凳面ф320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×厚≥6</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3.表面带防滑，舒适耐用。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4.凳钢架椭圆形，脚钢架材质及形状：椭圆形无缝钢管，钢管尺寸16×34×1.2</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固定圆盘采用SPCC钢板，直径185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5.脚垫材质：采用PP加耐磨纤维质塑料，实心倒勾式一体射出成型。实验凳有调节升降功能，带定位销，具有防晃动功能；高度可以在450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范围内自由调整</w:t>
            </w:r>
          </w:p>
        </w:tc>
        <w:tc>
          <w:tcPr>
            <w:tcW w:w="725" w:type="dxa"/>
            <w:noWrap w:val="0"/>
            <w:vAlign w:val="center"/>
          </w:tcPr>
          <w:p w14:paraId="3D33E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37" w:type="dxa"/>
            <w:noWrap w:val="0"/>
            <w:vAlign w:val="center"/>
          </w:tcPr>
          <w:p w14:paraId="6688C8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96C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AB39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182B5A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智能控制柜</w:t>
            </w:r>
          </w:p>
        </w:tc>
        <w:tc>
          <w:tcPr>
            <w:tcW w:w="6477" w:type="dxa"/>
            <w:noWrap w:val="0"/>
            <w:vAlign w:val="center"/>
          </w:tcPr>
          <w:p w14:paraId="37B045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体采用镀锌钢板，钣金的表面接缝均应满焊，焊接处均应打磨平整以保持为连续的平滑表面。主框架采用镀锌钢板经折弯焊焊接制作，板经钣金折弯成形、焊接制作，表面喷塑处理。，机柜正面门板未遮挡出亚克力丝印发光型号字体装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3.结构：壁挂式设计，柜门内嵌10寸触控屏，柜身内含各种控制系统硬件模块。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4.可通过配套附件实现以下功能：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4.控制方式：空间电压矢量控制；5.输出频率：1.00~400.0 HZ；6.过载能力：150% 额定电流；7.保护功能：输入缺相、输入欠压、直流过压、过载等。</w:t>
            </w:r>
          </w:p>
        </w:tc>
        <w:tc>
          <w:tcPr>
            <w:tcW w:w="725" w:type="dxa"/>
            <w:noWrap/>
            <w:vAlign w:val="center"/>
          </w:tcPr>
          <w:p w14:paraId="56A00A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B744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95C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3DBE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6" w:type="dxa"/>
            <w:noWrap w:val="0"/>
            <w:vAlign w:val="center"/>
          </w:tcPr>
          <w:p w14:paraId="60E51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智能控制平台</w:t>
            </w:r>
          </w:p>
        </w:tc>
        <w:tc>
          <w:tcPr>
            <w:tcW w:w="6477" w:type="dxa"/>
            <w:noWrap w:val="0"/>
            <w:vAlign w:val="center"/>
          </w:tcPr>
          <w:p w14:paraId="35E789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1.通风控制系统：无极变频控制，可精确控制通风风量；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2.供水控制系统：集中控制整个教室的给排水；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3.照明控制系统：集中控制整个舱体照明；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4.电源控制系统：可控制学生端220v电源输出与关闭，可控制学生端低压电源的锁定与受控，调节范围为1～30V，分辨率可达0.1V,最小调节单元1V。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5.摇臂控制系统：可实现摆臂升降功能；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8.实时监测吊装运行状态，故障报警；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9.软件可通过网络升级；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10.系统可同步到其他安装有智能控制平台APP的移动终端，如安卓平板、手机等同时操作；</w:t>
            </w:r>
          </w:p>
        </w:tc>
        <w:tc>
          <w:tcPr>
            <w:tcW w:w="725" w:type="dxa"/>
            <w:noWrap/>
            <w:vAlign w:val="center"/>
          </w:tcPr>
          <w:p w14:paraId="15788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DE0F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609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20CC0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6" w:type="dxa"/>
            <w:noWrap w:val="0"/>
            <w:vAlign w:val="center"/>
          </w:tcPr>
          <w:p w14:paraId="11AD6D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无线终端控制系统</w:t>
            </w:r>
          </w:p>
        </w:tc>
        <w:tc>
          <w:tcPr>
            <w:tcW w:w="6477" w:type="dxa"/>
            <w:noWrap w:val="0"/>
            <w:vAlign w:val="center"/>
          </w:tcPr>
          <w:p w14:paraId="4F6378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1.硬件：屏幕不小于10英寸、安卓系统。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2.通风控制系统：无极变频控制，可精确控制通风风量；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3.供水控制系统：集中控制整个教室的给排水，可进行单选、全选、及分组控制；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4.照明控制系统：集中控制整个舱体照明，可进行单选、全选及分组控制；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5.电源控制系统：可控制学生端220v电源输出与关闭，也可控制学生端低压电源的锁定与受控，调节范围为0～30V，分辨率可达0.1V,额定电流2A； 最小调节单元可达1V。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6.摇臂控制系统：可以实现单个控制、集中控制、组合控制；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9.实时监测顶装运行状态，故障报警；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10.软件可通过网络升级；</w:t>
            </w:r>
          </w:p>
        </w:tc>
        <w:tc>
          <w:tcPr>
            <w:tcW w:w="725" w:type="dxa"/>
            <w:noWrap/>
            <w:vAlign w:val="center"/>
          </w:tcPr>
          <w:p w14:paraId="6336B5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63654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7D9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BD81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6" w:type="dxa"/>
            <w:noWrap w:val="0"/>
            <w:vAlign w:val="center"/>
          </w:tcPr>
          <w:p w14:paraId="0A63B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学生分组控制系统</w:t>
            </w:r>
          </w:p>
        </w:tc>
        <w:tc>
          <w:tcPr>
            <w:tcW w:w="6477" w:type="dxa"/>
            <w:noWrap w:val="0"/>
            <w:vAlign w:val="center"/>
          </w:tcPr>
          <w:p w14:paraId="67FDE8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可以对学生端模块的电源控制系统、照明控制系统、给排水控制系统、智能摇臂控制系统进行独立分组控制，实现全选、单选控制功能；</w:t>
            </w:r>
          </w:p>
        </w:tc>
        <w:tc>
          <w:tcPr>
            <w:tcW w:w="725" w:type="dxa"/>
            <w:noWrap/>
            <w:vAlign w:val="center"/>
          </w:tcPr>
          <w:p w14:paraId="46380D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31D0D1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727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E9951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6" w:type="dxa"/>
            <w:noWrap w:val="0"/>
            <w:vAlign w:val="center"/>
          </w:tcPr>
          <w:p w14:paraId="26B19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智能故障警示系统</w:t>
            </w:r>
          </w:p>
        </w:tc>
        <w:tc>
          <w:tcPr>
            <w:tcW w:w="6477" w:type="dxa"/>
            <w:noWrap w:val="0"/>
            <w:vAlign w:val="center"/>
          </w:tcPr>
          <w:p w14:paraId="099D94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725" w:type="dxa"/>
            <w:noWrap/>
            <w:vAlign w:val="center"/>
          </w:tcPr>
          <w:p w14:paraId="7CE27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3F3AA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C65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7F60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6" w:type="dxa"/>
            <w:noWrap w:val="0"/>
            <w:vAlign w:val="center"/>
          </w:tcPr>
          <w:p w14:paraId="1544B6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急停控制系统</w:t>
            </w:r>
          </w:p>
        </w:tc>
        <w:tc>
          <w:tcPr>
            <w:tcW w:w="6477" w:type="dxa"/>
            <w:noWrap w:val="0"/>
            <w:vAlign w:val="center"/>
          </w:tcPr>
          <w:p w14:paraId="75DF8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集成化控制系统，出现故障或现场有需要时紧急制动，确保实验操作时的安全性。</w:t>
            </w:r>
          </w:p>
        </w:tc>
        <w:tc>
          <w:tcPr>
            <w:tcW w:w="725" w:type="dxa"/>
            <w:noWrap/>
            <w:vAlign w:val="center"/>
          </w:tcPr>
          <w:p w14:paraId="352A5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3A338A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46A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60D0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6" w:type="dxa"/>
            <w:noWrap w:val="0"/>
            <w:vAlign w:val="center"/>
          </w:tcPr>
          <w:p w14:paraId="1BB2E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顶装系统主体框架</w:t>
            </w:r>
          </w:p>
        </w:tc>
        <w:tc>
          <w:tcPr>
            <w:tcW w:w="6477" w:type="dxa"/>
            <w:noWrap w:val="0"/>
            <w:vAlign w:val="center"/>
          </w:tcPr>
          <w:p w14:paraId="31EB4D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1.采购标准化模块编组，1200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为一组；连体头尾尺寸1260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2.整体采购钢构件及注塑件组合而成；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3.承重骨架采用钢管，腔体采用≥1.2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镀锌钢板，两头承重处采用≥2.5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镀锌钢板加强，所有钢构件表面经高温粉体烤漆处理，强度高、耐腐蚀、结构稳定。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p>
        </w:tc>
        <w:tc>
          <w:tcPr>
            <w:tcW w:w="725" w:type="dxa"/>
            <w:noWrap/>
            <w:vAlign w:val="center"/>
          </w:tcPr>
          <w:p w14:paraId="32F02B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2759A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6FB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D37E3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6" w:type="dxa"/>
            <w:noWrap w:val="0"/>
            <w:vAlign w:val="center"/>
          </w:tcPr>
          <w:p w14:paraId="09041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舱体防尘装饰模块</w:t>
            </w:r>
          </w:p>
        </w:tc>
        <w:tc>
          <w:tcPr>
            <w:tcW w:w="6477" w:type="dxa"/>
            <w:noWrap w:val="0"/>
            <w:vAlign w:val="center"/>
          </w:tcPr>
          <w:p w14:paraId="056B5E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2.材质：采用≥1.2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镀锌钢板折弯焊接表面喷塑成型。</w:t>
            </w:r>
          </w:p>
        </w:tc>
        <w:tc>
          <w:tcPr>
            <w:tcW w:w="725" w:type="dxa"/>
            <w:noWrap/>
            <w:vAlign w:val="center"/>
          </w:tcPr>
          <w:p w14:paraId="22755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023C4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B2A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2B071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6" w:type="dxa"/>
            <w:noWrap w:val="0"/>
            <w:vAlign w:val="center"/>
          </w:tcPr>
          <w:p w14:paraId="39CAC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吊装智能摇臂升降系统</w:t>
            </w:r>
          </w:p>
        </w:tc>
        <w:tc>
          <w:tcPr>
            <w:tcW w:w="6477" w:type="dxa"/>
            <w:noWrap w:val="0"/>
            <w:vAlign w:val="center"/>
          </w:tcPr>
          <w:p w14:paraId="58B1F6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1.采用静音低压直流24V推杆电机推动注塑高强度尼龙一体成型的曲柄连杆机构，实现摇臂上下90°转动升降；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2.摆臂升降主管，采用挤铝工艺挤出成型正椭圆管，</w:t>
            </w:r>
            <w:r>
              <w:rPr>
                <w:rFonts w:hint="eastAsia" w:ascii="宋体" w:hAnsi="宋体" w:eastAsia="宋体" w:cs="宋体"/>
                <w:i w:val="0"/>
                <w:iCs w:val="0"/>
                <w:color w:val="000000"/>
                <w:kern w:val="0"/>
                <w:sz w:val="24"/>
                <w:szCs w:val="24"/>
                <w:highlight w:val="none"/>
                <w:u w:val="none"/>
                <w:lang w:val="en-US" w:eastAsia="zh-CN" w:bidi="ar"/>
              </w:rPr>
              <w:t>外形尺寸170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880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1.8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，表面经高温粉体烤漆处理，耐腐蚀、防烤漆剥落；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3.摆臂主管内部可设备强电线路、给排水管、风管，为保障电路安全，水电线路采用隔离设计;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4.系统自带障碍物保护功能，运动过程中遇到障碍物时会自动停止并报警。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5.学生端操作模块：1.操作模块采用ABS工程塑料外壳，外形圆润；矩形</w:t>
            </w:r>
            <w:r>
              <w:rPr>
                <w:rFonts w:hint="eastAsia" w:ascii="宋体" w:hAnsi="宋体" w:eastAsia="宋体" w:cs="宋体"/>
                <w:i w:val="0"/>
                <w:iCs w:val="0"/>
                <w:color w:val="000000"/>
                <w:kern w:val="0"/>
                <w:sz w:val="24"/>
                <w:szCs w:val="24"/>
                <w:highlight w:val="none"/>
                <w:u w:val="none"/>
                <w:lang w:val="en-US" w:eastAsia="zh-CN" w:bidi="ar"/>
              </w:rPr>
              <w:t>外观尺寸270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178</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65</w:t>
            </w:r>
            <w:r>
              <w:rPr>
                <w:rFonts w:hint="eastAsia"/>
                <w:sz w:val="24"/>
                <w:szCs w:val="24"/>
                <w:lang w:val="en-US" w:eastAsia="zh-CN"/>
              </w:rPr>
              <w:t>mm</w:t>
            </w:r>
            <w:r>
              <w:rPr>
                <w:rFonts w:hint="eastAsia" w:ascii="宋体" w:hAnsi="宋体" w:eastAsia="宋体" w:cs="宋体"/>
                <w:i w:val="0"/>
                <w:iCs w:val="0"/>
                <w:color w:val="000000"/>
                <w:kern w:val="0"/>
                <w:sz w:val="24"/>
                <w:szCs w:val="24"/>
                <w:highlight w:val="none"/>
                <w:u w:val="none"/>
                <w:lang w:val="en-US" w:eastAsia="zh-CN" w:bidi="ar"/>
              </w:rPr>
              <w:t>；操作模块安装5寸LCD段码液晶屏</w:t>
            </w:r>
            <w:r>
              <w:rPr>
                <w:rFonts w:hint="eastAsia" w:ascii="宋体" w:hAnsi="宋体" w:eastAsia="宋体" w:cs="宋体"/>
                <w:i w:val="0"/>
                <w:iCs w:val="0"/>
                <w:color w:val="000000"/>
                <w:kern w:val="0"/>
                <w:sz w:val="24"/>
                <w:szCs w:val="24"/>
                <w:u w:val="none"/>
                <w:lang w:val="en-US" w:eastAsia="zh-CN" w:bidi="ar"/>
              </w:rPr>
              <w:t>；集成高压电源模块、低压电源模块、网络模块、USB模块、急停模块；单独设置一键求助功能按键，当学生端按举手求组模块，教师控制终端实时定位显示当前学生求助序号，低压电源。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6.内置网络模块和USB模块。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7.智能灯光照明装置：接收智能控制平台控制，可分组开启和关闭。</w:t>
            </w:r>
          </w:p>
        </w:tc>
        <w:tc>
          <w:tcPr>
            <w:tcW w:w="725" w:type="dxa"/>
            <w:noWrap/>
            <w:vAlign w:val="center"/>
          </w:tcPr>
          <w:p w14:paraId="3E297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05E3E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F1B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339B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96" w:type="dxa"/>
            <w:noWrap w:val="0"/>
            <w:vAlign w:val="center"/>
          </w:tcPr>
          <w:p w14:paraId="4AE5BC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水槽柜</w:t>
            </w:r>
          </w:p>
        </w:tc>
        <w:tc>
          <w:tcPr>
            <w:tcW w:w="6477" w:type="dxa"/>
            <w:noWrap w:val="0"/>
            <w:vAlign w:val="center"/>
          </w:tcPr>
          <w:p w14:paraId="6966D0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835（±5）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2.结构:钢塑结构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3.1、水槽：采用环保PP改性材质，一次性注塑成型，具有较高强度的韧性及耐磨、耐酸碱性，</w:t>
            </w:r>
            <w:r>
              <w:rPr>
                <w:rFonts w:hint="eastAsia" w:ascii="宋体" w:hAnsi="宋体" w:eastAsia="宋体" w:cs="宋体"/>
                <w:i w:val="0"/>
                <w:iCs w:val="0"/>
                <w:color w:val="000000"/>
                <w:kern w:val="0"/>
                <w:sz w:val="24"/>
                <w:szCs w:val="24"/>
                <w:highlight w:val="none"/>
                <w:u w:val="none"/>
                <w:lang w:val="en-US" w:eastAsia="zh-CN" w:bidi="ar"/>
              </w:rPr>
              <w:t>水槽外观可视尺寸590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440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220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，内空尺寸：390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400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245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水槽底部配置PP滤水网(Φ110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)及PP防溅网(315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)，放水时防止有水滴溅出；水槽柜上部配备专用阻尼器翻盖滴水架，翻盖打开配有12根滴水棒，方便学生实验时滤干试管；并预留洗眼器专用安装位。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3.2、柜体：主框架采用不小于1.2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厚冷轧钢板，表面经环保除油、除锈前处理并经过环氧树脂粉末喷塑处理。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3.3、配有可调节脚垫。</w:t>
            </w:r>
          </w:p>
        </w:tc>
        <w:tc>
          <w:tcPr>
            <w:tcW w:w="725" w:type="dxa"/>
            <w:noWrap/>
            <w:vAlign w:val="center"/>
          </w:tcPr>
          <w:p w14:paraId="43EA2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1A3A6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824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DE8A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96" w:type="dxa"/>
            <w:noWrap w:val="0"/>
            <w:vAlign w:val="center"/>
          </w:tcPr>
          <w:p w14:paraId="71E3E8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二联水嘴</w:t>
            </w:r>
          </w:p>
        </w:tc>
        <w:tc>
          <w:tcPr>
            <w:tcW w:w="6477" w:type="dxa"/>
            <w:noWrap w:val="0"/>
            <w:vAlign w:val="center"/>
          </w:tcPr>
          <w:p w14:paraId="775F18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产品设计为两个独立控制的阀门和两个出水口，出水嘴设计为可以插皮管的尖嘴型。翻转龙头可以在直立的情况下使用，也可以在翻转90度的情况下使用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结构类型：双口设计。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安装方式：壁式安装，节省实验室台面空间。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材质：主体材料全铜，确保在实验环境下长期稳定使用。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规格尺寸：管径尺寸</w:t>
            </w:r>
            <w:r>
              <w:rPr>
                <w:rFonts w:hint="eastAsia" w:ascii="宋体" w:hAnsi="宋体" w:cs="宋体"/>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，出水口尺寸5.2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阀芯：采用陶瓷阀芯，保证开关寿命长且水流控制精确。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涂层处理：环氧树脂涂层，增强产品的耐腐蚀性和耐用性。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接口标准：符合实验室用水系统的连接标准G1/2</w:t>
            </w:r>
          </w:p>
        </w:tc>
        <w:tc>
          <w:tcPr>
            <w:tcW w:w="725" w:type="dxa"/>
            <w:noWrap/>
            <w:vAlign w:val="center"/>
          </w:tcPr>
          <w:p w14:paraId="11516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026112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7C7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3EFB7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96" w:type="dxa"/>
            <w:noWrap w:val="0"/>
            <w:vAlign w:val="center"/>
          </w:tcPr>
          <w:p w14:paraId="14A61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智能给排水系统</w:t>
            </w:r>
          </w:p>
        </w:tc>
        <w:tc>
          <w:tcPr>
            <w:tcW w:w="6477" w:type="dxa"/>
            <w:noWrap w:val="0"/>
            <w:vAlign w:val="center"/>
          </w:tcPr>
          <w:p w14:paraId="28572C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1.设置下水口，下水口内设置三级过滤装置。第一级设置pp过滤盖板，第二级设置不锈钢过滤提网，第三级设置可抛弃型过滤袋，过滤微粒</w:t>
            </w: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30μ；三级过滤装置可防止水管堵塞。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2.水槽顶部设置进水、排水及电线信号线快速接头。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3.设置储水装置，进水口与水槽出水口相连。储水装置带有抽水泵，液位感应器，电路控制系统;当水位到达液位器高位时，水泵自动启动工作抽水，直至抽到液位感应器低位，水泵停止工作。</w:t>
            </w:r>
          </w:p>
        </w:tc>
        <w:tc>
          <w:tcPr>
            <w:tcW w:w="725" w:type="dxa"/>
            <w:noWrap/>
            <w:vAlign w:val="center"/>
          </w:tcPr>
          <w:p w14:paraId="34280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57F72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CC7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1560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96" w:type="dxa"/>
            <w:noWrap w:val="0"/>
            <w:vAlign w:val="center"/>
          </w:tcPr>
          <w:p w14:paraId="1D6BD9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给排水快速接口</w:t>
            </w:r>
          </w:p>
        </w:tc>
        <w:tc>
          <w:tcPr>
            <w:tcW w:w="6477" w:type="dxa"/>
            <w:noWrap w:val="0"/>
            <w:vAlign w:val="center"/>
          </w:tcPr>
          <w:p w14:paraId="023A87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无滴漏快速接头，接口与学生水槽柜采用硅胶软管（具有防酸、防碱、耐腐蚀功能）连接，接口均采用自动锁紧插拔式连接方式（拔掉时没有污水流出），用时接上，不用时可收起；插拔方便，可在给水打开状态下任意插拔，不滴漏。</w:t>
            </w:r>
          </w:p>
        </w:tc>
        <w:tc>
          <w:tcPr>
            <w:tcW w:w="725" w:type="dxa"/>
            <w:noWrap/>
            <w:vAlign w:val="center"/>
          </w:tcPr>
          <w:p w14:paraId="14AA8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03D700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924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08F6C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96" w:type="dxa"/>
            <w:noWrap w:val="0"/>
            <w:vAlign w:val="center"/>
          </w:tcPr>
          <w:p w14:paraId="624C9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电气布线</w:t>
            </w:r>
          </w:p>
        </w:tc>
        <w:tc>
          <w:tcPr>
            <w:tcW w:w="6477" w:type="dxa"/>
            <w:noWrap w:val="0"/>
            <w:vAlign w:val="center"/>
          </w:tcPr>
          <w:p w14:paraId="1570B2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供电布线：模块化设计，每组模块间采用活接式连接，方便安装、检修。采用通用铜芯电线进行系统布线。</w:t>
            </w:r>
          </w:p>
        </w:tc>
        <w:tc>
          <w:tcPr>
            <w:tcW w:w="725" w:type="dxa"/>
            <w:noWrap/>
            <w:vAlign w:val="center"/>
          </w:tcPr>
          <w:p w14:paraId="400D97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61F81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3A16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6DA3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96" w:type="dxa"/>
            <w:noWrap w:val="0"/>
            <w:vAlign w:val="center"/>
          </w:tcPr>
          <w:p w14:paraId="7C3B5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给排水管道布置</w:t>
            </w:r>
          </w:p>
        </w:tc>
        <w:tc>
          <w:tcPr>
            <w:tcW w:w="6477" w:type="dxa"/>
            <w:noWrap w:val="0"/>
            <w:vAlign w:val="center"/>
          </w:tcPr>
          <w:p w14:paraId="78C65E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给水管：给水主管选用φ20-32</w:t>
            </w:r>
            <w:r>
              <w:rPr>
                <w:rFonts w:hint="eastAsia" w:ascii="宋体" w:hAnsi="宋体" w:cs="宋体"/>
                <w:i w:val="0"/>
                <w:iCs w:val="0"/>
                <w:color w:val="000000"/>
                <w:kern w:val="0"/>
                <w:sz w:val="24"/>
                <w:szCs w:val="24"/>
                <w:u w:val="none"/>
                <w:lang w:val="en-US" w:eastAsia="zh-CN" w:bidi="ar"/>
              </w:rPr>
              <w:t xml:space="preserve">mm </w:t>
            </w:r>
            <w:r>
              <w:rPr>
                <w:rFonts w:hint="eastAsia" w:ascii="宋体" w:hAnsi="宋体" w:eastAsia="宋体" w:cs="宋体"/>
                <w:i w:val="0"/>
                <w:iCs w:val="0"/>
                <w:color w:val="000000"/>
                <w:kern w:val="0"/>
                <w:sz w:val="24"/>
                <w:szCs w:val="24"/>
                <w:u w:val="none"/>
                <w:lang w:val="en-US" w:eastAsia="zh-CN" w:bidi="ar"/>
              </w:rPr>
              <w:t>PP-R给水管；排水管：排水管选用加厚φ50-75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PVC-U国标管。（具有防酸、防碱、耐腐蚀功能）。</w:t>
            </w:r>
          </w:p>
        </w:tc>
        <w:tc>
          <w:tcPr>
            <w:tcW w:w="725" w:type="dxa"/>
            <w:noWrap/>
            <w:vAlign w:val="center"/>
          </w:tcPr>
          <w:p w14:paraId="7CBE49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09110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2BD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1F50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96" w:type="dxa"/>
            <w:noWrap w:val="0"/>
            <w:vAlign w:val="center"/>
          </w:tcPr>
          <w:p w14:paraId="13D5C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吊装系统安装</w:t>
            </w:r>
            <w:r>
              <w:rPr>
                <w:rFonts w:hint="eastAsia" w:ascii="宋体" w:hAnsi="宋体" w:cs="宋体"/>
                <w:i w:val="0"/>
                <w:iCs w:val="0"/>
                <w:color w:val="000000"/>
                <w:kern w:val="0"/>
                <w:sz w:val="24"/>
                <w:szCs w:val="24"/>
                <w:u w:val="none"/>
                <w:lang w:val="en-US" w:eastAsia="zh-CN" w:bidi="ar"/>
              </w:rPr>
              <w:t>辅件</w:t>
            </w:r>
          </w:p>
        </w:tc>
        <w:tc>
          <w:tcPr>
            <w:tcW w:w="6477" w:type="dxa"/>
            <w:noWrap w:val="0"/>
            <w:vAlign w:val="center"/>
          </w:tcPr>
          <w:p w14:paraId="0DE4A5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采用固定横梁吊装方式</w:t>
            </w:r>
            <w:r>
              <w:rPr>
                <w:rFonts w:hint="eastAsia" w:ascii="宋体" w:hAnsi="宋体" w:eastAsia="宋体" w:cs="宋体"/>
                <w:i w:val="0"/>
                <w:iCs w:val="0"/>
                <w:color w:val="000000"/>
                <w:kern w:val="0"/>
                <w:sz w:val="24"/>
                <w:szCs w:val="24"/>
                <w:u w:val="none"/>
                <w:lang w:val="en-US" w:eastAsia="zh-CN" w:bidi="ar"/>
              </w:rPr>
              <w:t>，减少楼板承重，防止左右晃动，可进行上下、左右的平衡调节。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主要辅件有：矩形钢、三角构件、直角座、龙骨架连接件、吊装挂件、安装连接板等。</w:t>
            </w:r>
          </w:p>
        </w:tc>
        <w:tc>
          <w:tcPr>
            <w:tcW w:w="725" w:type="dxa"/>
            <w:noWrap/>
            <w:vAlign w:val="center"/>
          </w:tcPr>
          <w:p w14:paraId="32D95C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81683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834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18C0A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996" w:type="dxa"/>
            <w:noWrap w:val="0"/>
            <w:vAlign w:val="center"/>
          </w:tcPr>
          <w:p w14:paraId="24074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生物多维课堂</w:t>
            </w:r>
          </w:p>
        </w:tc>
        <w:tc>
          <w:tcPr>
            <w:tcW w:w="6477" w:type="dxa"/>
            <w:noWrap w:val="0"/>
            <w:vAlign w:val="center"/>
          </w:tcPr>
          <w:p w14:paraId="54D3BAD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提供符合初中生物教材的3D交互资源数量不少于87节，教学视频不少于70节，演示资源数量不少于45节，教学课件不少于70节，资源支持按学段、年级、章节精准选取对应课程，同时支持按知识点筛选及关键词搜索课程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2.实验内容包含实验简介、实验目的、实验原理、实验步骤、实验现象、实验结论、常见考点等模块，便于用户快速掌握实验要点，提升课堂教学效率。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3.所有实验器材模型均为3D高精度、高保真模型，非简单的二维或2.5D模型，整个实验过程中，无需点击其他按键即可对单个器材进行全方位的观察及交互。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4.需提供初中生物常用实验器材库，支持从任意视角对实验器材进行独立观察与展示，器材数量不少于145个。每个器材均配备知识卡片，介绍其用途、特性等内容，以帮助学生理解与学习。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5.系统内置互动习题不少于 10 万道，支持按单个教学单元或单节课随机生成习题；题型涵盖单选题、多选题、判断题、简答题，每道题目均配有答案与解析。</w:t>
            </w:r>
          </w:p>
          <w:p w14:paraId="20594A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系统操作支持：</w:t>
            </w:r>
          </w:p>
          <w:p w14:paraId="3658C4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（1）</w:t>
            </w:r>
            <w:r>
              <w:rPr>
                <w:rFonts w:hint="eastAsia" w:ascii="宋体" w:hAnsi="宋体" w:eastAsia="宋体" w:cs="宋体"/>
                <w:b w:val="0"/>
                <w:bCs w:val="0"/>
                <w:i w:val="0"/>
                <w:iCs w:val="0"/>
                <w:color w:val="000000"/>
                <w:kern w:val="0"/>
                <w:sz w:val="24"/>
                <w:szCs w:val="24"/>
                <w:highlight w:val="none"/>
                <w:u w:val="none"/>
                <w:lang w:val="en-US" w:eastAsia="zh-CN" w:bidi="ar"/>
              </w:rPr>
              <w:t>用两种方式搭建实验，既可对实验器材进行自主搭建，也可通过调用一键组装功能快速完成搭建，实现复杂实验装置的快速自动化整合，默认将实验器材加载到实验台上，部分实验器材可进行组合。</w:t>
            </w:r>
          </w:p>
          <w:p w14:paraId="31841AA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（2）</w:t>
            </w:r>
            <w:r>
              <w:rPr>
                <w:rFonts w:hint="eastAsia" w:ascii="宋体" w:hAnsi="宋体" w:eastAsia="宋体" w:cs="宋体"/>
                <w:b w:val="0"/>
                <w:bCs w:val="0"/>
                <w:i w:val="0"/>
                <w:iCs w:val="0"/>
                <w:color w:val="000000"/>
                <w:kern w:val="0"/>
                <w:sz w:val="24"/>
                <w:szCs w:val="24"/>
                <w:highlight w:val="none"/>
                <w:u w:val="none"/>
                <w:lang w:val="en-US" w:eastAsia="zh-CN" w:bidi="ar"/>
              </w:rPr>
              <w:t>基于用户操作的实时笔迹定位与精准擦除。通过计算机视觉与压力传感融合算法，可快速识别并锁定指定区域笔迹，实现局部内容的选择性清除。</w:t>
            </w:r>
          </w:p>
          <w:p w14:paraId="39BA04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（3）</w:t>
            </w:r>
            <w:r>
              <w:rPr>
                <w:rFonts w:hint="eastAsia" w:ascii="宋体" w:hAnsi="宋体" w:eastAsia="宋体" w:cs="宋体"/>
                <w:b w:val="0"/>
                <w:bCs w:val="0"/>
                <w:i w:val="0"/>
                <w:iCs w:val="0"/>
                <w:color w:val="000000"/>
                <w:kern w:val="0"/>
                <w:sz w:val="24"/>
                <w:szCs w:val="24"/>
                <w:highlight w:val="none"/>
                <w:u w:val="none"/>
                <w:lang w:val="en-US" w:eastAsia="zh-CN" w:bidi="ar"/>
              </w:rPr>
              <w:t>将3D资源与真实场景深度融合，依托于AR 实时渲染引擎与空间计算技术，以高清画质呈现逼真的虚实交融画面。</w:t>
            </w:r>
          </w:p>
          <w:p w14:paraId="3375E5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（4）</w:t>
            </w:r>
            <w:r>
              <w:rPr>
                <w:rFonts w:hint="eastAsia" w:ascii="宋体" w:hAnsi="宋体" w:eastAsia="宋体" w:cs="宋体"/>
                <w:b w:val="0"/>
                <w:bCs w:val="0"/>
                <w:i w:val="0"/>
                <w:iCs w:val="0"/>
                <w:color w:val="000000"/>
                <w:kern w:val="0"/>
                <w:sz w:val="24"/>
                <w:szCs w:val="24"/>
                <w:highlight w:val="none"/>
                <w:u w:val="none"/>
                <w:lang w:val="en-US" w:eastAsia="zh-CN" w:bidi="ar"/>
              </w:rPr>
              <w:t>一键导入主流白板软件及国产主流PPT，同时可改变导入的资源封面图的大小、位置。</w:t>
            </w:r>
          </w:p>
        </w:tc>
        <w:tc>
          <w:tcPr>
            <w:tcW w:w="725" w:type="dxa"/>
            <w:noWrap/>
            <w:vAlign w:val="center"/>
          </w:tcPr>
          <w:p w14:paraId="2D9BC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99E6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68B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B13ED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996" w:type="dxa"/>
            <w:noWrap w:val="0"/>
            <w:vAlign w:val="center"/>
          </w:tcPr>
          <w:p w14:paraId="38538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文创改造</w:t>
            </w:r>
          </w:p>
        </w:tc>
        <w:tc>
          <w:tcPr>
            <w:tcW w:w="6477" w:type="dxa"/>
            <w:noWrap w:val="0"/>
            <w:vAlign w:val="center"/>
          </w:tcPr>
          <w:p w14:paraId="724D61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室内吊顶优化改造，墙面文化改造，水电优化等</w:t>
            </w:r>
          </w:p>
        </w:tc>
        <w:tc>
          <w:tcPr>
            <w:tcW w:w="725" w:type="dxa"/>
            <w:noWrap/>
            <w:vAlign w:val="center"/>
          </w:tcPr>
          <w:p w14:paraId="36C69A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50A0E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78E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24041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生物仪器准备室</w:t>
            </w:r>
          </w:p>
        </w:tc>
      </w:tr>
      <w:tr w14:paraId="3C3C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2FEF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4405E2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准备台</w:t>
            </w:r>
          </w:p>
        </w:tc>
        <w:tc>
          <w:tcPr>
            <w:tcW w:w="6477" w:type="dxa"/>
            <w:noWrap w:val="0"/>
            <w:vAlign w:val="top"/>
          </w:tcPr>
          <w:p w14:paraId="0F33C9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w:t>
            </w:r>
            <w:r>
              <w:rPr>
                <w:rFonts w:hint="eastAsia" w:ascii="宋体" w:hAnsi="宋体" w:cs="宋体"/>
                <w:i w:val="0"/>
                <w:iCs w:val="0"/>
                <w:color w:val="000000"/>
                <w:kern w:val="0"/>
                <w:sz w:val="24"/>
                <w:szCs w:val="24"/>
                <w:u w:val="none"/>
                <w:lang w:val="en-US" w:eastAsia="zh-CN" w:bidi="ar"/>
              </w:rPr>
              <w:t>采用≥12.7mm厚</w:t>
            </w:r>
            <w:r>
              <w:rPr>
                <w:rFonts w:hint="eastAsia" w:ascii="宋体" w:hAnsi="宋体" w:eastAsia="宋体" w:cs="宋体"/>
                <w:i w:val="0"/>
                <w:iCs w:val="0"/>
                <w:color w:val="000000"/>
                <w:kern w:val="0"/>
                <w:sz w:val="24"/>
                <w:szCs w:val="24"/>
                <w:u w:val="none"/>
                <w:lang w:val="en-US" w:eastAsia="zh-CN" w:bidi="ar"/>
              </w:rPr>
              <w:t>双面理化膜实芯理化板。台面需倒圆边，</w:t>
            </w:r>
            <w:r>
              <w:rPr>
                <w:rFonts w:hint="eastAsia" w:ascii="宋体" w:hAnsi="宋体" w:cs="宋体"/>
                <w:i w:val="0"/>
                <w:iCs w:val="0"/>
                <w:color w:val="000000"/>
                <w:kern w:val="0"/>
                <w:sz w:val="24"/>
                <w:szCs w:val="24"/>
                <w:u w:val="none"/>
                <w:lang w:val="en-US" w:eastAsia="zh-CN" w:bidi="ar"/>
              </w:rPr>
              <w:t>表面光滑平整</w:t>
            </w:r>
            <w:r>
              <w:rPr>
                <w:rFonts w:hint="eastAsia" w:ascii="宋体" w:hAnsi="宋体" w:eastAsia="宋体" w:cs="宋体"/>
                <w:i w:val="0"/>
                <w:iCs w:val="0"/>
                <w:color w:val="000000"/>
                <w:kern w:val="0"/>
                <w:sz w:val="24"/>
                <w:szCs w:val="24"/>
                <w:u w:val="none"/>
                <w:lang w:val="en-US" w:eastAsia="zh-CN" w:bidi="ar"/>
              </w:rPr>
              <w:t>，需具有耐强酸碱、防腐蚀、防静电、耐辐射、耐磨、抗污染、易清洁、耐冲击、耐高温、防水、防火等特点。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柜身：柜体为落地式结构，所有底柜正面应为平装嵌入式结构设计。所有钣金的表面接缝均应满焊，焊接处均应打磨平整以保持为连续的平滑表面。主框架采用镀锌钢板，表面钢制部分采用酸洗、磷化、除油、除锈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4.滑轨：采用三节静音滑轨；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5.合页：采用合页，开合十万次以上；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6.连接件：ABS专用连接组装件；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7.桌脚：采用ABS注塑专用桌垫固定；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★8.准备台技术性能要求需满足GB/T24820-2024《实验室家具通用技术条件》检测依据，理化性能金属喷漆(塑)涂层硬度：≥4H,冲击强度：应无剥落、裂纹、皱纹；耐腐蚀：100h内，观察在溶剂中样板上划道两侧3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 xml:space="preserve"> 以外，应无气泡产生；100h后，检查划道两侧3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 xml:space="preserve"> 以外，应无锈迹、剥落、起皱、变色和失光等现象；附着力：应不低于2级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9.配1组PP防腐水槽及1组三联水龙头，两组岛式电源。</w:t>
            </w:r>
          </w:p>
        </w:tc>
        <w:tc>
          <w:tcPr>
            <w:tcW w:w="725" w:type="dxa"/>
            <w:noWrap/>
            <w:vAlign w:val="center"/>
          </w:tcPr>
          <w:p w14:paraId="79AD9E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0D12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20AF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DCD7C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0640AE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仪器柜</w:t>
            </w:r>
          </w:p>
        </w:tc>
        <w:tc>
          <w:tcPr>
            <w:tcW w:w="6477" w:type="dxa"/>
            <w:noWrap w:val="0"/>
            <w:vAlign w:val="center"/>
          </w:tcPr>
          <w:p w14:paraId="4A8696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2.柜体：侧板、顶底板采用ABS/PP材料模具一次成型，表面沙面和光面相结合处理，保证柜体之坚固及密封性，耐腐蚀性强，顶板、底板可预留模具成型排风孔。底部镶嵌</w:t>
            </w:r>
            <w:r>
              <w:rPr>
                <w:rFonts w:hint="eastAsia" w:ascii="宋体" w:hAnsi="宋体" w:cs="宋体"/>
                <w:i w:val="0"/>
                <w:iCs w:val="0"/>
                <w:color w:val="000000"/>
                <w:kern w:val="0"/>
                <w:sz w:val="24"/>
                <w:szCs w:val="24"/>
                <w:highlight w:val="none"/>
                <w:u w:val="none"/>
                <w:lang w:val="en-US" w:eastAsia="zh-CN" w:bidi="ar"/>
              </w:rPr>
              <w:t>15×30×1.2mm</w:t>
            </w:r>
            <w:r>
              <w:rPr>
                <w:rFonts w:hint="eastAsia" w:ascii="宋体" w:hAnsi="宋体" w:eastAsia="宋体" w:cs="宋体"/>
                <w:i w:val="0"/>
                <w:iCs w:val="0"/>
                <w:color w:val="000000"/>
                <w:kern w:val="0"/>
                <w:sz w:val="24"/>
                <w:szCs w:val="24"/>
                <w:u w:val="none"/>
                <w:lang w:val="en-US" w:eastAsia="zh-CN" w:bidi="ar"/>
              </w:rPr>
              <w:t>钢制横梁，承重力强。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3.上柜柜门：内框采用ABS/PP材质模具一次成型，外嵌≥5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厚钢化烤漆玻璃，中间烤漆镂空制作。上下拉手及三角对称五点固定，防止玻璃的松动或开合。伸缩式PP旋转门轴，四角圆弧倒角，内侧弧形圆边。颜色可选配。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4.下柜柜门：内框采用ABS/PP材质模具一次成型，外嵌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厚钢化烤漆玻璃。上下拉手及三角对称五点固定，防止玻璃的松动或开合。伸缩式ABS旋转门轴，四角圆弧倒角，内侧弧形圆边。颜色可选配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5.层板：上柜配置两块活动层板，下柜配置一块活动层板，层板全部采用ABS/PP材料模具一次成型，表面沙面和光面相结合处理，四周有阻水边，底部镶嵌两根</w:t>
            </w:r>
            <w:r>
              <w:rPr>
                <w:rFonts w:hint="eastAsia" w:ascii="宋体" w:hAnsi="宋体" w:cs="宋体"/>
                <w:i w:val="0"/>
                <w:iCs w:val="0"/>
                <w:color w:val="000000"/>
                <w:kern w:val="0"/>
                <w:sz w:val="24"/>
                <w:szCs w:val="24"/>
                <w:highlight w:val="none"/>
                <w:u w:val="none"/>
                <w:lang w:val="en-US" w:eastAsia="zh-CN" w:bidi="ar"/>
              </w:rPr>
              <w:t>15×30×1.2mm</w:t>
            </w:r>
            <w:r>
              <w:rPr>
                <w:rFonts w:hint="eastAsia" w:ascii="宋体" w:hAnsi="宋体" w:eastAsia="宋体" w:cs="宋体"/>
                <w:i w:val="0"/>
                <w:iCs w:val="0"/>
                <w:color w:val="000000"/>
                <w:kern w:val="0"/>
                <w:sz w:val="24"/>
                <w:szCs w:val="24"/>
                <w:u w:val="none"/>
                <w:lang w:val="en-US" w:eastAsia="zh-CN" w:bidi="ar"/>
              </w:rPr>
              <w:t>钢制横梁，承重力强。整体设计为活动式，可随意抽取放在合适的隔层，自由组合各层空间。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6.拉手：采用ABS材料模具一次成型，直角梯形四周倒圆与柜门平行，开启方便。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7.铰链：采用ABS材料模具一次成型，伸缩式PP旋转门轴，永不生锈，耐腐蚀性好。</w:t>
            </w:r>
          </w:p>
        </w:tc>
        <w:tc>
          <w:tcPr>
            <w:tcW w:w="725" w:type="dxa"/>
            <w:noWrap/>
            <w:vAlign w:val="center"/>
          </w:tcPr>
          <w:p w14:paraId="361AEB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7" w:type="dxa"/>
            <w:noWrap/>
            <w:vAlign w:val="center"/>
          </w:tcPr>
          <w:p w14:paraId="15DA2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64CC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14EC6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物理探究顶装实验室</w:t>
            </w:r>
          </w:p>
        </w:tc>
      </w:tr>
      <w:tr w14:paraId="7EF1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E922F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5AF0E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教师演示台</w:t>
            </w:r>
          </w:p>
        </w:tc>
        <w:tc>
          <w:tcPr>
            <w:tcW w:w="6477" w:type="dxa"/>
            <w:noWrap w:val="0"/>
            <w:vAlign w:val="center"/>
          </w:tcPr>
          <w:p w14:paraId="4A086D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2.规格：2400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3.台面：采用≥15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厚新型陶瓷台面（台面需整张不可拼接）。釉面与胚体经高温一体烧结而成，不脱落、不脱层。为满足实验室对台面苛刻的要求；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4.柜身：柜体为落地式结构，采用镀锌钢板，厚度≥1.0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，采用</w:t>
            </w:r>
            <w:r>
              <w:rPr>
                <w:rFonts w:hint="eastAsia" w:ascii="宋体" w:hAnsi="宋体" w:cs="宋体"/>
                <w:i w:val="0"/>
                <w:iCs w:val="0"/>
                <w:color w:val="000000"/>
                <w:kern w:val="0"/>
                <w:sz w:val="24"/>
                <w:szCs w:val="24"/>
                <w:u w:val="none"/>
                <w:lang w:val="en-US" w:eastAsia="zh-CN" w:bidi="ar"/>
              </w:rPr>
              <w:t>CO₂</w:t>
            </w:r>
            <w:r>
              <w:rPr>
                <w:rFonts w:hint="eastAsia" w:ascii="宋体" w:hAnsi="宋体" w:eastAsia="宋体" w:cs="宋体"/>
                <w:i w:val="0"/>
                <w:iCs w:val="0"/>
                <w:color w:val="000000"/>
                <w:kern w:val="0"/>
                <w:sz w:val="24"/>
                <w:szCs w:val="24"/>
                <w:u w:val="none"/>
                <w:lang w:val="en-US" w:eastAsia="zh-CN" w:bidi="ar"/>
              </w:rPr>
              <w:t>保护焊焊接，打磨处理，表面经耐酸碱环氧树脂粉末烤漆处理，表面硬度附着力、耐腐蚀性符合国家标准，所有钣金的表面接缝均应满焊，焊接处均应打磨平整以保持为连续的平滑表面。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5.门板及抽面：采用镀锌钢板，内设隔音材料，保证关门减少噪音；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6.滑轨：采用三节重型滚珠滑轨，承重性强，滑动性能良好，无噪音；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7.合页：采用大弯合页，可开门弧度大于90度，开合次数万次以上；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8.桌脚：采用ABS注塑专用桌垫固定；</w:t>
            </w:r>
          </w:p>
        </w:tc>
        <w:tc>
          <w:tcPr>
            <w:tcW w:w="725" w:type="dxa"/>
            <w:noWrap w:val="0"/>
            <w:vAlign w:val="center"/>
          </w:tcPr>
          <w:p w14:paraId="2F684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3D16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071E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4810F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16930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教师演示电源</w:t>
            </w:r>
          </w:p>
        </w:tc>
        <w:tc>
          <w:tcPr>
            <w:tcW w:w="6477" w:type="dxa"/>
            <w:noWrap w:val="0"/>
            <w:vAlign w:val="center"/>
          </w:tcPr>
          <w:p w14:paraId="0BDB32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总电源装置在教师桌组合柜内，抽屉式电源盒设计，内装有教师演示电源，主控学生电源装置。内设有漏电过载自动保护总开关，工作指示灯。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（1）输入电源：AC220V±10%、频率50Hz；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工作环境：支持</w:t>
            </w:r>
            <w:r>
              <w:rPr>
                <w:rFonts w:hint="eastAsia" w:ascii="宋体" w:hAnsi="宋体" w:eastAsia="宋体" w:cs="宋体"/>
                <w:i w:val="0"/>
                <w:iCs w:val="0"/>
                <w:color w:val="000000"/>
                <w:kern w:val="0"/>
                <w:sz w:val="24"/>
                <w:szCs w:val="24"/>
                <w:u w:val="none"/>
                <w:lang w:val="en-US" w:eastAsia="zh-CN" w:bidi="ar"/>
              </w:rPr>
              <w:t>温度-10℃~+40℃，相对湿度＜85％（25℃）海拔＜4000m；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（3）人身安全保护体系：配备漏电短路保护器做总电源开关，对人身安全和用电设备起到保障作用；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控制面板采用7寸液晶屏控制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（5）市电AC220V/10A（两位五孔国标插座），为其它用电器提供电源；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（6）直流稳压电源：液晶显示，数字键盘触屏输入，0-30V/2A，电压调整率可达0.1V；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（7）交流低压电源：液晶显示，数字键盘触屏输入，0-30V/2A，电压调整率为0.1V；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（8）教师测试用交流高压170V、300V输出；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（9）教师测试用9V大电流输出；</w:t>
            </w:r>
          </w:p>
        </w:tc>
        <w:tc>
          <w:tcPr>
            <w:tcW w:w="725" w:type="dxa"/>
            <w:noWrap w:val="0"/>
            <w:vAlign w:val="center"/>
          </w:tcPr>
          <w:p w14:paraId="3C67F6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483FB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50A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7C7B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117269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学生实验桌</w:t>
            </w:r>
          </w:p>
        </w:tc>
        <w:tc>
          <w:tcPr>
            <w:tcW w:w="6477" w:type="dxa"/>
            <w:noWrap w:val="0"/>
            <w:vAlign w:val="center"/>
          </w:tcPr>
          <w:p w14:paraId="4C42B4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厚无甲醛新型环保陶瓷台面，台面表面为实验室专业耐腐蚀、耐污染、抗冲击釉面。坯体一体实芯，釉面和坯体经高温一体烧结而成。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新型塑铝结构：学生位镂空式，侧脚采用三段式高强度铝合金结构，立柱采用双立柱形式内嵌入上下铸铝脚，台面背部档水板，左右挡水板，台面下部设有专用书包斗，中间设挂凳卡，两个书包斗中间电源盒，符合人体工程学设计，外形美观，产品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桌腿：由上中下三段组成，上、下支座和双立柱连接，双立柱间嵌入亚克力装饰板的造型。立柱采用规格35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36㎜铝合金型材，壁厚≥1.5㎜，侧脚上横脚规格564×85×58㎜，侧脚下脚规格525×85×60㎜，立柱内嵌入上下铸铝脚</w:t>
            </w:r>
            <w:r>
              <w:rPr>
                <w:rFonts w:hint="eastAsia" w:ascii="宋体" w:hAnsi="宋体" w:cs="宋体"/>
                <w:i w:val="0"/>
                <w:iCs w:val="0"/>
                <w:color w:val="000000"/>
                <w:kern w:val="0"/>
                <w:sz w:val="24"/>
                <w:szCs w:val="24"/>
                <w:highlight w:val="none"/>
                <w:u w:val="none"/>
                <w:lang w:val="en-US" w:eastAsia="zh-CN" w:bidi="ar"/>
              </w:rPr>
              <w:t>深度</w:t>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并用高强度内六角螺丝连接，上下脚采用高强度铝合金模具压铸一次成型。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左、右脚拼装连接：前、后梁采用44×25㎜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壁厚≥1.2㎜铝合金型材,中梁采用20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20㎜，壁厚≥1.2㎜铁管，外观喷塑，左右侧脚下梁采采用60×30×2㎜</w:t>
            </w:r>
            <w:r>
              <w:rPr>
                <w:rFonts w:hint="eastAsia" w:ascii="宋体" w:hAnsi="宋体" w:eastAsia="宋体" w:cs="宋体"/>
                <w:i w:val="0"/>
                <w:iCs w:val="0"/>
                <w:color w:val="000000"/>
                <w:kern w:val="0"/>
                <w:sz w:val="24"/>
                <w:szCs w:val="24"/>
                <w:u w:val="none"/>
                <w:lang w:val="en-US" w:eastAsia="zh-CN" w:bidi="ar"/>
              </w:rPr>
              <w:t>椭圆spcc碳钢无缝钢管，管材两端截面与5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桌脚配有可调整底脚，桌侧脚设置专用孔位可与地面固定，配有跟台面同色ABS脚套装饰盖。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台面前挡水板：背板挡水板,左右挡水板采用73.5×25㎜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1.5㎜铝合金型材，转角和尾端采用铝合金压铸转接件与背挡水板形成卡扣式相连接。</w:t>
            </w:r>
          </w:p>
        </w:tc>
        <w:tc>
          <w:tcPr>
            <w:tcW w:w="725" w:type="dxa"/>
            <w:noWrap w:val="0"/>
            <w:vAlign w:val="center"/>
          </w:tcPr>
          <w:p w14:paraId="7B3D5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35BED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780F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0684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38AA2C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学生实验凳</w:t>
            </w:r>
          </w:p>
        </w:tc>
        <w:tc>
          <w:tcPr>
            <w:tcW w:w="6477" w:type="dxa"/>
            <w:noWrap w:val="0"/>
            <w:vAlign w:val="center"/>
          </w:tcPr>
          <w:p w14:paraId="05DB86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产品规格：Φ320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凳面材质：采用环保型ABS改性塑料一次性注塑成型。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凳面尺寸：凳面ф320</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×厚≥6</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表面带防滑，舒适耐用。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凳钢架椭圆形，脚钢架材质及形状：椭圆形无缝钢管，</w:t>
            </w:r>
            <w:r>
              <w:rPr>
                <w:rFonts w:hint="eastAsia" w:ascii="宋体" w:hAnsi="宋体" w:eastAsia="宋体" w:cs="宋体"/>
                <w:i w:val="0"/>
                <w:iCs w:val="0"/>
                <w:color w:val="000000"/>
                <w:kern w:val="0"/>
                <w:sz w:val="24"/>
                <w:szCs w:val="24"/>
                <w:highlight w:val="none"/>
                <w:u w:val="none"/>
                <w:lang w:val="en-US" w:eastAsia="zh-CN" w:bidi="ar"/>
              </w:rPr>
              <w:t>钢管尺寸16×34×1.2</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固定圆盘采用SPCC钢板，直径185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5、脚垫材质：采用PP加耐磨纤维质塑料，实心倒勾式一体射出成型。实验凳有调节升降功能，带定位销，具有防晃动功能；高度可以在450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范围内自由调整。</w:t>
            </w:r>
          </w:p>
        </w:tc>
        <w:tc>
          <w:tcPr>
            <w:tcW w:w="725" w:type="dxa"/>
            <w:noWrap w:val="0"/>
            <w:vAlign w:val="center"/>
          </w:tcPr>
          <w:p w14:paraId="33CAD5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37" w:type="dxa"/>
            <w:noWrap w:val="0"/>
            <w:vAlign w:val="center"/>
          </w:tcPr>
          <w:p w14:paraId="5AB03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667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34FCC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24C15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智能控制柜</w:t>
            </w:r>
          </w:p>
        </w:tc>
        <w:tc>
          <w:tcPr>
            <w:tcW w:w="6477" w:type="dxa"/>
            <w:noWrap w:val="0"/>
            <w:vAlign w:val="center"/>
          </w:tcPr>
          <w:p w14:paraId="79B84A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体采用镀锌钢板，钣金的表面接缝均应满焊，焊接处均应打磨平整以保持为连续的平滑表面。主框架采用镀锌钢板经折弯焊焊接制作，板经钣金折弯成形、焊接制作，表面喷塑处理。机柜正面门板未遮挡出亚克力丝印发光型号字体装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3.结构：壁挂式设计，柜门内嵌10寸触控屏，柜身内含各种控制系统硬件模块。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4.可通过配套附件实现以下功能：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主要参数指标为：1.频率指示、异常指示、转速指示、状态指示等；2.输入额定电压：三相380V，±15%；3.输入额定频率：50HZ；4.控制方式：空间电压矢量控制；5.输出频率：1.00~400.0 HZ；6.过载能力：150% 额定电流；7.保护功能：输入缺相、输入欠压、直流过压、过载等。</w:t>
            </w:r>
          </w:p>
        </w:tc>
        <w:tc>
          <w:tcPr>
            <w:tcW w:w="725" w:type="dxa"/>
            <w:noWrap/>
            <w:vAlign w:val="center"/>
          </w:tcPr>
          <w:p w14:paraId="488DD6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5F864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546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1771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242E2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智能控制平台</w:t>
            </w:r>
          </w:p>
        </w:tc>
        <w:tc>
          <w:tcPr>
            <w:tcW w:w="6477" w:type="dxa"/>
            <w:noWrap w:val="0"/>
            <w:vAlign w:val="center"/>
          </w:tcPr>
          <w:p w14:paraId="6C2CE8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1.主页：用户登入后进入主页模式。首先点击右侧电源图标进行连线才可以控制后面操作，用户管理菜单内可以进行多用户管理，删除，增加，修改密码等处理。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升降控制：可以实现单个控制，可以集中控制，可以任意组合控制：此界面内对电源系统进行分组选择，全选，单选等操作。选择需要开启组项电机上升，下降，暂停图标来进行摇臂操作。摇臂升降过程中采用限位开关进行上下限到位保护。控制系统带障碍物保护功能，具有防夹，防卡功能，当摇臂在运动的过程中遇到障碍物时会自动停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3.高压：对吊装系统分成多组和老师，可以进行分组选择控制学生，老师端高压220V，电源具有漏电、短路、过载保护，保证安全可靠。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4.低压：对吊装系统分多组和老师，可以进行分组选择控制学生，老师端低压交直流输出。低压输出学生电源交直流电压，具有智能保护系统，短路过载具有自动复位功能。</w:t>
            </w:r>
          </w:p>
        </w:tc>
        <w:tc>
          <w:tcPr>
            <w:tcW w:w="725" w:type="dxa"/>
            <w:noWrap w:val="0"/>
            <w:vAlign w:val="center"/>
          </w:tcPr>
          <w:p w14:paraId="05DF5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2B5E87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A0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063DA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422CE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学生分组控制系统</w:t>
            </w:r>
          </w:p>
        </w:tc>
        <w:tc>
          <w:tcPr>
            <w:tcW w:w="6477" w:type="dxa"/>
            <w:noWrap w:val="0"/>
            <w:vAlign w:val="center"/>
          </w:tcPr>
          <w:p w14:paraId="1DA029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可以对学生端模块的电源控制系统、照明控制系统、智能摇臂控制系统进行独立分组控制，实现全选、单选控制功能；</w:t>
            </w:r>
          </w:p>
        </w:tc>
        <w:tc>
          <w:tcPr>
            <w:tcW w:w="725" w:type="dxa"/>
            <w:noWrap w:val="0"/>
            <w:vAlign w:val="center"/>
          </w:tcPr>
          <w:p w14:paraId="0EBBD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34988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E3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1EDE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6" w:type="dxa"/>
            <w:noWrap w:val="0"/>
            <w:vAlign w:val="center"/>
          </w:tcPr>
          <w:p w14:paraId="2CCA40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顶部多模块升降电源</w:t>
            </w:r>
          </w:p>
        </w:tc>
        <w:tc>
          <w:tcPr>
            <w:tcW w:w="6477" w:type="dxa"/>
            <w:noWrap w:val="0"/>
            <w:vAlign w:val="center"/>
          </w:tcPr>
          <w:p w14:paraId="0B5A8C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1.采用为直流24V低压减速电机，带动卷线盘实现电源主体上下运动.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2.伸缩线缆防电尼龙线缆：含高低压供电线缆。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3.采用镀锌钢板经激光切割、数控冲压、数控折弯成型，生产工业采取模块组合，便于安装，外观流线形设计，简洁美观,表面经环氧树脂粉末静电喷涂、高温固化处理，耐腐蚀。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4.内置网络模块和USB模块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5.智能照明:采用1个标准LED模组，每个模组功率10W，灯板采用2.0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厚pc光扩散板，扩大了发光面。而使光线变的柔和，达到匀光而又透光的目的，同时满足各种雾度值和透光率的需求。在保证高透光率，降低光衰的情况下，有着良好的光源遮蔽性效果</w:t>
            </w:r>
            <w:r>
              <w:rPr>
                <w:rFonts w:hint="eastAsia" w:ascii="宋体" w:hAnsi="宋体" w:cs="宋体"/>
                <w:i w:val="0"/>
                <w:iCs w:val="0"/>
                <w:color w:val="000000"/>
                <w:kern w:val="0"/>
                <w:sz w:val="24"/>
                <w:szCs w:val="24"/>
                <w:u w:val="none"/>
                <w:lang w:val="en-US" w:eastAsia="zh-CN" w:bidi="ar"/>
              </w:rPr>
              <w:t>。</w:t>
            </w:r>
          </w:p>
        </w:tc>
        <w:tc>
          <w:tcPr>
            <w:tcW w:w="725" w:type="dxa"/>
            <w:noWrap w:val="0"/>
            <w:vAlign w:val="center"/>
          </w:tcPr>
          <w:p w14:paraId="058DA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37" w:type="dxa"/>
            <w:noWrap/>
            <w:vAlign w:val="center"/>
          </w:tcPr>
          <w:p w14:paraId="77BF71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714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4613D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6" w:type="dxa"/>
            <w:noWrap w:val="0"/>
            <w:vAlign w:val="center"/>
          </w:tcPr>
          <w:p w14:paraId="52B32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能源供给装置</w:t>
            </w:r>
          </w:p>
        </w:tc>
        <w:tc>
          <w:tcPr>
            <w:tcW w:w="6477" w:type="dxa"/>
            <w:noWrap w:val="0"/>
            <w:vAlign w:val="center"/>
          </w:tcPr>
          <w:p w14:paraId="391AC3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1.显示电源模块：采用2.0寸LCD断码液晶数码显示，人性化交互设计，采用控式输入模式，可精准输出所需电压。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2.电压输出指标如下：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（1）交流输出：可由学生或教师操作输出0-30V电源，分辨率为0.1V，，有过载保护功能。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（2）直流输出：可由学生或教师操作输出0-30V电源，分辨率为0.1V，有过载保护功能。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（3）锁定：当电源被教师锁定时，本电源内部锁定禁止学生操作本电源，只能由教师操作控制本电源所有电压，以防学生误操作的电压与教师要求的实验电压不符而对实验设备造成损坏。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3.包含新国标五孔插座两套，接收教师端220v实验用电。</w:t>
            </w:r>
          </w:p>
        </w:tc>
        <w:tc>
          <w:tcPr>
            <w:tcW w:w="725" w:type="dxa"/>
            <w:noWrap w:val="0"/>
            <w:vAlign w:val="center"/>
          </w:tcPr>
          <w:p w14:paraId="27C87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ign w:val="center"/>
          </w:tcPr>
          <w:p w14:paraId="638AB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A0E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5E34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6" w:type="dxa"/>
            <w:noWrap w:val="0"/>
            <w:vAlign w:val="center"/>
          </w:tcPr>
          <w:p w14:paraId="672EF6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室内基础电气布线</w:t>
            </w:r>
          </w:p>
        </w:tc>
        <w:tc>
          <w:tcPr>
            <w:tcW w:w="6477" w:type="dxa"/>
            <w:noWrap/>
            <w:vAlign w:val="center"/>
          </w:tcPr>
          <w:p w14:paraId="1B5AC6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国标阻燃PVC线管，国标铜芯线，4平方毫米、2.5平方毫米</w:t>
            </w:r>
          </w:p>
        </w:tc>
        <w:tc>
          <w:tcPr>
            <w:tcW w:w="725" w:type="dxa"/>
            <w:noWrap w:val="0"/>
            <w:vAlign w:val="center"/>
          </w:tcPr>
          <w:p w14:paraId="35D17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ign w:val="center"/>
          </w:tcPr>
          <w:p w14:paraId="63F591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05B4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1498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6" w:type="dxa"/>
            <w:noWrap w:val="0"/>
            <w:vAlign w:val="center"/>
          </w:tcPr>
          <w:p w14:paraId="7D4513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吊装系统安装</w:t>
            </w:r>
            <w:r>
              <w:rPr>
                <w:rFonts w:hint="eastAsia" w:ascii="宋体" w:hAnsi="宋体" w:cs="宋体"/>
                <w:i w:val="0"/>
                <w:iCs w:val="0"/>
                <w:color w:val="000000"/>
                <w:kern w:val="0"/>
                <w:sz w:val="24"/>
                <w:szCs w:val="24"/>
                <w:u w:val="none"/>
                <w:lang w:val="en-US" w:eastAsia="zh-CN" w:bidi="ar"/>
              </w:rPr>
              <w:t>辅件</w:t>
            </w:r>
          </w:p>
        </w:tc>
        <w:tc>
          <w:tcPr>
            <w:tcW w:w="6477" w:type="dxa"/>
            <w:noWrap w:val="0"/>
            <w:vAlign w:val="center"/>
          </w:tcPr>
          <w:p w14:paraId="06A1EE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主要辅件有：矩形钢、三角构件、直角座、龙骨架连接件、吊装挂件、安装连接板等。</w:t>
            </w:r>
          </w:p>
        </w:tc>
        <w:tc>
          <w:tcPr>
            <w:tcW w:w="725" w:type="dxa"/>
            <w:noWrap w:val="0"/>
            <w:vAlign w:val="center"/>
          </w:tcPr>
          <w:p w14:paraId="32B06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ign w:val="center"/>
          </w:tcPr>
          <w:p w14:paraId="3E4E2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0A26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6B426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996" w:type="dxa"/>
            <w:noWrap w:val="0"/>
            <w:vAlign w:val="center"/>
          </w:tcPr>
          <w:p w14:paraId="41867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智能数字实验盘</w:t>
            </w:r>
          </w:p>
        </w:tc>
        <w:tc>
          <w:tcPr>
            <w:tcW w:w="6477" w:type="dxa"/>
            <w:noWrap w:val="0"/>
            <w:vAlign w:val="center"/>
          </w:tcPr>
          <w:p w14:paraId="79E2A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智能数字实验盘在自身软、硬件支撑下，既可连接外接终端设备，也可脱离终端独立进行数据采集、实验操作，支持有线、无线传输，自成一个功能完整且独立的实验平台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内置3.5英寸TFT 480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320电容屏，支持手势操作，触控灵敏、交互便捷，为数据显示、实验采集提供良好的图形界面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飞碟式一体化设计，机身设计有7个传感器接口，支持热插拔；支持近60种传感器，遍及力学、热学、光学、电学、化学、生物等多个领域；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内置三轴加速度、GPS、气压计、相对高度计等传感器；内置传感器与外接传感器模块可并行采集数据。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独立使用时，支持实验采集功能，提供图像、表格两种模式。图像模式支持对</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轴、Y轴自定义，且Y轴支持传感器多选</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支持双Y轴设置，优化选择多个传感器且数值相差较大时的图像显示，适应多样需求</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支持曲线镜像显示</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支持对采集间隔、采集时间进行设置，支持手动采集、定时采集等不同模式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实验采集支持保存与读取，方便随时对实验进行复盘分析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支持7种外接传感器和4种内置传感器同时工作，并在内置屏上同步数据显示；支持数字、图线、指针盘3种显示模式；支持从传感器实时显示界面直接跳转进入快速实验</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支持脱离终端设备，利用内置实验操作平台对部分传感器进行校准或标定等。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具有通用接口模块，可外扩其他类型的传感器，通用接口采用Lightning接口,外扩传感器插头采用双面设计，支持正反盲插接入通用接口，无需关心插入的方向，易插易用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充电方式：支持USB充电，支持触点充电，搭配专用充电坞，可实现同时对5个智能数字实验盘进行充电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正面设有电源指示灯，背面设有支脚架、固定螺纹孔、复位孔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支持平台：Windows、Android、iOS/iPadOS、MacOS、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有线连接：USB 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无线连接：蓝牙2.0/4.2双模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最大采样速率：100,000次/秒；采样解析度：12-bit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固件升级：固件可通过USB接口进行升级</w:t>
            </w:r>
          </w:p>
        </w:tc>
        <w:tc>
          <w:tcPr>
            <w:tcW w:w="725" w:type="dxa"/>
            <w:noWrap w:val="0"/>
            <w:vAlign w:val="center"/>
          </w:tcPr>
          <w:p w14:paraId="35109C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384F3E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A6B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4E28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96" w:type="dxa"/>
            <w:noWrap w:val="0"/>
            <w:vAlign w:val="center"/>
          </w:tcPr>
          <w:p w14:paraId="59307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电压传感器</w:t>
            </w:r>
          </w:p>
        </w:tc>
        <w:tc>
          <w:tcPr>
            <w:tcW w:w="6477" w:type="dxa"/>
            <w:noWrap w:val="0"/>
            <w:vAlign w:val="center"/>
          </w:tcPr>
          <w:p w14:paraId="50DB30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传感器采用模块化设计，通过Lightning接口与采集器连接，具有热插拔功能。搭配采集器通过有线、无线方式连接电脑、手机或平板等终端进行数据采集，在终端上实时显示并记录电压的变化，绘制电压-时间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1.用于测量电路、电器两端的电压。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6.可以对微小的电压变化快速采样。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7.支持传感器校零。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1.量程：-30V~30V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3.分辨率：0.02V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4.输入阻抗：2MΩ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探究串联、并联电路中用电器两端的电压与电源两端电压的关系、伏安法测灯泡电阻、观察电容器的充放电、研究伏安特性曲线、伏安法测金属的电阻率、电池、电源电动势和内阻的测量等</w:t>
            </w:r>
          </w:p>
        </w:tc>
        <w:tc>
          <w:tcPr>
            <w:tcW w:w="725" w:type="dxa"/>
            <w:noWrap w:val="0"/>
            <w:vAlign w:val="center"/>
          </w:tcPr>
          <w:p w14:paraId="578B5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0B4365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6B8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9C29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996" w:type="dxa"/>
            <w:noWrap w:val="0"/>
            <w:vAlign w:val="center"/>
          </w:tcPr>
          <w:p w14:paraId="3218F9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电流传感器</w:t>
            </w:r>
          </w:p>
        </w:tc>
        <w:tc>
          <w:tcPr>
            <w:tcW w:w="6477" w:type="dxa"/>
            <w:noWrap w:val="0"/>
            <w:vAlign w:val="center"/>
          </w:tcPr>
          <w:p w14:paraId="57BD8B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流传感器采用模块化设计，通过Lightning接口与采集器连接，具有热插拔功能。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1.用于测量电路中的电流。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6.可以对微小的电流变化快速采样。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7.支持传感器校零。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1.量程：-1A~1A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3.分辨率：0.001A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4.内阻：0.22Ω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电流与电路、电流与电压和电阻的关系、限流法测绘小灯泡的伏安特性曲线、电源输出与负载的关系、串并联电路中电流的规律、测量电阻的阻值、探究影响导体电阻大小的因素、测量小灯泡电功率等</w:t>
            </w:r>
          </w:p>
        </w:tc>
        <w:tc>
          <w:tcPr>
            <w:tcW w:w="725" w:type="dxa"/>
            <w:noWrap w:val="0"/>
            <w:vAlign w:val="center"/>
          </w:tcPr>
          <w:p w14:paraId="3C919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6BB4D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835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98C9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996" w:type="dxa"/>
            <w:noWrap w:val="0"/>
            <w:vAlign w:val="center"/>
          </w:tcPr>
          <w:p w14:paraId="6527BB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磁感应强度传感器</w:t>
            </w:r>
          </w:p>
        </w:tc>
        <w:tc>
          <w:tcPr>
            <w:tcW w:w="6477" w:type="dxa"/>
            <w:noWrap w:val="0"/>
            <w:vAlign w:val="center"/>
          </w:tcPr>
          <w:p w14:paraId="76F4C6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感应强度传感器采用模块化设计，通过Lightning接口与采集器连接，具有热插拔功能。搭配采集器通过有线、无线方式连接电脑、手机或平板等终端进行数据采集，在终端上实时显示并记录磁感应强度的变化，并绘制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传感器正面为电源指示灯，前端为探头插孔，前端管壁内为霍尔效应元件，后端为Lightning接口，附件为磁感应强度探头。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1.用于测量磁场的磁场强度。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5.磁场传感器探头为3.5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耳机插头，耳机插孔式连接，无干扰。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7.无需校准，即连即用。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1.量程：-64mT~64mT,精度：±3%,分辨率：0.04mT</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匀强磁场研究、验证环形电流的磁场方向、探测磁体周围的磁感应强度、通电导线周围的磁场、磁铁不同部位的磁性大小等</w:t>
            </w:r>
          </w:p>
        </w:tc>
        <w:tc>
          <w:tcPr>
            <w:tcW w:w="725" w:type="dxa"/>
            <w:noWrap w:val="0"/>
            <w:vAlign w:val="center"/>
          </w:tcPr>
          <w:p w14:paraId="781183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73CA0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997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3975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996" w:type="dxa"/>
            <w:noWrap w:val="0"/>
            <w:vAlign w:val="center"/>
          </w:tcPr>
          <w:p w14:paraId="6CF6D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力传感器</w:t>
            </w:r>
          </w:p>
        </w:tc>
        <w:tc>
          <w:tcPr>
            <w:tcW w:w="6477" w:type="dxa"/>
            <w:noWrap w:val="0"/>
            <w:vAlign w:val="center"/>
          </w:tcPr>
          <w:p w14:paraId="0C59F4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传感器配合通用接口，通过Lightning接口与采集器连接，支持正反盲插，具有热插拔功能。搭配采集器通过有线、无线方式连接电脑、手机或平板等终端进行数据采集，在终端上实时显示并记录力的变化，并绘制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传感器造型方正，上端有三个开孔，背面有与实验器材搭建的M6国标接口，可适用于多种固定方式；下端为力传感器接口，可拧上钩子（测量拉力）或托盘（测量推力），侧面为Lightning接口线。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1.用于测量拉力或压力。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4.支持传感器校准。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1.量程：-50N~50N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3.分辨率：0.03N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估测大气压强、作用力与反作用力的关系、浮力定律、力的作用是相互的、探究弹簧的伸长特性、探究重力的大小跟质量的关系、研究固体分子间的引力、金属热胀冷缩、重力大小与质量的关系、验证胡克定律、 探究弹簧弹力与形变量的关系、研究影响浮力大小的因素等</w:t>
            </w:r>
          </w:p>
        </w:tc>
        <w:tc>
          <w:tcPr>
            <w:tcW w:w="725" w:type="dxa"/>
            <w:noWrap w:val="0"/>
            <w:vAlign w:val="center"/>
          </w:tcPr>
          <w:p w14:paraId="25C854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7" w:type="dxa"/>
            <w:noWrap w:val="0"/>
            <w:vAlign w:val="center"/>
          </w:tcPr>
          <w:p w14:paraId="43A06E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8A7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ADB78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p>
        </w:tc>
        <w:tc>
          <w:tcPr>
            <w:tcW w:w="996" w:type="dxa"/>
            <w:noWrap w:val="0"/>
            <w:vAlign w:val="center"/>
          </w:tcPr>
          <w:p w14:paraId="2226C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6477" w:type="dxa"/>
            <w:noWrap w:val="0"/>
            <w:vAlign w:val="center"/>
          </w:tcPr>
          <w:p w14:paraId="62257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采用模块化设计，通过Lightning接口与采集器连接，具有热插拔功能。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传感器正面为电源指示灯，前端为探头插孔，后端为Lightning接口，附件为温度探头。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1.用于测量物体表面、气体、酸碱等液体的温度。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3.温度探头为3.5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耳机插头，耳机插孔式连接，无干扰。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7.无需校准，即连即用。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1.量程：-40℃~135℃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不同颜色物体的吸热散热研究实验、探究非生物因素对鼠妇分布的影响实验、不同液体的吸热散热研究、水的降温规律、摩擦做功、水的沸腾实验、沸点与压强关系、焦耳定律、酸碱反应热、铁的吸氧腐蚀等</w:t>
            </w:r>
          </w:p>
        </w:tc>
        <w:tc>
          <w:tcPr>
            <w:tcW w:w="725" w:type="dxa"/>
            <w:noWrap w:val="0"/>
            <w:vAlign w:val="center"/>
          </w:tcPr>
          <w:p w14:paraId="6E1D0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7" w:type="dxa"/>
            <w:noWrap w:val="0"/>
            <w:vAlign w:val="center"/>
          </w:tcPr>
          <w:p w14:paraId="2C3D2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F57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7716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w:t>
            </w:r>
          </w:p>
        </w:tc>
        <w:tc>
          <w:tcPr>
            <w:tcW w:w="996" w:type="dxa"/>
            <w:noWrap w:val="0"/>
            <w:vAlign w:val="center"/>
          </w:tcPr>
          <w:p w14:paraId="3A2F1E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光电门传感器</w:t>
            </w:r>
          </w:p>
        </w:tc>
        <w:tc>
          <w:tcPr>
            <w:tcW w:w="6477" w:type="dxa"/>
            <w:noWrap w:val="0"/>
            <w:vAlign w:val="center"/>
          </w:tcPr>
          <w:p w14:paraId="76A154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门传感器配合通用接口，通过Lightning接口与采集器连接，支持正反盲插，具有热插拔功能。搭配采集器通过有线、无线方式连接电脑、手机或平板等终端进行数据采集，在终端上实时显示并记录物体的运动时间，可计算出物体的运动速度、加速度等，并绘制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整体为门式结构，正面有指示灯，两侧有固定用的螺丝孔，上部有光路遮挡指示灯，背面为固定螺孔、侧面为Lightning接口线。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1.用于测量物体通过光电门的挡光时间以及速度、加速度、动量、动能等物理量。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3.与采集器连接具有通电指示灯，可以快速判断是否正确连接。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5.无需校准，即连即用。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3.分辨率：1us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验证动量守恒定律、用光电门探究加速度与力、质量的关系、受迫振动、影响小车运动快慢的因素等</w:t>
            </w:r>
          </w:p>
        </w:tc>
        <w:tc>
          <w:tcPr>
            <w:tcW w:w="725" w:type="dxa"/>
            <w:noWrap w:val="0"/>
            <w:vAlign w:val="center"/>
          </w:tcPr>
          <w:p w14:paraId="7B36D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7" w:type="dxa"/>
            <w:noWrap w:val="0"/>
            <w:vAlign w:val="center"/>
          </w:tcPr>
          <w:p w14:paraId="75F6F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439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78BE9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2</w:t>
            </w:r>
          </w:p>
        </w:tc>
        <w:tc>
          <w:tcPr>
            <w:tcW w:w="996" w:type="dxa"/>
            <w:noWrap w:val="0"/>
            <w:vAlign w:val="center"/>
          </w:tcPr>
          <w:p w14:paraId="7C9B02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分体式位移传感器</w:t>
            </w:r>
          </w:p>
        </w:tc>
        <w:tc>
          <w:tcPr>
            <w:tcW w:w="6477" w:type="dxa"/>
            <w:noWrap w:val="0"/>
            <w:vAlign w:val="center"/>
          </w:tcPr>
          <w:p w14:paraId="581E75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式位移传感器配合通用接口，通过Lightning接口与采集器连接，支持正反盲插，具有热插拔功能。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分体式位移传感器分发射器和接收器两个部分，接收器一端带有Lightning接口线与采集器通用接口进行连接使用。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1.用于测量物体间的位移。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3.支持传感器校准。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1.量程：0~2m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2.精度：±2%F.S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3.分辨率：1</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探究弹簧的伸长特性、匀变速直线运动的位移与时间的关系、匀速直线运动的位移、验证胡克定律、探究弹簧弹力与形变量的关系等</w:t>
            </w:r>
          </w:p>
        </w:tc>
        <w:tc>
          <w:tcPr>
            <w:tcW w:w="725" w:type="dxa"/>
            <w:noWrap w:val="0"/>
            <w:vAlign w:val="center"/>
          </w:tcPr>
          <w:p w14:paraId="2DF72E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48CA16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259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4DA7C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996" w:type="dxa"/>
            <w:noWrap w:val="0"/>
            <w:vAlign w:val="center"/>
          </w:tcPr>
          <w:p w14:paraId="610A6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快速温度传感器</w:t>
            </w:r>
          </w:p>
        </w:tc>
        <w:tc>
          <w:tcPr>
            <w:tcW w:w="6477" w:type="dxa"/>
            <w:noWrap w:val="0"/>
            <w:vAlign w:val="center"/>
          </w:tcPr>
          <w:p w14:paraId="7EC4A9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温度传感器采用模块化设计，通过Lightning接口与采集器连接，具有热插拔功能。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传感器正面为电源指示灯，前端为探头插孔，后端为Lightning接口，附件为快速温度探头。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1.用于测量物体表面、气体、无腐蚀性酸碱等液体的温度。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3.快速温度探头为3.5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耳机插头，耳机插孔式连接，无干扰。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7.无需校准，即连即用。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1.量程：-25℃~100℃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功能转化、不同物质热传导性能的比较、红光外侧热效应等</w:t>
            </w:r>
          </w:p>
        </w:tc>
        <w:tc>
          <w:tcPr>
            <w:tcW w:w="725" w:type="dxa"/>
            <w:noWrap w:val="0"/>
            <w:vAlign w:val="center"/>
          </w:tcPr>
          <w:p w14:paraId="378778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20BA7C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345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2DEA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996" w:type="dxa"/>
            <w:noWrap w:val="0"/>
            <w:vAlign w:val="center"/>
          </w:tcPr>
          <w:p w14:paraId="386412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微电流传感器</w:t>
            </w:r>
          </w:p>
        </w:tc>
        <w:tc>
          <w:tcPr>
            <w:tcW w:w="6477" w:type="dxa"/>
            <w:noWrap w:val="0"/>
            <w:vAlign w:val="center"/>
          </w:tcPr>
          <w:p w14:paraId="52A8FB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电流传感器采用模块化设计，通过Lightning接口与采集器连接，具有热插拔功能。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1.用于测量电路中的微电流。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6.可以对微小的电流变化快速采样。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7.支持传感器校零。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1.量程：-10μA~10μA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3.分辨率：0.01μA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4.内阻：0.22Ω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探究感应电流的产生、地磁场发电机、电磁感应现象、用单匝线圈探究电磁感应现象、玻璃导电、温差电流、光电效应实验、人体发电等</w:t>
            </w:r>
          </w:p>
        </w:tc>
        <w:tc>
          <w:tcPr>
            <w:tcW w:w="725" w:type="dxa"/>
            <w:noWrap w:val="0"/>
            <w:vAlign w:val="center"/>
          </w:tcPr>
          <w:p w14:paraId="2BCEE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57838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690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0738C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996" w:type="dxa"/>
            <w:noWrap w:val="0"/>
            <w:vAlign w:val="center"/>
          </w:tcPr>
          <w:p w14:paraId="2BD499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毫电流传感器</w:t>
            </w:r>
          </w:p>
        </w:tc>
        <w:tc>
          <w:tcPr>
            <w:tcW w:w="6477" w:type="dxa"/>
            <w:noWrap w:val="0"/>
            <w:vAlign w:val="center"/>
          </w:tcPr>
          <w:p w14:paraId="0B227D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电流传感器采用模块化设计，通过Lightning接口与采集器连接，具有热插拔功能。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1.用于测量电路中毫安数量级的电流。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2.传感器采用模块化设计，可任意组合。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4.传感器上具有通电指示灯，可以快速判断是否正确连接。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5.搭配采集器可以在Windows、Android、iOS/iPadOS、MacOS、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OS、统信UOS、麒麟等系统上进行数据采集。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6.可以对微小的电流变化快速采样。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7.支持传感器校零。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1.量程：-20mA~20mA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2.精度：±1%F.S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3.分辨率：0.01mA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水果电池、电阻的串并联电路、热辐射研究、太阳能电池、自感现象等</w:t>
            </w:r>
          </w:p>
        </w:tc>
        <w:tc>
          <w:tcPr>
            <w:tcW w:w="725" w:type="dxa"/>
            <w:noWrap w:val="0"/>
            <w:vAlign w:val="center"/>
          </w:tcPr>
          <w:p w14:paraId="43CD4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5808B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E23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7261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996" w:type="dxa"/>
            <w:noWrap w:val="0"/>
            <w:vAlign w:val="center"/>
          </w:tcPr>
          <w:p w14:paraId="06EBB1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通用接口</w:t>
            </w:r>
          </w:p>
        </w:tc>
        <w:tc>
          <w:tcPr>
            <w:tcW w:w="6477" w:type="dxa"/>
            <w:noWrap w:val="0"/>
            <w:vAlign w:val="center"/>
          </w:tcPr>
          <w:p w14:paraId="79E425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一、结构及外观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通用接口正面为电源指示灯，前端、后端为Lightning接口，用于跟传感器的连接。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1.用于传感器与采集器的连接。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2.外壳采用ABS工程塑料，具有耐火、耐高温、阻燃等特性。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3.具有通电指示灯，可以快速判断是否正确连接。</w:t>
            </w:r>
          </w:p>
        </w:tc>
        <w:tc>
          <w:tcPr>
            <w:tcW w:w="725" w:type="dxa"/>
            <w:noWrap w:val="0"/>
            <w:vAlign w:val="center"/>
          </w:tcPr>
          <w:p w14:paraId="39240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7" w:type="dxa"/>
            <w:noWrap/>
            <w:vAlign w:val="center"/>
          </w:tcPr>
          <w:p w14:paraId="29C0C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2B3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2053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96" w:type="dxa"/>
            <w:noWrap w:val="0"/>
            <w:vAlign w:val="center"/>
          </w:tcPr>
          <w:p w14:paraId="48E3DA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手提式实验箱</w:t>
            </w:r>
          </w:p>
        </w:tc>
        <w:tc>
          <w:tcPr>
            <w:tcW w:w="6477" w:type="dxa"/>
            <w:noWrap w:val="0"/>
            <w:vAlign w:val="center"/>
          </w:tcPr>
          <w:p w14:paraId="0A7FB5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手提式箱式设计，可翻盖，采用ABS材质，外形尺寸（长宽高）：435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325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170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（两箱叠加高度H=330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最大承重：35公斤</w:t>
            </w:r>
            <w:r>
              <w:rPr>
                <w:rFonts w:hint="eastAsia" w:ascii="宋体" w:hAnsi="宋体" w:eastAsia="宋体" w:cs="宋体"/>
                <w:i w:val="0"/>
                <w:iCs w:val="0"/>
                <w:color w:val="000000"/>
                <w:kern w:val="0"/>
                <w:sz w:val="24"/>
                <w:szCs w:val="24"/>
                <w:u w:val="none"/>
                <w:lang w:val="en-US" w:eastAsia="zh-CN" w:bidi="ar"/>
              </w:rPr>
              <w:t>；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725" w:type="dxa"/>
            <w:noWrap w:val="0"/>
            <w:vAlign w:val="center"/>
          </w:tcPr>
          <w:p w14:paraId="2E5BA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6FBF52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C74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3FED8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96" w:type="dxa"/>
            <w:noWrap w:val="0"/>
            <w:vAlign w:val="center"/>
          </w:tcPr>
          <w:p w14:paraId="2FBCD8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用传感器探究杠杆的平衡条件实境增强实验系统</w:t>
            </w:r>
          </w:p>
        </w:tc>
        <w:tc>
          <w:tcPr>
            <w:tcW w:w="6477" w:type="dxa"/>
            <w:noWrap w:val="0"/>
            <w:vAlign w:val="center"/>
          </w:tcPr>
          <w:p w14:paraId="642B7A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一、系统清单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实境增强实验系统软件、探究杠杆的平衡条件实验箱、铁架台套件实验箱、杠杆、力和加速度传感器。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二、主要器材配置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1.实境增强实验系统软件：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含有“用传感器探究杠杆的平衡条件”AR软件，可以指导完成此实验。另还配有此实验的AR定位卡纸（A4尺寸），可以辅助完成器材的定位。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2.探究杠杆的平衡条件实验箱：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外箱参数：塑料箱：外形尺寸：380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；塑料箱；材质：pp塑料；</w:t>
            </w:r>
            <w:r>
              <w:rPr>
                <w:rFonts w:hint="eastAsia" w:ascii="宋体" w:hAnsi="宋体" w:eastAsia="宋体" w:cs="宋体"/>
                <w:i w:val="0"/>
                <w:iCs w:val="0"/>
                <w:color w:val="000000"/>
                <w:kern w:val="0"/>
                <w:sz w:val="24"/>
                <w:szCs w:val="24"/>
                <w:highlight w:val="none"/>
                <w:u w:val="none"/>
                <w:lang w:val="en-US" w:eastAsia="zh-CN" w:bidi="ar"/>
              </w:rPr>
              <w:t>最大承重：35公斤</w:t>
            </w:r>
            <w:r>
              <w:rPr>
                <w:rFonts w:hint="eastAsia" w:ascii="宋体" w:hAnsi="宋体" w:eastAsia="宋体" w:cs="宋体"/>
                <w:i w:val="0"/>
                <w:iCs w:val="0"/>
                <w:color w:val="000000"/>
                <w:kern w:val="0"/>
                <w:sz w:val="24"/>
                <w:szCs w:val="24"/>
                <w:u w:val="none"/>
                <w:lang w:val="en-US" w:eastAsia="zh-CN" w:bidi="ar"/>
              </w:rPr>
              <w:t>；内部含有内衬，保证每个器材都有对应的存放位置，便于快速、高效的整理和收纳。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内含部件：槽码托，10g槽码，50g槽码，2N弹簧测力计，固定杆，杠杆平衡螺母，直尺等。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3.铁架台套件实验箱：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外箱参数：塑料箱：外形尺寸：380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；塑料箱；材质：pp塑料；</w:t>
            </w:r>
            <w:r>
              <w:rPr>
                <w:rFonts w:hint="eastAsia" w:ascii="宋体" w:hAnsi="宋体" w:eastAsia="宋体" w:cs="宋体"/>
                <w:i w:val="0"/>
                <w:iCs w:val="0"/>
                <w:color w:val="000000"/>
                <w:kern w:val="0"/>
                <w:sz w:val="24"/>
                <w:szCs w:val="24"/>
                <w:highlight w:val="none"/>
                <w:u w:val="none"/>
                <w:lang w:val="en-US" w:eastAsia="zh-CN" w:bidi="ar"/>
              </w:rPr>
              <w:t>最大承重：35公斤；</w:t>
            </w:r>
            <w:r>
              <w:rPr>
                <w:rFonts w:hint="eastAsia" w:ascii="宋体" w:hAnsi="宋体" w:eastAsia="宋体" w:cs="宋体"/>
                <w:i w:val="0"/>
                <w:iCs w:val="0"/>
                <w:color w:val="000000"/>
                <w:kern w:val="0"/>
                <w:sz w:val="24"/>
                <w:szCs w:val="24"/>
                <w:u w:val="none"/>
                <w:lang w:val="en-US" w:eastAsia="zh-CN" w:bidi="ar"/>
              </w:rPr>
              <w:t>内部含有内衬，保证每个器材都有对应的存放位置，便于快速、高效的整理和收纳。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内含部件：铁架台底座，支撑杆，转接头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4.杠杆：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5.无线智能力和加速度传感器：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量程：力：-50N~50N，加速度：-16g~16g(156.8m/s²)，陀螺仪：-34.9rad/s~34.9rad/s；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分辨率：力：0.03N，加速度：0.01g，陀螺仪：0.01rad/s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精度：力：±1%F.S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采样速率：1000次/秒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（1）传感器内置蓝牙无线模块，使用蓝牙5.0技术，低功耗运行和待机。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传感器与数据采集终端（电脑、平板或手机）直接通过蓝牙无线连接，便于运动情况下的数据测量及各种实验环境中的数据采集，无需数据采集器；传感器多种测量多合为一，能够同时测量力、加速度和角速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（3）可脱机进行数据采集。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（4）传感器具有唯一蓝牙编号，便于数据终端选择性连接。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（5）可实现校准功能。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（6）连接方式：蓝牙无线或有线。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（7）节能方式：传感器打开电源，无连接或连接无活动，</w:t>
            </w:r>
            <w:r>
              <w:rPr>
                <w:rFonts w:hint="eastAsia"/>
                <w:sz w:val="24"/>
                <w:szCs w:val="24"/>
                <w:lang w:val="en-US" w:eastAsia="zh-CN"/>
              </w:rPr>
              <w:t>6</w:t>
            </w:r>
            <w:r>
              <w:rPr>
                <w:rFonts w:hint="eastAsia" w:ascii="宋体" w:hAnsi="宋体" w:eastAsia="宋体" w:cs="宋体"/>
                <w:i w:val="0"/>
                <w:iCs w:val="0"/>
                <w:color w:val="000000"/>
                <w:kern w:val="0"/>
                <w:sz w:val="24"/>
                <w:szCs w:val="24"/>
                <w:highlight w:val="none"/>
                <w:u w:val="none"/>
                <w:lang w:val="en-US" w:eastAsia="zh-CN" w:bidi="ar"/>
              </w:rPr>
              <w:t>分钟</w:t>
            </w:r>
            <w:r>
              <w:rPr>
                <w:rFonts w:hint="eastAsia" w:ascii="宋体" w:hAnsi="宋体" w:cs="宋体"/>
                <w:i w:val="0"/>
                <w:iCs w:val="0"/>
                <w:color w:val="000000"/>
                <w:kern w:val="0"/>
                <w:sz w:val="24"/>
                <w:szCs w:val="24"/>
                <w:u w:val="none"/>
                <w:lang w:val="en-US" w:eastAsia="zh-CN" w:bidi="ar"/>
              </w:rPr>
              <w:t>内</w:t>
            </w:r>
            <w:r>
              <w:rPr>
                <w:rFonts w:hint="eastAsia" w:ascii="宋体" w:hAnsi="宋体" w:eastAsia="宋体" w:cs="宋体"/>
                <w:i w:val="0"/>
                <w:iCs w:val="0"/>
                <w:color w:val="000000"/>
                <w:kern w:val="0"/>
                <w:sz w:val="24"/>
                <w:szCs w:val="24"/>
                <w:u w:val="none"/>
                <w:lang w:val="en-US" w:eastAsia="zh-CN" w:bidi="ar"/>
              </w:rPr>
              <w:t>自动关闭电源。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（8）支持固件空中升级。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（9）连续使用时间：≥30小时。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（10）通讯距离：≥30m（空旷无遮挡）。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三、系统功能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1.可以通过扫码或实验选择，在联网状态下快速进入具体的实验场景；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2.每个实验中，AR中的各元素的位置、动画都与该实验配套器材完全匹配；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3.AR中有小机器人逐步讲解实验的每步操作和要点，以及在实验末尾进行规律总结；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4.可以结合对现实实物的观察，对应每个局部，动画展现其内部结构。帮助学生对物品进行学习和认知；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5.可以结合现实现象，展示肉眼看不见的重要信息和规律。帮助学生对抽象事物的理解，构建完整知识框架；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6.AR模式可以连接真实的传感器无线连接，实时采集真实的实验数据，绘制表格或者图象；并且实验数据可以和动画联动，方便学生对规律的理解；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7.可以在AR软件中选择3D展示模型，脱离实验器，仍然可以观看所有实验步骤，且此实验步骤完全与AR中的对应。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四、实验和应用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完成AR实验：用传感器探究杠杆的平衡条件。在正常完成传统实验的基础上，还能实现：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1.AR虚拟机器人可以语音逐步指导实验的操作步骤，并且同时有对应文字呈现；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2.可连接力传感器，并且在AR软件上实时呈现传感器采集的真实数据；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3.可将传感器采集到的数据一键记录到AR软件的数据表中。表格可以进行缩放；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4.AR动画能显示出虚拟的动力和阻力的大小和方向、作用点、力臂；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5.在“3D演示”步骤中，可以自由改变力或力臂的大小，演示动画自动调节力的大小，满足杠杆平衡的条件；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6.在“改变动力的方向”步骤中，会显示当力的方向与杠杆不垂直时力臂的作法；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7.在“连续采集”步骤中，可以记录将力传感器从偏左移动到偏右过程中的F-t曲线；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8.在脱离器材的情况下，也能用3D动画呈现完整的实验步骤，并且和AR实验步骤完全相同。</w:t>
            </w:r>
          </w:p>
        </w:tc>
        <w:tc>
          <w:tcPr>
            <w:tcW w:w="725" w:type="dxa"/>
            <w:noWrap w:val="0"/>
            <w:vAlign w:val="center"/>
          </w:tcPr>
          <w:p w14:paraId="6A6625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0F2C4E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9BB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6591F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96" w:type="dxa"/>
            <w:noWrap w:val="0"/>
            <w:vAlign w:val="center"/>
          </w:tcPr>
          <w:p w14:paraId="71B6A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用传感器探究电流与电压、电阻的关系实境增强实验系统</w:t>
            </w:r>
          </w:p>
        </w:tc>
        <w:tc>
          <w:tcPr>
            <w:tcW w:w="6477" w:type="dxa"/>
            <w:noWrap w:val="0"/>
            <w:vAlign w:val="center"/>
          </w:tcPr>
          <w:p w14:paraId="296B8C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一、系统清单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实境增强实验系统软件、探究电流与电压和电阻的关系实验箱、无线智能电压传感器、无线智能电流传感器。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二、主要器材配置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1.实境增强实验系统软件：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含有“用传感器探究电流与电压、电阻的关系”AR软件，可以指导完成此实验。另还配有此实验的AR定位卡纸（A2尺寸），可以辅助完成器材的定位。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2.探究电流与电压和电阻的关系实验箱：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外箱参数：塑料箱：外形尺寸：380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；材质：pp塑料；</w:t>
            </w:r>
            <w:r>
              <w:rPr>
                <w:rFonts w:hint="eastAsia" w:ascii="宋体" w:hAnsi="宋体" w:eastAsia="宋体" w:cs="宋体"/>
                <w:i w:val="0"/>
                <w:iCs w:val="0"/>
                <w:color w:val="000000"/>
                <w:kern w:val="0"/>
                <w:sz w:val="24"/>
                <w:szCs w:val="24"/>
                <w:highlight w:val="none"/>
                <w:u w:val="none"/>
                <w:lang w:val="en-US" w:eastAsia="zh-CN" w:bidi="ar"/>
              </w:rPr>
              <w:t>最大承重：35公斤</w:t>
            </w:r>
            <w:r>
              <w:rPr>
                <w:rFonts w:hint="eastAsia" w:ascii="宋体" w:hAnsi="宋体" w:eastAsia="宋体" w:cs="宋体"/>
                <w:i w:val="0"/>
                <w:iCs w:val="0"/>
                <w:color w:val="000000"/>
                <w:kern w:val="0"/>
                <w:sz w:val="24"/>
                <w:szCs w:val="24"/>
                <w:u w:val="none"/>
                <w:lang w:val="en-US" w:eastAsia="zh-CN" w:bidi="ar"/>
              </w:rPr>
              <w:t>；内部含有内衬，保证每个器材都有对应的存放位置，便于快速、高效的整理和收纳。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内含部件：5Ω电阻模块、10Ω电阻模块、20Ω电阻模块、50Ω电阻模块、红色导线、黑色导线、指针式电压表、指针式电流表、滑动变阻器。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3.无线智能电压传感器：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量程：-30V~30V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分辨率：0.02V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精度：±1%F.S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采样速率：蓝牙：1000次/秒；USB：10000次/秒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（1）传感器内置蓝牙无线模块，使用蓝牙5.0技术，低功耗运行和待机。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（2）传感器与数据采集终端（电脑、平板或手机）直接通过蓝牙无线连接，便于运动情况下的数据测量及各种实验环境中的数据采集，无需数据采集器。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（3）可脱机进行数据采集.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（4）传感器具有唯一蓝牙编号，便于数据终端选择性连接。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（5）可实现校零功能。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（6）连接方式：蓝牙无线或有线。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（7）节能方式：传感器打开电源，无连接或连接无活动，</w:t>
            </w:r>
            <w:r>
              <w:rPr>
                <w:rFonts w:hint="eastAsia"/>
                <w:sz w:val="24"/>
                <w:szCs w:val="24"/>
                <w:lang w:val="en-US" w:eastAsia="zh-CN"/>
              </w:rPr>
              <w:t>6</w:t>
            </w:r>
            <w:r>
              <w:rPr>
                <w:rFonts w:hint="eastAsia" w:ascii="宋体" w:hAnsi="宋体" w:eastAsia="宋体" w:cs="宋体"/>
                <w:i w:val="0"/>
                <w:iCs w:val="0"/>
                <w:color w:val="000000"/>
                <w:kern w:val="0"/>
                <w:sz w:val="24"/>
                <w:szCs w:val="24"/>
                <w:highlight w:val="none"/>
                <w:u w:val="none"/>
                <w:lang w:val="en-US" w:eastAsia="zh-CN" w:bidi="ar"/>
              </w:rPr>
              <w:t>分钟</w:t>
            </w:r>
            <w:r>
              <w:rPr>
                <w:rFonts w:hint="eastAsia" w:ascii="宋体" w:hAnsi="宋体" w:cs="宋体"/>
                <w:i w:val="0"/>
                <w:iCs w:val="0"/>
                <w:color w:val="000000"/>
                <w:kern w:val="0"/>
                <w:sz w:val="24"/>
                <w:szCs w:val="24"/>
                <w:u w:val="none"/>
                <w:lang w:val="en-US" w:eastAsia="zh-CN" w:bidi="ar"/>
              </w:rPr>
              <w:t>内</w:t>
            </w:r>
            <w:r>
              <w:rPr>
                <w:rFonts w:hint="eastAsia" w:ascii="宋体" w:hAnsi="宋体" w:eastAsia="宋体" w:cs="宋体"/>
                <w:i w:val="0"/>
                <w:iCs w:val="0"/>
                <w:color w:val="000000"/>
                <w:kern w:val="0"/>
                <w:sz w:val="24"/>
                <w:szCs w:val="24"/>
                <w:u w:val="none"/>
                <w:lang w:val="en-US" w:eastAsia="zh-CN" w:bidi="ar"/>
              </w:rPr>
              <w:t>自动关闭电源。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（8）支持固件空中升级。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（9）连续使用时间：≥30小时。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（10）通讯距离：≥30m（空旷无遮挡）。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4.无线智能电流传感器：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量程：-1A~1A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分辨率：0.5mA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精度：±1%F.S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采样速率：蓝牙：1000次/秒；USB：10000次/秒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（1）传感器内置蓝牙无线模块，使用蓝牙5.0技术，低功耗运行和待机。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（2）传感器与数据采集终端（电脑、平板或手机）直接通过蓝牙无线连接，便于运动情况下的数据测量及各种实验环境中的数据采集，无需数据采集器。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（3）可脱机进行数据采集。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（4）传感器具有唯一蓝牙编号，便于数据终端选择性连接。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（5）可实现校零功能。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（6）连接方式：蓝牙无线或有线。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（7）节能方式：传感器打开电源，无连接或连接无活动，</w:t>
            </w:r>
            <w:r>
              <w:rPr>
                <w:rFonts w:hint="eastAsia"/>
                <w:sz w:val="24"/>
                <w:szCs w:val="24"/>
                <w:lang w:val="en-US" w:eastAsia="zh-CN"/>
              </w:rPr>
              <w:t>6</w:t>
            </w:r>
            <w:r>
              <w:rPr>
                <w:rFonts w:hint="eastAsia" w:ascii="宋体" w:hAnsi="宋体" w:eastAsia="宋体" w:cs="宋体"/>
                <w:i w:val="0"/>
                <w:iCs w:val="0"/>
                <w:color w:val="000000"/>
                <w:kern w:val="0"/>
                <w:sz w:val="24"/>
                <w:szCs w:val="24"/>
                <w:highlight w:val="none"/>
                <w:u w:val="none"/>
                <w:lang w:val="en-US" w:eastAsia="zh-CN" w:bidi="ar"/>
              </w:rPr>
              <w:t>分钟</w:t>
            </w:r>
            <w:r>
              <w:rPr>
                <w:rFonts w:hint="eastAsia" w:ascii="宋体" w:hAnsi="宋体" w:cs="宋体"/>
                <w:i w:val="0"/>
                <w:iCs w:val="0"/>
                <w:color w:val="000000"/>
                <w:kern w:val="0"/>
                <w:sz w:val="24"/>
                <w:szCs w:val="24"/>
                <w:u w:val="none"/>
                <w:lang w:val="en-US" w:eastAsia="zh-CN" w:bidi="ar"/>
              </w:rPr>
              <w:t>内</w:t>
            </w:r>
            <w:r>
              <w:rPr>
                <w:rFonts w:hint="eastAsia" w:ascii="宋体" w:hAnsi="宋体" w:eastAsia="宋体" w:cs="宋体"/>
                <w:i w:val="0"/>
                <w:iCs w:val="0"/>
                <w:color w:val="000000"/>
                <w:kern w:val="0"/>
                <w:sz w:val="24"/>
                <w:szCs w:val="24"/>
                <w:u w:val="none"/>
                <w:lang w:val="en-US" w:eastAsia="zh-CN" w:bidi="ar"/>
              </w:rPr>
              <w:t>自动关闭电源。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（8）支持固件空中升级。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（9）连续使用时间：≥30小时。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（10）通讯距离：≥30m（空旷无遮挡）。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三、系统功能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1.可以通过扫码或实验选择，在联网状态下快速进入具体的实验场景；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2.每个实验中，AR中的各元素的位置、动画都与该实验配套器材完全匹配；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3.AR中有小机器人逐步讲解实验的每步操作和要点，以及在实验末尾进行规律总结；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4.可以结合对现实实物的观察，对应每个局部，动画展现其内部结构。帮助学生对物品进行学习和认知；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5.可以结合现实现象，展示肉眼看不见的重要信息和规律。帮助学生对抽象事物的理解，构建完整知识框架；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6.AR模式可以连接真实的传感器无线连接，实时采集真实的实验数据，绘制表格或者图象；并且实验数据可以和动画联动，方便学生对规律的理解；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7.可以在AR软件中选择3D展示模型，脱离实验器，仍然可以观看所有实验步骤，且此实验步骤完全与AR中的对应。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四、实验和应用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辅助实境增强实验系统完成AR实验：用传感器探究电流与电压和电阻的关系。在正常完成数字化实验的基础上，还能实现：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1.AR虚拟机器人可以语音逐步指导实验的搭建和操作步骤，并且同时有对应文字呈现；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2.可连接电压和电流传感器，并且在AR软件上实时呈现传感器采集的真实数据；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3.可以将实验数据采集入AR软件的数据表中。表格可以进行缩放；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4.AR实验中，可以动画展示电子的流动；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5.AR动画将电动势类比成重力势能，方便理解；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6.在脱离器材的情况下，也能用3D动画呈现完整的实验步骤，并且和AR实验步骤完全相同。</w:t>
            </w:r>
          </w:p>
        </w:tc>
        <w:tc>
          <w:tcPr>
            <w:tcW w:w="725" w:type="dxa"/>
            <w:noWrap w:val="0"/>
            <w:vAlign w:val="center"/>
          </w:tcPr>
          <w:p w14:paraId="4AA73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0810A3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D22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099DD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96" w:type="dxa"/>
            <w:noWrap w:val="0"/>
            <w:vAlign w:val="center"/>
          </w:tcPr>
          <w:p w14:paraId="42019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小车导轨</w:t>
            </w:r>
          </w:p>
        </w:tc>
        <w:tc>
          <w:tcPr>
            <w:tcW w:w="6477" w:type="dxa"/>
            <w:noWrap w:val="0"/>
            <w:vAlign w:val="center"/>
          </w:tcPr>
          <w:p w14:paraId="1F7898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微型L型支架1个、多功能导轨1个（1.2m）、动力学小车1个、L型支架2个、宽L型支架、L型滑轮组、砝码5个（2g）、钩码1个（10g）、钩码1个（20g）、砝码3个（50g）、小龙虾扣2个、细绳1卷、U型挡光片1个、小桶1个、缓冲器组件1个、U型滑轮组件1个、紧固件1宗、梅花螺丝2个（M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）、六角螺丝1个（M6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）、六角螺丝5个（M6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）、手紧螺丝1个（M4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）、手紧螺丝2个（M6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）、螺杆螺母1套（M4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）、蝶形螺母6个（M6），备用小车轮2个、燕尾螺丝1个（M5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）、手紧螺丝1个（M6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）、蝶形螺丝1个（M4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1.用于动力学为核心的包含位移、时间、速度、加速度等物理量等实验。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小车导轨是一套能完成初高中动力学实验的实验平台，实验器功能多样，配件齐全，轨道预留多种传感器固定孔及光电门固定支架，可搭配位移传感器、分体式位移传感器、光电门传感器等不同组合进行实验，测得小车各类运动数据，并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OS、统信UOS、麒麟等系统终端上实时呈现数据，支持各类动力学DIY设计实验。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3.专用动力学小车，车轮刀片式设计，与轨道摩擦小，具有弹簧减震结构，有效保证小车在同一平面直线运动。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4.动力学小车预留力钩柱、紧固件螺口、挡光片的专用手拧螺丝接口，可快速安装对应的拉力组件、砝码、挡光片等配件。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5.滑轮及车轮轮轴摩擦力极小，能有效减小轮轴摩擦对实验的影响。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6.导轨采用铝型材，坚固耐用，导轨两侧标有清晰的刻度，可直接读取小车运动距离，导轨面具有小车运动槽，保证小车不脱轨。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匀变速直线运动的位移与时间的关系、借助传感器用计算机测速度、匀速直线运动的位移、匀变速直线运动的速度与时间的关系、探究加速度与拉力的关系、 探究加速度与质量的关系、用两个光电门测加速度等实验</w:t>
            </w:r>
          </w:p>
        </w:tc>
        <w:tc>
          <w:tcPr>
            <w:tcW w:w="725" w:type="dxa"/>
            <w:noWrap w:val="0"/>
            <w:vAlign w:val="center"/>
          </w:tcPr>
          <w:p w14:paraId="35BF48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61515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992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08FC4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96" w:type="dxa"/>
            <w:noWrap w:val="0"/>
            <w:vAlign w:val="center"/>
          </w:tcPr>
          <w:p w14:paraId="06AE7A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数字化摩擦力实验器</w:t>
            </w:r>
          </w:p>
        </w:tc>
        <w:tc>
          <w:tcPr>
            <w:tcW w:w="6477" w:type="dxa"/>
            <w:noWrap w:val="0"/>
            <w:vAlign w:val="center"/>
          </w:tcPr>
          <w:p w14:paraId="1A81F0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小车控制部件、小车（内置力传感器（-10N～10N），2.0与4.0双模蓝牙模块）、轨道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2（600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，含三种不同摩擦面：软木塞面、毛毡面、聚四氟乙烯面）、金属配重块、数据线、蓝牙适配器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1.用于摩擦力实验，探究摩擦面、压力、运动速度、接触面积等因素对摩擦力大小的影响。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2.小车控制部件拉动小车在轨道上匀速运动，通过内置的力传感器测得小车在运动过程中所受拉力的大小，并在Windows、Android、iOS/iPadOS、MacOS、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3.小车控制部件内置可调匀速电机，提供快、中、慢三档速度，具有正转、反转、停止功能；通过切换不同的档位改变小车运动速度，探究运动速度对摩擦力大小的影响。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4.通过翻转小车方式改变接触面积，探究接触面积对摩擦力大小的影响。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5.轨道与控制部件插拔式连接，便于轨道面的快速更换，通过更换不同的轨道面来探究摩擦面粗糙程度对摩擦力大小的影响。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6.通过添加金属配重块的方式改变压力大小，从而探究压力对摩擦力大小的影响。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7.小车控制部件内置位移识别装置，支持轨道末端小车智能停止功能。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8.轨道内置测力识别区域，使测量数据精确。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9.通过移动终端扫描仪器上的二维码可浏览该仪器配套的实验指导和使用说明。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10.可支持有线、无线两种工作方式。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11.配套专用实验软件，预设模板，单次测量自动记录，多次测量自动计算出平均值，以表格和曲线等形式自动记录数据变化情况，实验结果直观明显。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摩擦面粗糙程度、压力、运动速度、接触面积等因素对摩擦力大小的影响等实验</w:t>
            </w:r>
          </w:p>
        </w:tc>
        <w:tc>
          <w:tcPr>
            <w:tcW w:w="725" w:type="dxa"/>
            <w:noWrap w:val="0"/>
            <w:vAlign w:val="center"/>
          </w:tcPr>
          <w:p w14:paraId="7F95F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504845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B82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0B0C6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96" w:type="dxa"/>
            <w:noWrap w:val="0"/>
            <w:vAlign w:val="center"/>
          </w:tcPr>
          <w:p w14:paraId="5404E7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牛顿第三定律</w:t>
            </w:r>
          </w:p>
        </w:tc>
        <w:tc>
          <w:tcPr>
            <w:tcW w:w="6477" w:type="dxa"/>
            <w:noWrap w:val="0"/>
            <w:vAlign w:val="center"/>
          </w:tcPr>
          <w:p w14:paraId="2FF3EB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底板部件、磁铁部件（N极2个、S极1个）、滑块部件、连接杆部件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1.用于牛顿第三定律实验。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2.底板部件与滑块部件可保证两个作用力在同一直线上受力，配合两个力传感器，测得两个力的具体数值和变化趋势，并在Windows、Android、iOS/iPadOS、MacOS、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OS、统信UOS、麒麟等系统终端上实时呈现数据，实验规律明显。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3.通过更换力传感器间的连接装置磁铁部件或连接杆部件，可探究非接触性力或接触性力下的的相互作用和牛顿第三定律。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4.专用软件可描绘出力的变化曲线，并进行“映像”使两个力分布与轴线两侧，利于学生理解力的相互作用原理。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5.通过移动终端扫描仪器上的二维码可浏览该仪器配套的实验指导和使用说明。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力的作用是相互的、牛顿第三定律等实验</w:t>
            </w:r>
          </w:p>
        </w:tc>
        <w:tc>
          <w:tcPr>
            <w:tcW w:w="725" w:type="dxa"/>
            <w:noWrap w:val="0"/>
            <w:vAlign w:val="center"/>
          </w:tcPr>
          <w:p w14:paraId="578C4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470F6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447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37CF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96" w:type="dxa"/>
            <w:noWrap w:val="0"/>
            <w:vAlign w:val="center"/>
          </w:tcPr>
          <w:p w14:paraId="60522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初中电学实验板</w:t>
            </w:r>
          </w:p>
        </w:tc>
        <w:tc>
          <w:tcPr>
            <w:tcW w:w="6477" w:type="dxa"/>
            <w:noWrap w:val="0"/>
            <w:vAlign w:val="center"/>
          </w:tcPr>
          <w:p w14:paraId="1640D2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6种实验电路板（含欧姆定律、导体的伏安特性、限流法测灯泡的伏安特性、电阻的串并联、伏安法测电阻、电磁感应现象）、香蕉头导线、鳄鱼夹。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每块板的尺寸为：120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1.用于初中电学类实验，如欧姆定律、导体的伏安特性、电阻的串并联等。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2.集成电路，实验方便快捷。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3.插拔式接线口，接线简便牢靠，实验稳定。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4.适配电学类传感器测量数值并在Windows、Android、iOS/iPadOS、MacOS、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OS、统信UOS、麒麟等系统终端上实时呈现，也可接入指针式电表，满足数字化和传统不同形式实验教学要求，实验设计灵活。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5.实验丰富，基本涵盖电学类初中分组及演示实验。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欧姆定律实验、导体的伏安特性实验、限流法测灯泡的伏安特性实验、电阻的串并联实验、伏安法测电阻实验、电磁感应实验</w:t>
            </w:r>
          </w:p>
        </w:tc>
        <w:tc>
          <w:tcPr>
            <w:tcW w:w="725" w:type="dxa"/>
            <w:noWrap w:val="0"/>
            <w:vAlign w:val="center"/>
          </w:tcPr>
          <w:p w14:paraId="4EA2E8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3F913B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3D8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EF3CC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96" w:type="dxa"/>
            <w:noWrap w:val="0"/>
            <w:vAlign w:val="center"/>
          </w:tcPr>
          <w:p w14:paraId="76843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阿基米德原理实验器</w:t>
            </w:r>
          </w:p>
        </w:tc>
        <w:tc>
          <w:tcPr>
            <w:tcW w:w="6477" w:type="dxa"/>
            <w:noWrap w:val="0"/>
            <w:vAlign w:val="center"/>
          </w:tcPr>
          <w:p w14:paraId="04F4F4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升降铁架台、电子称托盘组件、重物、溢杯1个、量杯2个、手紧螺丝2个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1.用于阿基米德原理实验，探究浸在液体中的物体所受的浮力的大小等于被物体排开的液体所受的重力。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溢流法，学生容易理解，配合上下两个力传感器，可直接测量物重和排开水的重力，软件自动记录和计算重物所受浮力与排开水重力进行对比，并以数值、表格、图形等形式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OS、统信UOS、麒麟等系统终端上实时呈现数据，数据采集精确。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3.升降铁架台采用齿轮式升降结构，重物下降平稳，有效减小实验误差。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4.重物采用流线体构造，有效减小水面张力等因素对实验结果的影响。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阿基米德原理等实验</w:t>
            </w:r>
          </w:p>
        </w:tc>
        <w:tc>
          <w:tcPr>
            <w:tcW w:w="725" w:type="dxa"/>
            <w:noWrap w:val="0"/>
            <w:vAlign w:val="center"/>
          </w:tcPr>
          <w:p w14:paraId="0902BD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1C105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2E6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36A76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96" w:type="dxa"/>
            <w:noWrap w:val="0"/>
            <w:vAlign w:val="center"/>
          </w:tcPr>
          <w:p w14:paraId="7CDE7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红光外侧热效应实验器</w:t>
            </w:r>
          </w:p>
        </w:tc>
        <w:tc>
          <w:tcPr>
            <w:tcW w:w="6477" w:type="dxa"/>
            <w:noWrap w:val="0"/>
            <w:vAlign w:val="center"/>
          </w:tcPr>
          <w:p w14:paraId="2AC7E5B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光源主体（内含卤素灯、凸透镜、散热系统、三棱镜固定座）、屏幕主体（内含白屏固定座、铝制光学导轨、凸透镜聚焦系统、快速温度传感器探头）、三棱镜、白屏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1.用于探究红光外侧热效应实验。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2.通过光源主体发射平行光，经三棱镜折射后在白屏上得到一条明显的光的色散图，配合快速温度传感器可测得不同色光区域的温度，在Windows、Android、iOS/iPadOS、MacOS、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3.屏幕主体与光源主体之间做扇形等距移动，保证不同色光测温距离相等，有效降低实验系统误差。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4.光源主体内部卤素灯模拟太阳光光谱，不受光源条件的影响，通电后可随时实验且实验效果明显。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5.配合快速温度传感器，可在2分钟内看到明显的温度变化。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6.终端软件每次计时30秒，保证不同色光都能达到稳定区间后记录温度;</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7.搭配采集器可支持有线、无线两种工作方式。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使用平行光源得到色散现象</w:t>
            </w:r>
          </w:p>
          <w:p w14:paraId="503C991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以光源为圆心的弧上进行移动，测量不同颜色的光和红光外侧进行测量对比</w:t>
            </w:r>
          </w:p>
          <w:p w14:paraId="0EC1F6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所用实验软件带有摄像头功能，可以实现现实实验与视频展示同步</w:t>
            </w:r>
          </w:p>
          <w:p w14:paraId="1F6615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实验软件可以将学生的实验信息提供给</w:t>
            </w:r>
            <w:r>
              <w:rPr>
                <w:rFonts w:hint="eastAsia" w:ascii="宋体" w:hAnsi="宋体" w:cs="宋体"/>
                <w:i w:val="0"/>
                <w:iCs w:val="0"/>
                <w:color w:val="000000"/>
                <w:kern w:val="0"/>
                <w:sz w:val="24"/>
                <w:szCs w:val="24"/>
                <w:u w:val="none"/>
                <w:lang w:val="en-US" w:eastAsia="zh-CN" w:bidi="ar"/>
              </w:rPr>
              <w:t>教</w:t>
            </w:r>
            <w:r>
              <w:rPr>
                <w:rFonts w:hint="eastAsia" w:ascii="宋体" w:hAnsi="宋体" w:eastAsia="宋体" w:cs="宋体"/>
                <w:i w:val="0"/>
                <w:iCs w:val="0"/>
                <w:color w:val="000000"/>
                <w:kern w:val="0"/>
                <w:sz w:val="24"/>
                <w:szCs w:val="24"/>
                <w:u w:val="none"/>
                <w:lang w:val="en-US" w:eastAsia="zh-CN" w:bidi="ar"/>
              </w:rPr>
              <w:t>师端</w:t>
            </w:r>
          </w:p>
          <w:p w14:paraId="74E8CC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在平台上可以在线查到指导手册，并且指导手册中必须包括：操作步骤、器材图、软件结果图</w:t>
            </w:r>
          </w:p>
        </w:tc>
        <w:tc>
          <w:tcPr>
            <w:tcW w:w="725" w:type="dxa"/>
            <w:noWrap w:val="0"/>
            <w:vAlign w:val="center"/>
          </w:tcPr>
          <w:p w14:paraId="154010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0366EE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0F1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88B8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96" w:type="dxa"/>
            <w:noWrap w:val="0"/>
            <w:vAlign w:val="center"/>
          </w:tcPr>
          <w:p w14:paraId="4F5BD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电阻定律实验器Ⅱ</w:t>
            </w:r>
          </w:p>
        </w:tc>
        <w:tc>
          <w:tcPr>
            <w:tcW w:w="6477" w:type="dxa"/>
            <w:noWrap w:val="0"/>
            <w:vAlign w:val="center"/>
          </w:tcPr>
          <w:p w14:paraId="50114E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亚克力底座、镍铬丝（0.2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）、镍铬丝（0.4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）、镍铬丝（0.6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）、锰铜丝（0.6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）、铁铬丝（0.6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）、夹式测试钩1对（带4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插孔钩）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1.用于电阻定律实验，探究电阻的材料、长度、横截面积对导体电阻大小的影响。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2.电阻定律实验器配合电源、电流传感器，通过传感器测得的电流大小来比较接入的金属丝电阻大小，在Windows、Android、iOS/iPadOS、MacOS、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3.夹式测试钩可自由选择接入金属丝的长度，探究导体长度对电阻的影响。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4.提供三种材料相同，直径不同的金属丝，便于探究导体横截面积对电阻的影响。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5.提供三条直径相同的材料不同的镍铬丝、锰铜丝、铁铬丝，探究导体材料对电阻的影响。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6.底座标有刻度及金属丝的名称和直径，并在每条金属丝下方标有长度标记，可直接读出长度数值。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7.通过移动终端扫描仪器上的二维码可浏览该仪器配套的实验指导和使用说明。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探究电阻的影响因素等实验</w:t>
            </w:r>
          </w:p>
        </w:tc>
        <w:tc>
          <w:tcPr>
            <w:tcW w:w="725" w:type="dxa"/>
            <w:noWrap w:val="0"/>
            <w:vAlign w:val="center"/>
          </w:tcPr>
          <w:p w14:paraId="44FB53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39FD9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54D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2CB53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96" w:type="dxa"/>
            <w:noWrap w:val="0"/>
            <w:vAlign w:val="center"/>
          </w:tcPr>
          <w:p w14:paraId="7F2E6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水的沸腾实验器（初中）</w:t>
            </w:r>
          </w:p>
        </w:tc>
        <w:tc>
          <w:tcPr>
            <w:tcW w:w="6477" w:type="dxa"/>
            <w:noWrap w:val="0"/>
            <w:vAlign w:val="center"/>
          </w:tcPr>
          <w:p w14:paraId="44A075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铁架台、不锈钢酒精灯、大铁圈、石棉网、烧杯（250mL）、转接头、温度传感器固定杆、手紧螺丝、纸盖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1.用于物理“汽化”实验，探究水沸腾时的现象以及热水持续沸腾的条件。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温度传感器固定杆具备三个不同位置的安装孔，可根据实验需要调节探头不同位置，支持同时接入多个温度传感器并可控制传感器探头等高等距，测量水温及其变化过程，也可探究同一杯水不同位置的温度变化规律，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3.酒精灯为不锈钢材质，高强度高硬度，经久耐用，灯芯与灯体紧密结合，加注口采用螺口设计，有效防止酒精倾倒造成酒精外流，安全性高。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4.配备纸盖，可有效保温并防止冷凝水回流对实验造成影响。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探究水沸腾前后的温度变化、气泡上升的变化规律、热水持续沸腾的条件等实验。</w:t>
            </w:r>
          </w:p>
        </w:tc>
        <w:tc>
          <w:tcPr>
            <w:tcW w:w="725" w:type="dxa"/>
            <w:noWrap w:val="0"/>
            <w:vAlign w:val="center"/>
          </w:tcPr>
          <w:p w14:paraId="1AD49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28222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3EF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21693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96" w:type="dxa"/>
            <w:noWrap w:val="0"/>
            <w:vAlign w:val="center"/>
          </w:tcPr>
          <w:p w14:paraId="4A6218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胡克定律实验器</w:t>
            </w:r>
          </w:p>
        </w:tc>
        <w:tc>
          <w:tcPr>
            <w:tcW w:w="6477" w:type="dxa"/>
            <w:noWrap w:val="0"/>
            <w:vAlign w:val="center"/>
          </w:tcPr>
          <w:p w14:paraId="3ACE46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实验器主体（含面板、铁架台、传感器固定座）、弹簧组件（内置拉力限量和弹力系数不同的5个弹簧）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1.用于探究弹簧的伸长特性、弹簧伸长量与弹力的关系等实验。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2.配合力传感器和位移传感器使用可得到准确的数据，并在Windows、Android、iOS/iPadOS、MacOS、 Linu</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、Harmony OS、统信UOS、麒麟等系统终端上实时呈现数据，实验结果明显。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3.面板标有刻度，学生使用过程中可根据刻度计算，加深学生对实验的理解。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4.实验器具有传感器固定座，与传感器适配性高，搭建简单，减轻器材准备负担，满足演示及分组实验，让课堂教学高效。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5.提供5个弹力系数不同的弹簧，可探究弹性系数对弹力的影响。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6.通过移动终端扫描仪器上的二维码可浏览该仪器配套的实验指导和使用说明。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7.配套专用实验软件，预设模板，以表格和曲线等形式自动记录数据变化情况，实验结果直观明显。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弹簧的伸长特性、研究弹簧伸长量与弹力的关系等实验</w:t>
            </w:r>
          </w:p>
        </w:tc>
        <w:tc>
          <w:tcPr>
            <w:tcW w:w="725" w:type="dxa"/>
            <w:noWrap w:val="0"/>
            <w:vAlign w:val="center"/>
          </w:tcPr>
          <w:p w14:paraId="44EC04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25117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782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E413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96" w:type="dxa"/>
            <w:noWrap w:val="0"/>
            <w:vAlign w:val="center"/>
          </w:tcPr>
          <w:p w14:paraId="04D35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数字化实验系统</w:t>
            </w:r>
          </w:p>
        </w:tc>
        <w:tc>
          <w:tcPr>
            <w:tcW w:w="6477" w:type="dxa"/>
            <w:noWrap w:val="0"/>
            <w:vAlign w:val="center"/>
          </w:tcPr>
          <w:p w14:paraId="69564DC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支持windows、ios、android操作系统；</w:t>
            </w:r>
          </w:p>
          <w:p w14:paraId="57C4C8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支持有线连接，无线蓝牙连接，传感器自动识别，蓝牙传输会根据设备距离进行排序，便于分组实验的展开；</w:t>
            </w:r>
          </w:p>
          <w:p w14:paraId="5AF05D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可同时连接多个采集器，并支持多个采集器同时工作；可同时支持20个传感器同时采集；</w:t>
            </w:r>
          </w:p>
          <w:p w14:paraId="471A2A3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通用界面采用多种功能风格显示，并且可自定义界面设计；</w:t>
            </w:r>
          </w:p>
          <w:p w14:paraId="0A67E5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通过坐标图像曲线、表格、数值、仪表盘等方式，实时、直观、精确显示实验数据；</w:t>
            </w:r>
          </w:p>
          <w:p w14:paraId="07015D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根据实验需要，可进行公式（变量）编辑，自主添加实验变量（或增量等），并通过公式编辑实现不同物理量之间的转换；</w:t>
            </w:r>
          </w:p>
          <w:p w14:paraId="4BDC83C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可对数据图表操作，包括对图表的移动、缩放、改变曲线颜色及粗细等，极大方便实验前后的数据分析处理，适合于教学中实验结果的精确测定与验证；</w:t>
            </w:r>
          </w:p>
          <w:p w14:paraId="23F204B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具有完善的数据处理功能，包含多种数据拟合：导数拟合、直线拟合、双曲线拟合、抛物线拟合等；</w:t>
            </w:r>
          </w:p>
          <w:p w14:paraId="545FDFF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可根据需求将实验及实验结果以不同方式保存，可后续查看或继续对结果进行编辑操作；</w:t>
            </w:r>
          </w:p>
          <w:p w14:paraId="0AE2BD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包含小学科学、初中物理、初中化学、初中生物、高中物理、高中生物、高中化学7个专用实验模块，全定制化的实验界面及实验操作，贴合教学过程；</w:t>
            </w:r>
          </w:p>
        </w:tc>
        <w:tc>
          <w:tcPr>
            <w:tcW w:w="725" w:type="dxa"/>
            <w:noWrap w:val="0"/>
            <w:vAlign w:val="center"/>
          </w:tcPr>
          <w:p w14:paraId="7FD5D0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4DC26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61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0E61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996" w:type="dxa"/>
            <w:noWrap w:val="0"/>
            <w:vAlign w:val="center"/>
          </w:tcPr>
          <w:p w14:paraId="43E6D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实验资源管理云平台（初中物理）</w:t>
            </w:r>
          </w:p>
        </w:tc>
        <w:tc>
          <w:tcPr>
            <w:tcW w:w="6477" w:type="dxa"/>
            <w:noWrap w:val="0"/>
            <w:vAlign w:val="center"/>
          </w:tcPr>
          <w:p w14:paraId="1B9A97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实验资源管理云平台涵盖了实验课程、实验视频、实验方案、实验仪器的基于云端的管理平台：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云端多学校管理方式，子学校独立运营维护。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独立的子学校实验库+海量的云端实验库助力，目前云端实验库已有1000+教学实验，单个实验方案涵盖教师指导页，学生指导页和学生报告页，以此巩固课前预习，课中练习，课后复习的教学模式。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独立的子学校仪器库+云端仪器库，一键可知仪器可做实验，一键打印实验课所需仪器准备清单。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云平台同步实验课程计划，从备课组长学期备课，到老师同步预约上课，实验室管理员审核，实验课的仪器准备，打造全链式的智能化管理。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数据统计，自动化实时统计学校的实验课情况，开课率，完成率，实验室使用率，仪器使用率，仪器损耗情况，仪器采购情况等。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平台围绕这些核心功能提供了一系列辅助功能，推动学校的智能化管理，如仓库实验室管理，库存管理，年级组管理，课程编排，系统管理，心愿单管理。为老师提高探究水平，可视化掌握学校已有仪器资源，并应用在教学中，透明化的云平台，提升了老师间相互促进的环境，为学校教育资源同步到同一水平提供了可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学校账号角色和数量：①、学校管理员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1；②、实验室总管理员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1；③、理化生三个学科实验室管理员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2（实验室总管理员兼任一个学科管理员）；④、理化生三个学科备课组长各年级各1个</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9（共9个）；⑤、理化生三个学科教师各年级各10个</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9（共90个）；共计：103个账号。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支持数字化实验系统软件在平台注册和登录，登录之后可使用“实验资源管理云平台”，可随时查看实验相关的指导手册、器材信息、实验视频的等资料。</w:t>
            </w:r>
          </w:p>
        </w:tc>
        <w:tc>
          <w:tcPr>
            <w:tcW w:w="725" w:type="dxa"/>
            <w:noWrap w:val="0"/>
            <w:vAlign w:val="center"/>
          </w:tcPr>
          <w:p w14:paraId="61D6E6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4B8F4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FB4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4204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96" w:type="dxa"/>
            <w:noWrap w:val="0"/>
            <w:vAlign w:val="center"/>
          </w:tcPr>
          <w:p w14:paraId="24FF3D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文创改造</w:t>
            </w:r>
          </w:p>
        </w:tc>
        <w:tc>
          <w:tcPr>
            <w:tcW w:w="6477" w:type="dxa"/>
            <w:noWrap w:val="0"/>
            <w:vAlign w:val="center"/>
          </w:tcPr>
          <w:p w14:paraId="317874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室内吊顶优化改造，墙面文化改造，水电优化等</w:t>
            </w:r>
          </w:p>
        </w:tc>
        <w:tc>
          <w:tcPr>
            <w:tcW w:w="725" w:type="dxa"/>
            <w:noWrap/>
            <w:vAlign w:val="center"/>
          </w:tcPr>
          <w:p w14:paraId="1EB3C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01347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D9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62D66B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物理智能顶装实验室</w:t>
            </w:r>
          </w:p>
        </w:tc>
      </w:tr>
      <w:tr w14:paraId="5E10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F4994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2727A0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教师演示台</w:t>
            </w:r>
          </w:p>
        </w:tc>
        <w:tc>
          <w:tcPr>
            <w:tcW w:w="6477" w:type="dxa"/>
            <w:noWrap w:val="0"/>
            <w:vAlign w:val="center"/>
          </w:tcPr>
          <w:p w14:paraId="617CB8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2.规格：2400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3.台面：采用≥15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厚新型陶瓷台面（台面需整张不可拼接）。釉面与胚体经高温一体烧结而成，不脱落、不脱层。为满足实验室对台面苛刻的要求；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4.柜身：柜体为落地式结构，采用镀锌钢板，厚度≥1.0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，采用</w:t>
            </w:r>
            <w:r>
              <w:rPr>
                <w:rFonts w:hint="eastAsia" w:ascii="宋体" w:hAnsi="宋体" w:cs="宋体"/>
                <w:i w:val="0"/>
                <w:iCs w:val="0"/>
                <w:color w:val="000000"/>
                <w:kern w:val="0"/>
                <w:sz w:val="24"/>
                <w:szCs w:val="24"/>
                <w:u w:val="none"/>
                <w:lang w:val="en-US" w:eastAsia="zh-CN" w:bidi="ar"/>
              </w:rPr>
              <w:t>CO₂</w:t>
            </w:r>
            <w:r>
              <w:rPr>
                <w:rFonts w:hint="eastAsia" w:ascii="宋体" w:hAnsi="宋体" w:eastAsia="宋体" w:cs="宋体"/>
                <w:i w:val="0"/>
                <w:iCs w:val="0"/>
                <w:color w:val="000000"/>
                <w:kern w:val="0"/>
                <w:sz w:val="24"/>
                <w:szCs w:val="24"/>
                <w:u w:val="none"/>
                <w:lang w:val="en-US" w:eastAsia="zh-CN" w:bidi="ar"/>
              </w:rPr>
              <w:t>保护焊焊接，打磨处理，表面经耐酸碱环氧树脂粉末烤漆处理，表面硬度附着力、耐腐蚀性符合国家标准，所有钣金的表面接缝均应满焊，焊接处均应打磨平整以保持为连续的平滑表面。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5.门板及抽面：采用镀锌钢板，内设隔音材料，保证关门减少噪音；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6.滑轨：采用三节重型滚珠滑轨，承重性强，滑动性能良好，无噪音；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7.合页：采用大弯合页，可开门弧度大于90度，开合次数万次以上；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8.桌脚：采用ABS注塑专用桌垫固定；</w:t>
            </w:r>
          </w:p>
        </w:tc>
        <w:tc>
          <w:tcPr>
            <w:tcW w:w="725" w:type="dxa"/>
            <w:noWrap w:val="0"/>
            <w:vAlign w:val="center"/>
          </w:tcPr>
          <w:p w14:paraId="45ED0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4C8D2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0D00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A3F09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21699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教师演示电源</w:t>
            </w:r>
          </w:p>
        </w:tc>
        <w:tc>
          <w:tcPr>
            <w:tcW w:w="6477" w:type="dxa"/>
            <w:noWrap w:val="0"/>
            <w:vAlign w:val="center"/>
          </w:tcPr>
          <w:p w14:paraId="15CA78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总电源装置在教师桌组合柜内，抽屉式电源盒设计，内装有教师演示电源，主控学生电源装置。内设有漏电过载自动保护总开关，工作指示灯。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（1）输入电源：AC220V±10%、频率50Hz；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工作环境：支持</w:t>
            </w:r>
            <w:r>
              <w:rPr>
                <w:rFonts w:hint="eastAsia" w:ascii="宋体" w:hAnsi="宋体" w:eastAsia="宋体" w:cs="宋体"/>
                <w:i w:val="0"/>
                <w:iCs w:val="0"/>
                <w:color w:val="000000"/>
                <w:kern w:val="0"/>
                <w:sz w:val="24"/>
                <w:szCs w:val="24"/>
                <w:u w:val="none"/>
                <w:lang w:val="en-US" w:eastAsia="zh-CN" w:bidi="ar"/>
              </w:rPr>
              <w:t>温度-10℃~+40℃，相对湿度＜85％（25℃）海拔＜4000m；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（3）人身安全保护体系：配备漏电短路保护器做总电源开关，对人身安全和用电设备起到保障作用；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控制面板采用7寸液晶屏控制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（5）市电AC220V/10A（两位五孔国标插座），为其它用电器提供电源；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（6）直流稳压电源：液晶显示，数字键盘触屏输入，0-30V/2A，电压调整率可达0.1V；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（7）交流低压电源：液晶显示，数字键盘触屏输入，0-30V/2A，电压调整率为0.1V；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（8）教师测试用交流高压170V、300V输出；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（9）教师测试用9V大电流输出；</w:t>
            </w:r>
          </w:p>
        </w:tc>
        <w:tc>
          <w:tcPr>
            <w:tcW w:w="725" w:type="dxa"/>
            <w:noWrap w:val="0"/>
            <w:vAlign w:val="center"/>
          </w:tcPr>
          <w:p w14:paraId="6C84D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noWrap w:val="0"/>
            <w:vAlign w:val="center"/>
          </w:tcPr>
          <w:p w14:paraId="08A21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18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F6A1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66DE30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学生实验桌</w:t>
            </w:r>
          </w:p>
        </w:tc>
        <w:tc>
          <w:tcPr>
            <w:tcW w:w="6477" w:type="dxa"/>
            <w:noWrap w:val="0"/>
            <w:vAlign w:val="center"/>
          </w:tcPr>
          <w:p w14:paraId="5E83A1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台面：采用≥20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厚无甲醛新型环保陶瓷台面，台面表面为实验室专业耐腐蚀、耐污染、抗冲击釉面。坯体一体实芯，釉面和坯体经高温一体烧结而成。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新型塑铝结构：学生位镂空式，侧脚采用三段式高强度铝合金结构，立柱采用双立柱形式内嵌入上下铸铝脚，台面背部档水板，左右挡水板，台面下部设有专用书包斗，中间设挂凳卡，两个书包斗中间电源盒，符合人体工程学设计，外形美观，产品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桌腿：由上中下三段组成，上、下支座和双立柱连接，双立柱间嵌入亚克力装饰板的造型。立柱采用规格35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36㎜铝合金型材，壁厚≥1.5㎜，侧脚上横脚规格564×85×58㎜，侧脚下脚规格525×85×60㎜，立柱内嵌入上下铸铝脚</w:t>
            </w:r>
            <w:r>
              <w:rPr>
                <w:rFonts w:hint="eastAsia" w:ascii="宋体" w:hAnsi="宋体" w:cs="宋体"/>
                <w:i w:val="0"/>
                <w:iCs w:val="0"/>
                <w:color w:val="000000"/>
                <w:kern w:val="0"/>
                <w:sz w:val="24"/>
                <w:szCs w:val="24"/>
                <w:u w:val="none"/>
                <w:lang w:val="en-US" w:eastAsia="zh-CN" w:bidi="ar"/>
              </w:rPr>
              <w:t>深</w:t>
            </w:r>
            <w:r>
              <w:rPr>
                <w:rFonts w:hint="eastAsia" w:ascii="宋体" w:hAnsi="宋体" w:cs="宋体"/>
                <w:i w:val="0"/>
                <w:iCs w:val="0"/>
                <w:color w:val="000000"/>
                <w:kern w:val="0"/>
                <w:sz w:val="24"/>
                <w:szCs w:val="24"/>
                <w:highlight w:val="none"/>
                <w:u w:val="none"/>
                <w:lang w:val="en-US" w:eastAsia="zh-CN" w:bidi="ar"/>
              </w:rPr>
              <w:t>度</w:t>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cs="宋体"/>
                <w:i w:val="0"/>
                <w:iCs w:val="0"/>
                <w:color w:val="000000"/>
                <w:kern w:val="0"/>
                <w:sz w:val="24"/>
                <w:szCs w:val="24"/>
                <w:highlight w:val="none"/>
                <w:u w:val="none"/>
                <w:lang w:val="en-US" w:eastAsia="zh-CN" w:bidi="ar"/>
              </w:rPr>
              <w:t>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并用高强度内六角螺丝连接，上下脚采用高强度铝合金模具压铸一次成型。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左、右脚拼装连接：前、后梁采用44×25㎜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壁厚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1.2㎜铝合金型材,中梁采用20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20㎜，壁厚≥1.2㎜铁管，外观喷塑，左右侧脚下梁采采用60×30×2㎜椭圆spcc碳钢无缝钢管，管材两端截面与5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桌脚配有可调整底脚，桌侧脚设置专用孔位可与地面固定，配有跟台面同色ABS脚套装饰盖。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台面前挡水板：背板挡水板,左右挡水板采用73.5×25㎜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厚度≥1.5㎜铝合金型材，转角和尾端采用铝合金压铸转接件与背挡水板形成卡扣式相连接。</w:t>
            </w:r>
          </w:p>
        </w:tc>
        <w:tc>
          <w:tcPr>
            <w:tcW w:w="725" w:type="dxa"/>
            <w:noWrap w:val="0"/>
            <w:vAlign w:val="center"/>
          </w:tcPr>
          <w:p w14:paraId="6BF2AA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37" w:type="dxa"/>
            <w:noWrap w:val="0"/>
            <w:vAlign w:val="center"/>
          </w:tcPr>
          <w:p w14:paraId="50D27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22E6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5419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65BC7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学生实验凳</w:t>
            </w:r>
          </w:p>
        </w:tc>
        <w:tc>
          <w:tcPr>
            <w:tcW w:w="6477" w:type="dxa"/>
            <w:noWrap w:val="0"/>
            <w:vAlign w:val="center"/>
          </w:tcPr>
          <w:p w14:paraId="4A9F81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产品规格：Φ320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450-500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凳面材质：采用环保型ABS改性塑料一次性注塑成型。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凳面尺寸：凳面ф320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表面带防滑，舒适耐用。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凳钢架椭圆形，脚钢架材质及形状：椭圆形无缝钢管，钢管尺寸16×34×1.2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。固定圆盘采用SPCC钢板，直径185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脚垫材质：采用PP加耐磨纤维质塑料，实心倒勾式一体射出成型。实验凳有调节升降功能，带定位销，具有防晃动功能；高度可以在450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范围内自由调整</w:t>
            </w:r>
          </w:p>
        </w:tc>
        <w:tc>
          <w:tcPr>
            <w:tcW w:w="725" w:type="dxa"/>
            <w:noWrap w:val="0"/>
            <w:vAlign w:val="center"/>
          </w:tcPr>
          <w:p w14:paraId="788D04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37" w:type="dxa"/>
            <w:noWrap w:val="0"/>
            <w:vAlign w:val="center"/>
          </w:tcPr>
          <w:p w14:paraId="7181F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48D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41B7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3600A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智能控制柜</w:t>
            </w:r>
          </w:p>
        </w:tc>
        <w:tc>
          <w:tcPr>
            <w:tcW w:w="6477" w:type="dxa"/>
            <w:noWrap w:val="0"/>
            <w:vAlign w:val="center"/>
          </w:tcPr>
          <w:p w14:paraId="1BB18B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体采用镀锌钢板，钣金的表面接缝均应满焊，焊接处均应打磨平整以保持为连续的平滑表面。主框架采用镀锌钢板经折弯焊焊接制作，板经钣金折弯成形、焊接制作，表面喷塑处理。，机柜正面门板未遮挡出亚克力丝印发光型号字体装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3.结构：壁挂式设计，柜门内≥嵌10寸触控屏，柜身内含各种控制系统硬件模块。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4.可通过配套附件实现以下功能：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4.控制方式：空间电压矢量控制；5.输出频率：1.00~400.0 HZ；6.过载能力：150% 额定电流；7.保护功能：输入缺相、输入欠压、直流过压、过载等。</w:t>
            </w:r>
          </w:p>
        </w:tc>
        <w:tc>
          <w:tcPr>
            <w:tcW w:w="725" w:type="dxa"/>
            <w:noWrap/>
            <w:vAlign w:val="center"/>
          </w:tcPr>
          <w:p w14:paraId="2A7C9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096E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56B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D1A0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2ABEF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智能控制平台</w:t>
            </w:r>
          </w:p>
        </w:tc>
        <w:tc>
          <w:tcPr>
            <w:tcW w:w="6477" w:type="dxa"/>
            <w:noWrap w:val="0"/>
            <w:vAlign w:val="center"/>
          </w:tcPr>
          <w:p w14:paraId="130FD51D">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通风控制系统：无极变频控制，可精确控制通风风量；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2.供水控制系统：集中控制整个教室的给排水；</w:t>
            </w:r>
          </w:p>
          <w:p w14:paraId="05EC0D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3.照明控制系统：集中控制整个舱体照明；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4.电源控制系统：可控制学生端220v电源输出与关闭，可控制学生端低压电源的锁定与受控，调节范围为1～30V，分辨率可达0.1V,最小调节单元1V。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5.摇臂控制系统：可实现摆臂升降功能；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8.实时监测吊装运行状态，故障报警；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9.软件可通过网络升级；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10.系统可同步到其他安装有智能控制平台APP的移动终端，如安卓平板、手机等同时操作；</w:t>
            </w:r>
          </w:p>
        </w:tc>
        <w:tc>
          <w:tcPr>
            <w:tcW w:w="725" w:type="dxa"/>
            <w:noWrap/>
            <w:vAlign w:val="center"/>
          </w:tcPr>
          <w:p w14:paraId="0E9EC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4B13D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D05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80B6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72487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无线终端控制系统</w:t>
            </w:r>
          </w:p>
        </w:tc>
        <w:tc>
          <w:tcPr>
            <w:tcW w:w="6477" w:type="dxa"/>
            <w:noWrap w:val="0"/>
            <w:vAlign w:val="center"/>
          </w:tcPr>
          <w:p w14:paraId="3539BB7D">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硬件：屏幕不小于10英寸、安卓系统。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2.通风控制系统：无极变频控制，可精确控制通风风量；</w:t>
            </w:r>
          </w:p>
          <w:p w14:paraId="4A97F457">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供水控制系统：集中控制整个教室的给排水，可进行单选、全选、及分组控制；</w:t>
            </w:r>
          </w:p>
          <w:p w14:paraId="20B3865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4.照明控制系统：集中控制整个舱体照明，可进行单选、全选及分组控制；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5.电源控制系统：可控制学生端220v电源输出与关闭，也可控制学生端低压电源的锁定与受控，调节范围为0～30V，分辨率可达0.1V,额定电流2A； 最小调节单元可达1V。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6.摇臂控制系统：可以实现单个控制、集中控制、组合控制；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7.可在线注册，注销用户，修改密码；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8.实时监测显示教室空气温度、湿度；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9.实时监测顶装运行状态，故障报警；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10.软件可通过网络升级；</w:t>
            </w:r>
          </w:p>
        </w:tc>
        <w:tc>
          <w:tcPr>
            <w:tcW w:w="725" w:type="dxa"/>
            <w:noWrap/>
            <w:vAlign w:val="center"/>
          </w:tcPr>
          <w:p w14:paraId="5884E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BA3F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19C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B04AF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6" w:type="dxa"/>
            <w:noWrap w:val="0"/>
            <w:vAlign w:val="center"/>
          </w:tcPr>
          <w:p w14:paraId="11EF10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学生分组控制系统</w:t>
            </w:r>
          </w:p>
        </w:tc>
        <w:tc>
          <w:tcPr>
            <w:tcW w:w="6477" w:type="dxa"/>
            <w:noWrap w:val="0"/>
            <w:vAlign w:val="center"/>
          </w:tcPr>
          <w:p w14:paraId="1524E7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可以对学生端模块的电源控制系统、照明控制系统、给排水控制系统、智能摇臂控制系统进行独立分组控制，实现全选、单选控制功能；</w:t>
            </w:r>
          </w:p>
        </w:tc>
        <w:tc>
          <w:tcPr>
            <w:tcW w:w="725" w:type="dxa"/>
            <w:noWrap/>
            <w:vAlign w:val="center"/>
          </w:tcPr>
          <w:p w14:paraId="14D1E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1074D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AE5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C413C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6" w:type="dxa"/>
            <w:noWrap w:val="0"/>
            <w:vAlign w:val="center"/>
          </w:tcPr>
          <w:p w14:paraId="39C51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智能故障警示系统</w:t>
            </w:r>
          </w:p>
        </w:tc>
        <w:tc>
          <w:tcPr>
            <w:tcW w:w="6477" w:type="dxa"/>
            <w:noWrap w:val="0"/>
            <w:vAlign w:val="center"/>
          </w:tcPr>
          <w:p w14:paraId="6FCEF4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725" w:type="dxa"/>
            <w:noWrap/>
            <w:vAlign w:val="center"/>
          </w:tcPr>
          <w:p w14:paraId="69E25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49B8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E89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122552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6" w:type="dxa"/>
            <w:noWrap w:val="0"/>
            <w:vAlign w:val="center"/>
          </w:tcPr>
          <w:p w14:paraId="2C606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急停控制系统</w:t>
            </w:r>
          </w:p>
        </w:tc>
        <w:tc>
          <w:tcPr>
            <w:tcW w:w="6477" w:type="dxa"/>
            <w:noWrap w:val="0"/>
            <w:vAlign w:val="center"/>
          </w:tcPr>
          <w:p w14:paraId="0A0EB9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集成化控制系统，出现故障或现场有需要时紧急制动，确保实验操作时的安全性。</w:t>
            </w:r>
          </w:p>
        </w:tc>
        <w:tc>
          <w:tcPr>
            <w:tcW w:w="725" w:type="dxa"/>
            <w:noWrap/>
            <w:vAlign w:val="center"/>
          </w:tcPr>
          <w:p w14:paraId="53237B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015B6D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502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3E5A9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6" w:type="dxa"/>
            <w:noWrap w:val="0"/>
            <w:vAlign w:val="center"/>
          </w:tcPr>
          <w:p w14:paraId="202EA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顶装系统主体框架</w:t>
            </w:r>
          </w:p>
        </w:tc>
        <w:tc>
          <w:tcPr>
            <w:tcW w:w="6477" w:type="dxa"/>
            <w:noWrap w:val="0"/>
            <w:vAlign w:val="center"/>
          </w:tcPr>
          <w:p w14:paraId="65B0E2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1.采购标准化模块编组，1200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为一组；连体头尾尺寸1260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2.整体采购钢构件及注塑件组合而成；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3.承重骨架采用钢管，腔体采用≥1.2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镀锌钢板，两头承重处采用≥2.5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镀锌钢板加强，所有钢构件表面经高温粉体烤漆处理，强度高、耐腐蚀、结构稳定。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p>
        </w:tc>
        <w:tc>
          <w:tcPr>
            <w:tcW w:w="725" w:type="dxa"/>
            <w:noWrap/>
            <w:vAlign w:val="center"/>
          </w:tcPr>
          <w:p w14:paraId="1AB8A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7495BC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B95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9C819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6" w:type="dxa"/>
            <w:noWrap w:val="0"/>
            <w:vAlign w:val="center"/>
          </w:tcPr>
          <w:p w14:paraId="69BD8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舱体防尘装饰模块</w:t>
            </w:r>
          </w:p>
        </w:tc>
        <w:tc>
          <w:tcPr>
            <w:tcW w:w="6477" w:type="dxa"/>
            <w:noWrap w:val="0"/>
            <w:vAlign w:val="center"/>
          </w:tcPr>
          <w:p w14:paraId="577BC1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1.规格：1200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2.材质：采用≥1.2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镀锌钢板折弯焊接表面喷塑成型。</w:t>
            </w:r>
          </w:p>
        </w:tc>
        <w:tc>
          <w:tcPr>
            <w:tcW w:w="725" w:type="dxa"/>
            <w:noWrap/>
            <w:vAlign w:val="center"/>
          </w:tcPr>
          <w:p w14:paraId="571AA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76314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EEB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D495D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6" w:type="dxa"/>
            <w:noWrap w:val="0"/>
            <w:vAlign w:val="center"/>
          </w:tcPr>
          <w:p w14:paraId="05039D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吊装智能摇臂升降系统</w:t>
            </w:r>
          </w:p>
        </w:tc>
        <w:tc>
          <w:tcPr>
            <w:tcW w:w="6477" w:type="dxa"/>
            <w:noWrap w:val="0"/>
            <w:vAlign w:val="center"/>
          </w:tcPr>
          <w:p w14:paraId="16B4A2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1.采用静音低压直流24V推杆电机推动注塑高强度尼龙一体成型的曲柄连杆机构，实现摇臂上下90°转动升降；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2.摆臂升降主管，采用挤铝工艺挤出成型正椭圆管，外形尺寸170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880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，厚度≥1.8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，表面经高温粉体烤漆处理，耐腐蚀、防烤漆剥落；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3.摆臂主管内部可设备强电线路、给排水管、风管，为保障电路安全，水电线路采用隔离设计;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4.系统自带障碍物保护功能，运动过程中遇到障碍物时会自动停止并报警。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5.学生端操作模块：1.操作模块采用ABS工程塑料外壳，外形圆润；矩形外观尺寸270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操作模块安装5寸LCD段码液晶屏；集成高压电源模块、低压电源模块、网络模块、USB模块、急停模块；单独设置一键求助功能按键，当学生端按举手求组模块，教师控制终端实时定位显示当前学生求助序号，低压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6.内置网络模块和USB模块。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7.智能灯光照明装置：接收智能控制平台控制，可分组开启和关。</w:t>
            </w:r>
          </w:p>
        </w:tc>
        <w:tc>
          <w:tcPr>
            <w:tcW w:w="725" w:type="dxa"/>
            <w:noWrap/>
            <w:vAlign w:val="center"/>
          </w:tcPr>
          <w:p w14:paraId="41EEDA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7" w:type="dxa"/>
            <w:noWrap/>
            <w:vAlign w:val="center"/>
          </w:tcPr>
          <w:p w14:paraId="11ACE0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504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DF7D0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6" w:type="dxa"/>
            <w:noWrap w:val="0"/>
            <w:vAlign w:val="center"/>
          </w:tcPr>
          <w:p w14:paraId="30A03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电气布线</w:t>
            </w:r>
          </w:p>
        </w:tc>
        <w:tc>
          <w:tcPr>
            <w:tcW w:w="6477" w:type="dxa"/>
            <w:noWrap w:val="0"/>
            <w:vAlign w:val="center"/>
          </w:tcPr>
          <w:p w14:paraId="21297E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供电布线：模块化设计，每组模块间采用活接式连接，方便安装、检修。采用通用铜芯电线进行系统布线。</w:t>
            </w:r>
          </w:p>
        </w:tc>
        <w:tc>
          <w:tcPr>
            <w:tcW w:w="725" w:type="dxa"/>
            <w:noWrap/>
            <w:vAlign w:val="center"/>
          </w:tcPr>
          <w:p w14:paraId="3A775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369D7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w:t>
            </w:r>
          </w:p>
        </w:tc>
      </w:tr>
      <w:tr w14:paraId="177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34C95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6" w:type="dxa"/>
            <w:noWrap w:val="0"/>
            <w:vAlign w:val="center"/>
          </w:tcPr>
          <w:p w14:paraId="3D582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吊装系统安装</w:t>
            </w:r>
            <w:r>
              <w:rPr>
                <w:rFonts w:hint="eastAsia" w:ascii="宋体" w:hAnsi="宋体" w:cs="宋体"/>
                <w:i w:val="0"/>
                <w:iCs w:val="0"/>
                <w:color w:val="000000"/>
                <w:kern w:val="0"/>
                <w:sz w:val="24"/>
                <w:szCs w:val="24"/>
                <w:highlight w:val="none"/>
                <w:u w:val="none"/>
                <w:lang w:val="en-US" w:eastAsia="zh-CN" w:bidi="ar"/>
              </w:rPr>
              <w:t>辅件</w:t>
            </w:r>
          </w:p>
        </w:tc>
        <w:tc>
          <w:tcPr>
            <w:tcW w:w="6477" w:type="dxa"/>
            <w:noWrap w:val="0"/>
            <w:vAlign w:val="center"/>
          </w:tcPr>
          <w:p w14:paraId="5F3D6D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采用固定横梁吊装方式</w:t>
            </w:r>
            <w:r>
              <w:rPr>
                <w:rFonts w:hint="eastAsia" w:ascii="宋体" w:hAnsi="宋体" w:eastAsia="宋体" w:cs="宋体"/>
                <w:i w:val="0"/>
                <w:iCs w:val="0"/>
                <w:color w:val="000000"/>
                <w:kern w:val="0"/>
                <w:sz w:val="24"/>
                <w:szCs w:val="24"/>
                <w:u w:val="none"/>
                <w:lang w:val="en-US" w:eastAsia="zh-CN" w:bidi="ar"/>
              </w:rPr>
              <w:t>，减少楼板承重，防止左右晃动，可进行上下、左右的平衡调节。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主要辅件有：矩形钢、三角构件、直角座、龙骨架连接件、吊装挂件、安装连接板等。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2.钢材技术性能需满足依据:GB 6675.4-2014 锑 sb、砷A含量未检出。</w:t>
            </w:r>
          </w:p>
        </w:tc>
        <w:tc>
          <w:tcPr>
            <w:tcW w:w="725" w:type="dxa"/>
            <w:noWrap/>
            <w:vAlign w:val="center"/>
          </w:tcPr>
          <w:p w14:paraId="09520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69F90C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342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0D52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96" w:type="dxa"/>
            <w:noWrap w:val="0"/>
            <w:vAlign w:val="center"/>
          </w:tcPr>
          <w:p w14:paraId="238551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文创改造</w:t>
            </w:r>
          </w:p>
        </w:tc>
        <w:tc>
          <w:tcPr>
            <w:tcW w:w="6477" w:type="dxa"/>
            <w:noWrap w:val="0"/>
            <w:vAlign w:val="center"/>
          </w:tcPr>
          <w:p w14:paraId="4D32ED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室内吊顶优化改造，墙面文化改造，电优化等</w:t>
            </w:r>
          </w:p>
        </w:tc>
        <w:tc>
          <w:tcPr>
            <w:tcW w:w="725" w:type="dxa"/>
            <w:noWrap/>
            <w:vAlign w:val="center"/>
          </w:tcPr>
          <w:p w14:paraId="3D77AF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7835B3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6F8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7" w:type="dxa"/>
            <w:gridSpan w:val="5"/>
            <w:noWrap/>
            <w:vAlign w:val="center"/>
          </w:tcPr>
          <w:p w14:paraId="0FB9B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物理仪器准备室</w:t>
            </w:r>
          </w:p>
        </w:tc>
      </w:tr>
      <w:tr w14:paraId="7945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65970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noWrap w:val="0"/>
            <w:vAlign w:val="center"/>
          </w:tcPr>
          <w:p w14:paraId="7CE7D5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准备台</w:t>
            </w:r>
          </w:p>
        </w:tc>
        <w:tc>
          <w:tcPr>
            <w:tcW w:w="6477" w:type="dxa"/>
            <w:noWrap w:val="0"/>
            <w:vAlign w:val="top"/>
          </w:tcPr>
          <w:p w14:paraId="464F2D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1.规格：4000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w:t>
            </w:r>
            <w:r>
              <w:rPr>
                <w:rFonts w:hint="eastAsia" w:ascii="宋体" w:hAnsi="宋体" w:cs="宋体"/>
                <w:i w:val="0"/>
                <w:iCs w:val="0"/>
                <w:color w:val="000000"/>
                <w:kern w:val="0"/>
                <w:sz w:val="24"/>
                <w:szCs w:val="24"/>
                <w:u w:val="none"/>
                <w:lang w:val="en-US" w:eastAsia="zh-CN" w:bidi="ar"/>
              </w:rPr>
              <w:t>采用≥12.7mm厚</w:t>
            </w:r>
            <w:r>
              <w:rPr>
                <w:rFonts w:hint="eastAsia" w:ascii="宋体" w:hAnsi="宋体" w:eastAsia="宋体" w:cs="宋体"/>
                <w:i w:val="0"/>
                <w:iCs w:val="0"/>
                <w:color w:val="000000"/>
                <w:kern w:val="0"/>
                <w:sz w:val="24"/>
                <w:szCs w:val="24"/>
                <w:u w:val="none"/>
                <w:lang w:val="en-US" w:eastAsia="zh-CN" w:bidi="ar"/>
              </w:rPr>
              <w:t>双面理化膜实芯理化板。台面需倒圆边，</w:t>
            </w:r>
            <w:r>
              <w:rPr>
                <w:rFonts w:hint="eastAsia" w:ascii="宋体" w:hAnsi="宋体" w:cs="宋体"/>
                <w:i w:val="0"/>
                <w:iCs w:val="0"/>
                <w:color w:val="000000"/>
                <w:kern w:val="0"/>
                <w:sz w:val="24"/>
                <w:szCs w:val="24"/>
                <w:u w:val="none"/>
                <w:lang w:val="en-US" w:eastAsia="zh-CN" w:bidi="ar"/>
              </w:rPr>
              <w:t>表面光滑平整</w:t>
            </w:r>
            <w:r>
              <w:rPr>
                <w:rFonts w:hint="eastAsia" w:ascii="宋体" w:hAnsi="宋体" w:eastAsia="宋体" w:cs="宋体"/>
                <w:i w:val="0"/>
                <w:iCs w:val="0"/>
                <w:color w:val="000000"/>
                <w:kern w:val="0"/>
                <w:sz w:val="24"/>
                <w:szCs w:val="24"/>
                <w:u w:val="none"/>
                <w:lang w:val="en-US" w:eastAsia="zh-CN" w:bidi="ar"/>
              </w:rPr>
              <w:t>，需具有耐强酸碱、防腐蚀、防静电、耐辐射、耐磨、抗污染、易清洁、耐冲击、耐高温、防水、防火等特点。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柜身：柜体为落地式结构，所有底柜正面应为平装嵌入式结构设计。所有钣金的表面接缝均应满焊，焊接处均应打磨平整以保持为连续的平滑表面。主框架采用镀锌钢板，表面钢制部分采用酸洗、磷化、除油、除锈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4.滑轨：采用三节静音滑轨；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5.合页：采用合页，开合十万次以上；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6.连接件：ABS专用连接组装件；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7.桌脚：采用ABS注塑专用桌垫固定；</w:t>
            </w:r>
          </w:p>
        </w:tc>
        <w:tc>
          <w:tcPr>
            <w:tcW w:w="725" w:type="dxa"/>
            <w:noWrap/>
            <w:vAlign w:val="center"/>
          </w:tcPr>
          <w:p w14:paraId="280715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ign w:val="center"/>
          </w:tcPr>
          <w:p w14:paraId="29B5C9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2329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2C930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noWrap w:val="0"/>
            <w:vAlign w:val="center"/>
          </w:tcPr>
          <w:p w14:paraId="48DBE9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仪器柜</w:t>
            </w:r>
          </w:p>
        </w:tc>
        <w:tc>
          <w:tcPr>
            <w:tcW w:w="6477" w:type="dxa"/>
            <w:noWrap w:val="0"/>
            <w:vAlign w:val="top"/>
          </w:tcPr>
          <w:p w14:paraId="7FF424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1.结构：全钢结构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2.规格：1000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3.材质：所有钣金的表面接缝均应满焊，焊接处均应打磨平整以保持为连续的平滑表面。主框架采用≥1.0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厚镀锌钢板，表面钢制部分采用酸洗、磷化、除油、除锈并经过环氧树脂粉末喷塑处理。。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4.采用双开门型式，上部为玻璃开门（门框为整板开孔，双层门），下部为钢制开门（双层门），上柜配置两块钢制层板，下柜配置一块钢制层板，层板高度可以上下调节，不锈钢弓形拉手。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仪器柜技术性能要求需满足GB/T24820-2024《实验室家具通用技术条件》检测依据，金属件外观焊接处应无脱焊、虚焊、焊穿、错位；涂层应光滑均匀，色泽一致，应无流挂、疙瘩、皱皮、飞漆等缺陷；理化性能金属喷漆（塑）涂层硬度≥3H；耐腐蚀100h内，观察在溶剂中样板上划道两侧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以外，应无气泡产生；</w:t>
            </w:r>
            <w:r>
              <w:rPr>
                <w:rFonts w:hint="eastAsia" w:ascii="宋体" w:hAnsi="宋体" w:eastAsia="宋体" w:cs="宋体"/>
                <w:b/>
                <w:bCs/>
                <w:i w:val="0"/>
                <w:iCs w:val="0"/>
                <w:color w:val="000000"/>
                <w:kern w:val="0"/>
                <w:sz w:val="24"/>
                <w:szCs w:val="24"/>
                <w:highlight w:val="none"/>
                <w:u w:val="none"/>
                <w:lang w:val="en-US" w:eastAsia="zh-CN" w:bidi="ar"/>
              </w:rPr>
              <w:t>提供满足以上技术要求并具有CMA或CNAS认证，检测机构出具的检测报告复印件。</w:t>
            </w:r>
          </w:p>
        </w:tc>
        <w:tc>
          <w:tcPr>
            <w:tcW w:w="725" w:type="dxa"/>
            <w:noWrap/>
            <w:vAlign w:val="center"/>
          </w:tcPr>
          <w:p w14:paraId="5E4F5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7" w:type="dxa"/>
            <w:noWrap/>
            <w:vAlign w:val="center"/>
          </w:tcPr>
          <w:p w14:paraId="0BA4A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05AE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756C2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6" w:type="dxa"/>
            <w:noWrap w:val="0"/>
            <w:vAlign w:val="center"/>
          </w:tcPr>
          <w:p w14:paraId="5796C1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教师数码生物显微镜</w:t>
            </w:r>
          </w:p>
        </w:tc>
        <w:tc>
          <w:tcPr>
            <w:tcW w:w="6477" w:type="dxa"/>
            <w:noWrap w:val="0"/>
            <w:vAlign w:val="center"/>
          </w:tcPr>
          <w:p w14:paraId="57526E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1.光学系统：采用无限远色差校正光学系统。。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2.目镜：大视野，高眼点UC-WF10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 xml:space="preserve"> ，视度可调节。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3.观察筒：铰链式双目观察筒，瞳距48-75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可调；目镜观察筒可360度任意旋转。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4.物镜：无限远平场UC物镜：UC Plan 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成像清晰圆直径≥17.5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；UC Plan 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成像清晰圆直径≥17.6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；UC Plan 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成像清晰圆直径≥18.9</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；UCPlan100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成像清晰圆直径≥18.6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；显微镜物镜放大率准确度≤0.87%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5.齐焦性:物镜10→4倍≤0.030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，10→40倍≤0.008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，40→100倍≤0.005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物镜转换器：内倾式5孔转换器。转换器定位稳定性≤0.015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调焦机构：粗微同轴调焦手轮，微调0.1</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/转，格值0.001</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。粗动松紧可调，工作台上限位置可用镜臂中的滚花螺钉调节；并通过锁紧手轮来限位。微调机构空回≤0.006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8.载物台：防刮伤防脱落新镂空式切片夹；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、Y轴采用钢丝传动无突出式设计，矩形，面积：≥185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145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 xml:space="preserve">；行程：≥76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、Y向低位同轴调节手轮，且其扭矩（松紧）可调。表面石墨喷涂涂层，防腐、耐磨。整机采用顶级优选喷涂材料，防潮防腐蚀；载物台受5N水平方向作用力最大位移≤0.015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；不重复性≤0.003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9.用机械使标本在5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范围内移动时的离焦量≤0.005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10.柯拉照明系统：新型LED聚光镜：N.A.0.9/0.13消色差聚光镜,三片式透镜设计，集成了集光镜和聚光镜功能。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11.3WLED 、6V/30W卤素灯照明光源可选。采用抽屉式光源更换盒，光源更换方便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提供具有‘光源可选’功能的“国家光学仪器质量监督检验中心”检测报告</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12.数字内置一体化显微镜：1/2”逐行扫描数字图像传感器,400万纯物理像素,高分辨率实时显示,保证输出图象色彩不能失真，最大传输速率可达12帧/秒；拍照可达1600像素。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13.机身自带二维码，可以扫描下载软件。内置RJ45网络接口，可以直接连接交换机组建网络；也可以通过RJ45口连接计算机采集图像。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★14.智能环形指示灯，在内置智能处理器控制下，能够指示显微镜的各种工作状态，如：工作或是休眠、光源亮度等信息，从而带给用户更好的操作体验。</w:t>
            </w:r>
            <w:r>
              <w:rPr>
                <w:rFonts w:hint="eastAsia" w:ascii="宋体" w:hAnsi="宋体" w:eastAsia="宋体" w:cs="宋体"/>
                <w:b/>
                <w:bCs/>
                <w:i w:val="0"/>
                <w:iCs w:val="0"/>
                <w:color w:val="000000"/>
                <w:kern w:val="0"/>
                <w:sz w:val="24"/>
                <w:szCs w:val="24"/>
                <w:u w:val="none"/>
                <w:lang w:val="en-US" w:eastAsia="zh-CN" w:bidi="ar"/>
              </w:rPr>
              <w:t>提供具有‘智能环形指示灯’功能的“国家光学仪器质量监督检验中心”检测报告。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15.物镜照明记忆功能：各物镜定义的光线强度会被自动记忆并在下次使用该物镜时自动调出，免除再次手动调整的繁琐</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提供具有‘物镜照明记忆功能’“国家光学仪器质量监督检验中心”检测报告。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16.多功能操作旋钮，可实现调节照明亮度和休眠功能</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提供具有‘多功能操作旋钮’功能的“国家光学仪器质量监督检验中心”检测报告。</w:t>
            </w:r>
          </w:p>
        </w:tc>
        <w:tc>
          <w:tcPr>
            <w:tcW w:w="725" w:type="dxa"/>
            <w:noWrap w:val="0"/>
            <w:vAlign w:val="center"/>
          </w:tcPr>
          <w:p w14:paraId="6FCDE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1E2DA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F6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F2CB2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6" w:type="dxa"/>
            <w:noWrap w:val="0"/>
            <w:vAlign w:val="center"/>
          </w:tcPr>
          <w:p w14:paraId="517D3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教师数码体视显微镜</w:t>
            </w:r>
          </w:p>
        </w:tc>
        <w:tc>
          <w:tcPr>
            <w:tcW w:w="6477" w:type="dxa"/>
            <w:noWrap w:val="0"/>
            <w:vAlign w:val="center"/>
          </w:tcPr>
          <w:p w14:paraId="5267F8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1.光学系统：Greenough光学系统。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2.目镜：超大视场视度可调±5°屈光度，WF10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，双目瞳距：48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-75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3.观察筒：双目观察筒，45度倾斜。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4.主机连续变倍范围：0.75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，标准放大倍率：7.5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5.变倍比：6.7:1，五档连续可变。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6.标准工作距离：≥110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，系统最大工作距离：295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（0.3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7.LED照明：入射光源：原装3W LED灯，亮度可调；透射光源：3W LED灯，亮度可调，入射光和透射光可单独或同时使用。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8.透射光源底座照明内置反射镜装置，底座上的调节装置，可调节透射光源角度，满足多种观察需求。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9.机身需具有USB2.0接口（直供平板充电使用，无需采用适配器充电，方便简洁、安全）。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10.电路系统：外置适配器100V-240V 宽电压输入，输出12V，安全可靠，使用寿命长，更换更为方便。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摄像系统：内置式数码一体化显微摄像系统，原厂设计制造，非双目改造为三目；高清彩色芯片；静态1600万像素、动态分辨率1080P。Wifi无线传输、RJ45传输，可以连接不同的智能终端（平板或智能手机）。不受品牌、操作系统等限制，显示设备与显微镜均可全无线连接，为您实时展现镜下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平板设备内嵌式装置固定于机身头部位置，非外支撑架或支撑杆（筒）连接的手机或平板的支架，金属材质，固定接触面大，不摇晃，稳定可靠，提供产品实物的扫描件作为评审依据；使用专业工具能拆卸，便于更新及维修；平板采用WIFI连接；屏幕尺寸9.7英寸，运行内存3G，硬盘128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13.显微镜图像处理软件：支持图像采集、图像RGB调整、图像管理、图像处理、图像分割与统计和校准与测量等功能。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 xml:space="preserve">4 </w:t>
            </w:r>
            <w:r>
              <w:rPr>
                <w:rFonts w:hint="eastAsia" w:ascii="宋体" w:hAnsi="宋体" w:eastAsia="宋体" w:cs="宋体"/>
                <w:i w:val="0"/>
                <w:iCs w:val="0"/>
                <w:color w:val="000000"/>
                <w:kern w:val="0"/>
                <w:sz w:val="24"/>
                <w:szCs w:val="24"/>
                <w:u w:val="none"/>
                <w:lang w:val="en-US" w:eastAsia="zh-CN" w:bidi="ar"/>
              </w:rPr>
              <w:t>.显微镜图像处理软件支持图像采集、图像RGB调整、图像管理、图像处理、图像分割与统计和校准与测量等功能。</w:t>
            </w:r>
          </w:p>
        </w:tc>
        <w:tc>
          <w:tcPr>
            <w:tcW w:w="725" w:type="dxa"/>
            <w:noWrap w:val="0"/>
            <w:vAlign w:val="center"/>
          </w:tcPr>
          <w:p w14:paraId="64896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48E075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65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31E0A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6" w:type="dxa"/>
            <w:noWrap w:val="0"/>
            <w:vAlign w:val="center"/>
          </w:tcPr>
          <w:p w14:paraId="1AC5F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数码液晶显微镜</w:t>
            </w:r>
          </w:p>
        </w:tc>
        <w:tc>
          <w:tcPr>
            <w:tcW w:w="6477" w:type="dxa"/>
            <w:noWrap w:val="0"/>
            <w:vAlign w:val="center"/>
          </w:tcPr>
          <w:p w14:paraId="58C42FE9">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数字内置一体化显微镜：一体化数码摄像系统，1/2英寸逐行扫描传感器，高清晰彩色芯片，动态400万像素，静态最高可达1600万像素。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2.数码摄像系统非外置式，和显微镜集成一体。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3.物镜： ASC Plan平场独立消色差物镜，P/b无铅玻璃材质，4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/0.10，成像清晰圆直径16.8</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/0.25成像清晰圆直径16.6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，景深范围内像面的偏摆0.01</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/0.65（弹簧），成像清晰圆直径16.6</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；100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/1.25（弹簧/油），成像清晰圆直径≥15.7</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，所有物镜均保证齐焦。显微镜物镜放大率准确度≤0.95%。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4.齐焦性:物镜10→4倍≤0.025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，10→40倍≤0.010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，40→100倍0.005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5.转换器：内倾式四孔同心球轴转换器，定位准确，并带有限位装置，转换器定位稳定性0.003</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6.载物台：U形机械移动载物台，140×140（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），移动范围75×50（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）；（以原厂彩页内容作为佐证）。防腐耐磨涂层。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、Y轴同轴调节，载物台受5N水平方向作用力最大位≤0.010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；不重复性0.002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7.用机械使标本在5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范围内移动时的离焦量0.005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8.微调: 粗微调同轴调节载物台，配有限位打滑装置，微调机构空回0.004</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9.目镜：带有指针定位的WF10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,补偿平场目镜。显微镜目镜放大率准确度不超过±0.55%。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10.目镜筒：铰链式目镜筒，360°旋转时目镜焦平面上像中心的位移0.20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，左右两系统放大率差0.23%，双目系统左右两像面光谱色一致，明暗差7.2%；双目系统左右系统像面方差32；双目系统左右视场中心偏差:上下0.02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、左右内侧0.02</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11.照明：3WLED照明系统。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12.聚光镜：N.A.1.25阿贝聚光镜。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13.液晶显示屏：9.7寸便携式智能平板输出，平板可放置在显微镜上观察，也可以拿下移动观察。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14.传输方式：内置RJ45网络接口，可以通过网络连接成像；平板上的图像通过wifi传输，非USB连接。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15.数码系统：处理器四核，内存：3GB，硬盘：128G；屏幕分辨率：1920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16.操作系统：软件支持Android、苹果和windows操作系统。Android、苹果和windows操作系统终端设备可以同时连接显微镜，实时成像。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17.一体化供电：平板、数码摄像系统和显微镜采用一体化供电（仅需一根电源线），避免充电线繁杂，整体美观。机身自带USB输出，支持给平板供电。</w:t>
            </w:r>
          </w:p>
        </w:tc>
        <w:tc>
          <w:tcPr>
            <w:tcW w:w="725" w:type="dxa"/>
            <w:noWrap w:val="0"/>
            <w:vAlign w:val="center"/>
          </w:tcPr>
          <w:p w14:paraId="0E3813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7" w:type="dxa"/>
            <w:noWrap w:val="0"/>
            <w:vAlign w:val="center"/>
          </w:tcPr>
          <w:p w14:paraId="420EF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A52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050E5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6" w:type="dxa"/>
            <w:noWrap w:val="0"/>
            <w:vAlign w:val="center"/>
          </w:tcPr>
          <w:p w14:paraId="0EC6FD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显微实验教学无线智能互动系统软件</w:t>
            </w:r>
          </w:p>
        </w:tc>
        <w:tc>
          <w:tcPr>
            <w:tcW w:w="6477" w:type="dxa"/>
            <w:noWrap w:val="0"/>
            <w:vAlign w:val="center"/>
          </w:tcPr>
          <w:p w14:paraId="5D2411B4">
            <w:pPr>
              <w:keepNext w:val="0"/>
              <w:keepLines w:val="0"/>
              <w:pageBreakBefore w:val="0"/>
              <w:widowControl/>
              <w:numPr>
                <w:ilvl w:val="0"/>
                <w:numId w:val="1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互动模块：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1.无线模式和多种类型智能终端的互动体验，数据能存储在便携式智能终端中，并同步上传至云端.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2.全无线系统架构，整个系统采用全无线架构，简洁、高速、稳定。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3.学生智能终端通过无线传输的方式获取显微图像及宏观实验图像，学生智能终端通过无线传输方式与教师端进行信息交互。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4.系统可实现微观图像、宏观实验、实验报告等多维信息的互动。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5.跨平台解决方案：同时支持Android、iOS、Windows等操作系统，通过手机、平板电脑等智能终端即可实现实验教学，学生智能终端不受种类、操作系统、品牌的限制。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6.教学示范:把教师电脑屏幕上的授课内容传送到每个学生端，教师可根据需求选择强制性、非强制性两种示教模式。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7.实验评级:可设置课堂实验报告，并进行现场评级。可对单个学生实验进行评级，也可对多个学生实验同时进行评级。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8.授课评估:具备授课效果实时接收系统。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9.设备登记:具备显微镜使用管理登记系统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10.图像对比:可同时打开两张或四张图片，进行对比教学。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11.图像捕捉:可实时采集、宏观图像、微观图像。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12.图像处理:可对采集下来的图片进行各种图像处理，测量、计数、报告打印等。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13.作业下发:可以将图片或office文件下发给学生作为课后作业。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14.语言选择:中英文可选，双语教学。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二、云端教学互动模块</w:t>
            </w:r>
          </w:p>
          <w:p w14:paraId="1D3E22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基于互联网的数字切片和数字图像应用和教学系统。它提供了数字切片及图像的存储、管理、浏览、分析处理、标注、共享、课内和课外互动教学等功能。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图片及课件实时上传至云端，多级分类的组织结构便于有序的管理数字切片，有无限的存储空间</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须提供软件真实界面截图</w:t>
            </w:r>
            <w:r>
              <w:rPr>
                <w:rFonts w:hint="eastAsia" w:ascii="宋体" w:hAnsi="宋体" w:cs="宋体"/>
                <w:b/>
                <w:bCs/>
                <w:i w:val="0"/>
                <w:iCs w:val="0"/>
                <w:color w:val="000000"/>
                <w:kern w:val="0"/>
                <w:sz w:val="24"/>
                <w:szCs w:val="24"/>
                <w:highlight w:val="none"/>
                <w:u w:val="none"/>
                <w:lang w:val="en-US" w:eastAsia="zh-CN" w:bidi="ar"/>
              </w:rPr>
              <w:t>进行佐证</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切片即时浏览，实现了从开始上传图像即可对其进行浏览。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安全可靠的权限管理机制，可设置上传的数字切片与指定人员或群组分享。</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须提供软件真实界面截图</w:t>
            </w:r>
            <w:r>
              <w:rPr>
                <w:rFonts w:hint="eastAsia" w:ascii="宋体" w:hAnsi="宋体" w:cs="宋体"/>
                <w:b/>
                <w:bCs/>
                <w:i w:val="0"/>
                <w:iCs w:val="0"/>
                <w:color w:val="000000"/>
                <w:kern w:val="0"/>
                <w:sz w:val="24"/>
                <w:szCs w:val="24"/>
                <w:highlight w:val="none"/>
                <w:u w:val="none"/>
                <w:lang w:val="en-US" w:eastAsia="zh-CN" w:bidi="ar"/>
              </w:rPr>
              <w:t>进行佐证</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支持添加测量、文字、录音、ROI 选区等多种形式的标注，并可与他人分享。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根据用户需求定义应用 App 添加到切片浏览页面。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简洁的学生用户账号产生机制，用手机号和手机验证码作为Gallery账号的快速生成，也可用微信一键登陆。</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须提供软件真实界面截图</w:t>
            </w:r>
            <w:r>
              <w:rPr>
                <w:rFonts w:hint="eastAsia" w:ascii="宋体" w:hAnsi="宋体" w:cs="宋体"/>
                <w:b/>
                <w:bCs/>
                <w:i w:val="0"/>
                <w:iCs w:val="0"/>
                <w:color w:val="000000"/>
                <w:kern w:val="0"/>
                <w:sz w:val="24"/>
                <w:szCs w:val="24"/>
                <w:highlight w:val="none"/>
                <w:u w:val="none"/>
                <w:lang w:val="en-US" w:eastAsia="zh-CN" w:bidi="ar"/>
              </w:rPr>
              <w:t>进行佐证）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平台中不断增加的对各种生物、植物、动物和组织和胚胎切片进行自动定量的AI分析，辅助学生的作业练习，扩展学生的知识视野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无缝整合集成AR显微镜、IoT显微镜、AI智能分析硬件模块和软件功能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数字切片和相册云管理、Wiki应用、考试系统、用户论坛、数字切片/图片分享，形成数字班级、数字校园、和数字智能光学云互动系统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两种数码互动机制，课内互动及云端互动，两种互动系统数据和信息互通。</w:t>
            </w:r>
          </w:p>
        </w:tc>
        <w:tc>
          <w:tcPr>
            <w:tcW w:w="725" w:type="dxa"/>
            <w:noWrap w:val="0"/>
            <w:vAlign w:val="center"/>
          </w:tcPr>
          <w:p w14:paraId="522C12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3BD6A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F01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noWrap/>
            <w:vAlign w:val="center"/>
          </w:tcPr>
          <w:p w14:paraId="56ED4A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6" w:type="dxa"/>
            <w:noWrap w:val="0"/>
            <w:vAlign w:val="center"/>
          </w:tcPr>
          <w:p w14:paraId="6800D1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教师端专业图像分析软件</w:t>
            </w:r>
          </w:p>
        </w:tc>
        <w:tc>
          <w:tcPr>
            <w:tcW w:w="6477" w:type="dxa"/>
            <w:noWrap w:val="0"/>
            <w:vAlign w:val="center"/>
          </w:tcPr>
          <w:p w14:paraId="6A6EC0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户登录：用户使用时必须首先登录，才能产生实验环境，从而进行图像操作。在实验中，用户对其创建的图像和数据的管理是互相独立的，即一个用户可以创建多个实验，而每个实验又可以根据需要对不同图像进行操作。</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须提供软件真实界面截图</w:t>
            </w:r>
            <w:r>
              <w:rPr>
                <w:rFonts w:hint="eastAsia" w:ascii="宋体" w:hAnsi="宋体" w:cs="宋体"/>
                <w:b/>
                <w:bCs/>
                <w:i w:val="0"/>
                <w:iCs w:val="0"/>
                <w:color w:val="000000"/>
                <w:kern w:val="0"/>
                <w:sz w:val="24"/>
                <w:szCs w:val="24"/>
                <w:highlight w:val="none"/>
                <w:u w:val="none"/>
                <w:lang w:val="en-US" w:eastAsia="zh-CN" w:bidi="ar"/>
              </w:rPr>
              <w:t>进行佐证</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2.空间校准：空间校准获取不同放大倍数下同一物体实际尺寸与单位像素之间的比例，可以分为手动校准和自动校准。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3.光密度校准：获取不同光学系统下同一物体单位灰度值与光密度之间的比例，能使分析结果中的灰度值转化为光密度单位，从而得到更直观的结果。在分析之前请先进行光密度校准，以便应用光密度校准。</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须提供软件真实界面截图</w:t>
            </w:r>
            <w:r>
              <w:rPr>
                <w:rFonts w:hint="eastAsia" w:ascii="宋体" w:hAnsi="宋体" w:cs="宋体"/>
                <w:b/>
                <w:bCs/>
                <w:i w:val="0"/>
                <w:iCs w:val="0"/>
                <w:color w:val="000000"/>
                <w:kern w:val="0"/>
                <w:sz w:val="24"/>
                <w:szCs w:val="24"/>
                <w:highlight w:val="none"/>
                <w:u w:val="none"/>
                <w:lang w:val="en-US" w:eastAsia="zh-CN" w:bidi="ar"/>
              </w:rPr>
              <w:t>进行佐证</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4.算数运算：本模块通过选择算术运算算子和输入操作数来对图像进行处理。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5.代数运算：代数运算显示两幅图像之间的代数运算，用户可以从图像列表中选择一幅图像与当前编辑窗中的图像进行运算。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6.图像二值化：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(1)二值分割：是由图像处理到图像分析的关键步骤，其支持对整幅图像和ROI区域的操作。本模块提供了对图像进行灰度分割和彩色分割的功能；分割后生成二值图形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(2)二值显示：选择所要显示的图层，可同时显示多层。若不同层的图形存在叠加的情况时，则会显示叠加后的颜色。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(3)二值形态学：可以分离或合并二值图形的特征目标，从而达到用户的分析需求。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二值图形处理：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(4)二值变化：实现二值图形与当前图像之间的相互转化。二值细化：本模块用于提取图形的骨架部分，突出形状特  点和减少冗余信息。图像批处理：图像批处理针对一系列的图像进行相同的操作，方便用户进行大量图像的处理。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7.直方图：直方图窗口用来显示图像全图或选定ROI区域像素灰度级的分布情况，不会影响原图像，有助于颜色调整。其横坐标表示的是图像的灰度级别，纵坐标表示的是该灰度出现的频率。</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须提供软件真实界面截图</w:t>
            </w:r>
            <w:r>
              <w:rPr>
                <w:rFonts w:hint="eastAsia" w:ascii="宋体" w:hAnsi="宋体" w:cs="宋体"/>
                <w:b/>
                <w:bCs/>
                <w:i w:val="0"/>
                <w:iCs w:val="0"/>
                <w:color w:val="000000"/>
                <w:kern w:val="0"/>
                <w:sz w:val="24"/>
                <w:szCs w:val="24"/>
                <w:highlight w:val="none"/>
                <w:u w:val="none"/>
                <w:lang w:val="en-US" w:eastAsia="zh-CN" w:bidi="ar"/>
              </w:rPr>
              <w:t>进行佐证</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8.3D绘制：3D绘制窗口模块用来进行当前相册图像该的3D绘制分析。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9.3D渲染：3D渲染窗口将弹出一个用于处理3D图像的程序。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图像处理：调整、镜像、反转、白平衡、改变图像尺寸、三维化显示、放大镜、平滑、低通波、高通滤波、灰度形态学、直方图均衡、发现边缘、自定义滤波器；11.序列分析：包括，序列回放、动画输出、序列投影、区域序列分析、图像多焦面合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12.图像分析。包括：点分析、手动分析，手动测量、多视场分析、单目标分析、剖面分析、二值图形形态分析、区域亮度分析、区域相关分析。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13.图像管理：对图像文件进行新建、打开、编辑、保存、打印报告及相册管理；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14.可对实时图像进行捕捉、间隔捕捉、录像；</w:t>
            </w:r>
          </w:p>
        </w:tc>
        <w:tc>
          <w:tcPr>
            <w:tcW w:w="725" w:type="dxa"/>
            <w:noWrap w:val="0"/>
            <w:vAlign w:val="center"/>
          </w:tcPr>
          <w:p w14:paraId="0CB93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7" w:type="dxa"/>
            <w:noWrap w:val="0"/>
            <w:vAlign w:val="center"/>
          </w:tcPr>
          <w:p w14:paraId="056D9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14:paraId="3B01AE6E">
      <w:pPr>
        <w:pStyle w:val="3"/>
        <w:ind w:left="0" w:firstLine="0"/>
        <w:rPr>
          <w:rFonts w:hint="eastAsia" w:ascii="宋体" w:hAnsi="宋体" w:eastAsia="宋体" w:cs="宋体"/>
          <w:b/>
          <w:color w:val="000000"/>
          <w:sz w:val="24"/>
          <w:szCs w:val="24"/>
        </w:rPr>
      </w:pPr>
      <w:r>
        <w:rPr>
          <w:rFonts w:hint="eastAsia" w:ascii="宋体" w:hAnsi="宋体" w:eastAsia="宋体" w:cs="宋体"/>
          <w:b/>
          <w:color w:val="auto"/>
          <w:kern w:val="1"/>
          <w:sz w:val="24"/>
          <w:szCs w:val="24"/>
          <w:highlight w:val="none"/>
          <w:lang w:val="zh-CN" w:eastAsia="zh-CN"/>
        </w:rPr>
        <w:t>三、</w:t>
      </w:r>
      <w:r>
        <w:rPr>
          <w:rFonts w:hint="eastAsia" w:ascii="宋体" w:hAnsi="宋体" w:eastAsia="宋体" w:cs="宋体"/>
          <w:b/>
          <w:color w:val="auto"/>
          <w:kern w:val="1"/>
          <w:sz w:val="24"/>
          <w:szCs w:val="24"/>
          <w:highlight w:val="none"/>
          <w:lang w:val="zh-CN"/>
        </w:rPr>
        <w:t>供货要求</w:t>
      </w:r>
    </w:p>
    <w:p w14:paraId="01E73367">
      <w:pPr>
        <w:keepNext w:val="0"/>
        <w:keepLines w:val="0"/>
        <w:pageBreakBefore w:val="0"/>
        <w:widowControl w:val="0"/>
        <w:numPr>
          <w:ilvl w:val="0"/>
          <w:numId w:val="11"/>
        </w:numPr>
        <w:tabs>
          <w:tab w:val="left" w:pos="630"/>
        </w:tabs>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供方所供的货物必须为全新的，符合国家标准的合格产品；</w:t>
      </w:r>
    </w:p>
    <w:p w14:paraId="7F6490F7">
      <w:pPr>
        <w:keepNext w:val="0"/>
        <w:keepLines w:val="0"/>
        <w:pageBreakBefore w:val="0"/>
        <w:widowControl w:val="0"/>
        <w:numPr>
          <w:ilvl w:val="0"/>
          <w:numId w:val="11"/>
        </w:numPr>
        <w:tabs>
          <w:tab w:val="left" w:pos="630"/>
        </w:tabs>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所供货物不会侵犯任何第三方知识产权；</w:t>
      </w:r>
    </w:p>
    <w:p w14:paraId="35855018">
      <w:pPr>
        <w:keepNext w:val="0"/>
        <w:keepLines w:val="0"/>
        <w:pageBreakBefore w:val="0"/>
        <w:widowControl w:val="0"/>
        <w:numPr>
          <w:ilvl w:val="0"/>
          <w:numId w:val="11"/>
        </w:numPr>
        <w:tabs>
          <w:tab w:val="left" w:pos="630"/>
        </w:tabs>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签订合同后，供应商按照其与采购人的事先约定将所供货物免费上门送货至采购人指定地点后拆箱，负责免费安装调试，正常运行后交采购人单位并通过验收。</w:t>
      </w:r>
    </w:p>
    <w:p w14:paraId="6AC3EB25">
      <w:pPr>
        <w:keepNext w:val="0"/>
        <w:keepLines w:val="0"/>
        <w:pageBreakBefore w:val="0"/>
        <w:widowControl w:val="0"/>
        <w:numPr>
          <w:ilvl w:val="0"/>
          <w:numId w:val="11"/>
        </w:numPr>
        <w:tabs>
          <w:tab w:val="left" w:pos="630"/>
        </w:tabs>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若所投设备有规定外形尺寸，则外形尺寸的长、宽、高允许在±5%以内偏差；</w:t>
      </w:r>
    </w:p>
    <w:p w14:paraId="603350FD">
      <w:pPr>
        <w:keepNext w:val="0"/>
        <w:keepLines w:val="0"/>
        <w:pageBreakBefore w:val="0"/>
        <w:widowControl w:val="0"/>
        <w:numPr>
          <w:ilvl w:val="0"/>
          <w:numId w:val="11"/>
        </w:numPr>
        <w:tabs>
          <w:tab w:val="left" w:pos="630"/>
        </w:tabs>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以上部分设备如采购人提供品牌的，欢迎供应商提供等于或优于采购人提供品牌的产品。</w:t>
      </w:r>
    </w:p>
    <w:p w14:paraId="320130B3">
      <w:pPr>
        <w:keepNext w:val="0"/>
        <w:keepLines w:val="0"/>
        <w:pageBreakBefore w:val="0"/>
        <w:widowControl w:val="0"/>
        <w:numPr>
          <w:ilvl w:val="0"/>
          <w:numId w:val="11"/>
        </w:numPr>
        <w:tabs>
          <w:tab w:val="left" w:pos="630"/>
        </w:tabs>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具体数量和规格以最终业主要求为准，按实结算。</w:t>
      </w:r>
    </w:p>
    <w:p w14:paraId="02D16387">
      <w:pPr>
        <w:pStyle w:val="3"/>
        <w:rPr>
          <w:rFonts w:hint="eastAsia" w:ascii="宋体" w:hAnsi="宋体" w:eastAsia="宋体" w:cs="宋体"/>
          <w:b/>
          <w:bCs/>
          <w:sz w:val="24"/>
          <w:szCs w:val="24"/>
        </w:rPr>
      </w:pPr>
      <w:r>
        <w:rPr>
          <w:rFonts w:hint="eastAsia" w:ascii="宋体" w:hAnsi="宋体" w:eastAsia="宋体" w:cs="宋体"/>
          <w:b/>
          <w:color w:val="auto"/>
          <w:kern w:val="1"/>
          <w:sz w:val="24"/>
          <w:szCs w:val="24"/>
          <w:highlight w:val="none"/>
          <w:lang w:val="zh-CN"/>
        </w:rPr>
        <w:t>●</w:t>
      </w:r>
      <w:r>
        <w:rPr>
          <w:rFonts w:hint="eastAsia" w:ascii="宋体" w:hAnsi="宋体" w:eastAsia="宋体" w:cs="宋体"/>
          <w:b/>
          <w:bCs/>
          <w:color w:val="auto"/>
          <w:kern w:val="1"/>
          <w:sz w:val="24"/>
          <w:szCs w:val="24"/>
          <w:highlight w:val="none"/>
          <w:lang w:val="zh-CN" w:eastAsia="zh-CN"/>
        </w:rPr>
        <w:t>四、</w:t>
      </w:r>
      <w:r>
        <w:rPr>
          <w:rFonts w:hint="eastAsia" w:ascii="宋体" w:hAnsi="宋体" w:eastAsia="宋体" w:cs="宋体"/>
          <w:b/>
          <w:color w:val="auto"/>
          <w:kern w:val="1"/>
          <w:sz w:val="24"/>
          <w:szCs w:val="24"/>
          <w:highlight w:val="none"/>
          <w:lang w:val="zh-CN"/>
        </w:rPr>
        <w:t>售后服务要求</w:t>
      </w:r>
    </w:p>
    <w:p w14:paraId="067F58D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1、质保期：</w:t>
      </w:r>
      <w:r>
        <w:rPr>
          <w:rFonts w:hint="eastAsia" w:ascii="宋体" w:hAnsi="宋体" w:eastAsia="宋体" w:cs="宋体"/>
          <w:sz w:val="24"/>
          <w:szCs w:val="24"/>
          <w:highlight w:val="none"/>
          <w:lang w:val="en-US" w:eastAsia="zh-CN"/>
        </w:rPr>
        <w:t>产品验收合格使用之日起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lang w:val="en-US" w:eastAsia="zh-CN"/>
        </w:rPr>
        <w:t>，</w:t>
      </w:r>
      <w:r>
        <w:rPr>
          <w:rFonts w:hint="eastAsia" w:ascii="宋体" w:hAnsi="宋体" w:cs="宋体"/>
          <w:color w:val="auto"/>
          <w:sz w:val="24"/>
          <w:szCs w:val="24"/>
          <w:highlight w:val="none"/>
          <w:shd w:val="clear" w:color="auto" w:fill="FFFFFF"/>
          <w:lang w:eastAsia="zh-CN"/>
        </w:rPr>
        <w:t>质保期内，</w:t>
      </w:r>
      <w:r>
        <w:rPr>
          <w:rFonts w:ascii="宋体" w:hAnsi="宋体" w:cs="宋体"/>
          <w:color w:val="auto"/>
          <w:spacing w:val="-2"/>
          <w:sz w:val="24"/>
          <w:szCs w:val="24"/>
          <w:highlight w:val="none"/>
          <w:lang w:eastAsia="zh-CN"/>
        </w:rPr>
        <w:t>中标人</w:t>
      </w:r>
      <w:r>
        <w:rPr>
          <w:rFonts w:ascii="宋体" w:hAnsi="宋体" w:cs="宋体"/>
          <w:spacing w:val="-2"/>
          <w:sz w:val="24"/>
          <w:szCs w:val="24"/>
          <w:lang w:eastAsia="zh-CN"/>
        </w:rPr>
        <w:t>负责对其提供的货物</w:t>
      </w:r>
      <w:r>
        <w:rPr>
          <w:rFonts w:ascii="宋体" w:hAnsi="宋体" w:cs="宋体"/>
          <w:spacing w:val="-3"/>
          <w:sz w:val="24"/>
          <w:szCs w:val="24"/>
          <w:lang w:eastAsia="zh-CN"/>
        </w:rPr>
        <w:t>整机进行</w:t>
      </w:r>
      <w:r>
        <w:rPr>
          <w:rFonts w:hint="eastAsia" w:ascii="宋体" w:hAnsi="宋体" w:cs="宋体"/>
          <w:spacing w:val="-3"/>
          <w:sz w:val="24"/>
          <w:szCs w:val="24"/>
          <w:lang w:val="en-US" w:eastAsia="zh-CN"/>
        </w:rPr>
        <w:t>免费</w:t>
      </w:r>
      <w:r>
        <w:rPr>
          <w:rFonts w:ascii="宋体" w:hAnsi="宋体" w:cs="宋体"/>
          <w:spacing w:val="-3"/>
          <w:sz w:val="24"/>
          <w:szCs w:val="24"/>
          <w:lang w:eastAsia="zh-CN"/>
        </w:rPr>
        <w:t>维修和系统维护</w:t>
      </w:r>
      <w:r>
        <w:rPr>
          <w:rFonts w:hint="eastAsia" w:ascii="宋体" w:hAnsi="宋体" w:cs="宋体"/>
          <w:spacing w:val="-3"/>
          <w:sz w:val="24"/>
          <w:szCs w:val="24"/>
          <w:lang w:eastAsia="zh-CN"/>
        </w:rPr>
        <w:t>；</w:t>
      </w:r>
      <w:r>
        <w:rPr>
          <w:rFonts w:hint="eastAsia" w:ascii="宋体" w:hAnsi="宋体" w:cs="宋体"/>
          <w:color w:val="000000"/>
          <w:sz w:val="24"/>
          <w:szCs w:val="24"/>
          <w:shd w:val="clear" w:color="auto" w:fill="FFFFFF"/>
          <w:lang w:eastAsia="zh-CN"/>
        </w:rPr>
        <w:t>在质保期外，若设备出现故障时，中标人承诺按成本价提供有偿服务，具体</w:t>
      </w:r>
      <w:r>
        <w:rPr>
          <w:rFonts w:ascii="宋体" w:hAnsi="宋体" w:cs="宋体"/>
          <w:spacing w:val="-2"/>
          <w:sz w:val="24"/>
          <w:szCs w:val="24"/>
          <w:lang w:eastAsia="zh-CN"/>
        </w:rPr>
        <w:t>由双方协商再定</w:t>
      </w:r>
      <w:r>
        <w:rPr>
          <w:rFonts w:hint="eastAsia" w:ascii="宋体" w:hAnsi="宋体" w:eastAsia="宋体" w:cs="宋体"/>
          <w:sz w:val="24"/>
          <w:szCs w:val="24"/>
          <w:lang w:val="en-US" w:eastAsia="zh-CN"/>
        </w:rPr>
        <w:t>。</w:t>
      </w:r>
    </w:p>
    <w:p w14:paraId="5F1D551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pacing w:val="-2"/>
          <w:sz w:val="24"/>
          <w:szCs w:val="24"/>
          <w:lang w:eastAsia="zh-CN"/>
        </w:rPr>
        <w:t>所有货物保修服务方式均为中标供应商上门保修，即由中标人派人员到货物使用现场维修，由此产生的一切费用均由中标人承担。</w:t>
      </w:r>
    </w:p>
    <w:p w14:paraId="487B840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供应商负责免费对项目成果错误进行及时更正、并对按规定进行调整或补充。</w:t>
      </w:r>
      <w:r>
        <w:rPr>
          <w:rFonts w:ascii="宋体" w:hAnsi="宋体" w:cs="宋体"/>
          <w:spacing w:val="-2"/>
          <w:sz w:val="24"/>
          <w:szCs w:val="24"/>
          <w:lang w:eastAsia="zh-CN"/>
        </w:rPr>
        <w:t>中标人应指</w:t>
      </w:r>
      <w:r>
        <w:rPr>
          <w:rFonts w:ascii="宋体" w:hAnsi="宋体" w:cs="宋体"/>
          <w:spacing w:val="-3"/>
          <w:sz w:val="24"/>
          <w:szCs w:val="24"/>
          <w:lang w:eastAsia="zh-CN"/>
        </w:rPr>
        <w:t>派专人负责与招标人联系售后服务事</w:t>
      </w:r>
      <w:r>
        <w:rPr>
          <w:rFonts w:ascii="宋体" w:hAnsi="宋体" w:cs="宋体"/>
          <w:sz w:val="24"/>
          <w:szCs w:val="24"/>
          <w:lang w:eastAsia="zh-CN"/>
        </w:rPr>
        <w:t>宜</w:t>
      </w:r>
      <w:r>
        <w:rPr>
          <w:rFonts w:hint="eastAsia" w:ascii="宋体" w:hAnsi="宋体" w:cs="宋体"/>
          <w:sz w:val="24"/>
          <w:szCs w:val="24"/>
          <w:lang w:eastAsia="zh-CN"/>
        </w:rPr>
        <w:t>，</w:t>
      </w:r>
      <w:r>
        <w:rPr>
          <w:rFonts w:hint="eastAsia" w:ascii="宋体" w:hAnsi="宋体" w:cs="宋体"/>
          <w:color w:val="000000"/>
          <w:sz w:val="24"/>
          <w:szCs w:val="24"/>
          <w:shd w:val="clear" w:color="auto" w:fill="FFFFFF"/>
          <w:lang w:eastAsia="zh-CN"/>
        </w:rPr>
        <w:t>该项目负责人的联系电话应保证全天24小时畅通，并为</w:t>
      </w:r>
      <w:r>
        <w:rPr>
          <w:rFonts w:hint="eastAsia" w:ascii="宋体" w:hAnsi="宋体" w:cs="宋体"/>
          <w:color w:val="000000"/>
          <w:sz w:val="24"/>
          <w:szCs w:val="24"/>
          <w:shd w:val="clear" w:color="auto" w:fill="FFFFFF"/>
          <w:lang w:val="en-US" w:eastAsia="zh-CN"/>
        </w:rPr>
        <w:t>采购</w:t>
      </w:r>
      <w:r>
        <w:rPr>
          <w:rFonts w:hint="eastAsia" w:ascii="宋体" w:hAnsi="宋体" w:cs="宋体"/>
          <w:color w:val="000000"/>
          <w:sz w:val="24"/>
          <w:szCs w:val="24"/>
          <w:shd w:val="clear" w:color="auto" w:fill="FFFFFF"/>
          <w:lang w:eastAsia="zh-CN"/>
        </w:rPr>
        <w:t>人提供全天 24小时的紧急维修服务。</w:t>
      </w:r>
      <w:r>
        <w:rPr>
          <w:rFonts w:hint="eastAsia" w:ascii="宋体" w:hAnsi="宋体" w:eastAsia="宋体" w:cs="宋体"/>
          <w:sz w:val="24"/>
          <w:szCs w:val="24"/>
          <w:lang w:val="en-US" w:eastAsia="zh-CN"/>
        </w:rPr>
        <w:t>如在使用过程中发生问题，中标</w:t>
      </w:r>
      <w:r>
        <w:rPr>
          <w:rFonts w:hint="eastAsia" w:ascii="宋体" w:hAnsi="宋体" w:cs="宋体"/>
          <w:sz w:val="24"/>
          <w:szCs w:val="24"/>
          <w:lang w:val="en-US" w:eastAsia="zh-CN"/>
        </w:rPr>
        <w:t>人</w:t>
      </w:r>
      <w:r>
        <w:rPr>
          <w:rFonts w:hint="eastAsia" w:ascii="宋体" w:hAnsi="宋体" w:eastAsia="宋体" w:cs="宋体"/>
          <w:sz w:val="24"/>
          <w:szCs w:val="24"/>
          <w:lang w:val="en-US" w:eastAsia="zh-CN"/>
        </w:rPr>
        <w:t>在接到采购人通知后1小时内响应，2小时内到达现场，12小时内解决问题，对于现场解决不了的故障，中标</w:t>
      </w:r>
      <w:r>
        <w:rPr>
          <w:rFonts w:hint="eastAsia" w:ascii="宋体" w:hAnsi="宋体" w:cs="宋体"/>
          <w:sz w:val="24"/>
          <w:szCs w:val="24"/>
          <w:lang w:val="en-US" w:eastAsia="zh-CN"/>
        </w:rPr>
        <w:t>人</w:t>
      </w:r>
      <w:r>
        <w:rPr>
          <w:rFonts w:hint="eastAsia" w:ascii="宋体" w:hAnsi="宋体" w:eastAsia="宋体" w:cs="宋体"/>
          <w:sz w:val="24"/>
          <w:szCs w:val="24"/>
          <w:lang w:val="en-US" w:eastAsia="zh-CN"/>
        </w:rPr>
        <w:t>应提供采购人同型号、同规格的备用设备使用，直至故障设备修复。</w:t>
      </w:r>
      <w:r>
        <w:rPr>
          <w:rFonts w:hint="eastAsia" w:ascii="宋体" w:hAnsi="宋体" w:cs="宋体"/>
          <w:color w:val="000000"/>
          <w:sz w:val="24"/>
          <w:szCs w:val="24"/>
          <w:shd w:val="clear" w:color="auto" w:fill="FFFFFF"/>
          <w:lang w:eastAsia="zh-CN"/>
        </w:rPr>
        <w:t>如果中标人逾期未上门维修，则</w:t>
      </w:r>
      <w:r>
        <w:rPr>
          <w:rFonts w:hint="eastAsia" w:ascii="宋体" w:hAnsi="宋体" w:cs="宋体"/>
          <w:color w:val="000000"/>
          <w:sz w:val="24"/>
          <w:szCs w:val="24"/>
          <w:shd w:val="clear" w:color="auto" w:fill="FFFFFF"/>
          <w:lang w:val="en-US" w:eastAsia="zh-CN"/>
        </w:rPr>
        <w:t>采购</w:t>
      </w:r>
      <w:r>
        <w:rPr>
          <w:rFonts w:hint="eastAsia" w:ascii="宋体" w:hAnsi="宋体" w:cs="宋体"/>
          <w:color w:val="000000"/>
          <w:sz w:val="24"/>
          <w:szCs w:val="24"/>
          <w:shd w:val="clear" w:color="auto" w:fill="FFFFFF"/>
          <w:lang w:eastAsia="zh-CN"/>
        </w:rPr>
        <w:t>人有权自行或委托第三方维修、更换，费用由中标人负担。</w:t>
      </w:r>
      <w:r>
        <w:rPr>
          <w:rFonts w:hint="eastAsia" w:ascii="宋体" w:hAnsi="宋体" w:eastAsia="宋体" w:cs="宋体"/>
          <w:sz w:val="24"/>
          <w:szCs w:val="24"/>
          <w:lang w:val="en-US" w:eastAsia="zh-CN"/>
        </w:rPr>
        <w:t xml:space="preserve"> </w:t>
      </w:r>
    </w:p>
    <w:p w14:paraId="586E436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4、在质保期内，中标供应商应对出现的质量问题负责处理解决并承担一切费用。</w:t>
      </w:r>
    </w:p>
    <w:p w14:paraId="28AE076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在保修期内供方必须不得以任何理由影响用户的正常使用。</w:t>
      </w:r>
    </w:p>
    <w:p w14:paraId="18EFDA85">
      <w:pPr>
        <w:pStyle w:val="3"/>
        <w:rPr>
          <w:rFonts w:hint="eastAsia" w:ascii="宋体" w:hAnsi="宋体" w:eastAsia="宋体" w:cs="宋体"/>
          <w:b/>
          <w:bCs/>
          <w:sz w:val="24"/>
          <w:szCs w:val="24"/>
        </w:rPr>
      </w:pPr>
      <w:r>
        <w:rPr>
          <w:rFonts w:hint="eastAsia" w:ascii="宋体" w:hAnsi="宋体" w:eastAsia="宋体" w:cs="宋体"/>
          <w:b/>
          <w:bCs/>
          <w:color w:val="auto"/>
          <w:kern w:val="1"/>
          <w:sz w:val="24"/>
          <w:szCs w:val="24"/>
          <w:highlight w:val="none"/>
          <w:lang w:val="zh-CN"/>
        </w:rPr>
        <w:t>五、培训要求</w:t>
      </w:r>
    </w:p>
    <w:p w14:paraId="37B286FE">
      <w:pPr>
        <w:numPr>
          <w:ilvl w:val="0"/>
          <w:numId w:val="0"/>
        </w:numPr>
        <w:tabs>
          <w:tab w:val="left" w:pos="630"/>
        </w:tabs>
        <w:snapToGrid w:val="0"/>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安装调试后，供应商须向使用方人员做好所供产品日常保养、使用、管理的现场实地培训，直至会熟练使用。</w:t>
      </w:r>
    </w:p>
    <w:p w14:paraId="5F1719DD">
      <w:pPr>
        <w:pStyle w:val="3"/>
        <w:rPr>
          <w:rFonts w:hint="eastAsia" w:ascii="宋体" w:hAnsi="宋体" w:eastAsia="宋体" w:cs="宋体"/>
          <w:b w:val="0"/>
          <w:bCs w:val="0"/>
          <w:sz w:val="24"/>
          <w:szCs w:val="24"/>
          <w:lang w:val="en-US"/>
        </w:rPr>
      </w:pPr>
      <w:r>
        <w:rPr>
          <w:rFonts w:hint="eastAsia" w:ascii="宋体" w:hAnsi="宋体" w:eastAsia="宋体" w:cs="宋体"/>
          <w:b/>
          <w:color w:val="auto"/>
          <w:kern w:val="1"/>
          <w:sz w:val="24"/>
          <w:szCs w:val="24"/>
          <w:highlight w:val="none"/>
        </w:rPr>
        <w:t>●</w:t>
      </w:r>
      <w:r>
        <w:rPr>
          <w:rFonts w:hint="eastAsia" w:ascii="宋体" w:hAnsi="宋体" w:eastAsia="宋体" w:cs="宋体"/>
          <w:sz w:val="24"/>
          <w:szCs w:val="24"/>
          <w:lang w:val="en-US" w:eastAsia="zh-CN"/>
        </w:rPr>
        <w:t>六</w:t>
      </w:r>
      <w:r>
        <w:rPr>
          <w:rFonts w:hint="eastAsia" w:ascii="宋体" w:hAnsi="宋体" w:eastAsia="宋体" w:cs="宋体"/>
          <w:sz w:val="24"/>
          <w:szCs w:val="24"/>
          <w:lang w:val="en-US"/>
        </w:rPr>
        <w:t>、</w:t>
      </w:r>
      <w:r>
        <w:rPr>
          <w:rFonts w:hint="eastAsia" w:ascii="宋体" w:hAnsi="宋体" w:eastAsia="宋体" w:cs="宋体"/>
          <w:b/>
          <w:bCs/>
          <w:sz w:val="24"/>
          <w:szCs w:val="24"/>
          <w:highlight w:val="none"/>
        </w:rPr>
        <w:t>合同履约期限</w:t>
      </w:r>
    </w:p>
    <w:p w14:paraId="74C58F79">
      <w:pPr>
        <w:pStyle w:val="104"/>
        <w:adjustRightInd/>
        <w:ind w:firstLine="480"/>
        <w:rPr>
          <w:rFonts w:hint="eastAsia" w:ascii="宋体" w:hAnsi="宋体" w:eastAsia="宋体" w:cs="宋体"/>
          <w:highlight w:val="yellow"/>
        </w:rPr>
      </w:pPr>
      <w:r>
        <w:rPr>
          <w:rFonts w:hint="eastAsia" w:ascii="宋体" w:hAnsi="宋体" w:eastAsia="宋体" w:cs="宋体"/>
          <w:highlight w:val="none"/>
          <w:lang w:val="en-US" w:eastAsia="zh-CN"/>
        </w:rPr>
        <w:t>收到采购人供货通知后60日内完</w:t>
      </w:r>
      <w:r>
        <w:rPr>
          <w:rFonts w:hint="eastAsia" w:ascii="宋体" w:hAnsi="宋体" w:eastAsia="宋体" w:cs="宋体"/>
          <w:highlight w:val="none"/>
        </w:rPr>
        <w:t>成送货并安装、调试完毕及使用方初步验收。</w:t>
      </w:r>
    </w:p>
    <w:p w14:paraId="4D67EB0F">
      <w:pPr>
        <w:pStyle w:val="3"/>
        <w:rPr>
          <w:rFonts w:hint="eastAsia" w:ascii="宋体" w:hAnsi="宋体" w:eastAsia="宋体" w:cs="宋体"/>
          <w:sz w:val="24"/>
          <w:szCs w:val="24"/>
          <w:lang w:val="en-US"/>
        </w:rPr>
      </w:pPr>
      <w:r>
        <w:rPr>
          <w:rFonts w:hint="eastAsia" w:ascii="宋体" w:hAnsi="宋体" w:eastAsia="宋体" w:cs="宋体"/>
          <w:sz w:val="24"/>
          <w:szCs w:val="24"/>
          <w:lang w:val="en-US" w:eastAsia="zh-CN"/>
        </w:rPr>
        <w:t>七</w:t>
      </w:r>
      <w:r>
        <w:rPr>
          <w:rFonts w:hint="eastAsia" w:ascii="宋体" w:hAnsi="宋体" w:eastAsia="宋体" w:cs="宋体"/>
          <w:sz w:val="24"/>
          <w:szCs w:val="24"/>
          <w:lang w:val="en-US"/>
        </w:rPr>
        <w:t>、履约保证金和质量保证金</w:t>
      </w:r>
    </w:p>
    <w:p w14:paraId="48ACE76B">
      <w:pPr>
        <w:pStyle w:val="60"/>
        <w:numPr>
          <w:ilvl w:val="255"/>
          <w:numId w:val="0"/>
        </w:numPr>
        <w:autoSpaceDE/>
        <w:autoSpaceDN/>
        <w:ind w:firstLine="480" w:firstLineChars="200"/>
        <w:rPr>
          <w:rFonts w:hint="eastAsia" w:ascii="宋体" w:hAnsi="宋体" w:eastAsia="宋体" w:cs="宋体"/>
          <w:b/>
          <w:bCs/>
          <w:color w:val="000000"/>
          <w:szCs w:val="24"/>
          <w:lang w:val="en-US"/>
        </w:rPr>
      </w:pPr>
      <w:r>
        <w:rPr>
          <w:rFonts w:hint="eastAsia" w:ascii="宋体" w:hAnsi="宋体" w:eastAsia="宋体" w:cs="宋体"/>
          <w:color w:val="000000"/>
          <w:szCs w:val="24"/>
          <w:lang w:val="en-US"/>
        </w:rPr>
        <w:t>本项目无需缴纳履约保证金及质量保证金。</w:t>
      </w:r>
    </w:p>
    <w:p w14:paraId="2F4DC415">
      <w:pPr>
        <w:pStyle w:val="3"/>
        <w:rPr>
          <w:rFonts w:hint="eastAsia" w:ascii="宋体" w:hAnsi="宋体" w:eastAsia="宋体" w:cs="宋体"/>
          <w:sz w:val="24"/>
          <w:szCs w:val="24"/>
          <w:lang w:val="en-US"/>
        </w:rPr>
      </w:pPr>
      <w:r>
        <w:rPr>
          <w:rFonts w:hint="eastAsia" w:ascii="宋体" w:hAnsi="宋体" w:eastAsia="宋体" w:cs="宋体"/>
          <w:sz w:val="24"/>
          <w:szCs w:val="24"/>
          <w:lang w:val="en-US" w:eastAsia="zh-CN"/>
        </w:rPr>
        <w:t>八</w:t>
      </w:r>
      <w:r>
        <w:rPr>
          <w:rFonts w:hint="eastAsia" w:ascii="宋体" w:hAnsi="宋体" w:eastAsia="宋体" w:cs="宋体"/>
          <w:sz w:val="24"/>
          <w:szCs w:val="24"/>
          <w:lang w:val="en-US"/>
        </w:rPr>
        <w:t>、结算方式</w:t>
      </w:r>
    </w:p>
    <w:p w14:paraId="632C4760">
      <w:pPr>
        <w:pStyle w:val="60"/>
        <w:numPr>
          <w:ilvl w:val="255"/>
          <w:numId w:val="0"/>
        </w:numPr>
        <w:autoSpaceDE/>
        <w:autoSpaceDN/>
        <w:ind w:firstLine="480" w:firstLineChars="200"/>
        <w:rPr>
          <w:rFonts w:hint="eastAsia" w:ascii="宋体" w:hAnsi="宋体" w:eastAsia="宋体" w:cs="宋体"/>
          <w:color w:val="000000"/>
          <w:szCs w:val="24"/>
          <w:highlight w:val="none"/>
          <w:lang w:val="en-US"/>
        </w:rPr>
      </w:pPr>
      <w:r>
        <w:rPr>
          <w:rFonts w:hint="eastAsia" w:hAnsi="宋体" w:cs="宋体"/>
          <w:sz w:val="24"/>
          <w:szCs w:val="24"/>
          <w:highlight w:val="none"/>
          <w:lang w:val="en-US" w:eastAsia="zh-CN"/>
        </w:rPr>
        <w:t>本项目无</w:t>
      </w:r>
      <w:r>
        <w:rPr>
          <w:rFonts w:hint="eastAsia" w:ascii="宋体" w:hAnsi="宋体" w:eastAsia="宋体" w:cs="宋体"/>
          <w:sz w:val="24"/>
          <w:szCs w:val="24"/>
          <w:highlight w:val="none"/>
        </w:rPr>
        <w:t>预付款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采购人在中标方根据合同规定将项目交付并验收合格后，中标方提供发票，采购人凭发票、确认单以及合同上报区财政，区财政审批下拨款到位后，</w:t>
      </w:r>
      <w:r>
        <w:rPr>
          <w:rFonts w:hint="eastAsia" w:hAnsi="宋体" w:cs="宋体"/>
          <w:sz w:val="24"/>
          <w:szCs w:val="24"/>
          <w:highlight w:val="none"/>
          <w:lang w:val="en-US" w:eastAsia="zh-CN"/>
        </w:rPr>
        <w:t>一次性</w:t>
      </w:r>
      <w:r>
        <w:rPr>
          <w:rFonts w:hint="eastAsia" w:ascii="宋体" w:hAnsi="宋体" w:eastAsia="宋体" w:cs="宋体"/>
          <w:sz w:val="24"/>
          <w:szCs w:val="24"/>
          <w:highlight w:val="none"/>
        </w:rPr>
        <w:t>支付合同价款</w:t>
      </w:r>
      <w:r>
        <w:rPr>
          <w:rFonts w:hint="eastAsia" w:ascii="宋体" w:hAnsi="宋体" w:eastAsia="宋体" w:cs="宋体"/>
          <w:color w:val="000000"/>
          <w:szCs w:val="24"/>
          <w:highlight w:val="none"/>
          <w:lang w:val="en-US"/>
        </w:rPr>
        <w:t>。</w:t>
      </w:r>
    </w:p>
    <w:p w14:paraId="584D5EF2">
      <w:pPr>
        <w:pStyle w:val="3"/>
        <w:rPr>
          <w:rFonts w:hint="eastAsia" w:ascii="宋体" w:hAnsi="宋体" w:eastAsia="宋体" w:cs="宋体"/>
          <w:b/>
          <w:sz w:val="24"/>
          <w:szCs w:val="24"/>
          <w:lang w:val="en-US"/>
        </w:rPr>
      </w:pPr>
      <w:r>
        <w:rPr>
          <w:rFonts w:hint="eastAsia" w:ascii="宋体" w:hAnsi="宋体" w:eastAsia="宋体" w:cs="宋体"/>
          <w:b/>
          <w:sz w:val="24"/>
          <w:szCs w:val="24"/>
          <w:lang w:val="en-US" w:eastAsia="zh-CN"/>
        </w:rPr>
        <w:t>九、</w:t>
      </w:r>
      <w:r>
        <w:rPr>
          <w:rFonts w:hint="eastAsia" w:ascii="宋体" w:hAnsi="宋体" w:eastAsia="宋体" w:cs="宋体"/>
          <w:b/>
          <w:sz w:val="24"/>
          <w:szCs w:val="24"/>
          <w:lang w:val="en-US"/>
        </w:rPr>
        <w:t>验收</w:t>
      </w:r>
    </w:p>
    <w:p w14:paraId="4B3E8E3C">
      <w:pPr>
        <w:keepNext w:val="0"/>
        <w:keepLines w:val="0"/>
        <w:pageBreakBefore w:val="0"/>
        <w:numPr>
          <w:ilvl w:val="0"/>
          <w:numId w:val="12"/>
        </w:numPr>
        <w:tabs>
          <w:tab w:val="left" w:pos="630"/>
        </w:tabs>
        <w:kinsoku/>
        <w:wordWrap/>
        <w:overflowPunct/>
        <w:topLinePunct w:val="0"/>
        <w:autoSpaceDE/>
        <w:autoSpaceDN/>
        <w:bidi w:val="0"/>
        <w:spacing w:line="360" w:lineRule="auto"/>
        <w:ind w:leftChars="0"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根据《杭州市政府采购履约验收暂行办法》（杭财采监〔2019〕10号）规定，采购人应当根据采购项目的具体情况，自行组织项目验收或者委托采购代理机构验收。 </w:t>
      </w:r>
    </w:p>
    <w:p w14:paraId="278DDB99">
      <w:pPr>
        <w:keepNext w:val="0"/>
        <w:keepLines w:val="0"/>
        <w:pageBreakBefore w:val="0"/>
        <w:numPr>
          <w:ilvl w:val="0"/>
          <w:numId w:val="12"/>
        </w:numPr>
        <w:tabs>
          <w:tab w:val="left" w:pos="630"/>
        </w:tabs>
        <w:kinsoku/>
        <w:wordWrap/>
        <w:overflowPunct/>
        <w:topLinePunct w:val="0"/>
        <w:autoSpaceDE/>
        <w:autoSpaceDN/>
        <w:bidi w:val="0"/>
        <w:spacing w:line="360" w:lineRule="auto"/>
        <w:ind w:leftChars="0"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经验收不合格且无法整改的，不付款不退货，所产生的所有损失由乙</w:t>
      </w:r>
      <w:r>
        <w:rPr>
          <w:rFonts w:hint="eastAsia" w:ascii="宋体" w:hAnsi="宋体" w:cs="宋体"/>
          <w:b w:val="0"/>
          <w:bCs w:val="0"/>
          <w:sz w:val="24"/>
          <w:lang w:val="en-US" w:eastAsia="zh-CN"/>
        </w:rPr>
        <w:t>方</w:t>
      </w:r>
      <w:r>
        <w:rPr>
          <w:rFonts w:hint="eastAsia" w:ascii="宋体" w:hAnsi="宋体" w:eastAsia="宋体" w:cs="宋体"/>
          <w:b w:val="0"/>
          <w:bCs w:val="0"/>
          <w:sz w:val="24"/>
          <w:lang w:val="en-US" w:eastAsia="zh-CN"/>
        </w:rPr>
        <w:t>承担。</w:t>
      </w:r>
    </w:p>
    <w:p w14:paraId="14D8E8CB"/>
    <w:p w14:paraId="1AD26A8F">
      <w:pPr>
        <w:spacing w:line="360" w:lineRule="auto"/>
        <w:ind w:left="720" w:leftChars="343" w:firstLine="2168" w:firstLineChars="600"/>
        <w:jc w:val="both"/>
        <w:outlineLvl w:val="0"/>
        <w:rPr>
          <w:rFonts w:hint="eastAsia" w:ascii="宋体" w:hAnsi="宋体" w:eastAsia="宋体" w:cs="宋体"/>
          <w:b/>
          <w:sz w:val="36"/>
          <w:szCs w:val="36"/>
        </w:rPr>
      </w:pPr>
      <w:r>
        <w:rPr>
          <w:rFonts w:hint="eastAsia" w:ascii="宋体" w:hAnsi="宋体" w:eastAsia="宋体" w:cs="宋体"/>
          <w:b/>
          <w:sz w:val="36"/>
          <w:szCs w:val="36"/>
        </w:rPr>
        <w:t xml:space="preserve">第四部分 </w:t>
      </w:r>
      <w:bookmarkStart w:id="30" w:name="_Toc184314414"/>
      <w:bookmarkEnd w:id="30"/>
      <w:bookmarkStart w:id="31" w:name="_Toc184308077"/>
      <w:bookmarkEnd w:id="31"/>
      <w:bookmarkStart w:id="32" w:name="_Toc184313254"/>
      <w:bookmarkEnd w:id="32"/>
      <w:bookmarkStart w:id="33" w:name="_Toc184314470"/>
      <w:bookmarkEnd w:id="33"/>
      <w:bookmarkStart w:id="34" w:name="_Toc184314413"/>
      <w:bookmarkEnd w:id="34"/>
      <w:bookmarkStart w:id="35" w:name="_Toc184314432"/>
      <w:bookmarkEnd w:id="35"/>
      <w:bookmarkStart w:id="36" w:name="_Toc184312109"/>
      <w:bookmarkEnd w:id="36"/>
      <w:bookmarkStart w:id="37" w:name="_Toc184310318"/>
      <w:bookmarkEnd w:id="37"/>
      <w:bookmarkStart w:id="38" w:name="_Toc184308071"/>
      <w:bookmarkEnd w:id="38"/>
      <w:bookmarkStart w:id="39" w:name="_Toc184310303"/>
      <w:bookmarkEnd w:id="39"/>
      <w:bookmarkStart w:id="40" w:name="_Toc184308067"/>
      <w:bookmarkEnd w:id="40"/>
      <w:bookmarkStart w:id="41" w:name="_Toc184308103"/>
      <w:bookmarkEnd w:id="41"/>
      <w:bookmarkStart w:id="42" w:name="_Toc184313241"/>
      <w:bookmarkEnd w:id="42"/>
      <w:bookmarkStart w:id="43" w:name="_Toc184310314"/>
      <w:bookmarkEnd w:id="43"/>
      <w:bookmarkStart w:id="44" w:name="_Toc184312101"/>
      <w:bookmarkEnd w:id="44"/>
      <w:bookmarkStart w:id="45" w:name="_Toc184314450"/>
      <w:bookmarkEnd w:id="45"/>
      <w:bookmarkStart w:id="46" w:name="_Toc184313267"/>
      <w:bookmarkEnd w:id="46"/>
      <w:bookmarkStart w:id="47" w:name="_Toc184313286"/>
      <w:bookmarkEnd w:id="47"/>
      <w:bookmarkStart w:id="48" w:name="_Toc184312138"/>
      <w:bookmarkEnd w:id="48"/>
      <w:bookmarkStart w:id="49" w:name="_Toc184314460"/>
      <w:bookmarkEnd w:id="49"/>
      <w:bookmarkStart w:id="50" w:name="_Toc184313266"/>
      <w:bookmarkEnd w:id="50"/>
      <w:bookmarkStart w:id="51" w:name="_Toc184308046"/>
      <w:bookmarkEnd w:id="51"/>
      <w:bookmarkStart w:id="52" w:name="_Toc184312069"/>
      <w:bookmarkEnd w:id="52"/>
      <w:bookmarkStart w:id="53" w:name="_Toc184312106"/>
      <w:bookmarkEnd w:id="53"/>
      <w:bookmarkStart w:id="54" w:name="_Toc184313292"/>
      <w:bookmarkEnd w:id="54"/>
      <w:bookmarkStart w:id="55" w:name="_Toc184313296"/>
      <w:bookmarkEnd w:id="55"/>
      <w:bookmarkStart w:id="56" w:name="_Toc184310287"/>
      <w:bookmarkEnd w:id="56"/>
      <w:bookmarkStart w:id="57" w:name="_Toc184308073"/>
      <w:bookmarkEnd w:id="57"/>
      <w:bookmarkStart w:id="58" w:name="_Toc184314469"/>
      <w:bookmarkEnd w:id="58"/>
      <w:bookmarkStart w:id="59" w:name="_Toc184312115"/>
      <w:bookmarkEnd w:id="59"/>
      <w:bookmarkStart w:id="60" w:name="_Toc184312130"/>
      <w:bookmarkEnd w:id="60"/>
      <w:bookmarkStart w:id="61" w:name="_Toc184308041"/>
      <w:bookmarkEnd w:id="61"/>
      <w:bookmarkStart w:id="62" w:name="_Toc184308102"/>
      <w:bookmarkEnd w:id="62"/>
      <w:bookmarkStart w:id="63" w:name="_Toc184314425"/>
      <w:bookmarkEnd w:id="63"/>
      <w:bookmarkStart w:id="64" w:name="_Toc184310298"/>
      <w:bookmarkEnd w:id="64"/>
      <w:bookmarkStart w:id="65" w:name="_Toc184308090"/>
      <w:bookmarkEnd w:id="65"/>
      <w:bookmarkStart w:id="66" w:name="_Toc184308054"/>
      <w:bookmarkEnd w:id="66"/>
      <w:bookmarkStart w:id="67" w:name="_Toc184314480"/>
      <w:bookmarkEnd w:id="67"/>
      <w:bookmarkStart w:id="68" w:name="_Toc184314472"/>
      <w:bookmarkEnd w:id="68"/>
      <w:bookmarkStart w:id="69" w:name="_Toc184310335"/>
      <w:bookmarkEnd w:id="69"/>
      <w:bookmarkStart w:id="70" w:name="_Toc184313299"/>
      <w:bookmarkEnd w:id="70"/>
      <w:bookmarkStart w:id="71" w:name="_Toc184312094"/>
      <w:bookmarkEnd w:id="71"/>
      <w:bookmarkStart w:id="72" w:name="_Toc184312139"/>
      <w:bookmarkEnd w:id="72"/>
      <w:bookmarkStart w:id="73" w:name="_Toc184314467"/>
      <w:bookmarkEnd w:id="73"/>
      <w:bookmarkStart w:id="74" w:name="_Toc184310307"/>
      <w:bookmarkEnd w:id="74"/>
      <w:bookmarkStart w:id="75" w:name="_Toc184312098"/>
      <w:bookmarkEnd w:id="75"/>
      <w:bookmarkStart w:id="76" w:name="_Toc184312077"/>
      <w:bookmarkEnd w:id="76"/>
      <w:bookmarkStart w:id="77" w:name="_Toc184314454"/>
      <w:bookmarkEnd w:id="77"/>
      <w:bookmarkStart w:id="78" w:name="_Toc184308069"/>
      <w:bookmarkEnd w:id="78"/>
      <w:bookmarkStart w:id="79" w:name="_Toc184308080"/>
      <w:bookmarkEnd w:id="79"/>
      <w:bookmarkStart w:id="80" w:name="_Toc184314416"/>
      <w:bookmarkEnd w:id="80"/>
      <w:bookmarkStart w:id="81" w:name="_Toc184308037"/>
      <w:bookmarkEnd w:id="81"/>
      <w:bookmarkStart w:id="82" w:name="_Toc184308107"/>
      <w:bookmarkEnd w:id="82"/>
      <w:bookmarkStart w:id="83" w:name="_Toc184310325"/>
      <w:bookmarkEnd w:id="83"/>
      <w:bookmarkStart w:id="84" w:name="_Toc184312134"/>
      <w:bookmarkEnd w:id="84"/>
      <w:bookmarkStart w:id="85" w:name="_Toc184313279"/>
      <w:bookmarkEnd w:id="85"/>
      <w:bookmarkStart w:id="86" w:name="_Toc184313257"/>
      <w:bookmarkEnd w:id="86"/>
      <w:bookmarkStart w:id="87" w:name="_Toc184314429"/>
      <w:bookmarkEnd w:id="87"/>
      <w:bookmarkStart w:id="88" w:name="_Toc184312068"/>
      <w:bookmarkEnd w:id="88"/>
      <w:bookmarkStart w:id="89" w:name="_Toc184314473"/>
      <w:bookmarkEnd w:id="89"/>
      <w:bookmarkStart w:id="90" w:name="_Toc184310272"/>
      <w:bookmarkEnd w:id="90"/>
      <w:bookmarkStart w:id="91" w:name="_Toc184314431"/>
      <w:bookmarkEnd w:id="91"/>
      <w:bookmarkStart w:id="92" w:name="_Toc184313281"/>
      <w:bookmarkEnd w:id="92"/>
      <w:bookmarkStart w:id="93" w:name="_Toc184308100"/>
      <w:bookmarkEnd w:id="93"/>
      <w:bookmarkStart w:id="94" w:name="_Toc184312136"/>
      <w:bookmarkEnd w:id="94"/>
      <w:bookmarkStart w:id="95" w:name="_Toc184312073"/>
      <w:bookmarkEnd w:id="95"/>
      <w:bookmarkStart w:id="96" w:name="_Toc184310326"/>
      <w:bookmarkEnd w:id="96"/>
      <w:bookmarkStart w:id="97" w:name="_Toc184310295"/>
      <w:bookmarkEnd w:id="97"/>
      <w:bookmarkStart w:id="98" w:name="_Toc184314417"/>
      <w:bookmarkEnd w:id="98"/>
      <w:bookmarkStart w:id="99" w:name="_Toc184308058"/>
      <w:bookmarkEnd w:id="99"/>
      <w:bookmarkStart w:id="100" w:name="_Toc184312135"/>
      <w:bookmarkEnd w:id="100"/>
      <w:bookmarkStart w:id="101" w:name="_Toc184312111"/>
      <w:bookmarkEnd w:id="101"/>
      <w:bookmarkStart w:id="102" w:name="_Toc184310294"/>
      <w:bookmarkEnd w:id="102"/>
      <w:bookmarkStart w:id="103" w:name="_Toc184313238"/>
      <w:bookmarkEnd w:id="103"/>
      <w:bookmarkStart w:id="104" w:name="_Toc184314479"/>
      <w:bookmarkEnd w:id="104"/>
      <w:bookmarkStart w:id="105" w:name="_Toc184313306"/>
      <w:bookmarkEnd w:id="105"/>
      <w:bookmarkStart w:id="106" w:name="_Toc184308087"/>
      <w:bookmarkEnd w:id="106"/>
      <w:bookmarkStart w:id="107" w:name="_Toc184308047"/>
      <w:bookmarkEnd w:id="107"/>
      <w:bookmarkStart w:id="108" w:name="_Toc184313270"/>
      <w:bookmarkEnd w:id="108"/>
      <w:bookmarkStart w:id="109" w:name="_Toc184308095"/>
      <w:bookmarkEnd w:id="109"/>
      <w:bookmarkStart w:id="110" w:name="_Toc184314482"/>
      <w:bookmarkEnd w:id="110"/>
      <w:bookmarkStart w:id="111" w:name="_Toc184313240"/>
      <w:bookmarkEnd w:id="111"/>
      <w:bookmarkStart w:id="112" w:name="_Toc184312102"/>
      <w:bookmarkEnd w:id="112"/>
      <w:bookmarkStart w:id="113" w:name="_Toc184312121"/>
      <w:bookmarkEnd w:id="113"/>
      <w:bookmarkStart w:id="114" w:name="_Toc184312117"/>
      <w:bookmarkEnd w:id="114"/>
      <w:bookmarkStart w:id="115" w:name="_Toc184312072"/>
      <w:bookmarkEnd w:id="115"/>
      <w:bookmarkStart w:id="116" w:name="_Toc184314443"/>
      <w:bookmarkEnd w:id="116"/>
      <w:bookmarkStart w:id="117" w:name="_Toc184312091"/>
      <w:bookmarkEnd w:id="117"/>
      <w:bookmarkStart w:id="118" w:name="_Toc184314449"/>
      <w:bookmarkEnd w:id="118"/>
      <w:bookmarkStart w:id="119" w:name="_Toc184314445"/>
      <w:bookmarkEnd w:id="119"/>
      <w:bookmarkStart w:id="120" w:name="_Toc184314466"/>
      <w:bookmarkEnd w:id="120"/>
      <w:bookmarkStart w:id="121" w:name="_Toc184313301"/>
      <w:bookmarkEnd w:id="121"/>
      <w:bookmarkStart w:id="122" w:name="_Toc184310343"/>
      <w:bookmarkEnd w:id="122"/>
      <w:bookmarkStart w:id="123" w:name="_Toc184312100"/>
      <w:bookmarkEnd w:id="123"/>
      <w:bookmarkStart w:id="124" w:name="_Toc184310337"/>
      <w:bookmarkEnd w:id="124"/>
      <w:bookmarkStart w:id="125" w:name="_Toc184314419"/>
      <w:bookmarkEnd w:id="125"/>
      <w:bookmarkStart w:id="126" w:name="_Toc184308097"/>
      <w:bookmarkEnd w:id="126"/>
      <w:bookmarkStart w:id="127" w:name="_Toc184313297"/>
      <w:bookmarkEnd w:id="127"/>
      <w:bookmarkStart w:id="128" w:name="_Toc184312120"/>
      <w:bookmarkEnd w:id="128"/>
      <w:bookmarkStart w:id="129" w:name="_Toc184313249"/>
      <w:bookmarkEnd w:id="129"/>
      <w:bookmarkStart w:id="130" w:name="_Toc184308092"/>
      <w:bookmarkEnd w:id="130"/>
      <w:bookmarkStart w:id="131" w:name="_Toc184310312"/>
      <w:bookmarkEnd w:id="131"/>
      <w:bookmarkStart w:id="132" w:name="_Toc184313304"/>
      <w:bookmarkEnd w:id="132"/>
      <w:bookmarkStart w:id="133" w:name="_Toc184313284"/>
      <w:bookmarkEnd w:id="133"/>
      <w:bookmarkStart w:id="134" w:name="_Toc184312103"/>
      <w:bookmarkEnd w:id="134"/>
      <w:bookmarkStart w:id="135" w:name="_Toc184312071"/>
      <w:bookmarkEnd w:id="135"/>
      <w:bookmarkStart w:id="136" w:name="_Toc184312131"/>
      <w:bookmarkEnd w:id="136"/>
      <w:bookmarkStart w:id="137" w:name="_Toc184310313"/>
      <w:bookmarkEnd w:id="137"/>
      <w:bookmarkStart w:id="138" w:name="_Toc184310277"/>
      <w:bookmarkEnd w:id="138"/>
      <w:bookmarkStart w:id="139" w:name="_Toc184308101"/>
      <w:bookmarkEnd w:id="139"/>
      <w:bookmarkStart w:id="140" w:name="_Toc184308048"/>
      <w:bookmarkEnd w:id="140"/>
      <w:bookmarkStart w:id="141" w:name="_Toc184310339"/>
      <w:bookmarkEnd w:id="141"/>
      <w:bookmarkStart w:id="142" w:name="_Toc184310324"/>
      <w:bookmarkEnd w:id="142"/>
      <w:bookmarkStart w:id="143" w:name="_Toc184314471"/>
      <w:bookmarkEnd w:id="143"/>
      <w:bookmarkStart w:id="144" w:name="_Toc184308065"/>
      <w:bookmarkEnd w:id="144"/>
      <w:bookmarkStart w:id="145" w:name="_Toc184308050"/>
      <w:bookmarkEnd w:id="145"/>
      <w:bookmarkStart w:id="146" w:name="_Toc184310283"/>
      <w:bookmarkEnd w:id="146"/>
      <w:bookmarkStart w:id="147" w:name="_Toc184313245"/>
      <w:bookmarkEnd w:id="147"/>
      <w:bookmarkStart w:id="148" w:name="_Toc184312085"/>
      <w:bookmarkEnd w:id="148"/>
      <w:bookmarkStart w:id="149" w:name="_Toc184308057"/>
      <w:bookmarkEnd w:id="149"/>
      <w:bookmarkStart w:id="150" w:name="_Toc184314461"/>
      <w:bookmarkEnd w:id="150"/>
      <w:bookmarkStart w:id="151" w:name="_Toc184314433"/>
      <w:bookmarkEnd w:id="151"/>
      <w:bookmarkStart w:id="152" w:name="_Toc184314463"/>
      <w:bookmarkEnd w:id="152"/>
      <w:bookmarkStart w:id="153" w:name="_Toc184313272"/>
      <w:bookmarkEnd w:id="153"/>
      <w:bookmarkStart w:id="154" w:name="_Toc184312123"/>
      <w:bookmarkEnd w:id="154"/>
      <w:bookmarkStart w:id="155" w:name="_Toc184314428"/>
      <w:bookmarkEnd w:id="155"/>
      <w:bookmarkStart w:id="156" w:name="_Toc184314451"/>
      <w:bookmarkEnd w:id="156"/>
      <w:bookmarkStart w:id="157" w:name="_Toc184313277"/>
      <w:bookmarkEnd w:id="157"/>
      <w:bookmarkStart w:id="158" w:name="_Toc184313287"/>
      <w:bookmarkEnd w:id="158"/>
      <w:bookmarkStart w:id="159" w:name="_Toc184313269"/>
      <w:bookmarkEnd w:id="159"/>
      <w:bookmarkStart w:id="160" w:name="_Toc184310340"/>
      <w:bookmarkEnd w:id="160"/>
      <w:bookmarkStart w:id="161" w:name="_Toc184313243"/>
      <w:bookmarkEnd w:id="161"/>
      <w:bookmarkStart w:id="162" w:name="_Toc184312074"/>
      <w:bookmarkEnd w:id="162"/>
      <w:bookmarkStart w:id="163" w:name="_Toc184310322"/>
      <w:bookmarkEnd w:id="163"/>
      <w:bookmarkStart w:id="164" w:name="_Toc184313298"/>
      <w:bookmarkEnd w:id="164"/>
      <w:bookmarkStart w:id="165" w:name="_Toc184310308"/>
      <w:bookmarkEnd w:id="165"/>
      <w:bookmarkStart w:id="166" w:name="_Toc184312096"/>
      <w:bookmarkEnd w:id="166"/>
      <w:bookmarkStart w:id="167" w:name="_Toc184314410"/>
      <w:bookmarkEnd w:id="167"/>
      <w:bookmarkStart w:id="168" w:name="_Toc184314446"/>
      <w:bookmarkEnd w:id="168"/>
      <w:bookmarkStart w:id="169" w:name="_Toc184312126"/>
      <w:bookmarkEnd w:id="169"/>
      <w:bookmarkStart w:id="170" w:name="_Toc184310297"/>
      <w:bookmarkEnd w:id="170"/>
      <w:bookmarkStart w:id="171" w:name="_Toc184310278"/>
      <w:bookmarkEnd w:id="171"/>
      <w:bookmarkStart w:id="172" w:name="_Toc184310280"/>
      <w:bookmarkEnd w:id="172"/>
      <w:bookmarkStart w:id="173" w:name="_Toc184314478"/>
      <w:bookmarkEnd w:id="173"/>
      <w:bookmarkStart w:id="174" w:name="_Toc184313293"/>
      <w:bookmarkEnd w:id="174"/>
      <w:bookmarkStart w:id="175" w:name="_Toc184308038"/>
      <w:bookmarkEnd w:id="175"/>
      <w:bookmarkStart w:id="176" w:name="_Toc184313268"/>
      <w:bookmarkEnd w:id="176"/>
      <w:bookmarkStart w:id="177" w:name="_Toc184308088"/>
      <w:bookmarkEnd w:id="177"/>
      <w:bookmarkStart w:id="178" w:name="_Toc184314430"/>
      <w:bookmarkEnd w:id="178"/>
      <w:bookmarkStart w:id="179" w:name="_Toc184313258"/>
      <w:bookmarkEnd w:id="179"/>
      <w:bookmarkStart w:id="180" w:name="_Toc184310293"/>
      <w:bookmarkEnd w:id="180"/>
      <w:bookmarkStart w:id="181" w:name="_Toc184313302"/>
      <w:bookmarkEnd w:id="181"/>
      <w:bookmarkStart w:id="182" w:name="_Toc184310279"/>
      <w:bookmarkEnd w:id="182"/>
      <w:bookmarkStart w:id="183" w:name="_Toc184312110"/>
      <w:bookmarkEnd w:id="183"/>
      <w:bookmarkStart w:id="184" w:name="_Toc184308098"/>
      <w:bookmarkEnd w:id="184"/>
      <w:bookmarkStart w:id="185" w:name="_Toc184312114"/>
      <w:bookmarkEnd w:id="185"/>
      <w:bookmarkStart w:id="186" w:name="_Toc184314435"/>
      <w:bookmarkEnd w:id="186"/>
      <w:bookmarkStart w:id="187" w:name="_Toc184310275"/>
      <w:bookmarkEnd w:id="187"/>
      <w:bookmarkStart w:id="188" w:name="_Toc184310301"/>
      <w:bookmarkEnd w:id="188"/>
      <w:bookmarkStart w:id="189" w:name="_Toc184314440"/>
      <w:bookmarkEnd w:id="189"/>
      <w:bookmarkStart w:id="190" w:name="_Toc184312095"/>
      <w:bookmarkEnd w:id="190"/>
      <w:bookmarkStart w:id="191" w:name="_Toc184312125"/>
      <w:bookmarkEnd w:id="191"/>
      <w:bookmarkStart w:id="192" w:name="_Toc184310304"/>
      <w:bookmarkEnd w:id="192"/>
      <w:bookmarkStart w:id="193" w:name="_Toc184312089"/>
      <w:bookmarkEnd w:id="193"/>
      <w:bookmarkStart w:id="194" w:name="_Toc184314439"/>
      <w:bookmarkEnd w:id="194"/>
      <w:bookmarkStart w:id="195" w:name="_Toc184308045"/>
      <w:bookmarkEnd w:id="195"/>
      <w:bookmarkStart w:id="196" w:name="_Toc184312078"/>
      <w:bookmarkEnd w:id="196"/>
      <w:bookmarkStart w:id="197" w:name="_Toc184314412"/>
      <w:bookmarkEnd w:id="197"/>
      <w:bookmarkStart w:id="198" w:name="_Toc184310331"/>
      <w:bookmarkEnd w:id="198"/>
      <w:bookmarkStart w:id="199" w:name="_Toc184310284"/>
      <w:bookmarkEnd w:id="199"/>
      <w:bookmarkStart w:id="200" w:name="_Toc184308055"/>
      <w:bookmarkEnd w:id="200"/>
      <w:bookmarkStart w:id="201" w:name="_Toc184310327"/>
      <w:bookmarkEnd w:id="201"/>
      <w:bookmarkStart w:id="202" w:name="_Toc184314437"/>
      <w:bookmarkEnd w:id="202"/>
      <w:bookmarkStart w:id="203" w:name="_Toc184310292"/>
      <w:bookmarkEnd w:id="203"/>
      <w:bookmarkStart w:id="204" w:name="_Toc184312070"/>
      <w:bookmarkEnd w:id="204"/>
      <w:bookmarkStart w:id="205" w:name="_Toc184313246"/>
      <w:bookmarkEnd w:id="205"/>
      <w:bookmarkStart w:id="206" w:name="_Toc184308074"/>
      <w:bookmarkEnd w:id="206"/>
      <w:bookmarkStart w:id="207" w:name="_Toc184313285"/>
      <w:bookmarkEnd w:id="207"/>
      <w:bookmarkStart w:id="208" w:name="_Toc184314457"/>
      <w:bookmarkEnd w:id="208"/>
      <w:bookmarkStart w:id="209" w:name="_Toc184314420"/>
      <w:bookmarkEnd w:id="209"/>
      <w:bookmarkStart w:id="210" w:name="_Toc184314453"/>
      <w:bookmarkEnd w:id="210"/>
      <w:bookmarkStart w:id="211" w:name="_Toc184308066"/>
      <w:bookmarkEnd w:id="211"/>
      <w:bookmarkStart w:id="212" w:name="_Toc184313309"/>
      <w:bookmarkEnd w:id="212"/>
      <w:bookmarkStart w:id="213" w:name="_Toc184313288"/>
      <w:bookmarkEnd w:id="213"/>
      <w:bookmarkStart w:id="214" w:name="_Toc184313239"/>
      <w:bookmarkEnd w:id="214"/>
      <w:bookmarkStart w:id="215" w:name="_Toc184312081"/>
      <w:bookmarkEnd w:id="215"/>
      <w:bookmarkStart w:id="216" w:name="_Toc184313261"/>
      <w:bookmarkEnd w:id="216"/>
      <w:bookmarkStart w:id="217" w:name="_Toc184313259"/>
      <w:bookmarkEnd w:id="217"/>
      <w:bookmarkStart w:id="218" w:name="_Toc184308081"/>
      <w:bookmarkEnd w:id="218"/>
      <w:bookmarkStart w:id="219" w:name="_Toc184308099"/>
      <w:bookmarkEnd w:id="219"/>
      <w:bookmarkStart w:id="220" w:name="_Toc184312105"/>
      <w:bookmarkEnd w:id="220"/>
      <w:bookmarkStart w:id="221" w:name="_Toc184310311"/>
      <w:bookmarkEnd w:id="221"/>
      <w:bookmarkStart w:id="222" w:name="_Toc184308049"/>
      <w:bookmarkEnd w:id="222"/>
      <w:bookmarkStart w:id="223" w:name="_Toc184310300"/>
      <w:bookmarkEnd w:id="223"/>
      <w:bookmarkStart w:id="224" w:name="_Toc184310316"/>
      <w:bookmarkEnd w:id="224"/>
      <w:bookmarkStart w:id="225" w:name="_Toc184312104"/>
      <w:bookmarkEnd w:id="225"/>
      <w:bookmarkStart w:id="226" w:name="_Toc184313256"/>
      <w:bookmarkEnd w:id="226"/>
      <w:bookmarkStart w:id="227" w:name="_Toc184313295"/>
      <w:bookmarkEnd w:id="227"/>
      <w:bookmarkStart w:id="228" w:name="_Toc184310309"/>
      <w:bookmarkEnd w:id="228"/>
      <w:bookmarkStart w:id="229" w:name="_Toc184313310"/>
      <w:bookmarkEnd w:id="229"/>
      <w:bookmarkStart w:id="230" w:name="_Toc184308104"/>
      <w:bookmarkEnd w:id="230"/>
      <w:bookmarkStart w:id="231" w:name="_Toc184310329"/>
      <w:bookmarkEnd w:id="231"/>
      <w:bookmarkStart w:id="232" w:name="_Toc184313303"/>
      <w:bookmarkEnd w:id="232"/>
      <w:bookmarkStart w:id="233" w:name="_Toc184308084"/>
      <w:bookmarkEnd w:id="233"/>
      <w:bookmarkStart w:id="234" w:name="_Toc184308056"/>
      <w:bookmarkEnd w:id="234"/>
      <w:bookmarkStart w:id="235" w:name="_Toc184313283"/>
      <w:bookmarkEnd w:id="235"/>
      <w:bookmarkStart w:id="236" w:name="_Toc184314424"/>
      <w:bookmarkEnd w:id="236"/>
      <w:bookmarkStart w:id="237" w:name="_Toc184314465"/>
      <w:bookmarkEnd w:id="237"/>
      <w:bookmarkStart w:id="238" w:name="_Toc184313308"/>
      <w:bookmarkEnd w:id="238"/>
      <w:bookmarkStart w:id="239" w:name="_Toc184308078"/>
      <w:bookmarkEnd w:id="239"/>
      <w:bookmarkStart w:id="240" w:name="_Toc184314458"/>
      <w:bookmarkEnd w:id="240"/>
      <w:bookmarkStart w:id="241" w:name="_Toc184314452"/>
      <w:bookmarkEnd w:id="241"/>
      <w:bookmarkStart w:id="242" w:name="_Toc184308089"/>
      <w:bookmarkEnd w:id="242"/>
      <w:bookmarkStart w:id="243" w:name="_Toc184313275"/>
      <w:bookmarkEnd w:id="243"/>
      <w:bookmarkStart w:id="244" w:name="_Toc184314462"/>
      <w:bookmarkEnd w:id="244"/>
      <w:bookmarkStart w:id="245" w:name="_Toc184308052"/>
      <w:bookmarkEnd w:id="245"/>
      <w:bookmarkStart w:id="246" w:name="_Toc184314442"/>
      <w:bookmarkEnd w:id="246"/>
      <w:bookmarkStart w:id="247" w:name="_Toc184312083"/>
      <w:bookmarkEnd w:id="247"/>
      <w:bookmarkStart w:id="248" w:name="_Toc184314464"/>
      <w:bookmarkEnd w:id="248"/>
      <w:bookmarkStart w:id="249" w:name="_Toc184312076"/>
      <w:bookmarkEnd w:id="249"/>
      <w:bookmarkStart w:id="250" w:name="_Toc184310288"/>
      <w:bookmarkEnd w:id="250"/>
      <w:bookmarkStart w:id="251" w:name="_Toc184310285"/>
      <w:bookmarkEnd w:id="251"/>
      <w:bookmarkStart w:id="252" w:name="_Toc184313265"/>
      <w:bookmarkEnd w:id="252"/>
      <w:bookmarkStart w:id="253" w:name="_Toc184314434"/>
      <w:bookmarkEnd w:id="253"/>
      <w:bookmarkStart w:id="254" w:name="_Toc184310305"/>
      <w:bookmarkEnd w:id="254"/>
      <w:bookmarkStart w:id="255" w:name="_Toc184310296"/>
      <w:bookmarkEnd w:id="255"/>
      <w:bookmarkStart w:id="256" w:name="_Toc184308068"/>
      <w:bookmarkEnd w:id="256"/>
      <w:bookmarkStart w:id="257" w:name="_Toc184312128"/>
      <w:bookmarkEnd w:id="257"/>
      <w:bookmarkStart w:id="258" w:name="_Toc184312127"/>
      <w:bookmarkEnd w:id="258"/>
      <w:bookmarkStart w:id="259" w:name="_Toc184314474"/>
      <w:bookmarkEnd w:id="259"/>
      <w:bookmarkStart w:id="260" w:name="_Toc184313291"/>
      <w:bookmarkEnd w:id="260"/>
      <w:bookmarkStart w:id="261" w:name="_Toc184312079"/>
      <w:bookmarkEnd w:id="261"/>
      <w:bookmarkStart w:id="262" w:name="_Toc184314448"/>
      <w:bookmarkEnd w:id="262"/>
      <w:bookmarkStart w:id="263" w:name="_Toc184313247"/>
      <w:bookmarkEnd w:id="263"/>
      <w:bookmarkStart w:id="264" w:name="_Toc184310276"/>
      <w:bookmarkEnd w:id="264"/>
      <w:bookmarkStart w:id="265" w:name="_Toc184308091"/>
      <w:bookmarkEnd w:id="265"/>
      <w:bookmarkStart w:id="266" w:name="_Toc184314481"/>
      <w:bookmarkEnd w:id="266"/>
      <w:bookmarkStart w:id="267" w:name="_Toc184312067"/>
      <w:bookmarkEnd w:id="267"/>
      <w:bookmarkStart w:id="268" w:name="_Toc184312119"/>
      <w:bookmarkEnd w:id="268"/>
      <w:bookmarkStart w:id="269" w:name="_Toc184314456"/>
      <w:bookmarkEnd w:id="269"/>
      <w:bookmarkStart w:id="270" w:name="_Toc184314422"/>
      <w:bookmarkEnd w:id="270"/>
      <w:bookmarkStart w:id="271" w:name="_Toc184310319"/>
      <w:bookmarkEnd w:id="271"/>
      <w:bookmarkStart w:id="272" w:name="_Toc184308061"/>
      <w:bookmarkEnd w:id="272"/>
      <w:bookmarkStart w:id="273" w:name="_Toc184312088"/>
      <w:bookmarkEnd w:id="273"/>
      <w:bookmarkStart w:id="274" w:name="_Toc184308064"/>
      <w:bookmarkEnd w:id="274"/>
      <w:bookmarkStart w:id="275" w:name="_Toc184314444"/>
      <w:bookmarkEnd w:id="275"/>
      <w:bookmarkStart w:id="276" w:name="_Toc184312116"/>
      <w:bookmarkEnd w:id="276"/>
      <w:bookmarkStart w:id="277" w:name="_Toc184308070"/>
      <w:bookmarkEnd w:id="277"/>
      <w:bookmarkStart w:id="278" w:name="_Toc184312113"/>
      <w:bookmarkEnd w:id="278"/>
      <w:bookmarkStart w:id="279" w:name="_Toc184313294"/>
      <w:bookmarkEnd w:id="279"/>
      <w:bookmarkStart w:id="280" w:name="_Toc184312107"/>
      <w:bookmarkEnd w:id="280"/>
      <w:bookmarkStart w:id="281" w:name="_Toc184310282"/>
      <w:bookmarkEnd w:id="281"/>
      <w:bookmarkStart w:id="282" w:name="_Toc184308063"/>
      <w:bookmarkEnd w:id="282"/>
      <w:bookmarkStart w:id="283" w:name="_Toc184308076"/>
      <w:bookmarkEnd w:id="283"/>
      <w:bookmarkStart w:id="284" w:name="_Toc184313244"/>
      <w:bookmarkEnd w:id="284"/>
      <w:bookmarkStart w:id="285" w:name="_Toc184310274"/>
      <w:bookmarkEnd w:id="285"/>
      <w:bookmarkStart w:id="286" w:name="_Toc184308105"/>
      <w:bookmarkEnd w:id="286"/>
      <w:bookmarkStart w:id="287" w:name="_Toc184310321"/>
      <w:bookmarkEnd w:id="287"/>
      <w:bookmarkStart w:id="288" w:name="_Toc184308042"/>
      <w:bookmarkEnd w:id="288"/>
      <w:bookmarkStart w:id="289" w:name="_Toc184310286"/>
      <w:bookmarkEnd w:id="289"/>
      <w:bookmarkStart w:id="290" w:name="_Toc184310310"/>
      <w:bookmarkEnd w:id="290"/>
      <w:bookmarkStart w:id="291" w:name="_Toc184310333"/>
      <w:bookmarkEnd w:id="291"/>
      <w:bookmarkStart w:id="292" w:name="_Toc184313282"/>
      <w:bookmarkEnd w:id="292"/>
      <w:bookmarkStart w:id="293" w:name="_Toc184312084"/>
      <w:bookmarkEnd w:id="293"/>
      <w:bookmarkStart w:id="294" w:name="_Toc184313305"/>
      <w:bookmarkEnd w:id="294"/>
      <w:bookmarkStart w:id="295" w:name="_Toc184312097"/>
      <w:bookmarkEnd w:id="295"/>
      <w:bookmarkStart w:id="296" w:name="_Toc184308106"/>
      <w:bookmarkEnd w:id="296"/>
      <w:bookmarkStart w:id="297" w:name="_Toc184313262"/>
      <w:bookmarkEnd w:id="297"/>
      <w:bookmarkStart w:id="298" w:name="_Toc184313255"/>
      <w:bookmarkEnd w:id="298"/>
      <w:bookmarkStart w:id="299" w:name="_Toc184308093"/>
      <w:bookmarkEnd w:id="299"/>
      <w:bookmarkStart w:id="300" w:name="_Toc184313253"/>
      <w:bookmarkEnd w:id="300"/>
      <w:bookmarkStart w:id="301" w:name="_Toc184310342"/>
      <w:bookmarkEnd w:id="301"/>
      <w:bookmarkStart w:id="302" w:name="_Toc184314477"/>
      <w:bookmarkEnd w:id="302"/>
      <w:bookmarkStart w:id="303" w:name="_Toc184308044"/>
      <w:bookmarkEnd w:id="303"/>
      <w:bookmarkStart w:id="304" w:name="_Toc184314475"/>
      <w:bookmarkEnd w:id="304"/>
      <w:bookmarkStart w:id="305" w:name="_Toc184310290"/>
      <w:bookmarkEnd w:id="305"/>
      <w:bookmarkStart w:id="306" w:name="_Toc184310341"/>
      <w:bookmarkEnd w:id="306"/>
      <w:bookmarkStart w:id="307" w:name="_Toc184313273"/>
      <w:bookmarkEnd w:id="307"/>
      <w:bookmarkStart w:id="308" w:name="_Toc184310328"/>
      <w:bookmarkEnd w:id="308"/>
      <w:bookmarkStart w:id="309" w:name="_Toc184313250"/>
      <w:bookmarkEnd w:id="309"/>
      <w:bookmarkStart w:id="310" w:name="_Toc184308094"/>
      <w:bookmarkEnd w:id="310"/>
      <w:bookmarkStart w:id="311" w:name="_Toc184314438"/>
      <w:bookmarkEnd w:id="311"/>
      <w:bookmarkStart w:id="312" w:name="_Toc184308062"/>
      <w:bookmarkEnd w:id="312"/>
      <w:bookmarkStart w:id="313" w:name="_Toc184310323"/>
      <w:bookmarkEnd w:id="313"/>
      <w:bookmarkStart w:id="314" w:name="_Toc184312075"/>
      <w:bookmarkEnd w:id="314"/>
      <w:bookmarkStart w:id="315" w:name="_Toc184310336"/>
      <w:bookmarkEnd w:id="315"/>
      <w:bookmarkStart w:id="316" w:name="_Toc184310315"/>
      <w:bookmarkEnd w:id="316"/>
      <w:bookmarkStart w:id="317" w:name="_Toc184310291"/>
      <w:bookmarkEnd w:id="317"/>
      <w:bookmarkStart w:id="318" w:name="_Toc184312122"/>
      <w:bookmarkEnd w:id="318"/>
      <w:bookmarkStart w:id="319" w:name="_Toc184313276"/>
      <w:bookmarkEnd w:id="319"/>
      <w:bookmarkStart w:id="320" w:name="_Toc184314447"/>
      <w:bookmarkEnd w:id="320"/>
      <w:bookmarkStart w:id="321" w:name="_Toc184310338"/>
      <w:bookmarkEnd w:id="321"/>
      <w:bookmarkStart w:id="322" w:name="_Toc184313289"/>
      <w:bookmarkEnd w:id="322"/>
      <w:bookmarkStart w:id="323" w:name="_Toc184312108"/>
      <w:bookmarkEnd w:id="323"/>
      <w:bookmarkStart w:id="324" w:name="_Toc184308036"/>
      <w:bookmarkEnd w:id="324"/>
      <w:bookmarkStart w:id="325" w:name="_Toc184312133"/>
      <w:bookmarkEnd w:id="325"/>
      <w:bookmarkStart w:id="326" w:name="_Toc184313252"/>
      <w:bookmarkEnd w:id="326"/>
      <w:bookmarkStart w:id="327" w:name="_Toc184308096"/>
      <w:bookmarkEnd w:id="327"/>
      <w:bookmarkStart w:id="328" w:name="_Toc184308083"/>
      <w:bookmarkEnd w:id="328"/>
      <w:bookmarkStart w:id="329" w:name="_Toc184312086"/>
      <w:bookmarkEnd w:id="329"/>
      <w:bookmarkStart w:id="330" w:name="_Toc184313278"/>
      <w:bookmarkEnd w:id="330"/>
      <w:bookmarkStart w:id="331" w:name="_Toc184308082"/>
      <w:bookmarkEnd w:id="331"/>
      <w:bookmarkStart w:id="332" w:name="_Toc184310334"/>
      <w:bookmarkEnd w:id="332"/>
      <w:bookmarkStart w:id="333" w:name="_Toc184310330"/>
      <w:bookmarkEnd w:id="333"/>
      <w:bookmarkStart w:id="334" w:name="_Toc184313307"/>
      <w:bookmarkEnd w:id="334"/>
      <w:bookmarkStart w:id="335" w:name="_Toc184314415"/>
      <w:bookmarkEnd w:id="335"/>
      <w:bookmarkStart w:id="336" w:name="_Toc184312137"/>
      <w:bookmarkEnd w:id="336"/>
      <w:bookmarkStart w:id="337" w:name="_Toc184314459"/>
      <w:bookmarkEnd w:id="337"/>
      <w:bookmarkStart w:id="338" w:name="_Toc184314441"/>
      <w:bookmarkEnd w:id="338"/>
      <w:bookmarkStart w:id="339" w:name="_Toc184308075"/>
      <w:bookmarkEnd w:id="339"/>
      <w:bookmarkStart w:id="340" w:name="_Toc184312129"/>
      <w:bookmarkEnd w:id="340"/>
      <w:bookmarkStart w:id="341" w:name="_Toc184310306"/>
      <w:bookmarkEnd w:id="341"/>
      <w:bookmarkStart w:id="342" w:name="_Toc184308040"/>
      <w:bookmarkEnd w:id="342"/>
      <w:bookmarkStart w:id="343" w:name="_Toc184314421"/>
      <w:bookmarkEnd w:id="343"/>
      <w:bookmarkStart w:id="344" w:name="_Toc184313242"/>
      <w:bookmarkEnd w:id="344"/>
      <w:bookmarkStart w:id="345" w:name="_Toc184310302"/>
      <w:bookmarkEnd w:id="345"/>
      <w:bookmarkStart w:id="346" w:name="_Toc184310332"/>
      <w:bookmarkEnd w:id="346"/>
      <w:bookmarkStart w:id="347" w:name="_Toc184308053"/>
      <w:bookmarkEnd w:id="347"/>
      <w:bookmarkStart w:id="348" w:name="_Toc184314423"/>
      <w:bookmarkEnd w:id="348"/>
      <w:bookmarkStart w:id="349" w:name="_Toc184310273"/>
      <w:bookmarkEnd w:id="349"/>
      <w:bookmarkStart w:id="350" w:name="_Toc184312112"/>
      <w:bookmarkEnd w:id="350"/>
      <w:bookmarkStart w:id="351" w:name="_Toc184310289"/>
      <w:bookmarkEnd w:id="351"/>
      <w:bookmarkStart w:id="352" w:name="_Toc184308108"/>
      <w:bookmarkEnd w:id="352"/>
      <w:bookmarkStart w:id="353" w:name="_Toc184314426"/>
      <w:bookmarkEnd w:id="353"/>
      <w:bookmarkStart w:id="354" w:name="_Toc184312090"/>
      <w:bookmarkEnd w:id="354"/>
      <w:bookmarkStart w:id="355" w:name="_Toc184312080"/>
      <w:bookmarkEnd w:id="355"/>
      <w:bookmarkStart w:id="356" w:name="_Toc184312132"/>
      <w:bookmarkEnd w:id="356"/>
      <w:bookmarkStart w:id="357" w:name="_Toc184313260"/>
      <w:bookmarkEnd w:id="357"/>
      <w:bookmarkStart w:id="358" w:name="_Toc184314411"/>
      <w:bookmarkEnd w:id="358"/>
      <w:bookmarkStart w:id="359" w:name="_Toc184313274"/>
      <w:bookmarkEnd w:id="359"/>
      <w:bookmarkStart w:id="360" w:name="_Toc184313280"/>
      <w:bookmarkEnd w:id="360"/>
      <w:bookmarkStart w:id="361" w:name="_Toc184313290"/>
      <w:bookmarkEnd w:id="361"/>
      <w:bookmarkStart w:id="362" w:name="_Toc184313251"/>
      <w:bookmarkEnd w:id="362"/>
      <w:bookmarkStart w:id="363" w:name="_Toc184314476"/>
      <w:bookmarkEnd w:id="363"/>
      <w:bookmarkStart w:id="364" w:name="_Toc184312118"/>
      <w:bookmarkEnd w:id="364"/>
      <w:bookmarkStart w:id="365" w:name="_Toc184308043"/>
      <w:bookmarkEnd w:id="365"/>
      <w:bookmarkStart w:id="366" w:name="_Toc184314427"/>
      <w:bookmarkEnd w:id="366"/>
      <w:bookmarkStart w:id="367" w:name="_Toc184308051"/>
      <w:bookmarkEnd w:id="367"/>
      <w:bookmarkStart w:id="368" w:name="_Toc184308072"/>
      <w:bookmarkEnd w:id="368"/>
      <w:bookmarkStart w:id="369" w:name="_Toc184310281"/>
      <w:bookmarkEnd w:id="369"/>
      <w:bookmarkStart w:id="370" w:name="_Toc184312087"/>
      <w:bookmarkEnd w:id="370"/>
      <w:bookmarkStart w:id="371" w:name="_Toc184314455"/>
      <w:bookmarkEnd w:id="371"/>
      <w:bookmarkStart w:id="372" w:name="_Toc184310344"/>
      <w:bookmarkEnd w:id="372"/>
      <w:bookmarkStart w:id="373" w:name="_Toc184312082"/>
      <w:bookmarkEnd w:id="373"/>
      <w:bookmarkStart w:id="374" w:name="_Toc184312099"/>
      <w:bookmarkEnd w:id="374"/>
      <w:bookmarkStart w:id="375" w:name="_Toc184310320"/>
      <w:bookmarkEnd w:id="375"/>
      <w:bookmarkStart w:id="376" w:name="_Toc184314436"/>
      <w:bookmarkEnd w:id="376"/>
      <w:bookmarkStart w:id="377" w:name="_Toc184313271"/>
      <w:bookmarkEnd w:id="377"/>
      <w:bookmarkStart w:id="378" w:name="_Toc184312124"/>
      <w:bookmarkEnd w:id="378"/>
      <w:bookmarkStart w:id="379" w:name="_Toc184310317"/>
      <w:bookmarkEnd w:id="379"/>
      <w:bookmarkStart w:id="380" w:name="_Toc184308079"/>
      <w:bookmarkEnd w:id="380"/>
      <w:bookmarkStart w:id="381" w:name="_Toc184313264"/>
      <w:bookmarkEnd w:id="381"/>
      <w:bookmarkStart w:id="382" w:name="_Toc184310299"/>
      <w:bookmarkEnd w:id="382"/>
      <w:bookmarkStart w:id="383" w:name="_Toc184312093"/>
      <w:bookmarkEnd w:id="383"/>
      <w:bookmarkStart w:id="384" w:name="_Toc184314418"/>
      <w:bookmarkEnd w:id="384"/>
      <w:bookmarkStart w:id="385" w:name="_Toc184313263"/>
      <w:bookmarkEnd w:id="385"/>
      <w:bookmarkStart w:id="386" w:name="_Toc184308039"/>
      <w:bookmarkEnd w:id="386"/>
      <w:bookmarkStart w:id="387" w:name="_Toc184313248"/>
      <w:bookmarkEnd w:id="387"/>
      <w:bookmarkStart w:id="388" w:name="_Toc184308060"/>
      <w:bookmarkEnd w:id="388"/>
      <w:bookmarkStart w:id="389" w:name="_Toc184312092"/>
      <w:bookmarkEnd w:id="389"/>
      <w:bookmarkStart w:id="390" w:name="_Toc184308059"/>
      <w:bookmarkEnd w:id="390"/>
      <w:bookmarkStart w:id="391" w:name="_Toc184308086"/>
      <w:bookmarkEnd w:id="391"/>
      <w:bookmarkStart w:id="392" w:name="_Toc184314468"/>
      <w:bookmarkEnd w:id="392"/>
      <w:bookmarkStart w:id="393" w:name="_Toc184313300"/>
      <w:bookmarkEnd w:id="393"/>
      <w:bookmarkStart w:id="394" w:name="_Toc184308085"/>
      <w:bookmarkEnd w:id="394"/>
      <w:r>
        <w:rPr>
          <w:rFonts w:hint="eastAsia" w:ascii="宋体" w:hAnsi="宋体" w:eastAsia="宋体" w:cs="宋体"/>
          <w:b/>
          <w:sz w:val="36"/>
          <w:szCs w:val="36"/>
        </w:rPr>
        <w:t>评标办法</w:t>
      </w:r>
    </w:p>
    <w:p w14:paraId="6BCCD97E">
      <w:pPr>
        <w:snapToGrid w:val="0"/>
        <w:spacing w:line="360" w:lineRule="auto"/>
        <w:jc w:val="center"/>
        <w:rPr>
          <w:rFonts w:hint="eastAsia" w:ascii="宋体" w:hAnsi="宋体" w:cs="宋体"/>
          <w:b/>
          <w:sz w:val="32"/>
          <w:szCs w:val="20"/>
        </w:rPr>
      </w:pPr>
      <w:r>
        <w:rPr>
          <w:rFonts w:hint="eastAsia" w:ascii="宋体" w:hAnsi="宋体" w:cs="宋体"/>
          <w:b/>
          <w:sz w:val="32"/>
          <w:szCs w:val="20"/>
        </w:rPr>
        <w:t>评标办法前附表</w:t>
      </w:r>
    </w:p>
    <w:p w14:paraId="397BC6F2">
      <w:pPr>
        <w:pStyle w:val="89"/>
        <w:spacing w:before="0"/>
        <w:ind w:firstLine="602" w:firstLineChars="250"/>
        <w:rPr>
          <w:rFonts w:hint="eastAsia" w:ascii="宋体" w:hAnsi="宋体" w:cs="宋体"/>
          <w:szCs w:val="24"/>
        </w:rPr>
      </w:pPr>
      <w:r>
        <w:rPr>
          <w:rFonts w:hint="eastAsia" w:ascii="宋体" w:hAnsi="宋体" w:cs="宋体"/>
          <w:b/>
          <w:szCs w:val="24"/>
        </w:rPr>
        <w:t>本次评标采用综合评分法，总分为100分。</w:t>
      </w:r>
      <w:r>
        <w:rPr>
          <w:rFonts w:hint="eastAsia" w:ascii="宋体" w:hAnsi="宋体" w:cs="宋体"/>
          <w:szCs w:val="24"/>
        </w:rPr>
        <w:t>合格投标人的评标得分为各项目汇总得分，中标候选资格按评标得分高低顺序排列，得分相同的，按投标报价得分高低顺序排列；得分且投标报价相同的，按技术指标优劣顺序排列。排名第一的投标人为第一中标候选人。评分过程中采用四舍五入法，并保留小数2位。</w:t>
      </w:r>
    </w:p>
    <w:p w14:paraId="76BA8CCC">
      <w:pPr>
        <w:snapToGrid w:val="0"/>
        <w:spacing w:before="0"/>
        <w:ind w:firstLine="0" w:firstLineChars="0"/>
        <w:jc w:val="left"/>
        <w:rPr>
          <w:rFonts w:hint="eastAsia" w:ascii="宋体" w:hAnsi="宋体" w:eastAsia="宋体" w:cs="宋体"/>
          <w:b/>
          <w:sz w:val="24"/>
          <w:szCs w:val="24"/>
        </w:rPr>
      </w:pPr>
      <w:r>
        <w:rPr>
          <w:rFonts w:hint="eastAsia" w:ascii="宋体" w:hAnsi="宋体" w:eastAsia="宋体" w:cs="宋体"/>
          <w:b/>
          <w:bCs w:val="0"/>
          <w:sz w:val="24"/>
          <w:lang w:val="en-US" w:eastAsia="zh-CN"/>
        </w:rPr>
        <w:t>1、</w:t>
      </w:r>
      <w:r>
        <w:rPr>
          <w:rFonts w:hint="eastAsia" w:ascii="宋体" w:hAnsi="宋体" w:eastAsia="宋体" w:cs="宋体"/>
          <w:b/>
          <w:bCs w:val="0"/>
          <w:sz w:val="24"/>
          <w:highlight w:val="none"/>
        </w:rPr>
        <w:t>商务技术评分（70分）评分细则：</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13"/>
        <w:gridCol w:w="5905"/>
        <w:gridCol w:w="777"/>
        <w:gridCol w:w="994"/>
      </w:tblGrid>
      <w:tr w14:paraId="6B83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50" w:type="dxa"/>
            <w:tcBorders>
              <w:tl2br w:val="nil"/>
              <w:tr2bl w:val="nil"/>
            </w:tcBorders>
            <w:noWrap w:val="0"/>
            <w:vAlign w:val="center"/>
          </w:tcPr>
          <w:p w14:paraId="293A4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序号</w:t>
            </w:r>
          </w:p>
        </w:tc>
        <w:tc>
          <w:tcPr>
            <w:tcW w:w="1213" w:type="dxa"/>
            <w:tcBorders>
              <w:tl2br w:val="nil"/>
              <w:tr2bl w:val="nil"/>
            </w:tcBorders>
            <w:noWrap w:val="0"/>
            <w:vAlign w:val="center"/>
          </w:tcPr>
          <w:p w14:paraId="2A14A2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评标标准相应的商务技术资料目录*</w:t>
            </w:r>
          </w:p>
        </w:tc>
        <w:tc>
          <w:tcPr>
            <w:tcW w:w="5905" w:type="dxa"/>
            <w:tcBorders>
              <w:tl2br w:val="nil"/>
              <w:tr2bl w:val="nil"/>
            </w:tcBorders>
            <w:noWrap w:val="0"/>
            <w:vAlign w:val="center"/>
          </w:tcPr>
          <w:p w14:paraId="4CFF83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评标标准</w:t>
            </w:r>
          </w:p>
        </w:tc>
        <w:tc>
          <w:tcPr>
            <w:tcW w:w="777" w:type="dxa"/>
            <w:tcBorders>
              <w:tl2br w:val="nil"/>
              <w:tr2bl w:val="nil"/>
            </w:tcBorders>
            <w:noWrap w:val="0"/>
            <w:vAlign w:val="center"/>
          </w:tcPr>
          <w:p w14:paraId="127C06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权重</w:t>
            </w:r>
          </w:p>
        </w:tc>
        <w:tc>
          <w:tcPr>
            <w:tcW w:w="994" w:type="dxa"/>
            <w:tcBorders>
              <w:tl2br w:val="nil"/>
              <w:tr2bl w:val="nil"/>
            </w:tcBorders>
            <w:noWrap w:val="0"/>
            <w:vAlign w:val="center"/>
          </w:tcPr>
          <w:p w14:paraId="41D123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主/客观分</w:t>
            </w:r>
          </w:p>
        </w:tc>
      </w:tr>
      <w:tr w14:paraId="6498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72A56C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w:t>
            </w:r>
          </w:p>
        </w:tc>
        <w:tc>
          <w:tcPr>
            <w:tcW w:w="1213" w:type="dxa"/>
            <w:tcBorders>
              <w:tl2br w:val="nil"/>
              <w:tr2bl w:val="nil"/>
            </w:tcBorders>
            <w:noWrap w:val="0"/>
            <w:vAlign w:val="center"/>
          </w:tcPr>
          <w:p w14:paraId="171DC6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技术参数及偏离情况</w:t>
            </w:r>
          </w:p>
        </w:tc>
        <w:tc>
          <w:tcPr>
            <w:tcW w:w="5905" w:type="dxa"/>
            <w:tcBorders>
              <w:tl2br w:val="nil"/>
              <w:tr2bl w:val="nil"/>
            </w:tcBorders>
            <w:noWrap w:val="0"/>
            <w:vAlign w:val="center"/>
          </w:tcPr>
          <w:p w14:paraId="0187BE0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所投产品具体配置表、技术参数及偏离情况：产品参数配置等所有指标均满足的得</w:t>
            </w:r>
            <w:r>
              <w:rPr>
                <w:rFonts w:hint="eastAsia" w:ascii="宋体" w:hAnsi="宋体" w:cs="宋体"/>
                <w:color w:val="000000"/>
                <w:kern w:val="0"/>
                <w:sz w:val="24"/>
                <w:szCs w:val="24"/>
                <w:lang w:val="en-US" w:eastAsia="zh-CN" w:bidi="ar"/>
              </w:rPr>
              <w:t>24</w:t>
            </w:r>
            <w:r>
              <w:rPr>
                <w:rFonts w:hint="eastAsia" w:ascii="宋体" w:hAnsi="宋体" w:eastAsia="宋体" w:cs="宋体"/>
                <w:color w:val="000000"/>
                <w:kern w:val="0"/>
                <w:sz w:val="24"/>
                <w:szCs w:val="24"/>
                <w:lang w:bidi="ar"/>
              </w:rPr>
              <w:t>分；</w:t>
            </w:r>
          </w:p>
          <w:p w14:paraId="24607A66">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标注“★”的为重要参数：每一项技术参数不满足采购文件要求扣2分；</w:t>
            </w:r>
          </w:p>
          <w:p w14:paraId="3F50C7D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未标注“★”的一般参数：每一项技术参数不满足采购文件要求扣1分。</w:t>
            </w:r>
          </w:p>
          <w:p w14:paraId="66605C2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以上扣分累计计算，扣完本部分分值为止。</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val="en-US" w:eastAsia="zh-CN" w:bidi="ar"/>
              </w:rPr>
              <w:t>注：</w:t>
            </w:r>
            <w:r>
              <w:rPr>
                <w:rFonts w:hint="eastAsia" w:ascii="宋体" w:hAnsi="宋体" w:eastAsia="宋体" w:cs="宋体"/>
                <w:b/>
                <w:bCs/>
                <w:color w:val="auto"/>
                <w:sz w:val="24"/>
                <w:szCs w:val="24"/>
                <w:u w:val="none"/>
              </w:rPr>
              <w:t>投标文件中</w:t>
            </w:r>
            <w:r>
              <w:rPr>
                <w:rFonts w:hint="eastAsia" w:ascii="宋体" w:hAnsi="宋体" w:eastAsia="宋体" w:cs="宋体"/>
                <w:b/>
                <w:color w:val="000000"/>
                <w:kern w:val="0"/>
                <w:sz w:val="24"/>
                <w:szCs w:val="24"/>
                <w:lang w:val="en-US" w:eastAsia="zh-CN"/>
              </w:rPr>
              <w:t>须</w:t>
            </w:r>
            <w:r>
              <w:rPr>
                <w:rFonts w:hint="eastAsia" w:ascii="宋体" w:hAnsi="宋体" w:eastAsia="宋体" w:cs="宋体"/>
                <w:b/>
                <w:bCs/>
                <w:color w:val="000000"/>
                <w:kern w:val="0"/>
                <w:sz w:val="24"/>
                <w:szCs w:val="24"/>
                <w:lang w:bidi="ar"/>
              </w:rPr>
              <w:t>对采购清单中所有技术参数予以响应并根据技术要求提供</w:t>
            </w:r>
            <w:r>
              <w:rPr>
                <w:rFonts w:hint="eastAsia" w:ascii="宋体" w:hAnsi="宋体" w:cs="宋体"/>
                <w:b/>
                <w:bCs/>
                <w:color w:val="000000"/>
                <w:kern w:val="0"/>
                <w:sz w:val="24"/>
                <w:szCs w:val="24"/>
                <w:lang w:val="en-US" w:eastAsia="zh-CN" w:bidi="ar"/>
              </w:rPr>
              <w:t>相关</w:t>
            </w:r>
            <w:r>
              <w:rPr>
                <w:rFonts w:hint="eastAsia" w:ascii="宋体" w:hAnsi="宋体" w:eastAsia="宋体" w:cs="宋体"/>
                <w:b/>
                <w:bCs/>
                <w:color w:val="000000"/>
                <w:kern w:val="0"/>
                <w:sz w:val="24"/>
                <w:szCs w:val="24"/>
                <w:lang w:bidi="ar"/>
              </w:rPr>
              <w:t>证明材料，否则视为未响应。</w:t>
            </w:r>
          </w:p>
        </w:tc>
        <w:tc>
          <w:tcPr>
            <w:tcW w:w="777" w:type="dxa"/>
            <w:tcBorders>
              <w:tl2br w:val="nil"/>
              <w:tr2bl w:val="nil"/>
            </w:tcBorders>
            <w:noWrap w:val="0"/>
            <w:vAlign w:val="center"/>
          </w:tcPr>
          <w:p w14:paraId="19D8AEE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color w:val="auto"/>
                <w:sz w:val="24"/>
                <w:szCs w:val="24"/>
                <w:u w:val="none"/>
                <w:lang w:val="en-US"/>
              </w:rPr>
            </w:pPr>
            <w:r>
              <w:rPr>
                <w:rFonts w:hint="eastAsia" w:ascii="宋体" w:hAnsi="宋体" w:cs="宋体"/>
                <w:color w:val="auto"/>
                <w:sz w:val="24"/>
                <w:szCs w:val="24"/>
                <w:u w:val="none"/>
                <w:lang w:val="en-US" w:eastAsia="zh-CN"/>
              </w:rPr>
              <w:t>24</w:t>
            </w:r>
          </w:p>
        </w:tc>
        <w:tc>
          <w:tcPr>
            <w:tcW w:w="994" w:type="dxa"/>
            <w:tcBorders>
              <w:tl2br w:val="nil"/>
              <w:tr2bl w:val="nil"/>
            </w:tcBorders>
            <w:noWrap w:val="0"/>
            <w:vAlign w:val="center"/>
          </w:tcPr>
          <w:p w14:paraId="638D7B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rPr>
            </w:pPr>
            <w:r>
              <w:rPr>
                <w:rFonts w:hint="eastAsia" w:ascii="宋体" w:hAnsi="宋体" w:eastAsia="宋体" w:cs="宋体"/>
                <w:bCs/>
                <w:color w:val="auto"/>
                <w:sz w:val="24"/>
                <w:szCs w:val="24"/>
                <w:u w:val="none"/>
                <w:lang w:eastAsia="zh-CN"/>
              </w:rPr>
              <w:t>客观</w:t>
            </w:r>
            <w:r>
              <w:rPr>
                <w:rFonts w:hint="eastAsia" w:ascii="宋体" w:hAnsi="宋体" w:eastAsia="宋体" w:cs="宋体"/>
                <w:bCs/>
                <w:color w:val="auto"/>
                <w:sz w:val="24"/>
                <w:szCs w:val="24"/>
                <w:u w:val="none"/>
              </w:rPr>
              <w:t>分</w:t>
            </w:r>
          </w:p>
        </w:tc>
      </w:tr>
      <w:tr w14:paraId="5F1B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57843A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2</w:t>
            </w:r>
          </w:p>
        </w:tc>
        <w:tc>
          <w:tcPr>
            <w:tcW w:w="1213" w:type="dxa"/>
            <w:tcBorders>
              <w:tl2br w:val="nil"/>
              <w:tr2bl w:val="nil"/>
            </w:tcBorders>
            <w:noWrap w:val="0"/>
            <w:vAlign w:val="center"/>
          </w:tcPr>
          <w:p w14:paraId="3D3E3A8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u w:val="none"/>
              </w:rPr>
            </w:pPr>
            <w:r>
              <w:rPr>
                <w:rFonts w:hint="eastAsia" w:ascii="宋体" w:hAnsi="宋体" w:cs="宋体"/>
                <w:sz w:val="24"/>
                <w:highlight w:val="none"/>
                <w:lang w:val="en-US" w:eastAsia="zh-CN"/>
              </w:rPr>
              <w:t>管理体系认证</w:t>
            </w:r>
          </w:p>
        </w:tc>
        <w:tc>
          <w:tcPr>
            <w:tcW w:w="5905" w:type="dxa"/>
            <w:tcBorders>
              <w:tl2br w:val="nil"/>
              <w:tr2bl w:val="nil"/>
            </w:tcBorders>
            <w:noWrap w:val="0"/>
            <w:vAlign w:val="center"/>
          </w:tcPr>
          <w:p w14:paraId="7D622D98">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投标人具有</w:t>
            </w:r>
            <w:r>
              <w:rPr>
                <w:rFonts w:hint="eastAsia" w:ascii="宋体" w:hAnsi="宋体" w:eastAsia="宋体" w:cs="宋体"/>
                <w:sz w:val="24"/>
                <w:szCs w:val="24"/>
                <w:lang w:val="en-US" w:eastAsia="zh-CN"/>
              </w:rPr>
              <w:t>有效期内的</w:t>
            </w:r>
            <w:r>
              <w:rPr>
                <w:rFonts w:hint="eastAsia" w:ascii="宋体" w:hAnsi="宋体" w:eastAsia="宋体" w:cs="宋体"/>
                <w:sz w:val="24"/>
                <w:szCs w:val="24"/>
              </w:rPr>
              <w:t>质量管理体系认证证书</w:t>
            </w:r>
            <w:r>
              <w:rPr>
                <w:rFonts w:hint="eastAsia" w:ascii="宋体" w:hAnsi="宋体" w:eastAsia="宋体" w:cs="宋体"/>
                <w:color w:val="000000"/>
                <w:kern w:val="0"/>
                <w:sz w:val="24"/>
                <w:szCs w:val="24"/>
              </w:rPr>
              <w:t>的得</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分</w:t>
            </w:r>
            <w:r>
              <w:rPr>
                <w:rFonts w:hint="eastAsia" w:ascii="宋体" w:hAnsi="宋体" w:eastAsia="宋体" w:cs="宋体"/>
                <w:sz w:val="24"/>
                <w:szCs w:val="24"/>
              </w:rPr>
              <w:t>、环境管理体系认证证书</w:t>
            </w:r>
            <w:r>
              <w:rPr>
                <w:rFonts w:hint="eastAsia" w:ascii="宋体" w:hAnsi="宋体" w:eastAsia="宋体" w:cs="宋体"/>
                <w:color w:val="000000"/>
                <w:kern w:val="0"/>
                <w:sz w:val="24"/>
                <w:szCs w:val="24"/>
              </w:rPr>
              <w:t>的得</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分</w:t>
            </w:r>
            <w:r>
              <w:rPr>
                <w:rFonts w:hint="eastAsia" w:ascii="宋体" w:hAnsi="宋体" w:eastAsia="宋体" w:cs="宋体"/>
                <w:sz w:val="24"/>
                <w:szCs w:val="24"/>
              </w:rPr>
              <w:t>、职业健康安全管理体系认证证书</w:t>
            </w:r>
            <w:r>
              <w:rPr>
                <w:rFonts w:hint="eastAsia" w:ascii="宋体" w:hAnsi="宋体" w:eastAsia="宋体" w:cs="宋体"/>
                <w:color w:val="000000"/>
                <w:kern w:val="0"/>
                <w:sz w:val="24"/>
                <w:szCs w:val="24"/>
              </w:rPr>
              <w:t>的得</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p>
          <w:p w14:paraId="30F7F9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lang w:val="en-US" w:eastAsia="zh-CN" w:bidi="ar"/>
              </w:rPr>
              <w:t>注：</w:t>
            </w:r>
            <w:r>
              <w:rPr>
                <w:rFonts w:hint="eastAsia" w:ascii="宋体" w:hAnsi="宋体" w:eastAsia="宋体" w:cs="宋体"/>
                <w:b/>
                <w:bCs/>
                <w:color w:val="auto"/>
                <w:sz w:val="24"/>
                <w:szCs w:val="24"/>
                <w:u w:val="none"/>
              </w:rPr>
              <w:t>投标文件中</w:t>
            </w:r>
            <w:r>
              <w:rPr>
                <w:rFonts w:hint="eastAsia" w:ascii="宋体" w:hAnsi="宋体" w:eastAsia="宋体" w:cs="宋体"/>
                <w:b/>
                <w:color w:val="000000"/>
                <w:kern w:val="0"/>
                <w:sz w:val="24"/>
                <w:szCs w:val="24"/>
                <w:lang w:val="en-US" w:eastAsia="zh-CN"/>
              </w:rPr>
              <w:t>须</w:t>
            </w:r>
            <w:r>
              <w:rPr>
                <w:rFonts w:hint="eastAsia" w:ascii="宋体" w:hAnsi="宋体" w:eastAsia="宋体" w:cs="宋体"/>
                <w:b/>
                <w:color w:val="000000"/>
                <w:kern w:val="0"/>
                <w:sz w:val="24"/>
                <w:szCs w:val="24"/>
              </w:rPr>
              <w:t>同时提供有效证书</w:t>
            </w:r>
            <w:r>
              <w:rPr>
                <w:rFonts w:hint="eastAsia" w:ascii="宋体" w:hAnsi="宋体" w:eastAsia="宋体" w:cs="宋体"/>
                <w:b/>
                <w:color w:val="000000"/>
                <w:kern w:val="0"/>
                <w:sz w:val="24"/>
                <w:szCs w:val="24"/>
                <w:lang w:val="en-US" w:eastAsia="zh-CN"/>
              </w:rPr>
              <w:t>复印</w:t>
            </w:r>
            <w:r>
              <w:rPr>
                <w:rFonts w:hint="eastAsia" w:ascii="宋体" w:hAnsi="宋体" w:eastAsia="宋体" w:cs="宋体"/>
                <w:b/>
                <w:color w:val="000000"/>
                <w:kern w:val="0"/>
                <w:sz w:val="24"/>
                <w:szCs w:val="24"/>
              </w:rPr>
              <w:t>件和全国认证认可信息公共服务平台</w:t>
            </w:r>
          </w:p>
          <w:p w14:paraId="7E2736B5">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color w:val="000000"/>
                <w:kern w:val="0"/>
                <w:sz w:val="24"/>
                <w:szCs w:val="24"/>
              </w:rPr>
              <w:t>http://cx.cnca.cn/CertECloud/result/skipResultList查询截图</w:t>
            </w:r>
            <w:r>
              <w:rPr>
                <w:rFonts w:hint="eastAsia" w:ascii="宋体" w:hAnsi="宋体" w:eastAsia="宋体" w:cs="宋体"/>
                <w:b/>
                <w:color w:val="000000"/>
                <w:kern w:val="0"/>
                <w:sz w:val="24"/>
                <w:szCs w:val="24"/>
                <w:lang w:val="en-US" w:eastAsia="zh-CN"/>
              </w:rPr>
              <w:t>并加盖公章</w:t>
            </w:r>
            <w:r>
              <w:rPr>
                <w:rFonts w:hint="eastAsia" w:ascii="宋体" w:hAnsi="宋体" w:eastAsia="宋体" w:cs="宋体"/>
                <w:b/>
                <w:color w:val="000000"/>
                <w:kern w:val="0"/>
                <w:sz w:val="24"/>
                <w:szCs w:val="24"/>
              </w:rPr>
              <w:t>，否则不得分。</w:t>
            </w:r>
          </w:p>
        </w:tc>
        <w:tc>
          <w:tcPr>
            <w:tcW w:w="777" w:type="dxa"/>
            <w:tcBorders>
              <w:tl2br w:val="nil"/>
              <w:tr2bl w:val="nil"/>
            </w:tcBorders>
            <w:noWrap w:val="0"/>
            <w:vAlign w:val="center"/>
          </w:tcPr>
          <w:p w14:paraId="0A666F1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000000"/>
                <w:sz w:val="24"/>
                <w:szCs w:val="24"/>
                <w:lang w:val="en-US" w:eastAsia="zh-CN"/>
              </w:rPr>
              <w:t>3</w:t>
            </w:r>
          </w:p>
        </w:tc>
        <w:tc>
          <w:tcPr>
            <w:tcW w:w="994" w:type="dxa"/>
            <w:tcBorders>
              <w:tl2br w:val="nil"/>
              <w:tr2bl w:val="nil"/>
            </w:tcBorders>
            <w:noWrap w:val="0"/>
            <w:vAlign w:val="center"/>
          </w:tcPr>
          <w:p w14:paraId="271639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eastAsia="zh-CN"/>
              </w:rPr>
              <w:t>客观</w:t>
            </w:r>
            <w:r>
              <w:rPr>
                <w:rFonts w:hint="eastAsia" w:ascii="宋体" w:hAnsi="宋体" w:eastAsia="宋体" w:cs="宋体"/>
                <w:bCs/>
                <w:color w:val="auto"/>
                <w:sz w:val="24"/>
                <w:szCs w:val="24"/>
                <w:u w:val="none"/>
              </w:rPr>
              <w:t>分</w:t>
            </w:r>
          </w:p>
        </w:tc>
      </w:tr>
      <w:tr w14:paraId="34B1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tcBorders>
              <w:tl2br w:val="nil"/>
              <w:tr2bl w:val="nil"/>
            </w:tcBorders>
            <w:noWrap w:val="0"/>
            <w:vAlign w:val="center"/>
          </w:tcPr>
          <w:p w14:paraId="3C8CD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3</w:t>
            </w:r>
          </w:p>
        </w:tc>
        <w:tc>
          <w:tcPr>
            <w:tcW w:w="1213" w:type="dxa"/>
            <w:tcBorders>
              <w:tl2br w:val="nil"/>
              <w:tr2bl w:val="nil"/>
            </w:tcBorders>
            <w:noWrap w:val="0"/>
            <w:vAlign w:val="center"/>
          </w:tcPr>
          <w:p w14:paraId="41146D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sz w:val="24"/>
                <w:highlight w:val="none"/>
                <w:lang w:val="en-US" w:eastAsia="zh-CN"/>
              </w:rPr>
            </w:pPr>
            <w:r>
              <w:rPr>
                <w:rFonts w:hint="eastAsia" w:ascii="宋体" w:hAnsi="宋体" w:eastAsia="宋体" w:cs="宋体"/>
                <w:color w:val="auto"/>
                <w:sz w:val="24"/>
                <w:szCs w:val="24"/>
                <w:u w:val="none"/>
              </w:rPr>
              <w:t>类似项目实施业绩</w:t>
            </w:r>
          </w:p>
        </w:tc>
        <w:tc>
          <w:tcPr>
            <w:tcW w:w="5905" w:type="dxa"/>
            <w:tcBorders>
              <w:tl2br w:val="nil"/>
              <w:tr2bl w:val="nil"/>
            </w:tcBorders>
            <w:noWrap w:val="0"/>
            <w:vAlign w:val="center"/>
          </w:tcPr>
          <w:p w14:paraId="4DE48FC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color w:val="000000"/>
                <w:kern w:val="0"/>
                <w:sz w:val="24"/>
                <w:szCs w:val="24"/>
              </w:rPr>
            </w:pPr>
            <w:r>
              <w:rPr>
                <w:rFonts w:hint="eastAsia" w:ascii="宋体" w:hAnsi="宋体" w:eastAsia="宋体" w:cs="宋体"/>
                <w:i w:val="0"/>
                <w:iCs w:val="0"/>
                <w:color w:val="auto"/>
                <w:kern w:val="0"/>
                <w:sz w:val="24"/>
                <w:szCs w:val="24"/>
                <w:highlight w:val="none"/>
                <w:u w:val="none"/>
                <w:lang w:val="en-US" w:eastAsia="zh-CN" w:bidi="ar"/>
              </w:rPr>
              <w:t>投标人自2023年1月1日</w:t>
            </w:r>
            <w:r>
              <w:rPr>
                <w:rFonts w:hint="eastAsia" w:ascii="宋体" w:hAnsi="宋体" w:eastAsia="宋体" w:cs="宋体"/>
                <w:color w:val="auto"/>
                <w:sz w:val="24"/>
                <w:szCs w:val="24"/>
                <w:u w:val="none"/>
              </w:rPr>
              <w:t>（含）以来（以合同签订时间为准）</w:t>
            </w:r>
            <w:r>
              <w:rPr>
                <w:rFonts w:hint="eastAsia" w:ascii="宋体" w:hAnsi="宋体" w:eastAsia="宋体" w:cs="宋体"/>
                <w:sz w:val="24"/>
                <w:szCs w:val="24"/>
                <w:u w:val="none"/>
              </w:rPr>
              <w:t>承担过同类项目成功案例</w:t>
            </w:r>
            <w:r>
              <w:rPr>
                <w:rFonts w:hint="eastAsia" w:ascii="宋体" w:hAnsi="宋体" w:eastAsia="宋体" w:cs="宋体"/>
                <w:color w:val="auto"/>
                <w:sz w:val="24"/>
                <w:szCs w:val="24"/>
                <w:u w:val="none"/>
              </w:rPr>
              <w:t>，每提供一个业绩得</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分，最多得</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color w:val="000000"/>
                <w:kern w:val="0"/>
                <w:sz w:val="24"/>
                <w:szCs w:val="24"/>
                <w:lang w:val="en-US" w:eastAsia="zh-CN" w:bidi="ar"/>
              </w:rPr>
              <w:t>注：</w:t>
            </w:r>
            <w:r>
              <w:rPr>
                <w:rFonts w:hint="eastAsia" w:ascii="宋体" w:hAnsi="宋体" w:eastAsia="宋体" w:cs="宋体"/>
                <w:b/>
                <w:bCs/>
                <w:color w:val="auto"/>
                <w:sz w:val="24"/>
                <w:szCs w:val="24"/>
                <w:u w:val="none"/>
              </w:rPr>
              <w:t>投标文件中</w:t>
            </w:r>
            <w:r>
              <w:rPr>
                <w:rFonts w:hint="eastAsia" w:ascii="宋体" w:hAnsi="宋体" w:eastAsia="宋体" w:cs="宋体"/>
                <w:b/>
                <w:color w:val="000000"/>
                <w:kern w:val="0"/>
                <w:sz w:val="24"/>
                <w:szCs w:val="24"/>
                <w:lang w:val="en-US" w:eastAsia="zh-CN"/>
              </w:rPr>
              <w:t>须</w:t>
            </w:r>
            <w:r>
              <w:rPr>
                <w:rFonts w:hint="eastAsia" w:ascii="宋体" w:hAnsi="宋体" w:eastAsia="宋体" w:cs="宋体"/>
                <w:b/>
                <w:bCs/>
                <w:color w:val="auto"/>
                <w:sz w:val="24"/>
                <w:szCs w:val="24"/>
                <w:u w:val="none"/>
              </w:rPr>
              <w:t>提供</w:t>
            </w:r>
            <w:r>
              <w:rPr>
                <w:rFonts w:hint="eastAsia" w:ascii="宋体" w:hAnsi="宋体" w:eastAsia="宋体" w:cs="宋体"/>
                <w:b/>
                <w:bCs/>
                <w:color w:val="auto"/>
                <w:sz w:val="24"/>
                <w:szCs w:val="24"/>
                <w:u w:val="none"/>
                <w:lang w:eastAsia="zh-CN"/>
              </w:rPr>
              <w:t>合同</w:t>
            </w:r>
            <w:r>
              <w:rPr>
                <w:rFonts w:hint="eastAsia" w:ascii="宋体" w:hAnsi="宋体" w:eastAsia="宋体" w:cs="宋体"/>
                <w:b/>
                <w:bCs/>
                <w:color w:val="auto"/>
                <w:sz w:val="24"/>
                <w:szCs w:val="24"/>
                <w:u w:val="none"/>
              </w:rPr>
              <w:t>复印件并加盖投标人公章</w:t>
            </w:r>
            <w:r>
              <w:rPr>
                <w:rFonts w:hint="eastAsia" w:ascii="宋体" w:hAnsi="宋体" w:eastAsia="宋体" w:cs="宋体"/>
                <w:b/>
                <w:color w:val="000000"/>
                <w:kern w:val="0"/>
                <w:sz w:val="24"/>
                <w:szCs w:val="24"/>
              </w:rPr>
              <w:t>，否则不得分。</w:t>
            </w:r>
          </w:p>
        </w:tc>
        <w:tc>
          <w:tcPr>
            <w:tcW w:w="777" w:type="dxa"/>
            <w:tcBorders>
              <w:tl2br w:val="nil"/>
              <w:tr2bl w:val="nil"/>
            </w:tcBorders>
            <w:noWrap w:val="0"/>
            <w:vAlign w:val="center"/>
          </w:tcPr>
          <w:p w14:paraId="60FB6D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auto"/>
                <w:kern w:val="0"/>
                <w:sz w:val="24"/>
                <w:szCs w:val="24"/>
                <w:highlight w:val="none"/>
                <w:u w:val="none"/>
                <w:lang w:val="en-US" w:eastAsia="zh-CN" w:bidi="ar"/>
              </w:rPr>
              <w:t>3</w:t>
            </w:r>
          </w:p>
        </w:tc>
        <w:tc>
          <w:tcPr>
            <w:tcW w:w="994" w:type="dxa"/>
            <w:tcBorders>
              <w:tl2br w:val="nil"/>
              <w:tr2bl w:val="nil"/>
            </w:tcBorders>
            <w:noWrap w:val="0"/>
            <w:vAlign w:val="center"/>
          </w:tcPr>
          <w:p w14:paraId="2FC9CD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eastAsia="zh-CN"/>
              </w:rPr>
              <w:t>客观分</w:t>
            </w:r>
          </w:p>
        </w:tc>
      </w:tr>
      <w:tr w14:paraId="0606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60A942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4</w:t>
            </w:r>
          </w:p>
        </w:tc>
        <w:tc>
          <w:tcPr>
            <w:tcW w:w="1213" w:type="dxa"/>
            <w:tcBorders>
              <w:tl2br w:val="nil"/>
              <w:tr2bl w:val="nil"/>
            </w:tcBorders>
            <w:noWrap w:val="0"/>
            <w:vAlign w:val="center"/>
          </w:tcPr>
          <w:p w14:paraId="05C096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演示</w:t>
            </w:r>
          </w:p>
        </w:tc>
        <w:tc>
          <w:tcPr>
            <w:tcW w:w="5905" w:type="dxa"/>
            <w:tcBorders>
              <w:tl2br w:val="nil"/>
              <w:tr2bl w:val="nil"/>
            </w:tcBorders>
            <w:noWrap w:val="0"/>
            <w:vAlign w:val="center"/>
          </w:tcPr>
          <w:p w14:paraId="6E3BDD5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投标人需提供演示视频，根据演示效果进行打分，</w:t>
            </w:r>
            <w:r>
              <w:rPr>
                <w:rFonts w:hint="eastAsia" w:ascii="宋体" w:hAnsi="宋体" w:cs="宋体"/>
                <w:b/>
                <w:bCs/>
                <w:i w:val="0"/>
                <w:iCs w:val="0"/>
                <w:color w:val="auto"/>
                <w:kern w:val="0"/>
                <w:sz w:val="24"/>
                <w:szCs w:val="24"/>
                <w:u w:val="none"/>
                <w:lang w:val="en-US" w:eastAsia="zh-CN" w:bidi="ar"/>
              </w:rPr>
              <w:t>以下每条演示内容完全符合的得各项相应分值，</w:t>
            </w:r>
            <w:r>
              <w:rPr>
                <w:rFonts w:hint="eastAsia" w:ascii="宋体" w:hAnsi="宋体" w:cs="宋体"/>
                <w:b/>
                <w:bCs/>
                <w:i w:val="0"/>
                <w:iCs w:val="0"/>
                <w:color w:val="auto"/>
                <w:kern w:val="0"/>
                <w:sz w:val="24"/>
                <w:szCs w:val="24"/>
                <w:highlight w:val="none"/>
                <w:u w:val="none"/>
                <w:lang w:val="en-US" w:eastAsia="zh-CN" w:bidi="ar"/>
              </w:rPr>
              <w:t>共11分：</w:t>
            </w:r>
          </w:p>
          <w:p w14:paraId="7FFBA38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bCs/>
                <w:i w:val="0"/>
                <w:iCs w:val="0"/>
                <w:color w:val="auto"/>
                <w:kern w:val="0"/>
                <w:sz w:val="24"/>
                <w:szCs w:val="24"/>
                <w:highlight w:val="yellow"/>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（1）物理探究顶装实验室，红光外侧热效应实验器演示：</w:t>
            </w:r>
          </w:p>
          <w:p w14:paraId="7F1CBAF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1.使用平行光源得到色散现象</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p w14:paraId="74D3B18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2.以光源为圆心的弧上进行移动，测量不同颜色的光和红光外侧进行测量对比</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p w14:paraId="7978535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3.所用实验软件带有摄像头功能，可以实现现实实验与视频展示同步</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p w14:paraId="164283F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4.实验软件可以将学生的实验信息提供给教师端</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p w14:paraId="1224343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5.在平台上可以在线查到指导手册，并且指导手册中必须包括：操作步骤、器材图、软件结果图</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p w14:paraId="72CA024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（2）生物多维顶装实验室，生物多维课堂演示：</w:t>
            </w:r>
          </w:p>
          <w:p w14:paraId="7A81C49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1.用两种方式搭建实验，既可对实验器材进行自主搭建，也可通过调用一键组装功能快速完成搭建，实现复杂实验装置的快速自动化整合，默认将实验器材加载到实验台上，部分实验器材可进行组合</w:t>
            </w:r>
            <w:r>
              <w:rPr>
                <w:rFonts w:hint="eastAsia" w:ascii="宋体" w:hAnsi="宋体" w:eastAsia="宋体" w:cs="宋体"/>
                <w:b/>
                <w:bCs/>
                <w:i w:val="0"/>
                <w:iCs w:val="0"/>
                <w:color w:val="auto"/>
                <w:kern w:val="0"/>
                <w:sz w:val="24"/>
                <w:szCs w:val="24"/>
                <w:highlight w:val="none"/>
                <w:u w:val="none"/>
                <w:lang w:val="en-US" w:eastAsia="zh-CN" w:bidi="ar"/>
              </w:rPr>
              <w:t>（2分）</w:t>
            </w:r>
            <w:r>
              <w:rPr>
                <w:rFonts w:hint="eastAsia" w:ascii="宋体" w:hAnsi="宋体" w:eastAsia="宋体" w:cs="宋体"/>
                <w:i w:val="0"/>
                <w:iCs w:val="0"/>
                <w:color w:val="auto"/>
                <w:kern w:val="0"/>
                <w:sz w:val="24"/>
                <w:szCs w:val="24"/>
                <w:highlight w:val="none"/>
                <w:u w:val="none"/>
                <w:lang w:val="en-US" w:eastAsia="zh-CN" w:bidi="ar"/>
              </w:rPr>
              <w:t>；</w:t>
            </w:r>
          </w:p>
          <w:p w14:paraId="7E7D5B0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2.基于用户操作的实时笔迹定位与精准擦除。通过计算机视觉与压力传感融合算法，可快速识别并锁定指定区域笔迹，实现局部内容的选择性清除</w:t>
            </w:r>
            <w:r>
              <w:rPr>
                <w:rFonts w:hint="eastAsia" w:ascii="宋体" w:hAnsi="宋体" w:eastAsia="宋体" w:cs="宋体"/>
                <w:b/>
                <w:bCs/>
                <w:i w:val="0"/>
                <w:iCs w:val="0"/>
                <w:color w:val="auto"/>
                <w:kern w:val="0"/>
                <w:sz w:val="24"/>
                <w:szCs w:val="24"/>
                <w:highlight w:val="none"/>
                <w:u w:val="none"/>
                <w:lang w:val="en-US" w:eastAsia="zh-CN" w:bidi="ar"/>
              </w:rPr>
              <w:t>（2分）</w:t>
            </w:r>
            <w:r>
              <w:rPr>
                <w:rFonts w:hint="eastAsia" w:ascii="宋体" w:hAnsi="宋体" w:eastAsia="宋体" w:cs="宋体"/>
                <w:i w:val="0"/>
                <w:iCs w:val="0"/>
                <w:color w:val="auto"/>
                <w:kern w:val="0"/>
                <w:sz w:val="24"/>
                <w:szCs w:val="24"/>
                <w:highlight w:val="none"/>
                <w:u w:val="none"/>
                <w:lang w:val="en-US" w:eastAsia="zh-CN" w:bidi="ar"/>
              </w:rPr>
              <w:t>；</w:t>
            </w:r>
          </w:p>
          <w:p w14:paraId="39FB0A1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3.将3D资源与真实场景深度融合，依托于AR 实时渲染引擎与空间计算技术，以高清画质呈现逼真的虚实交融画面</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p w14:paraId="69B9FB6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4.一键导入主流白板软件及国产主流PPT，同时可改变导入的资源封面图的大小、位置</w:t>
            </w:r>
            <w:r>
              <w:rPr>
                <w:rFonts w:hint="eastAsia" w:ascii="宋体" w:hAnsi="宋体" w:eastAsia="宋体" w:cs="宋体"/>
                <w:b/>
                <w:bCs/>
                <w:i w:val="0"/>
                <w:iCs w:val="0"/>
                <w:color w:val="auto"/>
                <w:kern w:val="0"/>
                <w:sz w:val="24"/>
                <w:szCs w:val="24"/>
                <w:highlight w:val="none"/>
                <w:u w:val="none"/>
                <w:lang w:val="en-US" w:eastAsia="zh-CN" w:bidi="ar"/>
              </w:rPr>
              <w:t>（1分）</w:t>
            </w:r>
            <w:r>
              <w:rPr>
                <w:rFonts w:hint="eastAsia" w:ascii="宋体" w:hAnsi="宋体" w:eastAsia="宋体" w:cs="宋体"/>
                <w:i w:val="0"/>
                <w:iCs w:val="0"/>
                <w:color w:val="auto"/>
                <w:kern w:val="0"/>
                <w:sz w:val="24"/>
                <w:szCs w:val="24"/>
                <w:highlight w:val="none"/>
                <w:u w:val="none"/>
                <w:lang w:val="en-US" w:eastAsia="zh-CN" w:bidi="ar"/>
              </w:rPr>
              <w:t>；</w:t>
            </w:r>
          </w:p>
        </w:tc>
        <w:tc>
          <w:tcPr>
            <w:tcW w:w="777" w:type="dxa"/>
            <w:tcBorders>
              <w:tl2br w:val="nil"/>
              <w:tr2bl w:val="nil"/>
            </w:tcBorders>
            <w:noWrap w:val="0"/>
            <w:vAlign w:val="center"/>
          </w:tcPr>
          <w:p w14:paraId="7C8518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994" w:type="dxa"/>
            <w:tcBorders>
              <w:tl2br w:val="nil"/>
              <w:tr2bl w:val="nil"/>
            </w:tcBorders>
            <w:noWrap w:val="0"/>
            <w:vAlign w:val="center"/>
          </w:tcPr>
          <w:p w14:paraId="4500CB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eastAsia="zh-CN"/>
              </w:rPr>
              <w:t>客观分</w:t>
            </w:r>
          </w:p>
        </w:tc>
      </w:tr>
      <w:tr w14:paraId="6F0A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0" w:type="dxa"/>
            <w:tcBorders>
              <w:tl2br w:val="nil"/>
              <w:tr2bl w:val="nil"/>
            </w:tcBorders>
            <w:noWrap w:val="0"/>
            <w:vAlign w:val="center"/>
          </w:tcPr>
          <w:p w14:paraId="1262E8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5</w:t>
            </w:r>
          </w:p>
        </w:tc>
        <w:tc>
          <w:tcPr>
            <w:tcW w:w="1213" w:type="dxa"/>
            <w:tcBorders>
              <w:tl2br w:val="nil"/>
              <w:tr2bl w:val="nil"/>
            </w:tcBorders>
            <w:noWrap w:val="0"/>
            <w:vAlign w:val="center"/>
          </w:tcPr>
          <w:p w14:paraId="68F6B8F0">
            <w:pPr>
              <w:keepNext w:val="0"/>
              <w:keepLines w:val="0"/>
              <w:widowControl/>
              <w:suppressLineNumbers w:val="0"/>
              <w:jc w:val="center"/>
              <w:textAlignment w:val="center"/>
              <w:rPr>
                <w:rFonts w:hint="eastAsia" w:ascii="宋体" w:hAnsi="宋体" w:eastAsia="宋体" w:cs="宋体"/>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深化方案</w:t>
            </w:r>
          </w:p>
        </w:tc>
        <w:tc>
          <w:tcPr>
            <w:tcW w:w="5905" w:type="dxa"/>
            <w:tcBorders>
              <w:tl2br w:val="nil"/>
              <w:tr2bl w:val="nil"/>
            </w:tcBorders>
            <w:noWrap w:val="0"/>
            <w:vAlign w:val="center"/>
          </w:tcPr>
          <w:p w14:paraId="1F22322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根据本项目的采购需求，投标人针对</w:t>
            </w:r>
            <w:r>
              <w:rPr>
                <w:rFonts w:hint="eastAsia" w:ascii="宋体" w:hAnsi="宋体" w:eastAsia="宋体" w:cs="宋体"/>
                <w:b w:val="0"/>
                <w:bCs w:val="0"/>
                <w:i w:val="0"/>
                <w:iCs w:val="0"/>
                <w:color w:val="000000"/>
                <w:kern w:val="0"/>
                <w:sz w:val="24"/>
                <w:szCs w:val="24"/>
                <w:u w:val="none"/>
                <w:lang w:val="en-US" w:eastAsia="zh-CN" w:bidi="ar"/>
              </w:rPr>
              <w:t>化学智能顶装实验室、生物智能顶装实验室、物理智能顶装实验室</w:t>
            </w:r>
            <w:r>
              <w:rPr>
                <w:rFonts w:hint="eastAsia" w:ascii="宋体" w:hAnsi="宋体" w:eastAsia="宋体" w:cs="宋体"/>
                <w:i w:val="0"/>
                <w:iCs w:val="0"/>
                <w:color w:val="000000"/>
                <w:kern w:val="0"/>
                <w:sz w:val="24"/>
                <w:szCs w:val="24"/>
                <w:u w:val="none"/>
                <w:lang w:val="en-US" w:eastAsia="zh-CN" w:bidi="ar"/>
              </w:rPr>
              <w:t>三间实验室，分别完整提供以下三类图纸①平面图、②点位布置图、③深化效果图。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图纸提供齐全，完全匹配本项目采购需求，布局科学合理、点位精准规范，图纸标注详实、细节完善、专业性强，深化效果清晰美观，契合项目现场，方案落地性强的得5分；</w:t>
            </w:r>
          </w:p>
          <w:p w14:paraId="46FC923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纸提供齐全，基本匹配项目采购需求，布局、点位设计基本符合规范和教学使用要求，图纸标注较完整，仅存在轻微瑕疵，如少量标注简化、细节微调即可完善，不影响整体方案落地、设备安装及正常使用的得3分；</w:t>
            </w:r>
          </w:p>
          <w:p w14:paraId="50C94BF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kern w:val="0"/>
                <w:sz w:val="24"/>
                <w:szCs w:val="24"/>
                <w:lang w:val="en-US" w:eastAsia="zh-CN" w:bidi="ar"/>
              </w:rPr>
              <w:t>存在图纸</w:t>
            </w:r>
            <w:r>
              <w:rPr>
                <w:rStyle w:val="70"/>
                <w:rFonts w:ascii="宋体" w:hAnsi="宋体" w:eastAsia="宋体" w:cs="宋体"/>
                <w:b w:val="0"/>
                <w:bCs/>
                <w:kern w:val="0"/>
                <w:sz w:val="24"/>
                <w:szCs w:val="24"/>
                <w:lang w:val="en-US" w:eastAsia="zh-CN" w:bidi="ar"/>
              </w:rPr>
              <w:t>缺项、漏项</w:t>
            </w:r>
            <w:r>
              <w:rPr>
                <w:rFonts w:ascii="宋体" w:hAnsi="宋体" w:eastAsia="宋体" w:cs="宋体"/>
                <w:kern w:val="0"/>
                <w:sz w:val="24"/>
                <w:szCs w:val="24"/>
                <w:lang w:val="en-US" w:eastAsia="zh-CN" w:bidi="ar"/>
              </w:rPr>
              <w:t>，或图纸与本项目采购需求偏差较大</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布局、点位设计存在多处不合理问题，效果图简略、无实际参考价值，仅能体现基础设计思路，方案落地性差，需大幅修改优化</w:t>
            </w:r>
            <w:r>
              <w:rPr>
                <w:rFonts w:hint="eastAsia" w:ascii="宋体" w:hAnsi="宋体" w:eastAsia="宋体" w:cs="宋体"/>
                <w:i w:val="0"/>
                <w:iCs w:val="0"/>
                <w:color w:val="000000"/>
                <w:kern w:val="0"/>
                <w:sz w:val="24"/>
                <w:szCs w:val="24"/>
                <w:u w:val="none"/>
                <w:lang w:val="en-US" w:eastAsia="zh-CN" w:bidi="ar"/>
              </w:rPr>
              <w:t>的得1分；</w:t>
            </w:r>
          </w:p>
          <w:p w14:paraId="58C9CECC">
            <w:pPr>
              <w:keepNext w:val="0"/>
              <w:keepLines w:val="0"/>
              <w:widowControl/>
              <w:suppressLineNumbers w:val="0"/>
              <w:spacing w:line="240" w:lineRule="auto"/>
              <w:jc w:val="left"/>
              <w:textAlignment w:val="center"/>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未提供任何对应图纸的不得分。</w:t>
            </w:r>
          </w:p>
        </w:tc>
        <w:tc>
          <w:tcPr>
            <w:tcW w:w="777" w:type="dxa"/>
            <w:tcBorders>
              <w:tl2br w:val="nil"/>
              <w:tr2bl w:val="nil"/>
            </w:tcBorders>
            <w:noWrap w:val="0"/>
            <w:vAlign w:val="center"/>
          </w:tcPr>
          <w:p w14:paraId="41A37D9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5</w:t>
            </w:r>
          </w:p>
        </w:tc>
        <w:tc>
          <w:tcPr>
            <w:tcW w:w="994" w:type="dxa"/>
            <w:tcBorders>
              <w:tl2br w:val="nil"/>
              <w:tr2bl w:val="nil"/>
            </w:tcBorders>
            <w:noWrap w:val="0"/>
            <w:vAlign w:val="center"/>
          </w:tcPr>
          <w:p w14:paraId="07C6CE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主观分</w:t>
            </w:r>
          </w:p>
        </w:tc>
      </w:tr>
      <w:tr w14:paraId="06FA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50" w:type="dxa"/>
            <w:tcBorders>
              <w:tl2br w:val="nil"/>
              <w:tr2bl w:val="nil"/>
            </w:tcBorders>
            <w:noWrap w:val="0"/>
            <w:vAlign w:val="center"/>
          </w:tcPr>
          <w:p w14:paraId="0B0B37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6</w:t>
            </w:r>
          </w:p>
        </w:tc>
        <w:tc>
          <w:tcPr>
            <w:tcW w:w="1213" w:type="dxa"/>
            <w:tcBorders>
              <w:tl2br w:val="nil"/>
              <w:tr2bl w:val="nil"/>
            </w:tcBorders>
            <w:noWrap w:val="0"/>
            <w:vAlign w:val="center"/>
          </w:tcPr>
          <w:p w14:paraId="065FB661">
            <w:pPr>
              <w:pStyle w:val="969"/>
              <w:keepNext w:val="0"/>
              <w:keepLines w:val="0"/>
              <w:pageBreakBefore w:val="0"/>
              <w:widowControl w:val="0"/>
              <w:kinsoku/>
              <w:wordWrap/>
              <w:overflowPunct/>
              <w:topLinePunct w:val="0"/>
              <w:autoSpaceDE/>
              <w:autoSpaceDN/>
              <w:bidi w:val="0"/>
              <w:spacing w:line="240" w:lineRule="auto"/>
              <w:jc w:val="center"/>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highlight w:val="none"/>
                <w:lang w:val="en-US" w:eastAsia="zh-CN" w:bidi="ar"/>
              </w:rPr>
              <w:t>整体实施</w:t>
            </w:r>
            <w:r>
              <w:rPr>
                <w:rFonts w:hint="eastAsia" w:ascii="宋体" w:hAnsi="宋体" w:eastAsia="宋体" w:cs="宋体"/>
                <w:color w:val="auto"/>
                <w:sz w:val="24"/>
                <w:szCs w:val="24"/>
                <w:highlight w:val="none"/>
                <w:lang w:val="en-US" w:bidi="ar"/>
              </w:rPr>
              <w:t>方案</w:t>
            </w:r>
          </w:p>
        </w:tc>
        <w:tc>
          <w:tcPr>
            <w:tcW w:w="5905" w:type="dxa"/>
            <w:tcBorders>
              <w:tl2br w:val="nil"/>
              <w:tr2bl w:val="nil"/>
            </w:tcBorders>
            <w:noWrap w:val="0"/>
            <w:vAlign w:val="center"/>
          </w:tcPr>
          <w:p w14:paraId="42D31D43">
            <w:pPr>
              <w:pStyle w:val="969"/>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color w:val="auto"/>
                <w:spacing w:val="-5"/>
                <w:kern w:val="2"/>
                <w:sz w:val="24"/>
                <w:szCs w:val="24"/>
                <w:highlight w:val="none"/>
                <w:lang w:val="en-US" w:eastAsia="zh-CN"/>
              </w:rPr>
            </w:pPr>
            <w:r>
              <w:rPr>
                <w:rFonts w:hint="eastAsia" w:ascii="宋体" w:hAnsi="宋体" w:eastAsia="宋体" w:cs="宋体"/>
                <w:color w:val="auto"/>
                <w:spacing w:val="-5"/>
                <w:kern w:val="2"/>
                <w:sz w:val="24"/>
                <w:szCs w:val="24"/>
                <w:highlight w:val="none"/>
                <w:lang w:val="en-US"/>
              </w:rPr>
              <w:t>根据供应商提供的供货方案、进度安排、具体流程</w:t>
            </w:r>
            <w:r>
              <w:rPr>
                <w:rFonts w:hint="eastAsia" w:ascii="宋体" w:hAnsi="宋体" w:eastAsia="宋体" w:cs="宋体"/>
                <w:color w:val="auto"/>
                <w:spacing w:val="-5"/>
                <w:kern w:val="2"/>
                <w:sz w:val="24"/>
                <w:szCs w:val="24"/>
                <w:highlight w:val="none"/>
                <w:lang w:val="en-US" w:eastAsia="zh-CN"/>
              </w:rPr>
              <w:t>及保障措施等</w:t>
            </w:r>
            <w:r>
              <w:rPr>
                <w:rFonts w:hint="eastAsia" w:ascii="宋体" w:hAnsi="宋体" w:eastAsia="宋体" w:cs="宋体"/>
                <w:color w:val="auto"/>
                <w:spacing w:val="-5"/>
                <w:kern w:val="2"/>
                <w:sz w:val="24"/>
                <w:szCs w:val="24"/>
                <w:highlight w:val="none"/>
                <w:lang w:val="en-US"/>
              </w:rPr>
              <w:t>提供相应的方案</w:t>
            </w:r>
            <w:r>
              <w:rPr>
                <w:rFonts w:hint="eastAsia" w:ascii="宋体" w:hAnsi="宋体" w:eastAsia="宋体" w:cs="宋体"/>
                <w:color w:val="auto"/>
                <w:sz w:val="24"/>
                <w:szCs w:val="24"/>
                <w:highlight w:val="none"/>
                <w:lang w:bidi="ar"/>
              </w:rPr>
              <w:t>进行</w:t>
            </w:r>
            <w:r>
              <w:rPr>
                <w:rFonts w:hint="eastAsia" w:ascii="宋体" w:hAnsi="宋体" w:eastAsia="宋体" w:cs="宋体"/>
                <w:color w:val="auto"/>
                <w:sz w:val="24"/>
                <w:szCs w:val="24"/>
                <w:highlight w:val="none"/>
                <w:lang w:val="en-US" w:eastAsia="zh-CN" w:bidi="ar"/>
              </w:rPr>
              <w:t>打分</w:t>
            </w:r>
            <w:r>
              <w:rPr>
                <w:rFonts w:hint="eastAsia" w:cs="宋体"/>
                <w:color w:val="auto"/>
                <w:spacing w:val="-5"/>
                <w:kern w:val="2"/>
                <w:sz w:val="24"/>
                <w:szCs w:val="24"/>
                <w:highlight w:val="none"/>
                <w:lang w:val="en-US" w:eastAsia="zh-CN"/>
              </w:rPr>
              <w:t>：</w:t>
            </w:r>
          </w:p>
          <w:p w14:paraId="25D2BF3E">
            <w:pPr>
              <w:pStyle w:val="969"/>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color w:val="auto"/>
                <w:spacing w:val="-5"/>
                <w:kern w:val="2"/>
                <w:sz w:val="24"/>
                <w:szCs w:val="24"/>
                <w:highlight w:val="none"/>
                <w:lang w:val="en-US" w:eastAsia="zh-CN"/>
              </w:rPr>
            </w:pPr>
            <w:r>
              <w:rPr>
                <w:rFonts w:hint="eastAsia" w:cs="宋体"/>
                <w:color w:val="auto"/>
                <w:spacing w:val="-5"/>
                <w:kern w:val="2"/>
                <w:sz w:val="24"/>
                <w:szCs w:val="24"/>
                <w:highlight w:val="none"/>
                <w:lang w:val="en-US" w:eastAsia="zh-CN"/>
              </w:rPr>
              <w:t>供货方案</w:t>
            </w:r>
            <w:r>
              <w:rPr>
                <w:rFonts w:hint="eastAsia" w:ascii="宋体" w:hAnsi="宋体" w:eastAsia="宋体" w:cs="宋体"/>
                <w:color w:val="auto"/>
                <w:spacing w:val="-5"/>
                <w:kern w:val="2"/>
                <w:sz w:val="24"/>
                <w:szCs w:val="24"/>
                <w:highlight w:val="none"/>
                <w:lang w:val="en-US" w:eastAsia="zh-CN"/>
              </w:rPr>
              <w:t>完整、详细、可落地，进度安排科学合理、节点清晰可控，供货流程规范严谨、保障措施全面充分，完全满足项目需求</w:t>
            </w:r>
            <w:r>
              <w:rPr>
                <w:rFonts w:hint="eastAsia" w:cs="宋体"/>
                <w:color w:val="auto"/>
                <w:spacing w:val="-5"/>
                <w:kern w:val="2"/>
                <w:sz w:val="24"/>
                <w:szCs w:val="24"/>
                <w:highlight w:val="none"/>
                <w:lang w:val="en-US" w:eastAsia="zh-CN"/>
              </w:rPr>
              <w:t>的得5分</w:t>
            </w:r>
            <w:r>
              <w:rPr>
                <w:rFonts w:hint="eastAsia" w:ascii="宋体" w:hAnsi="宋体" w:eastAsia="宋体" w:cs="宋体"/>
                <w:color w:val="auto"/>
                <w:spacing w:val="-5"/>
                <w:kern w:val="2"/>
                <w:sz w:val="24"/>
                <w:szCs w:val="24"/>
                <w:highlight w:val="none"/>
                <w:lang w:val="en-US" w:eastAsia="zh-CN"/>
              </w:rPr>
              <w:t>；</w:t>
            </w:r>
          </w:p>
          <w:p w14:paraId="51DC6C71">
            <w:pPr>
              <w:pStyle w:val="969"/>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color w:val="auto"/>
                <w:spacing w:val="-5"/>
                <w:kern w:val="2"/>
                <w:sz w:val="24"/>
                <w:szCs w:val="24"/>
                <w:highlight w:val="none"/>
                <w:lang w:val="en-US" w:eastAsia="zh-CN"/>
              </w:rPr>
            </w:pPr>
            <w:r>
              <w:rPr>
                <w:rFonts w:ascii="宋体" w:hAnsi="宋体" w:eastAsia="宋体" w:cs="宋体"/>
                <w:sz w:val="24"/>
                <w:szCs w:val="24"/>
              </w:rPr>
              <w:t>供货方案较为完整，进度安排基本合理，供货流程清晰，具备相应保障措施，能够满足项目主要需求</w:t>
            </w:r>
            <w:r>
              <w:rPr>
                <w:rFonts w:hint="eastAsia" w:cs="宋体"/>
                <w:color w:val="auto"/>
                <w:spacing w:val="-5"/>
                <w:kern w:val="2"/>
                <w:sz w:val="24"/>
                <w:szCs w:val="24"/>
                <w:highlight w:val="none"/>
                <w:lang w:val="en-US" w:eastAsia="zh-CN"/>
              </w:rPr>
              <w:t>的得3分</w:t>
            </w:r>
            <w:r>
              <w:rPr>
                <w:rFonts w:hint="eastAsia" w:ascii="宋体" w:hAnsi="宋体" w:eastAsia="宋体" w:cs="宋体"/>
                <w:color w:val="auto"/>
                <w:spacing w:val="-5"/>
                <w:kern w:val="2"/>
                <w:sz w:val="24"/>
                <w:szCs w:val="24"/>
                <w:highlight w:val="none"/>
                <w:lang w:val="en-US" w:eastAsia="zh-CN"/>
              </w:rPr>
              <w:t>；</w:t>
            </w:r>
          </w:p>
          <w:p w14:paraId="75569ADC">
            <w:pPr>
              <w:pStyle w:val="969"/>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color w:val="auto"/>
                <w:spacing w:val="-5"/>
                <w:kern w:val="2"/>
                <w:sz w:val="24"/>
                <w:szCs w:val="24"/>
                <w:highlight w:val="none"/>
                <w:lang w:val="en-US" w:eastAsia="zh-CN"/>
              </w:rPr>
            </w:pPr>
            <w:r>
              <w:rPr>
                <w:rFonts w:ascii="宋体" w:hAnsi="宋体" w:eastAsia="宋体" w:cs="宋体"/>
                <w:sz w:val="24"/>
                <w:szCs w:val="24"/>
              </w:rPr>
              <w:t>供货方案简单粗略，进度安排不够明确，供货流程不完善，仅能基本满足项目需求</w:t>
            </w:r>
            <w:r>
              <w:rPr>
                <w:rFonts w:hint="eastAsia" w:ascii="宋体" w:hAnsi="宋体" w:eastAsia="宋体" w:cs="宋体"/>
                <w:sz w:val="24"/>
                <w:szCs w:val="24"/>
                <w:lang w:val="en-US" w:eastAsia="zh-CN"/>
              </w:rPr>
              <w:t>的</w:t>
            </w:r>
            <w:r>
              <w:rPr>
                <w:rFonts w:hint="eastAsia" w:ascii="宋体" w:hAnsi="宋体" w:eastAsia="宋体" w:cs="宋体"/>
                <w:color w:val="auto"/>
                <w:spacing w:val="-5"/>
                <w:kern w:val="2"/>
                <w:sz w:val="24"/>
                <w:szCs w:val="24"/>
                <w:highlight w:val="none"/>
                <w:lang w:val="en-US" w:eastAsia="zh-CN"/>
              </w:rPr>
              <w:t>得1分；</w:t>
            </w:r>
          </w:p>
          <w:p w14:paraId="4AF9F69A">
            <w:pPr>
              <w:pStyle w:val="978"/>
              <w:keepNext w:val="0"/>
              <w:keepLines w:val="0"/>
              <w:pageBreakBefore w:val="0"/>
              <w:widowControl w:val="0"/>
              <w:kinsoku/>
              <w:wordWrap/>
              <w:overflowPunct/>
              <w:topLinePunct w:val="0"/>
              <w:autoSpaceDE/>
              <w:autoSpaceDN/>
              <w:bidi w:val="0"/>
              <w:spacing w:before="0" w:after="0" w:line="240" w:lineRule="auto"/>
              <w:jc w:val="both"/>
              <w:rPr>
                <w:rFonts w:hint="eastAsia" w:ascii="宋体" w:hAnsi="宋体" w:eastAsia="宋体" w:cs="仿宋_GB2312"/>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未提供相关内容不得分。</w:t>
            </w:r>
          </w:p>
        </w:tc>
        <w:tc>
          <w:tcPr>
            <w:tcW w:w="777" w:type="dxa"/>
            <w:tcBorders>
              <w:tl2br w:val="nil"/>
              <w:tr2bl w:val="nil"/>
            </w:tcBorders>
            <w:noWrap w:val="0"/>
            <w:vAlign w:val="center"/>
          </w:tcPr>
          <w:p w14:paraId="52A0BC31">
            <w:pPr>
              <w:keepNext w:val="0"/>
              <w:keepLines w:val="0"/>
              <w:pageBreakBefore w:val="0"/>
              <w:kinsoku/>
              <w:wordWrap/>
              <w:overflowPunct/>
              <w:topLinePunct w:val="0"/>
              <w:autoSpaceDE/>
              <w:autoSpaceDN/>
              <w:bidi w:val="0"/>
              <w:spacing w:line="240" w:lineRule="auto"/>
              <w:jc w:val="center"/>
              <w:rPr>
                <w:rFonts w:hint="eastAsia" w:ascii="宋体" w:hAnsi="宋体" w:eastAsia="宋体" w:cs="仿宋_GB2312"/>
                <w:color w:val="auto"/>
                <w:kern w:val="2"/>
                <w:sz w:val="24"/>
                <w:szCs w:val="24"/>
                <w:lang w:val="en-US" w:eastAsia="zh-CN" w:bidi="ar-SA"/>
              </w:rPr>
            </w:pPr>
            <w:r>
              <w:rPr>
                <w:rFonts w:hint="eastAsia" w:ascii="宋体" w:hAnsi="宋体" w:cs="宋体"/>
                <w:color w:val="auto"/>
                <w:sz w:val="24"/>
                <w:szCs w:val="24"/>
                <w:highlight w:val="none"/>
                <w:lang w:val="en-US" w:eastAsia="zh-CN"/>
              </w:rPr>
              <w:t>5</w:t>
            </w:r>
          </w:p>
        </w:tc>
        <w:tc>
          <w:tcPr>
            <w:tcW w:w="994" w:type="dxa"/>
            <w:tcBorders>
              <w:tl2br w:val="nil"/>
              <w:tr2bl w:val="nil"/>
            </w:tcBorders>
            <w:noWrap w:val="0"/>
            <w:vAlign w:val="center"/>
          </w:tcPr>
          <w:p w14:paraId="719A15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Cs/>
                <w:color w:val="auto"/>
                <w:sz w:val="24"/>
                <w:szCs w:val="24"/>
                <w:u w:val="none"/>
                <w:lang w:eastAsia="zh-CN"/>
              </w:rPr>
            </w:pPr>
            <w:r>
              <w:rPr>
                <w:rFonts w:hint="eastAsia" w:ascii="宋体" w:hAnsi="宋体" w:eastAsia="宋体" w:cs="宋体"/>
                <w:color w:val="auto"/>
                <w:sz w:val="24"/>
                <w:szCs w:val="24"/>
                <w:highlight w:val="none"/>
                <w:lang w:val="en-US" w:eastAsia="zh-CN"/>
              </w:rPr>
              <w:t>主观分</w:t>
            </w:r>
          </w:p>
        </w:tc>
      </w:tr>
      <w:tr w14:paraId="2198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38A77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7</w:t>
            </w:r>
          </w:p>
        </w:tc>
        <w:tc>
          <w:tcPr>
            <w:tcW w:w="1213" w:type="dxa"/>
            <w:tcBorders>
              <w:tl2br w:val="nil"/>
              <w:tr2bl w:val="nil"/>
            </w:tcBorders>
            <w:noWrap w:val="0"/>
            <w:vAlign w:val="center"/>
          </w:tcPr>
          <w:p w14:paraId="7FD57F46">
            <w:pPr>
              <w:pStyle w:val="969"/>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highlight w:val="none"/>
                <w:lang w:val="en-US" w:bidi="ar"/>
              </w:rPr>
              <w:t>培训方案</w:t>
            </w:r>
          </w:p>
        </w:tc>
        <w:tc>
          <w:tcPr>
            <w:tcW w:w="5905" w:type="dxa"/>
            <w:tcBorders>
              <w:tl2br w:val="nil"/>
              <w:tr2bl w:val="nil"/>
            </w:tcBorders>
            <w:noWrap w:val="0"/>
            <w:vAlign w:val="center"/>
          </w:tcPr>
          <w:p w14:paraId="484347A0">
            <w:pPr>
              <w:pStyle w:val="969"/>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根据</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bidi="ar"/>
              </w:rPr>
              <w:t>提供的</w:t>
            </w:r>
            <w:r>
              <w:rPr>
                <w:rFonts w:hint="eastAsia" w:ascii="宋体" w:hAnsi="宋体" w:eastAsia="宋体" w:cs="宋体"/>
                <w:color w:val="auto"/>
                <w:sz w:val="24"/>
                <w:szCs w:val="24"/>
                <w:highlight w:val="none"/>
                <w:lang w:bidi="ar"/>
              </w:rPr>
              <w:t>培训计划、组织实施方案、师资配备等内容是否完整、科学合理进行</w:t>
            </w:r>
            <w:r>
              <w:rPr>
                <w:rFonts w:hint="eastAsia" w:ascii="宋体" w:hAnsi="宋体" w:eastAsia="宋体" w:cs="宋体"/>
                <w:color w:val="auto"/>
                <w:sz w:val="24"/>
                <w:szCs w:val="24"/>
                <w:highlight w:val="none"/>
                <w:lang w:val="en-US" w:eastAsia="zh-CN" w:bidi="ar"/>
              </w:rPr>
              <w:t>打分</w:t>
            </w:r>
            <w:r>
              <w:rPr>
                <w:rFonts w:hint="eastAsia" w:cs="宋体"/>
                <w:color w:val="auto"/>
                <w:sz w:val="24"/>
                <w:szCs w:val="24"/>
                <w:highlight w:val="none"/>
                <w:lang w:eastAsia="zh-CN" w:bidi="ar"/>
              </w:rPr>
              <w:t>：</w:t>
            </w:r>
          </w:p>
          <w:p w14:paraId="64B07950">
            <w:pPr>
              <w:keepNext w:val="0"/>
              <w:keepLines w:val="0"/>
              <w:pageBreakBefore w:val="0"/>
              <w:widowControl/>
              <w:suppressLineNumbers w:val="0"/>
              <w:kinsoku/>
              <w:wordWrap/>
              <w:overflowPunct/>
              <w:topLinePunct w:val="0"/>
              <w:autoSpaceDE/>
              <w:autoSpaceDN/>
              <w:bidi w:val="0"/>
              <w:spacing w:line="240" w:lineRule="auto"/>
              <w:jc w:val="left"/>
            </w:pPr>
            <w:r>
              <w:rPr>
                <w:rFonts w:ascii="宋体" w:hAnsi="宋体" w:eastAsia="宋体" w:cs="宋体"/>
                <w:kern w:val="0"/>
                <w:sz w:val="24"/>
                <w:szCs w:val="24"/>
                <w:lang w:val="en-US" w:eastAsia="zh-CN" w:bidi="ar"/>
              </w:rPr>
              <w:t>方案内容全面完整</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涵盖培训计划、组织实施、师资配备等全部核心内容，无遗漏</w:t>
            </w:r>
            <w:r>
              <w:rPr>
                <w:rFonts w:hint="eastAsia" w:ascii="宋体" w:hAnsi="宋体" w:eastAsia="宋体" w:cs="宋体"/>
                <w:kern w:val="0"/>
                <w:sz w:val="24"/>
                <w:szCs w:val="24"/>
                <w:lang w:val="en-US" w:eastAsia="zh-CN" w:bidi="ar"/>
              </w:rPr>
              <w:t>；方案</w:t>
            </w:r>
            <w:r>
              <w:rPr>
                <w:rFonts w:ascii="宋体" w:hAnsi="宋体" w:eastAsia="宋体" w:cs="宋体"/>
                <w:kern w:val="0"/>
                <w:sz w:val="24"/>
                <w:szCs w:val="24"/>
                <w:lang w:val="en-US" w:eastAsia="zh-CN" w:bidi="ar"/>
              </w:rPr>
              <w:t>科学合理</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符合项目实际需求，针对性强</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紧密贴合项目特点</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可行性高</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流程可落地</w:t>
            </w:r>
            <w:r>
              <w:rPr>
                <w:rFonts w:hint="eastAsia" w:cs="宋体"/>
                <w:color w:val="auto"/>
                <w:spacing w:val="-5"/>
                <w:kern w:val="2"/>
                <w:sz w:val="24"/>
                <w:szCs w:val="24"/>
                <w:highlight w:val="none"/>
                <w:lang w:val="en-US" w:eastAsia="zh-CN"/>
              </w:rPr>
              <w:t>的得5分</w:t>
            </w:r>
            <w:r>
              <w:rPr>
                <w:rFonts w:hint="eastAsia" w:ascii="宋体" w:hAnsi="宋体" w:eastAsia="宋体" w:cs="宋体"/>
                <w:color w:val="auto"/>
                <w:spacing w:val="-5"/>
                <w:kern w:val="2"/>
                <w:sz w:val="24"/>
                <w:szCs w:val="24"/>
                <w:highlight w:val="none"/>
                <w:lang w:val="en-US" w:eastAsia="zh-CN"/>
              </w:rPr>
              <w:t>；</w:t>
            </w:r>
          </w:p>
          <w:p w14:paraId="0DE19AFF">
            <w:pPr>
              <w:keepNext w:val="0"/>
              <w:keepLines w:val="0"/>
              <w:pageBreakBefore w:val="0"/>
              <w:widowControl/>
              <w:suppressLineNumbers w:val="0"/>
              <w:kinsoku/>
              <w:wordWrap/>
              <w:overflowPunct/>
              <w:topLinePunct w:val="0"/>
              <w:autoSpaceDE/>
              <w:autoSpaceDN/>
              <w:bidi w:val="0"/>
              <w:spacing w:line="24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方案内容较全面完整</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核心内容无遗漏，细节略有欠缺；</w:t>
            </w:r>
            <w:r>
              <w:rPr>
                <w:rFonts w:hint="eastAsia" w:ascii="宋体" w:hAnsi="宋体" w:eastAsia="宋体" w:cs="宋体"/>
                <w:kern w:val="0"/>
                <w:sz w:val="24"/>
                <w:szCs w:val="24"/>
                <w:lang w:val="en-US" w:eastAsia="zh-CN" w:bidi="ar"/>
              </w:rPr>
              <w:t>方案</w:t>
            </w:r>
            <w:r>
              <w:rPr>
                <w:rFonts w:ascii="宋体" w:hAnsi="宋体" w:eastAsia="宋体" w:cs="宋体"/>
                <w:kern w:val="0"/>
                <w:sz w:val="24"/>
                <w:szCs w:val="24"/>
                <w:lang w:val="en-US" w:eastAsia="zh-CN" w:bidi="ar"/>
              </w:rPr>
              <w:t>较科学合理</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基本符合项目需求，逻辑较清晰</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针对性较强</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可行性较高</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流程基本可落地</w:t>
            </w:r>
            <w:r>
              <w:rPr>
                <w:rFonts w:hint="eastAsia" w:cs="宋体"/>
                <w:color w:val="auto"/>
                <w:spacing w:val="-5"/>
                <w:kern w:val="2"/>
                <w:sz w:val="24"/>
                <w:szCs w:val="24"/>
                <w:highlight w:val="none"/>
                <w:lang w:val="en-US" w:eastAsia="zh-CN"/>
              </w:rPr>
              <w:t>的得3分</w:t>
            </w:r>
            <w:r>
              <w:rPr>
                <w:rFonts w:hint="eastAsia" w:ascii="宋体" w:hAnsi="宋体" w:eastAsia="宋体" w:cs="宋体"/>
                <w:color w:val="auto"/>
                <w:spacing w:val="-5"/>
                <w:kern w:val="2"/>
                <w:sz w:val="24"/>
                <w:szCs w:val="24"/>
                <w:highlight w:val="none"/>
                <w:lang w:val="en-US" w:eastAsia="zh-CN"/>
              </w:rPr>
              <w:t>；</w:t>
            </w:r>
          </w:p>
          <w:p w14:paraId="1BD53B06">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5"/>
                <w:kern w:val="2"/>
                <w:sz w:val="24"/>
                <w:szCs w:val="24"/>
                <w:highlight w:val="none"/>
                <w:lang w:val="en-US" w:eastAsia="zh-CN"/>
              </w:rPr>
            </w:pPr>
            <w:r>
              <w:rPr>
                <w:rFonts w:ascii="宋体" w:hAnsi="宋体" w:eastAsia="宋体" w:cs="宋体"/>
                <w:kern w:val="0"/>
                <w:sz w:val="24"/>
                <w:szCs w:val="24"/>
                <w:lang w:val="en-US" w:eastAsia="zh-CN" w:bidi="ar"/>
              </w:rPr>
              <w:t>方案内容较差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核心内容缺失较多，结构混乱</w:t>
            </w:r>
            <w:r>
              <w:rPr>
                <w:rFonts w:hint="eastAsia" w:ascii="宋体" w:hAnsi="宋体" w:eastAsia="宋体" w:cs="宋体"/>
                <w:kern w:val="0"/>
                <w:sz w:val="24"/>
                <w:szCs w:val="24"/>
                <w:lang w:val="en-US" w:eastAsia="zh-CN" w:bidi="ar"/>
              </w:rPr>
              <w:t>；方案</w:t>
            </w:r>
            <w:r>
              <w:rPr>
                <w:rFonts w:ascii="宋体" w:hAnsi="宋体" w:eastAsia="宋体" w:cs="宋体"/>
                <w:kern w:val="0"/>
                <w:sz w:val="24"/>
                <w:szCs w:val="24"/>
                <w:lang w:val="en-US" w:eastAsia="zh-CN" w:bidi="ar"/>
              </w:rPr>
              <w:t>科学合理性较差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不符合项目实际需求，逻辑混乱</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针对性较差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可行性较差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流程难以落地</w:t>
            </w:r>
            <w:r>
              <w:rPr>
                <w:rFonts w:hint="eastAsia" w:ascii="宋体" w:hAnsi="宋体" w:eastAsia="宋体" w:cs="宋体"/>
                <w:sz w:val="24"/>
                <w:szCs w:val="24"/>
                <w:lang w:val="en-US" w:eastAsia="zh-CN"/>
              </w:rPr>
              <w:t>的</w:t>
            </w:r>
            <w:r>
              <w:rPr>
                <w:rFonts w:hint="eastAsia" w:ascii="宋体" w:hAnsi="宋体" w:eastAsia="宋体" w:cs="宋体"/>
                <w:color w:val="auto"/>
                <w:spacing w:val="-5"/>
                <w:kern w:val="2"/>
                <w:sz w:val="24"/>
                <w:szCs w:val="24"/>
                <w:highlight w:val="none"/>
                <w:lang w:val="en-US" w:eastAsia="zh-CN"/>
              </w:rPr>
              <w:t>得1分；</w:t>
            </w:r>
          </w:p>
          <w:p w14:paraId="1253500A">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11"/>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未提供相关内容不得分。</w:t>
            </w:r>
          </w:p>
        </w:tc>
        <w:tc>
          <w:tcPr>
            <w:tcW w:w="777" w:type="dxa"/>
            <w:tcBorders>
              <w:tl2br w:val="nil"/>
              <w:tr2bl w:val="nil"/>
            </w:tcBorders>
            <w:noWrap w:val="0"/>
            <w:vAlign w:val="center"/>
          </w:tcPr>
          <w:p w14:paraId="293F1B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color w:val="auto"/>
                <w:kern w:val="2"/>
                <w:sz w:val="24"/>
                <w:szCs w:val="24"/>
                <w:highlight w:val="none"/>
                <w:u w:val="none"/>
                <w:lang w:val="en-US" w:eastAsia="zh-CN" w:bidi="ar-SA"/>
              </w:rPr>
            </w:pPr>
            <w:r>
              <w:rPr>
                <w:rFonts w:hint="eastAsia" w:ascii="宋体" w:hAnsi="宋体" w:cs="宋体"/>
                <w:color w:val="auto"/>
                <w:sz w:val="24"/>
                <w:szCs w:val="24"/>
                <w:highlight w:val="none"/>
                <w:lang w:val="en-US" w:eastAsia="zh-CN"/>
              </w:rPr>
              <w:t>5</w:t>
            </w:r>
          </w:p>
        </w:tc>
        <w:tc>
          <w:tcPr>
            <w:tcW w:w="994" w:type="dxa"/>
            <w:tcBorders>
              <w:tl2br w:val="nil"/>
              <w:tr2bl w:val="nil"/>
            </w:tcBorders>
            <w:noWrap w:val="0"/>
            <w:vAlign w:val="center"/>
          </w:tcPr>
          <w:p w14:paraId="49A57E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Cs/>
                <w:color w:val="auto"/>
                <w:sz w:val="24"/>
                <w:szCs w:val="24"/>
                <w:u w:val="none"/>
              </w:rPr>
            </w:pPr>
            <w:r>
              <w:rPr>
                <w:rFonts w:hint="eastAsia" w:ascii="宋体" w:hAnsi="宋体" w:eastAsia="宋体" w:cs="宋体"/>
                <w:color w:val="auto"/>
                <w:sz w:val="24"/>
                <w:szCs w:val="24"/>
                <w:highlight w:val="none"/>
                <w:lang w:val="en-US" w:eastAsia="zh-CN"/>
              </w:rPr>
              <w:t>主观分</w:t>
            </w:r>
          </w:p>
        </w:tc>
      </w:tr>
      <w:tr w14:paraId="7D22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75BF8D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8</w:t>
            </w:r>
          </w:p>
        </w:tc>
        <w:tc>
          <w:tcPr>
            <w:tcW w:w="1213" w:type="dxa"/>
            <w:tcBorders>
              <w:tl2br w:val="nil"/>
              <w:tr2bl w:val="nil"/>
            </w:tcBorders>
            <w:noWrap w:val="0"/>
            <w:vAlign w:val="center"/>
          </w:tcPr>
          <w:p w14:paraId="2D68C4E2">
            <w:pPr>
              <w:keepNext w:val="0"/>
              <w:keepLines w:val="0"/>
              <w:widowControl/>
              <w:suppressLineNumbers w:val="0"/>
              <w:jc w:val="center"/>
              <w:textAlignment w:val="center"/>
              <w:rPr>
                <w:rFonts w:hint="eastAsia" w:ascii="宋体" w:hAnsi="宋体" w:eastAsia="宋体" w:cs="宋体"/>
                <w:color w:val="auto"/>
                <w:sz w:val="24"/>
                <w:szCs w:val="24"/>
                <w:highlight w:val="none"/>
                <w:lang w:val="en-US" w:bidi="ar"/>
              </w:rPr>
            </w:pPr>
            <w:r>
              <w:rPr>
                <w:rFonts w:hint="eastAsia" w:ascii="宋体" w:hAnsi="宋体" w:eastAsia="宋体" w:cs="宋体"/>
                <w:i w:val="0"/>
                <w:iCs w:val="0"/>
                <w:color w:val="000000"/>
                <w:kern w:val="0"/>
                <w:sz w:val="24"/>
                <w:szCs w:val="24"/>
                <w:u w:val="none"/>
                <w:lang w:val="en-US" w:eastAsia="zh-CN" w:bidi="ar"/>
              </w:rPr>
              <w:t>验收保障方案</w:t>
            </w:r>
          </w:p>
        </w:tc>
        <w:tc>
          <w:tcPr>
            <w:tcW w:w="5905" w:type="dxa"/>
            <w:tcBorders>
              <w:tl2br w:val="nil"/>
              <w:tr2bl w:val="nil"/>
            </w:tcBorders>
            <w:noWrap w:val="0"/>
            <w:vAlign w:val="center"/>
          </w:tcPr>
          <w:p w14:paraId="229492C3">
            <w:pPr>
              <w:keepNext w:val="0"/>
              <w:keepLines w:val="0"/>
              <w:widowControl/>
              <w:suppressLineNumbers w:val="0"/>
              <w:spacing w:line="240" w:lineRule="auto"/>
              <w:jc w:val="left"/>
              <w:rPr>
                <w:rFonts w:hint="eastAsia" w:ascii="宋体" w:hAnsi="宋体" w:eastAsia="宋体" w:cs="宋体"/>
                <w:color w:val="auto"/>
                <w:spacing w:val="-5"/>
                <w:kern w:val="2"/>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为确保项目验收顺利交付，供应商应在投标文件中提供产品自检方案，方案应包含以下内容：①自检人员配置；②自检内容；③自检方式；④自检流程；⑤自检发现问题的处置方案。</w:t>
            </w:r>
            <w:r>
              <w:rPr>
                <w:rFonts w:hint="eastAsia" w:ascii="宋体" w:hAnsi="宋体" w:eastAsia="宋体" w:cs="宋体"/>
                <w:i w:val="0"/>
                <w:iCs w:val="0"/>
                <w:color w:val="000000"/>
                <w:kern w:val="0"/>
                <w:sz w:val="24"/>
                <w:szCs w:val="24"/>
                <w:u w:val="none"/>
                <w:lang w:val="en-US" w:eastAsia="zh-CN" w:bidi="ar"/>
              </w:rPr>
              <w:br w:type="textWrapping"/>
            </w:r>
            <w:r>
              <w:rPr>
                <w:rFonts w:ascii="宋体" w:hAnsi="宋体" w:eastAsia="宋体" w:cs="宋体"/>
                <w:kern w:val="0"/>
                <w:sz w:val="24"/>
                <w:szCs w:val="24"/>
                <w:lang w:val="en-US" w:eastAsia="zh-CN" w:bidi="ar"/>
              </w:rPr>
              <w:t>完整包含</w:t>
            </w:r>
            <w:r>
              <w:rPr>
                <w:rStyle w:val="70"/>
                <w:rFonts w:ascii="宋体" w:hAnsi="宋体" w:eastAsia="宋体" w:cs="宋体"/>
                <w:b w:val="0"/>
                <w:bCs/>
                <w:kern w:val="0"/>
                <w:sz w:val="24"/>
                <w:szCs w:val="24"/>
                <w:lang w:val="en-US" w:eastAsia="zh-CN" w:bidi="ar"/>
              </w:rPr>
              <w:t>全部内容</w:t>
            </w:r>
            <w:r>
              <w:rPr>
                <w:rFonts w:ascii="宋体" w:hAnsi="宋体" w:eastAsia="宋体" w:cs="宋体"/>
                <w:kern w:val="0"/>
                <w:sz w:val="24"/>
                <w:szCs w:val="24"/>
                <w:lang w:val="en-US" w:eastAsia="zh-CN" w:bidi="ar"/>
              </w:rPr>
              <w:t>，自检人员配置充足、岗位职责清晰；自检内容全面无遗漏，覆盖项目全品类产品及全施工环节；自检方式科学专业、针对性强；自检流程完整闭环、逻辑严谨；问题处置方案完善、响应及时。整体方案落地性高、针对性强</w:t>
            </w:r>
            <w:r>
              <w:rPr>
                <w:rFonts w:hint="eastAsia" w:ascii="宋体" w:hAnsi="宋体" w:eastAsia="宋体" w:cs="宋体"/>
                <w:kern w:val="0"/>
                <w:sz w:val="24"/>
                <w:szCs w:val="24"/>
                <w:lang w:val="en-US" w:eastAsia="zh-CN" w:bidi="ar"/>
              </w:rPr>
              <w:t>的</w:t>
            </w:r>
            <w:r>
              <w:rPr>
                <w:rFonts w:hint="eastAsia" w:cs="宋体"/>
                <w:color w:val="auto"/>
                <w:spacing w:val="-5"/>
                <w:kern w:val="2"/>
                <w:sz w:val="24"/>
                <w:szCs w:val="24"/>
                <w:highlight w:val="none"/>
                <w:lang w:val="en-US" w:eastAsia="zh-CN"/>
              </w:rPr>
              <w:t>得5分</w:t>
            </w:r>
            <w:r>
              <w:rPr>
                <w:rFonts w:hint="eastAsia" w:ascii="宋体" w:hAnsi="宋体" w:eastAsia="宋体" w:cs="宋体"/>
                <w:color w:val="auto"/>
                <w:spacing w:val="-5"/>
                <w:kern w:val="2"/>
                <w:sz w:val="24"/>
                <w:szCs w:val="24"/>
                <w:highlight w:val="none"/>
                <w:lang w:val="en-US" w:eastAsia="zh-CN"/>
              </w:rPr>
              <w:t>；</w:t>
            </w:r>
          </w:p>
          <w:p w14:paraId="5B0CFEB9">
            <w:pPr>
              <w:keepNext w:val="0"/>
              <w:keepLines w:val="0"/>
              <w:widowControl/>
              <w:suppressLineNumbers w:val="0"/>
              <w:spacing w:line="240" w:lineRule="auto"/>
              <w:jc w:val="left"/>
            </w:pPr>
            <w:r>
              <w:rPr>
                <w:rFonts w:ascii="宋体" w:hAnsi="宋体" w:eastAsia="宋体" w:cs="宋体"/>
                <w:kern w:val="0"/>
                <w:sz w:val="24"/>
                <w:szCs w:val="24"/>
                <w:lang w:val="en-US" w:eastAsia="zh-CN" w:bidi="ar"/>
              </w:rPr>
              <w:t>完整包含</w:t>
            </w:r>
            <w:r>
              <w:rPr>
                <w:rStyle w:val="70"/>
                <w:rFonts w:ascii="宋体" w:hAnsi="宋体" w:eastAsia="宋体" w:cs="宋体"/>
                <w:b w:val="0"/>
                <w:bCs/>
                <w:kern w:val="0"/>
                <w:sz w:val="24"/>
                <w:szCs w:val="24"/>
                <w:lang w:val="en-US" w:eastAsia="zh-CN" w:bidi="ar"/>
              </w:rPr>
              <w:t>全部内容</w:t>
            </w:r>
            <w:r>
              <w:rPr>
                <w:rFonts w:ascii="宋体" w:hAnsi="宋体" w:eastAsia="宋体" w:cs="宋体"/>
                <w:kern w:val="0"/>
                <w:sz w:val="24"/>
                <w:szCs w:val="24"/>
                <w:lang w:val="en-US" w:eastAsia="zh-CN" w:bidi="ar"/>
              </w:rPr>
              <w:t>，人员配置、自检内容、方式、流程、问题处置机制基本完善、合规可行</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仅存在少量瑕疵，如部分内容表述简略、细节不够细化，不影响整体自检工作开展和项目验收交付</w:t>
            </w:r>
            <w:r>
              <w:rPr>
                <w:rFonts w:hint="eastAsia" w:cs="宋体"/>
                <w:color w:val="auto"/>
                <w:spacing w:val="-5"/>
                <w:kern w:val="2"/>
                <w:sz w:val="24"/>
                <w:szCs w:val="24"/>
                <w:highlight w:val="none"/>
                <w:lang w:val="en-US" w:eastAsia="zh-CN"/>
              </w:rPr>
              <w:t>的得3分</w:t>
            </w:r>
            <w:r>
              <w:rPr>
                <w:rFonts w:hint="eastAsia" w:ascii="宋体" w:hAnsi="宋体" w:eastAsia="宋体" w:cs="宋体"/>
                <w:color w:val="auto"/>
                <w:spacing w:val="-5"/>
                <w:kern w:val="2"/>
                <w:sz w:val="24"/>
                <w:szCs w:val="24"/>
                <w:highlight w:val="none"/>
                <w:lang w:val="en-US" w:eastAsia="zh-CN"/>
              </w:rPr>
              <w:t>；</w:t>
            </w:r>
          </w:p>
          <w:p w14:paraId="310EFF2C">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5"/>
                <w:kern w:val="2"/>
                <w:sz w:val="24"/>
                <w:szCs w:val="24"/>
                <w:highlight w:val="none"/>
                <w:lang w:val="en-US" w:eastAsia="zh-CN"/>
              </w:rPr>
            </w:pPr>
            <w:r>
              <w:rPr>
                <w:rStyle w:val="70"/>
                <w:rFonts w:ascii="宋体" w:hAnsi="宋体" w:eastAsia="宋体" w:cs="宋体"/>
                <w:b w:val="0"/>
                <w:bCs/>
                <w:kern w:val="0"/>
                <w:sz w:val="24"/>
                <w:szCs w:val="24"/>
                <w:lang w:val="en-US" w:eastAsia="zh-CN" w:bidi="ar"/>
              </w:rPr>
              <w:t>存在缺项、漏项</w:t>
            </w:r>
            <w:r>
              <w:rPr>
                <w:rFonts w:ascii="宋体" w:hAnsi="宋体" w:eastAsia="宋体" w:cs="宋体"/>
                <w:kern w:val="0"/>
                <w:sz w:val="24"/>
                <w:szCs w:val="24"/>
                <w:lang w:val="en-US" w:eastAsia="zh-CN" w:bidi="ar"/>
              </w:rPr>
              <w:t>，自检内容不全面、流程不完整、问题处置措施简单空洞，可操作性较差，仅具备基础框架，无法有效保障项目自检及验收工作</w:t>
            </w:r>
            <w:r>
              <w:rPr>
                <w:rFonts w:hint="eastAsia" w:ascii="宋体" w:hAnsi="宋体" w:eastAsia="宋体" w:cs="宋体"/>
                <w:sz w:val="24"/>
                <w:szCs w:val="24"/>
                <w:lang w:val="en-US" w:eastAsia="zh-CN"/>
              </w:rPr>
              <w:t>的</w:t>
            </w:r>
            <w:r>
              <w:rPr>
                <w:rFonts w:hint="eastAsia" w:ascii="宋体" w:hAnsi="宋体" w:eastAsia="宋体" w:cs="宋体"/>
                <w:color w:val="auto"/>
                <w:spacing w:val="-5"/>
                <w:kern w:val="2"/>
                <w:sz w:val="24"/>
                <w:szCs w:val="24"/>
                <w:highlight w:val="none"/>
                <w:lang w:val="en-US" w:eastAsia="zh-CN"/>
              </w:rPr>
              <w:t>得1分；</w:t>
            </w:r>
          </w:p>
          <w:p w14:paraId="01628C55">
            <w:pPr>
              <w:keepNext w:val="0"/>
              <w:keepLines w:val="0"/>
              <w:widowControl/>
              <w:suppressLineNumbers w:val="0"/>
              <w:spacing w:line="240" w:lineRule="auto"/>
              <w:jc w:val="left"/>
              <w:rPr>
                <w:rFonts w:hint="eastAsia"/>
                <w:lang w:val="en-US" w:eastAsia="zh-CN"/>
              </w:rPr>
            </w:pPr>
            <w:r>
              <w:rPr>
                <w:rFonts w:hint="eastAsia" w:ascii="宋体" w:hAnsi="宋体" w:eastAsia="宋体" w:cs="宋体"/>
                <w:color w:val="auto"/>
                <w:sz w:val="24"/>
                <w:szCs w:val="24"/>
                <w:highlight w:val="none"/>
                <w:lang w:val="en-US" w:eastAsia="zh-CN"/>
              </w:rPr>
              <w:t>未提供相关内容不得分。</w:t>
            </w:r>
          </w:p>
        </w:tc>
        <w:tc>
          <w:tcPr>
            <w:tcW w:w="777" w:type="dxa"/>
            <w:tcBorders>
              <w:tl2br w:val="nil"/>
              <w:tr2bl w:val="nil"/>
            </w:tcBorders>
            <w:noWrap w:val="0"/>
            <w:vAlign w:val="center"/>
          </w:tcPr>
          <w:p w14:paraId="7E79C05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994" w:type="dxa"/>
            <w:tcBorders>
              <w:tl2br w:val="nil"/>
              <w:tr2bl w:val="nil"/>
            </w:tcBorders>
            <w:noWrap w:val="0"/>
            <w:vAlign w:val="center"/>
          </w:tcPr>
          <w:p w14:paraId="23A2040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6E15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699563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9</w:t>
            </w:r>
          </w:p>
        </w:tc>
        <w:tc>
          <w:tcPr>
            <w:tcW w:w="1213" w:type="dxa"/>
            <w:tcBorders>
              <w:tl2br w:val="nil"/>
              <w:tr2bl w:val="nil"/>
            </w:tcBorders>
            <w:noWrap w:val="0"/>
            <w:vAlign w:val="center"/>
          </w:tcPr>
          <w:p w14:paraId="670890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售后服务方案</w:t>
            </w:r>
          </w:p>
        </w:tc>
        <w:tc>
          <w:tcPr>
            <w:tcW w:w="5905" w:type="dxa"/>
            <w:tcBorders>
              <w:tl2br w:val="nil"/>
              <w:tr2bl w:val="nil"/>
            </w:tcBorders>
            <w:noWrap w:val="0"/>
            <w:vAlign w:val="center"/>
          </w:tcPr>
          <w:p w14:paraId="6EEEBFDB">
            <w:pPr>
              <w:pStyle w:val="23"/>
              <w:spacing w:line="240" w:lineRule="auto"/>
              <w:rPr>
                <w:rFonts w:hint="eastAsia"/>
                <w:sz w:val="24"/>
                <w:szCs w:val="24"/>
                <w:lang w:val="en-US" w:eastAsia="zh-CN"/>
              </w:rPr>
            </w:pPr>
            <w:r>
              <w:rPr>
                <w:rFonts w:hint="eastAsia" w:ascii="宋体" w:hAnsi="宋体" w:eastAsia="宋体" w:cs="宋体"/>
                <w:color w:val="auto"/>
                <w:sz w:val="24"/>
                <w:szCs w:val="24"/>
                <w:highlight w:val="none"/>
                <w:lang w:bidi="ar"/>
              </w:rPr>
              <w:t>根据</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bidi="ar"/>
              </w:rPr>
              <w:t>提供的</w:t>
            </w:r>
            <w:r>
              <w:rPr>
                <w:rFonts w:hint="eastAsia"/>
                <w:sz w:val="24"/>
                <w:szCs w:val="24"/>
                <w:lang w:val="en-US" w:eastAsia="zh-CN"/>
              </w:rPr>
              <w:t>针对此项目的售后服务方案，在质量保证期内的技术要求支持与售后服务的承诺情况、售后服务人员数量及技术水平、现场服务措施、响应时间和服务范围、应急处理方案等进行打分：</w:t>
            </w:r>
          </w:p>
          <w:p w14:paraId="434C7118">
            <w:pPr>
              <w:keepNext w:val="0"/>
              <w:keepLines w:val="0"/>
              <w:widowControl/>
              <w:suppressLineNumbers w:val="0"/>
              <w:spacing w:line="240" w:lineRule="auto"/>
              <w:jc w:val="left"/>
            </w:pPr>
            <w:r>
              <w:rPr>
                <w:rFonts w:ascii="宋体" w:hAnsi="宋体" w:eastAsia="宋体" w:cs="宋体"/>
                <w:kern w:val="0"/>
                <w:sz w:val="24"/>
                <w:szCs w:val="24"/>
                <w:lang w:val="en-US" w:eastAsia="zh-CN" w:bidi="ar"/>
              </w:rPr>
              <w:t>方案针对性强、贴合本项目使用场景</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服务承诺详实、人员配置充足专业、现场服务机制完善、响应时效明确、应急方案闭环完整，整体服务体系成熟、可落地性强</w:t>
            </w:r>
            <w:r>
              <w:rPr>
                <w:rFonts w:hint="eastAsia" w:ascii="宋体" w:hAnsi="宋体" w:eastAsia="宋体" w:cs="宋体"/>
                <w:kern w:val="0"/>
                <w:sz w:val="24"/>
                <w:szCs w:val="24"/>
                <w:lang w:val="en-US" w:eastAsia="zh-CN" w:bidi="ar"/>
              </w:rPr>
              <w:t>的</w:t>
            </w:r>
            <w:r>
              <w:rPr>
                <w:rFonts w:hint="eastAsia" w:cs="宋体"/>
                <w:color w:val="auto"/>
                <w:spacing w:val="-5"/>
                <w:kern w:val="2"/>
                <w:sz w:val="24"/>
                <w:szCs w:val="24"/>
                <w:highlight w:val="none"/>
                <w:lang w:val="en-US" w:eastAsia="zh-CN"/>
              </w:rPr>
              <w:t>得5分</w:t>
            </w:r>
            <w:r>
              <w:rPr>
                <w:rFonts w:hint="eastAsia" w:ascii="宋体" w:hAnsi="宋体" w:eastAsia="宋体" w:cs="宋体"/>
                <w:color w:val="auto"/>
                <w:spacing w:val="-5"/>
                <w:kern w:val="2"/>
                <w:sz w:val="24"/>
                <w:szCs w:val="24"/>
                <w:highlight w:val="none"/>
                <w:lang w:val="en-US" w:eastAsia="zh-CN"/>
              </w:rPr>
              <w:t>；</w:t>
            </w:r>
          </w:p>
          <w:p w14:paraId="2FEC692A">
            <w:pPr>
              <w:pStyle w:val="2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方案整体合理、可行，满足项目基本运维保障要求，仅存在少量细节描述简略、内容不够细化等非实质性瑕疵，不影响整体售后服务落地效果的得3分；</w:t>
            </w:r>
          </w:p>
          <w:p w14:paraId="567EFECF">
            <w:pPr>
              <w:pStyle w:val="2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核心内容存在缺项、漏项，缺乏针对性，人员配置、响应时效、现场服务、应急措施等关键内容表述简单、可操作性弱，仅具备基础框架</w:t>
            </w:r>
            <w:r>
              <w:rPr>
                <w:rFonts w:hint="eastAsia" w:ascii="宋体" w:hAnsi="宋体" w:eastAsia="宋体" w:cs="宋体"/>
                <w:sz w:val="24"/>
                <w:szCs w:val="24"/>
                <w:lang w:val="en-US" w:eastAsia="zh-CN"/>
              </w:rPr>
              <w:t>的</w:t>
            </w:r>
            <w:r>
              <w:rPr>
                <w:rFonts w:hint="eastAsia" w:ascii="宋体" w:hAnsi="宋体" w:eastAsia="宋体" w:cs="宋体"/>
                <w:color w:val="auto"/>
                <w:spacing w:val="-5"/>
                <w:kern w:val="2"/>
                <w:sz w:val="24"/>
                <w:szCs w:val="24"/>
                <w:highlight w:val="none"/>
                <w:lang w:val="en-US" w:eastAsia="zh-CN"/>
              </w:rPr>
              <w:t>得1分；</w:t>
            </w:r>
          </w:p>
          <w:p w14:paraId="6E57DCAE">
            <w:pPr>
              <w:keepNext w:val="0"/>
              <w:keepLines w:val="0"/>
              <w:widowControl/>
              <w:suppressLineNumbers w:val="0"/>
              <w:spacing w:line="240" w:lineRule="auto"/>
              <w:jc w:val="left"/>
              <w:rPr>
                <w:rFonts w:hint="default"/>
                <w:lang w:val="en-US" w:eastAsia="zh-CN"/>
              </w:rPr>
            </w:pPr>
            <w:r>
              <w:rPr>
                <w:rFonts w:hint="eastAsia" w:ascii="宋体" w:hAnsi="宋体" w:eastAsia="宋体" w:cs="宋体"/>
                <w:color w:val="auto"/>
                <w:sz w:val="24"/>
                <w:szCs w:val="24"/>
                <w:highlight w:val="none"/>
                <w:lang w:val="en-US" w:eastAsia="zh-CN"/>
              </w:rPr>
              <w:t>未提供相关内容不得分。</w:t>
            </w:r>
          </w:p>
        </w:tc>
        <w:tc>
          <w:tcPr>
            <w:tcW w:w="777" w:type="dxa"/>
            <w:tcBorders>
              <w:tl2br w:val="nil"/>
              <w:tr2bl w:val="nil"/>
            </w:tcBorders>
            <w:noWrap w:val="0"/>
            <w:vAlign w:val="center"/>
          </w:tcPr>
          <w:p w14:paraId="28CBC2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994" w:type="dxa"/>
            <w:tcBorders>
              <w:tl2br w:val="nil"/>
              <w:tr2bl w:val="nil"/>
            </w:tcBorders>
            <w:noWrap w:val="0"/>
            <w:vAlign w:val="center"/>
          </w:tcPr>
          <w:p w14:paraId="64A574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6A0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tcBorders>
              <w:tl2br w:val="nil"/>
              <w:tr2bl w:val="nil"/>
            </w:tcBorders>
            <w:noWrap w:val="0"/>
            <w:vAlign w:val="center"/>
          </w:tcPr>
          <w:p w14:paraId="6A17A0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10</w:t>
            </w:r>
          </w:p>
        </w:tc>
        <w:tc>
          <w:tcPr>
            <w:tcW w:w="1213" w:type="dxa"/>
            <w:tcBorders>
              <w:tl2br w:val="nil"/>
              <w:tr2bl w:val="nil"/>
            </w:tcBorders>
            <w:noWrap w:val="0"/>
            <w:vAlign w:val="center"/>
          </w:tcPr>
          <w:p w14:paraId="366BFFB0">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样品</w:t>
            </w:r>
          </w:p>
        </w:tc>
        <w:tc>
          <w:tcPr>
            <w:tcW w:w="5905" w:type="dxa"/>
            <w:tcBorders>
              <w:tl2br w:val="nil"/>
              <w:tr2bl w:val="nil"/>
            </w:tcBorders>
            <w:noWrap w:val="0"/>
            <w:vAlign w:val="center"/>
          </w:tcPr>
          <w:p w14:paraId="627955A4">
            <w:pPr>
              <w:keepNext w:val="0"/>
              <w:keepLines w:val="0"/>
              <w:widowControl/>
              <w:suppressLineNumbers w:val="0"/>
              <w:spacing w:line="24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提供样品：化学智能顶装实验室 序号6-学生实验桌1张。(投标人未提供样品或外观尺寸明显不符合要求或技术参数明显不符合招标文件要求的则样品分为0分。)</w:t>
            </w:r>
          </w:p>
          <w:p w14:paraId="2FCB6A27">
            <w:pPr>
              <w:keepNext w:val="0"/>
              <w:keepLines w:val="0"/>
              <w:widowControl/>
              <w:suppressLineNumbers w:val="0"/>
              <w:spacing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（1）根据样品的制作工艺、有无刺激性异味进行打分：（2分）</w:t>
            </w:r>
          </w:p>
          <w:p w14:paraId="484307CF">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制作工艺精湛，边缘打磨光滑平整、无任何磨损、无毛刺、手感无卡顿、无刮擦感，嗅觉近距离辨别无刺鼻、异味等不适感受的得2分；</w:t>
            </w:r>
          </w:p>
          <w:p w14:paraId="6FD5235E">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制作工艺水平一般，边缘打磨不够光滑，存在较多毛刺或明显磨损，手感有明显刮擦感，不影响基本使用功能，嗅觉辨别无明显刺鼻、异味感受的得1分；</w:t>
            </w:r>
          </w:p>
          <w:p w14:paraId="07590F07">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制作工艺不佳，边缘粗糙不光滑，无有效打磨处理，且嗅觉近距离辨别有刺鼻、异味等不适感受的得0分。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（2）根据样品外观美观程度、整体搭配的协调性进行打分：（2分）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外形美观，设计简洁实用，整体造型、布局搭配协调合理的得2分；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外观、整体搭配一般，设计无亮点，存在轻微不协调问题，有待进一步完善的得1分；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外观不佳，造型粗糙，整体搭配不协调、不合理，不符合校园审美及使用适配需求的得0分。</w:t>
            </w:r>
          </w:p>
        </w:tc>
        <w:tc>
          <w:tcPr>
            <w:tcW w:w="777" w:type="dxa"/>
            <w:tcBorders>
              <w:tl2br w:val="nil"/>
              <w:tr2bl w:val="nil"/>
            </w:tcBorders>
            <w:noWrap w:val="0"/>
            <w:vAlign w:val="center"/>
          </w:tcPr>
          <w:p w14:paraId="41662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94" w:type="dxa"/>
            <w:tcBorders>
              <w:tl2br w:val="nil"/>
              <w:tr2bl w:val="nil"/>
            </w:tcBorders>
            <w:noWrap w:val="0"/>
            <w:vAlign w:val="center"/>
          </w:tcPr>
          <w:p w14:paraId="0F478A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bl>
    <w:p w14:paraId="16DA8F82">
      <w:pPr>
        <w:snapToGrid/>
        <w:spacing w:line="360" w:lineRule="auto"/>
        <w:ind w:firstLine="480" w:firstLineChars="200"/>
        <w:rPr>
          <w:rFonts w:hint="eastAsia" w:ascii="宋体" w:hAnsi="宋体" w:eastAsia="宋体" w:cs="宋体"/>
          <w:b w:val="0"/>
          <w:bCs w:val="0"/>
          <w:sz w:val="24"/>
        </w:rPr>
      </w:pPr>
      <w:r>
        <w:rPr>
          <w:rFonts w:hint="eastAsia" w:ascii="宋体" w:hAnsi="宋体" w:cs="宋体"/>
          <w:b w:val="0"/>
          <w:bCs w:val="0"/>
          <w:sz w:val="24"/>
          <w:shd w:val="clear" w:color="auto" w:fill="auto"/>
        </w:rPr>
        <w:t>*</w:t>
      </w:r>
      <w:r>
        <w:rPr>
          <w:rFonts w:hint="eastAsia" w:ascii="宋体" w:hAnsi="宋体" w:cs="宋体"/>
          <w:b w:val="0"/>
          <w:bCs w:val="0"/>
          <w:sz w:val="24"/>
        </w:rPr>
        <w:t>备注：投标人编制投标文件（商务技术文件部分）时，建议按此目录（序号和内容）提供评标标准相应的商务技术资料。</w:t>
      </w:r>
    </w:p>
    <w:p w14:paraId="655B1C3B">
      <w:pPr>
        <w:snapToGrid/>
        <w:spacing w:line="360" w:lineRule="auto"/>
        <w:ind w:firstLine="482" w:firstLineChars="200"/>
        <w:rPr>
          <w:rFonts w:hint="eastAsia" w:ascii="宋体" w:hAnsi="宋体" w:eastAsia="宋体" w:cs="宋体"/>
          <w:b/>
          <w:bCs/>
          <w:sz w:val="24"/>
        </w:rPr>
      </w:pPr>
      <w:r>
        <w:rPr>
          <w:rFonts w:hint="eastAsia" w:ascii="宋体" w:hAnsi="宋体" w:cs="宋体"/>
          <w:b/>
          <w:bCs/>
          <w:sz w:val="24"/>
          <w:lang w:val="en-US" w:eastAsia="zh-CN"/>
        </w:rPr>
        <w:t>2、</w:t>
      </w:r>
      <w:r>
        <w:rPr>
          <w:rFonts w:hint="eastAsia" w:ascii="宋体" w:hAnsi="宋体" w:cs="宋体"/>
          <w:b/>
          <w:bCs/>
          <w:sz w:val="24"/>
        </w:rPr>
        <w:t>商务分+技术分=评标委员会所有成员评分合计数/评标委员会组成人员数（精确到小数点后二位）； </w:t>
      </w:r>
    </w:p>
    <w:p w14:paraId="37FE13D3">
      <w:pPr>
        <w:numPr>
          <w:ilvl w:val="-1"/>
          <w:numId w:val="0"/>
        </w:numPr>
        <w:snapToGrid/>
        <w:spacing w:line="360" w:lineRule="auto"/>
        <w:ind w:firstLine="482" w:firstLineChars="200"/>
        <w:rPr>
          <w:rFonts w:hint="eastAsia" w:ascii="宋体" w:hAnsi="宋体" w:eastAsia="宋体" w:cs="宋体"/>
          <w:b/>
          <w:bCs w:val="0"/>
          <w:sz w:val="24"/>
        </w:rPr>
      </w:pPr>
      <w:r>
        <w:rPr>
          <w:rFonts w:hint="eastAsia" w:ascii="宋体" w:hAnsi="宋体" w:eastAsia="宋体" w:cs="宋体"/>
          <w:b/>
          <w:bCs w:val="0"/>
          <w:sz w:val="24"/>
          <w:lang w:val="en-US" w:eastAsia="zh-CN"/>
        </w:rPr>
        <w:t>3、价格</w:t>
      </w:r>
      <w:r>
        <w:rPr>
          <w:rFonts w:hint="eastAsia" w:ascii="宋体" w:hAnsi="宋体" w:eastAsia="宋体" w:cs="宋体"/>
          <w:b/>
          <w:bCs w:val="0"/>
          <w:sz w:val="24"/>
        </w:rPr>
        <w:t>分（</w:t>
      </w:r>
      <w:r>
        <w:rPr>
          <w:rFonts w:hint="eastAsia" w:ascii="宋体" w:hAnsi="宋体" w:eastAsia="宋体" w:cs="宋体"/>
          <w:b/>
          <w:bCs w:val="0"/>
          <w:sz w:val="24"/>
          <w:lang w:val="en-US" w:eastAsia="zh-CN"/>
        </w:rPr>
        <w:t>3</w:t>
      </w:r>
      <w:r>
        <w:rPr>
          <w:rFonts w:hint="eastAsia" w:ascii="宋体" w:hAnsi="宋体" w:eastAsia="宋体" w:cs="宋体"/>
          <w:b/>
          <w:bCs w:val="0"/>
          <w:sz w:val="24"/>
        </w:rPr>
        <w:t>0分）</w:t>
      </w:r>
      <w:r>
        <w:rPr>
          <w:rFonts w:hint="eastAsia" w:ascii="宋体" w:hAnsi="宋体" w:eastAsia="宋体" w:cs="宋体"/>
          <w:b/>
          <w:bCs/>
          <w:sz w:val="24"/>
        </w:rPr>
        <w:t>采用低价优先法计算，即满足招标文件要求且投标价格最低的投标报价为评标基准价，其他投标人的价格分按照下列公式计算：</w:t>
      </w:r>
    </w:p>
    <w:tbl>
      <w:tblPr>
        <w:tblStyle w:val="63"/>
        <w:tblW w:w="920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227"/>
        <w:gridCol w:w="5999"/>
        <w:gridCol w:w="1215"/>
      </w:tblGrid>
      <w:tr w14:paraId="5EA2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2525F702">
            <w:pPr>
              <w:widowControl w:val="0"/>
              <w:wordWrap/>
              <w:adjustRightInd w:val="0"/>
              <w:snapToGrid w:val="0"/>
              <w:spacing w:line="360" w:lineRule="auto"/>
              <w:jc w:val="center"/>
              <w:textAlignment w:val="auto"/>
              <w:rPr>
                <w:rFonts w:hint="eastAsia" w:ascii="宋体" w:hAnsi="宋体" w:eastAsia="宋体" w:cs="宋体"/>
                <w:b/>
                <w:bCs w:val="0"/>
                <w:sz w:val="24"/>
                <w:vertAlign w:val="baseline"/>
              </w:rPr>
            </w:pPr>
            <w:r>
              <w:rPr>
                <w:rFonts w:hint="eastAsia" w:ascii="宋体" w:hAnsi="宋体" w:eastAsia="宋体" w:cs="宋体"/>
                <w:color w:val="auto"/>
                <w:sz w:val="24"/>
                <w:szCs w:val="24"/>
                <w:u w:val="none"/>
                <w:lang w:val="en-US" w:eastAsia="zh-CN"/>
              </w:rPr>
              <w:t>1</w:t>
            </w:r>
          </w:p>
        </w:tc>
        <w:tc>
          <w:tcPr>
            <w:tcW w:w="1227" w:type="dxa"/>
            <w:vAlign w:val="center"/>
          </w:tcPr>
          <w:p w14:paraId="4DC80F52">
            <w:pPr>
              <w:widowControl/>
              <w:wordWrap/>
              <w:adjustRightInd w:val="0"/>
              <w:snapToGrid/>
              <w:spacing w:line="360" w:lineRule="auto"/>
              <w:jc w:val="center"/>
              <w:textAlignment w:val="center"/>
              <w:rPr>
                <w:rFonts w:hint="eastAsia" w:ascii="宋体" w:hAnsi="宋体" w:eastAsia="宋体" w:cs="宋体"/>
                <w:b/>
                <w:bCs w:val="0"/>
                <w:sz w:val="24"/>
                <w:vertAlign w:val="baseline"/>
              </w:rPr>
            </w:pPr>
            <w:r>
              <w:rPr>
                <w:rFonts w:hint="eastAsia" w:ascii="宋体" w:hAnsi="宋体" w:eastAsia="宋体" w:cs="宋体"/>
                <w:color w:val="auto"/>
                <w:sz w:val="24"/>
                <w:szCs w:val="24"/>
                <w:u w:val="none"/>
                <w:lang w:val="en-US" w:eastAsia="zh-CN"/>
              </w:rPr>
              <w:t>价格分</w:t>
            </w:r>
          </w:p>
        </w:tc>
        <w:tc>
          <w:tcPr>
            <w:tcW w:w="5999" w:type="dxa"/>
            <w:vAlign w:val="top"/>
          </w:tcPr>
          <w:p w14:paraId="0DC51F04">
            <w:pPr>
              <w:widowControl/>
              <w:shd w:val="clear"/>
              <w:adjustRightInd w:val="0"/>
              <w:spacing w:after="0" w:line="360" w:lineRule="auto"/>
              <w:ind w:firstLine="0"/>
              <w:jc w:val="left"/>
              <w:textAlignment w:val="center"/>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有效投标报价的最低价作为评标基准价，其最低报价为满分；按［投标报价得分=（评标基准价/投标报价）*最高分值］的计算公式计算。</w:t>
            </w:r>
          </w:p>
          <w:p w14:paraId="55EF6E76">
            <w:pPr>
              <w:widowControl/>
              <w:spacing w:after="0" w:line="360" w:lineRule="auto"/>
              <w:ind w:firstLine="0" w:firstLineChars="0"/>
              <w:jc w:val="left"/>
              <w:textAlignment w:val="center"/>
              <w:rPr>
                <w:rFonts w:hint="eastAsia"/>
              </w:rPr>
            </w:pPr>
            <w:r>
              <w:rPr>
                <w:rFonts w:hint="eastAsia" w:ascii="宋体" w:hAnsi="宋体" w:eastAsia="宋体" w:cs="宋体"/>
                <w:color w:val="auto"/>
                <w:sz w:val="24"/>
                <w:szCs w:val="24"/>
                <w:highlight w:val="none"/>
                <w:u w:val="none"/>
              </w:rPr>
              <w:t>评标过程中，不得去掉报价中的最高报价和最低报价。</w:t>
            </w:r>
            <w:r>
              <w:rPr>
                <w:rFonts w:hint="eastAsia" w:ascii="宋体" w:hAnsi="宋体" w:eastAsia="宋体" w:cs="宋体"/>
                <w:b/>
                <w:bCs/>
                <w:color w:val="auto"/>
                <w:kern w:val="2"/>
                <w:sz w:val="24"/>
                <w:szCs w:val="24"/>
                <w:u w:val="none"/>
                <w:lang w:val="en-US" w:eastAsia="zh-CN"/>
              </w:rPr>
              <w:t>本项目</w:t>
            </w:r>
            <w:r>
              <w:rPr>
                <w:rFonts w:hint="eastAsia" w:ascii="宋体" w:hAnsi="宋体" w:eastAsia="宋体" w:cs="宋体"/>
                <w:b/>
                <w:bCs/>
                <w:color w:val="auto"/>
                <w:kern w:val="2"/>
                <w:sz w:val="24"/>
                <w:szCs w:val="24"/>
                <w:u w:val="none"/>
              </w:rPr>
              <w:t>既有本国产品又有非本国产品参与竞争的，对本国产品的报价给予20%的价格扣除，用扣除后的价格参与评审。当采购项目或者采购</w:t>
            </w:r>
            <w:r>
              <w:rPr>
                <w:rFonts w:hint="eastAsia" w:ascii="宋体" w:hAnsi="宋体" w:eastAsia="宋体" w:cs="宋体"/>
                <w:b/>
                <w:bCs/>
                <w:color w:val="auto"/>
                <w:kern w:val="2"/>
                <w:sz w:val="24"/>
                <w:szCs w:val="24"/>
                <w:u w:val="none"/>
                <w:lang w:val="en-US" w:eastAsia="zh-CN"/>
              </w:rPr>
              <w:t>标项</w:t>
            </w:r>
            <w:r>
              <w:rPr>
                <w:rFonts w:hint="eastAsia" w:ascii="宋体" w:hAnsi="宋体" w:eastAsia="宋体" w:cs="宋体"/>
                <w:b/>
                <w:bCs/>
                <w:color w:val="auto"/>
                <w:kern w:val="2"/>
                <w:sz w:val="24"/>
                <w:szCs w:val="24"/>
                <w:u w:val="none"/>
              </w:rPr>
              <w:t>中含有多种产品，供应商为该采购项目或者采购</w:t>
            </w:r>
            <w:r>
              <w:rPr>
                <w:rFonts w:hint="eastAsia" w:ascii="宋体" w:hAnsi="宋体" w:eastAsia="宋体" w:cs="宋体"/>
                <w:b/>
                <w:bCs/>
                <w:color w:val="auto"/>
                <w:kern w:val="2"/>
                <w:sz w:val="24"/>
                <w:szCs w:val="24"/>
                <w:u w:val="none"/>
                <w:lang w:val="en-US" w:eastAsia="zh-CN"/>
              </w:rPr>
              <w:t>标项</w:t>
            </w:r>
            <w:r>
              <w:rPr>
                <w:rFonts w:hint="eastAsia" w:ascii="宋体" w:hAnsi="宋体" w:eastAsia="宋体" w:cs="宋体"/>
                <w:b/>
                <w:bCs/>
                <w:color w:val="auto"/>
                <w:kern w:val="2"/>
                <w:sz w:val="24"/>
                <w:szCs w:val="24"/>
                <w:u w:val="none"/>
              </w:rPr>
              <w:t>提供的符合本国产品标准的产品成本之和占该供应商提供的全部产品成本之和的比例达到80%以上时，对该供应商提供的全部产品的总报价给予20%的价格扣除，用扣除后的价格参与评审</w:t>
            </w:r>
            <w:r>
              <w:rPr>
                <w:rFonts w:hint="eastAsia" w:ascii="宋体" w:hAnsi="宋体" w:eastAsia="宋体" w:cs="宋体"/>
                <w:b/>
                <w:bCs/>
                <w:color w:val="auto"/>
                <w:kern w:val="2"/>
                <w:sz w:val="24"/>
                <w:szCs w:val="24"/>
                <w:u w:val="none"/>
                <w:lang w:eastAsia="zh-CN"/>
              </w:rPr>
              <w:t>。</w:t>
            </w:r>
          </w:p>
        </w:tc>
        <w:tc>
          <w:tcPr>
            <w:tcW w:w="1215" w:type="dxa"/>
            <w:vAlign w:val="center"/>
          </w:tcPr>
          <w:p w14:paraId="47B9E0C4">
            <w:pPr>
              <w:widowControl/>
              <w:spacing w:line="360" w:lineRule="auto"/>
              <w:jc w:val="center"/>
              <w:textAlignment w:val="center"/>
              <w:outlineLvl w:val="9"/>
              <w:rPr>
                <w:rFonts w:hint="eastAsia" w:ascii="宋体" w:hAnsi="宋体" w:eastAsia="宋体" w:cs="宋体"/>
                <w:b/>
                <w:bCs w:val="0"/>
                <w:sz w:val="24"/>
                <w:vertAlign w:val="baseline"/>
              </w:rPr>
            </w:pPr>
            <w:r>
              <w:rPr>
                <w:rFonts w:hint="eastAsia" w:ascii="宋体" w:hAnsi="宋体" w:eastAsia="宋体" w:cs="宋体"/>
                <w:color w:val="auto"/>
                <w:sz w:val="24"/>
                <w:szCs w:val="24"/>
                <w:u w:val="none"/>
                <w:lang w:val="en-US" w:eastAsia="zh-CN"/>
              </w:rPr>
              <w:t>30</w:t>
            </w:r>
          </w:p>
        </w:tc>
      </w:tr>
    </w:tbl>
    <w:p w14:paraId="4092B9E9">
      <w:pPr>
        <w:numPr>
          <w:ilvl w:val="-1"/>
          <w:numId w:val="0"/>
        </w:numPr>
        <w:snapToGrid/>
        <w:spacing w:line="360" w:lineRule="auto"/>
        <w:ind w:firstLine="241" w:firstLineChars="100"/>
        <w:rPr>
          <w:rFonts w:hint="eastAsia" w:ascii="宋体" w:hAnsi="宋体" w:cs="宋体"/>
          <w:b/>
          <w:sz w:val="24"/>
        </w:rPr>
      </w:pPr>
      <w:r>
        <w:rPr>
          <w:rFonts w:hint="eastAsia" w:ascii="宋体" w:hAnsi="宋体" w:cs="宋体"/>
          <w:b/>
          <w:sz w:val="24"/>
        </w:rPr>
        <w:t>报价是中标的一个重要因素，但最低报价不是中标的唯一依据。</w:t>
      </w:r>
    </w:p>
    <w:p w14:paraId="29627645">
      <w:pPr>
        <w:numPr>
          <w:ilvl w:val="-1"/>
          <w:numId w:val="0"/>
        </w:numPr>
        <w:spacing w:line="360" w:lineRule="auto"/>
        <w:ind w:firstLine="241" w:firstLineChars="100"/>
        <w:rPr>
          <w:rFonts w:hint="eastAsia" w:ascii="宋体" w:hAnsi="宋体" w:cs="宋体"/>
          <w:b/>
          <w:bCs/>
          <w:sz w:val="24"/>
        </w:rPr>
      </w:pPr>
      <w:r>
        <w:rPr>
          <w:rFonts w:hint="eastAsia" w:ascii="宋体" w:hAnsi="宋体" w:eastAsia="宋体" w:cs="宋体"/>
          <w:b/>
          <w:bCs w:val="0"/>
          <w:sz w:val="24"/>
          <w:lang w:val="en-US" w:eastAsia="zh-CN"/>
        </w:rPr>
        <w:t>4、</w:t>
      </w:r>
      <w:r>
        <w:rPr>
          <w:rFonts w:hint="eastAsia" w:ascii="宋体" w:hAnsi="宋体" w:cs="宋体"/>
          <w:b/>
          <w:bCs/>
          <w:sz w:val="24"/>
        </w:rPr>
        <w:t>投标人评标综合得分=价格分+商务技术分（精确到小数点后二位）</w:t>
      </w:r>
    </w:p>
    <w:p w14:paraId="4501F106">
      <w:pPr>
        <w:snapToGrid/>
        <w:spacing w:line="360" w:lineRule="auto"/>
        <w:ind w:firstLine="241" w:firstLineChars="100"/>
        <w:rPr>
          <w:rFonts w:hint="eastAsia" w:ascii="宋体" w:hAnsi="宋体" w:cs="宋体"/>
          <w:b/>
          <w:color w:val="auto"/>
          <w:sz w:val="24"/>
          <w:highlight w:val="none"/>
        </w:rPr>
      </w:pPr>
      <w:r>
        <w:rPr>
          <w:rFonts w:hint="eastAsia" w:ascii="宋体" w:hAnsi="宋体" w:eastAsia="宋体" w:cs="宋体"/>
          <w:b/>
          <w:bCs/>
          <w:sz w:val="24"/>
        </w:rPr>
        <w:t>注：投标文件中提供的复印件及扫描件必须加盖公章，否则不予得分。</w:t>
      </w:r>
    </w:p>
    <w:p w14:paraId="415AF49C">
      <w:pPr>
        <w:numPr>
          <w:ilvl w:val="0"/>
          <w:numId w:val="13"/>
        </w:num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highlight w:val="none"/>
        </w:rPr>
        <w:t>评标方法</w:t>
      </w:r>
    </w:p>
    <w:p w14:paraId="6915C790">
      <w:pPr>
        <w:numPr>
          <w:ilvl w:val="-1"/>
          <w:numId w:val="0"/>
        </w:numPr>
        <w:adjustRightInd/>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38198FFE">
      <w:pPr>
        <w:adjustRightInd/>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二、评标标准</w:t>
      </w:r>
    </w:p>
    <w:p w14:paraId="053DA8FA">
      <w:pPr>
        <w:adjustRightInd/>
        <w:snapToGrid w:val="0"/>
        <w:spacing w:line="360" w:lineRule="auto"/>
        <w:ind w:firstLine="482" w:firstLineChars="200"/>
        <w:rPr>
          <w:rFonts w:hint="eastAsia"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5E71D457">
      <w:pPr>
        <w:adjustRightInd/>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三、评标程序</w:t>
      </w:r>
    </w:p>
    <w:p w14:paraId="441B6EEB">
      <w:pPr>
        <w:adjustRightInd/>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1677D0E2">
      <w:pPr>
        <w:adjustRightInd/>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9CD006D">
      <w:pPr>
        <w:adjustRightInd/>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21DA67BE">
      <w:pPr>
        <w:adjustRightInd/>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3.4报价评审。</w:t>
      </w:r>
    </w:p>
    <w:p w14:paraId="38A95937">
      <w:pPr>
        <w:adjustRightInd/>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3.4.1投标文件报价出现前后不一致的，按照下列规定修正：</w:t>
      </w:r>
    </w:p>
    <w:p w14:paraId="64F35C50">
      <w:pPr>
        <w:adjustRightInd/>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3.4.1.1投标文件中开标一览表(报价表)内容与投标文件中相应内容不一致的，以开标一览表(报价表)为准;</w:t>
      </w:r>
    </w:p>
    <w:p w14:paraId="152AFF75">
      <w:pPr>
        <w:adjustRightInd/>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3.4.1.2大写金额和小写金额不一致的，以大写金额为准;</w:t>
      </w:r>
    </w:p>
    <w:p w14:paraId="0B024E2B">
      <w:pPr>
        <w:adjustRightInd/>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3.4.1.3单价金额小数点或者百分比有明显错位的，以开标一览表的总价为准，并修改单价;</w:t>
      </w:r>
    </w:p>
    <w:p w14:paraId="39043D22">
      <w:pPr>
        <w:adjustRightInd/>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3.4.1.4总价金额与按单价汇总金额不一致的，以单价金额计算结果为准。</w:t>
      </w:r>
    </w:p>
    <w:p w14:paraId="23D62C9A">
      <w:pPr>
        <w:adjustRightInd/>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3.4.1.5同时出现两种以上不一致的，按照3.4.1规定的顺序修正。修正后的报价按照财政部第87号令 《政府采购货物和服务招标投标管理办法》第五十一条第二款的规定经投标人确认后产生约束力。</w:t>
      </w:r>
    </w:p>
    <w:p w14:paraId="6D748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3.4.</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“报价要求”第（3）条所列</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情形之一的，评审委员会应当启动异常低价投标（响应）审查程序。</w:t>
      </w:r>
    </w:p>
    <w:p w14:paraId="561FFF00">
      <w:pPr>
        <w:adjustRightInd/>
        <w:spacing w:line="360" w:lineRule="auto"/>
        <w:ind w:firstLine="480" w:firstLineChars="200"/>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评审委员会启动异常低价投标（响应）审查后，属于招标文件第二部分投标人须知《前附表》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“报价要求”第（3）条</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521B2D">
      <w:pPr>
        <w:pStyle w:val="89"/>
        <w:spacing w:before="0"/>
        <w:ind w:firstLine="480"/>
        <w:rPr>
          <w:rFonts w:hint="eastAsia" w:ascii="宋体" w:hAnsi="宋体" w:cs="宋体"/>
          <w:kern w:val="0"/>
          <w:szCs w:val="24"/>
          <w:highlight w:val="none"/>
        </w:rPr>
      </w:pPr>
      <w:r>
        <w:rPr>
          <w:rFonts w:hint="eastAsia" w:ascii="宋体" w:hAnsi="宋体" w:cs="宋体"/>
          <w:kern w:val="0"/>
          <w:szCs w:val="24"/>
          <w:highlight w:val="none"/>
        </w:rPr>
        <w:t>3.4.</w:t>
      </w:r>
      <w:r>
        <w:rPr>
          <w:rFonts w:hint="eastAsia" w:ascii="宋体" w:hAnsi="宋体" w:cs="宋体"/>
          <w:kern w:val="0"/>
          <w:szCs w:val="24"/>
          <w:highlight w:val="none"/>
          <w:lang w:eastAsia="zh-CN"/>
        </w:rPr>
        <w:t>3</w:t>
      </w:r>
      <w:r>
        <w:rPr>
          <w:rFonts w:hint="eastAsia" w:ascii="宋体" w:hAnsi="宋体" w:cs="宋体"/>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p>
    <w:p w14:paraId="1874C8AE">
      <w:pPr>
        <w:pStyle w:val="89"/>
        <w:spacing w:before="0"/>
        <w:ind w:firstLine="480"/>
        <w:rPr>
          <w:rFonts w:hint="eastAsia" w:ascii="宋体" w:hAnsi="宋体" w:cs="宋体"/>
          <w:kern w:val="0"/>
          <w:szCs w:val="24"/>
          <w:highlight w:val="none"/>
        </w:rPr>
      </w:pPr>
      <w:r>
        <w:rPr>
          <w:rFonts w:hint="eastAsia" w:ascii="宋体" w:hAnsi="宋体" w:cs="宋体"/>
          <w:kern w:val="0"/>
          <w:szCs w:val="24"/>
          <w:highlight w:val="none"/>
          <w:lang w:val="en-US" w:eastAsia="zh-CN"/>
        </w:rPr>
        <w:t>3.4.4</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3903F8D3">
      <w:pPr>
        <w:spacing w:line="360" w:lineRule="auto"/>
        <w:ind w:firstLine="482" w:firstLineChars="200"/>
        <w:rPr>
          <w:rFonts w:hint="eastAsia"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宋体" w:hAnsi="宋体" w:cs="宋体"/>
          <w:kern w:val="0"/>
          <w:sz w:val="24"/>
          <w:u w:val="single"/>
        </w:rPr>
        <w:t xml:space="preserve">    1   </w:t>
      </w:r>
      <w:r>
        <w:rPr>
          <w:rFonts w:hint="eastAsia" w:ascii="宋体" w:hAnsi="宋体" w:cs="宋体"/>
          <w:kern w:val="0"/>
          <w:sz w:val="24"/>
        </w:rPr>
        <w:t xml:space="preserve"> 。</w:t>
      </w:r>
    </w:p>
    <w:p w14:paraId="4E459B60">
      <w:pPr>
        <w:spacing w:line="360" w:lineRule="auto"/>
        <w:ind w:firstLine="480" w:firstLineChars="200"/>
        <w:rPr>
          <w:rFonts w:hint="eastAsia"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CD6D407">
      <w:pPr>
        <w:spacing w:line="360" w:lineRule="auto"/>
        <w:ind w:firstLine="472" w:firstLineChars="196"/>
        <w:rPr>
          <w:rFonts w:hint="eastAsia"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6303005">
      <w:pPr>
        <w:widowControl/>
        <w:adjustRightInd/>
        <w:snapToGrid/>
        <w:spacing w:line="360" w:lineRule="auto"/>
        <w:ind w:firstLine="0" w:firstLineChars="0"/>
        <w:jc w:val="left"/>
        <w:rPr>
          <w:rFonts w:hint="eastAsia" w:ascii="宋体" w:hAnsi="宋体" w:cs="宋体"/>
          <w:b/>
          <w:color w:val="auto"/>
          <w:sz w:val="24"/>
          <w:highlight w:val="none"/>
        </w:rPr>
      </w:pPr>
      <w:r>
        <w:rPr>
          <w:rFonts w:hint="eastAsia" w:ascii="宋体" w:hAnsi="宋体" w:cs="宋体"/>
          <w:b/>
          <w:color w:val="auto"/>
          <w:sz w:val="24"/>
          <w:highlight w:val="none"/>
        </w:rPr>
        <w:t>四、评标中的其他事项</w:t>
      </w:r>
    </w:p>
    <w:p w14:paraId="7C205064">
      <w:pPr>
        <w:pStyle w:val="89"/>
        <w:spacing w:before="0"/>
        <w:ind w:firstLine="472" w:firstLineChars="196"/>
        <w:rPr>
          <w:rFonts w:hint="eastAsia"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D1608BD">
      <w:pPr>
        <w:pStyle w:val="24"/>
        <w:spacing w:line="360" w:lineRule="auto"/>
        <w:ind w:left="954" w:leftChars="226" w:hanging="479" w:firstLineChars="0"/>
        <w:rPr>
          <w:rFonts w:hint="eastAsia" w:cs="宋体"/>
          <w:szCs w:val="21"/>
        </w:rPr>
      </w:pPr>
      <w:r>
        <w:rPr>
          <w:rFonts w:hint="eastAsia" w:cs="宋体"/>
          <w:b/>
          <w:kern w:val="0"/>
        </w:rPr>
        <w:t>4.2投标无效。</w:t>
      </w:r>
      <w:r>
        <w:rPr>
          <w:rFonts w:hint="eastAsia" w:cs="宋体"/>
          <w:szCs w:val="21"/>
        </w:rPr>
        <w:t>有下列情形之一的，投标无效：</w:t>
      </w:r>
    </w:p>
    <w:p w14:paraId="669B0EE0">
      <w:pPr>
        <w:spacing w:line="360" w:lineRule="auto"/>
        <w:ind w:firstLine="480" w:firstLineChars="200"/>
        <w:rPr>
          <w:rFonts w:hint="eastAsia"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263A64B7">
      <w:pPr>
        <w:spacing w:line="360" w:lineRule="auto"/>
        <w:ind w:firstLine="480" w:firstLineChars="200"/>
        <w:rPr>
          <w:rFonts w:hint="eastAsia" w:ascii="宋体" w:hAnsi="宋体" w:cs="宋体"/>
          <w:kern w:val="0"/>
          <w:sz w:val="24"/>
        </w:rPr>
      </w:pPr>
      <w:r>
        <w:rPr>
          <w:rFonts w:hint="eastAsia" w:ascii="宋体" w:hAnsi="宋体" w:cs="宋体"/>
          <w:kern w:val="0"/>
          <w:sz w:val="24"/>
        </w:rPr>
        <w:t>4.2.2投标文件未按照招标文件要求签署、盖章的；</w:t>
      </w:r>
    </w:p>
    <w:p w14:paraId="5F9C9572">
      <w:pPr>
        <w:spacing w:line="360" w:lineRule="auto"/>
        <w:ind w:firstLine="480" w:firstLineChars="200"/>
        <w:rPr>
          <w:rFonts w:hint="eastAsia"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0ADC6A9B">
      <w:pPr>
        <w:spacing w:line="360" w:lineRule="auto"/>
        <w:ind w:firstLine="480" w:firstLineChars="200"/>
        <w:rPr>
          <w:rFonts w:hint="eastAsia" w:ascii="宋体" w:hAnsi="宋体" w:cs="宋体"/>
          <w:kern w:val="0"/>
          <w:sz w:val="24"/>
        </w:rPr>
      </w:pPr>
      <w:r>
        <w:rPr>
          <w:rFonts w:hint="eastAsia" w:ascii="宋体" w:hAnsi="宋体" w:cs="宋体"/>
          <w:kern w:val="0"/>
          <w:sz w:val="24"/>
        </w:rPr>
        <w:t>4.2.4投标文件含有采购人不能接受的附加条件的；</w:t>
      </w:r>
    </w:p>
    <w:p w14:paraId="6B4617B2">
      <w:pPr>
        <w:spacing w:line="360" w:lineRule="auto"/>
        <w:ind w:firstLine="480" w:firstLineChars="200"/>
        <w:rPr>
          <w:rFonts w:hint="eastAsia" w:ascii="宋体" w:hAnsi="宋体" w:cs="宋体"/>
          <w:kern w:val="0"/>
          <w:sz w:val="24"/>
        </w:rPr>
      </w:pPr>
      <w:r>
        <w:rPr>
          <w:rFonts w:hint="eastAsia" w:ascii="宋体" w:hAnsi="宋体" w:cs="宋体"/>
          <w:kern w:val="0"/>
          <w:sz w:val="24"/>
        </w:rPr>
        <w:t>4.2.5投标文件中承诺的投标有效期少于招标文件中载明的投标有效期的；</w:t>
      </w:r>
    </w:p>
    <w:p w14:paraId="0A27DFF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4.2.6投标文件出现不是唯一的、有选择性投标报价的；</w:t>
      </w:r>
    </w:p>
    <w:p w14:paraId="5F82BDED">
      <w:pPr>
        <w:spacing w:line="360" w:lineRule="auto"/>
        <w:ind w:firstLine="480" w:firstLineChars="200"/>
        <w:rPr>
          <w:rFonts w:hint="eastAsia" w:ascii="宋体" w:hAnsi="宋体" w:cs="宋体"/>
          <w:kern w:val="0"/>
          <w:sz w:val="24"/>
        </w:rPr>
      </w:pPr>
      <w:r>
        <w:rPr>
          <w:rFonts w:hint="eastAsia" w:ascii="宋体" w:hAnsi="宋体" w:cs="宋体"/>
          <w:kern w:val="0"/>
          <w:sz w:val="24"/>
        </w:rPr>
        <w:t>4.2.7投标报价超过招标文件中规定的预算金额或者最高限价的；</w:t>
      </w:r>
    </w:p>
    <w:p w14:paraId="49F34749">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4.2.8</w:t>
      </w:r>
      <w:r>
        <w:rPr>
          <w:rFonts w:hint="eastAsia" w:ascii="宋体" w:hAnsi="宋体" w:eastAsia="宋体" w:cs="宋体"/>
          <w:b w:val="0"/>
          <w:bCs w:val="0"/>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color w:val="000000" w:themeColor="text1"/>
          <w:kern w:val="0"/>
          <w:sz w:val="24"/>
          <w:highlight w:val="none"/>
          <w14:textFill>
            <w14:solidFill>
              <w14:schemeClr w14:val="tx1"/>
            </w14:solidFill>
          </w14:textFill>
        </w:rPr>
        <w:t>；</w:t>
      </w:r>
    </w:p>
    <w:p w14:paraId="24A71FA0">
      <w:pPr>
        <w:spacing w:line="360" w:lineRule="auto"/>
        <w:ind w:firstLine="480" w:firstLineChars="200"/>
        <w:rPr>
          <w:rFonts w:hint="eastAsia" w:ascii="宋体" w:hAnsi="宋体" w:cs="宋体"/>
          <w:kern w:val="0"/>
          <w:sz w:val="24"/>
        </w:rPr>
      </w:pPr>
      <w:r>
        <w:rPr>
          <w:rFonts w:hint="eastAsia" w:ascii="宋体" w:hAnsi="宋体" w:cs="宋体"/>
          <w:kern w:val="0"/>
          <w:sz w:val="24"/>
        </w:rPr>
        <w:t>4.2.9投标人对根据修正原则修正后的报价不确认的；</w:t>
      </w:r>
    </w:p>
    <w:p w14:paraId="35BD13AC">
      <w:pPr>
        <w:spacing w:line="360" w:lineRule="auto"/>
        <w:ind w:firstLine="480" w:firstLineChars="200"/>
      </w:pPr>
      <w:r>
        <w:rPr>
          <w:rFonts w:hint="eastAsia" w:ascii="宋体" w:hAnsi="宋体" w:cs="宋体"/>
          <w:kern w:val="0"/>
          <w:sz w:val="24"/>
        </w:rPr>
        <w:t>4.2.10投标人提供虚假材料投标的；</w:t>
      </w:r>
    </w:p>
    <w:p w14:paraId="637C8562">
      <w:pPr>
        <w:spacing w:line="360" w:lineRule="auto"/>
        <w:ind w:firstLine="240" w:firstLineChars="100"/>
        <w:rPr>
          <w:rFonts w:hint="eastAsia"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5273EB39">
      <w:pPr>
        <w:spacing w:line="360" w:lineRule="auto"/>
        <w:ind w:firstLine="480" w:firstLineChars="200"/>
      </w:pPr>
      <w:r>
        <w:rPr>
          <w:rFonts w:hint="eastAsia" w:ascii="宋体" w:hAnsi="宋体" w:cs="宋体"/>
          <w:kern w:val="0"/>
          <w:sz w:val="24"/>
        </w:rPr>
        <w:t>4.2.12 参与同一个采购包（标段）的供应商存在下列情形之一且无法合理解释的，其投标（响应）文件无效：</w:t>
      </w:r>
      <w:r>
        <w:rPr>
          <w:rFonts w:hint="eastAsia" w:ascii="宋体" w:hAnsi="宋体" w:cs="宋体"/>
          <w:b/>
          <w:bCs/>
          <w:kern w:val="0"/>
          <w:sz w:val="24"/>
        </w:rPr>
        <w:t>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kern w:val="0"/>
          <w:sz w:val="24"/>
        </w:rPr>
        <w:t>。</w:t>
      </w:r>
    </w:p>
    <w:p w14:paraId="427E360B">
      <w:pPr>
        <w:spacing w:line="360" w:lineRule="auto"/>
        <w:ind w:firstLine="480" w:firstLineChars="200"/>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3</w:t>
      </w:r>
      <w:r>
        <w:rPr>
          <w:rFonts w:hint="eastAsia" w:ascii="宋体" w:hAnsi="宋体" w:cs="宋体"/>
          <w:kern w:val="0"/>
          <w:sz w:val="24"/>
        </w:rPr>
        <w:t>投标人仅提交备份投标文件，未在电子交易平台传输递交投标文件的，投标无效；</w:t>
      </w:r>
    </w:p>
    <w:p w14:paraId="04F22CE7">
      <w:pPr>
        <w:spacing w:line="360" w:lineRule="auto"/>
        <w:ind w:firstLine="480" w:firstLineChars="200"/>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4</w:t>
      </w:r>
      <w:r>
        <w:rPr>
          <w:rFonts w:hint="eastAsia" w:ascii="宋体" w:hAnsi="宋体" w:cs="宋体"/>
          <w:kern w:val="0"/>
          <w:sz w:val="24"/>
        </w:rPr>
        <w:t xml:space="preserve"> 投标文件不满足招标文件的其它实质性要求的；</w:t>
      </w:r>
    </w:p>
    <w:p w14:paraId="419985D7">
      <w:pPr>
        <w:spacing w:line="360" w:lineRule="auto"/>
        <w:ind w:firstLine="480" w:firstLineChars="200"/>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5</w:t>
      </w:r>
      <w:r>
        <w:rPr>
          <w:rFonts w:hint="eastAsia" w:ascii="宋体" w:hAnsi="宋体" w:cs="宋体"/>
          <w:kern w:val="0"/>
          <w:sz w:val="24"/>
        </w:rPr>
        <w:t>法律、法规、规章（适用本市的）及省级以上规范性文件（适用本市的）规定的其他无效情形。</w:t>
      </w:r>
    </w:p>
    <w:p w14:paraId="248B50EC">
      <w:pPr>
        <w:pStyle w:val="24"/>
        <w:snapToGrid w:val="0"/>
        <w:spacing w:line="360" w:lineRule="auto"/>
        <w:ind w:firstLine="472" w:firstLineChars="196"/>
        <w:rPr>
          <w:rFonts w:hint="eastAsia" w:cs="宋体"/>
        </w:rPr>
      </w:pPr>
      <w:r>
        <w:rPr>
          <w:rFonts w:hint="eastAsia" w:cs="宋体"/>
          <w:b/>
        </w:rPr>
        <w:t>5.废标。</w:t>
      </w:r>
      <w:r>
        <w:rPr>
          <w:rFonts w:hint="eastAsia" w:cs="宋体"/>
        </w:rPr>
        <w:t>根据《中华人民共和国政府采购法》第三十六条之规定，在采购中，出现下列情形之一的，应予废标：</w:t>
      </w:r>
    </w:p>
    <w:p w14:paraId="3F69D5A6">
      <w:pPr>
        <w:pStyle w:val="24"/>
        <w:snapToGrid w:val="0"/>
        <w:spacing w:line="360" w:lineRule="auto"/>
        <w:rPr>
          <w:rFonts w:hint="eastAsia" w:cs="宋体"/>
        </w:rPr>
      </w:pPr>
      <w:r>
        <w:rPr>
          <w:rFonts w:hint="eastAsia" w:cs="宋体"/>
        </w:rPr>
        <w:t>5.1符合专业条件的供应商或者对招标文件作实质响应的供应商不足3家的；</w:t>
      </w:r>
    </w:p>
    <w:p w14:paraId="7A53FF02">
      <w:pPr>
        <w:pStyle w:val="24"/>
        <w:snapToGrid w:val="0"/>
        <w:spacing w:line="360" w:lineRule="auto"/>
        <w:rPr>
          <w:rFonts w:hint="eastAsia" w:cs="宋体"/>
        </w:rPr>
      </w:pPr>
      <w:r>
        <w:rPr>
          <w:rFonts w:hint="eastAsia" w:cs="宋体"/>
        </w:rPr>
        <w:t>5.2出现影响采购公正的违法、违规行为的；</w:t>
      </w:r>
    </w:p>
    <w:p w14:paraId="57768AB4">
      <w:pPr>
        <w:pStyle w:val="24"/>
        <w:snapToGrid w:val="0"/>
        <w:spacing w:line="360" w:lineRule="auto"/>
        <w:rPr>
          <w:rFonts w:hint="eastAsia" w:cs="宋体"/>
        </w:rPr>
      </w:pPr>
      <w:r>
        <w:rPr>
          <w:rFonts w:hint="eastAsia" w:cs="宋体"/>
        </w:rPr>
        <w:t>5.3投标人的报价均超过了采购预算，采购人不能支付的；</w:t>
      </w:r>
    </w:p>
    <w:p w14:paraId="03BFDD16">
      <w:pPr>
        <w:pStyle w:val="24"/>
        <w:snapToGrid w:val="0"/>
        <w:spacing w:line="360" w:lineRule="auto"/>
        <w:rPr>
          <w:rFonts w:hint="eastAsia" w:cs="宋体"/>
        </w:rPr>
      </w:pPr>
      <w:r>
        <w:rPr>
          <w:rFonts w:hint="eastAsia" w:cs="宋体"/>
        </w:rPr>
        <w:t>5.4因重大变故，采购任务取消的。</w:t>
      </w:r>
    </w:p>
    <w:p w14:paraId="1D357594">
      <w:pPr>
        <w:pStyle w:val="24"/>
        <w:snapToGrid w:val="0"/>
        <w:spacing w:line="360" w:lineRule="auto"/>
        <w:rPr>
          <w:rFonts w:hint="eastAsia" w:cs="宋体"/>
        </w:rPr>
      </w:pPr>
      <w:r>
        <w:rPr>
          <w:rFonts w:hint="eastAsia" w:cs="宋体"/>
        </w:rPr>
        <w:t>废标后，采购代理机构应当将废标理由通知所有投标人。</w:t>
      </w:r>
    </w:p>
    <w:p w14:paraId="32FEF0D2">
      <w:pPr>
        <w:pStyle w:val="24"/>
        <w:snapToGrid w:val="0"/>
        <w:spacing w:line="360" w:lineRule="auto"/>
        <w:ind w:firstLine="590" w:firstLineChars="245"/>
        <w:rPr>
          <w:rFonts w:hint="eastAsia"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80BE117">
      <w:pPr>
        <w:pStyle w:val="24"/>
        <w:snapToGrid w:val="0"/>
        <w:spacing w:line="360" w:lineRule="auto"/>
        <w:ind w:firstLine="482"/>
        <w:rPr>
          <w:rFonts w:hint="eastAsia"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2730D406">
      <w:pPr>
        <w:pStyle w:val="24"/>
        <w:snapToGrid w:val="0"/>
        <w:spacing w:line="360" w:lineRule="auto"/>
        <w:rPr>
          <w:rFonts w:hint="eastAsia" w:cs="宋体"/>
        </w:rPr>
      </w:pPr>
      <w:r>
        <w:rPr>
          <w:rFonts w:hint="eastAsia" w:cs="宋体"/>
        </w:rPr>
        <w:t>7.1未确定中标供应商的，终止本次政府采购活动，重新开展政府采购活动。</w:t>
      </w:r>
    </w:p>
    <w:p w14:paraId="109EA2CC">
      <w:pPr>
        <w:pStyle w:val="24"/>
        <w:snapToGrid w:val="0"/>
        <w:spacing w:line="360" w:lineRule="auto"/>
        <w:rPr>
          <w:rFonts w:hint="eastAsia"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FDF5C5A">
      <w:pPr>
        <w:pStyle w:val="24"/>
        <w:snapToGrid w:val="0"/>
        <w:spacing w:line="360" w:lineRule="auto"/>
        <w:rPr>
          <w:rFonts w:hint="eastAsia" w:cs="宋体"/>
        </w:rPr>
      </w:pPr>
      <w:r>
        <w:rPr>
          <w:rFonts w:hint="eastAsia" w:cs="宋体"/>
        </w:rPr>
        <w:t>7.3政府采购合同已签订但尚未履行的，撤销合同，从合格的中标候选人中另行确定中标供应商；没有合格的中标候选人的，重新开展政府采购活动。</w:t>
      </w:r>
    </w:p>
    <w:p w14:paraId="7FC24295">
      <w:pPr>
        <w:pStyle w:val="24"/>
        <w:snapToGrid w:val="0"/>
        <w:spacing w:line="360" w:lineRule="auto"/>
        <w:rPr>
          <w:rFonts w:hint="eastAsia" w:cs="宋体"/>
        </w:rPr>
      </w:pPr>
      <w:r>
        <w:rPr>
          <w:rFonts w:hint="eastAsia" w:cs="宋体"/>
        </w:rPr>
        <w:t>7.4政府采购合同已经履行，给采购人、供应商造成损失的，由责任人承担赔偿责任。</w:t>
      </w:r>
    </w:p>
    <w:p w14:paraId="37833D76">
      <w:pPr>
        <w:pStyle w:val="24"/>
        <w:snapToGrid w:val="0"/>
        <w:spacing w:line="360" w:lineRule="auto"/>
        <w:rPr>
          <w:rFonts w:hint="eastAsia" w:cs="宋体"/>
          <w:b/>
          <w:sz w:val="36"/>
          <w:szCs w:val="36"/>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29"/>
      <w:bookmarkStart w:id="395" w:name="第五部分"/>
      <w:bookmarkStart w:id="396" w:name="_Toc86217003"/>
    </w:p>
    <w:p w14:paraId="2BA0A047">
      <w:pPr>
        <w:rPr>
          <w:rFonts w:hint="eastAsia" w:ascii="宋体" w:hAnsi="宋体" w:cs="宋体"/>
          <w:b/>
          <w:sz w:val="36"/>
          <w:szCs w:val="36"/>
        </w:rPr>
      </w:pPr>
      <w:r>
        <w:rPr>
          <w:rFonts w:hint="eastAsia" w:ascii="宋体" w:hAnsi="宋体" w:cs="宋体"/>
          <w:b/>
          <w:sz w:val="36"/>
          <w:szCs w:val="36"/>
        </w:rPr>
        <w:br w:type="page"/>
      </w:r>
    </w:p>
    <w:p w14:paraId="6D5717B7">
      <w:pPr>
        <w:spacing w:line="360" w:lineRule="auto"/>
        <w:ind w:left="720" w:leftChars="343" w:firstLine="1084" w:firstLineChars="300"/>
        <w:outlineLvl w:val="0"/>
        <w:rPr>
          <w:rFonts w:hint="eastAsia" w:ascii="宋体" w:hAnsi="宋体" w:cs="宋体"/>
          <w:b/>
          <w:sz w:val="36"/>
          <w:szCs w:val="36"/>
        </w:rPr>
      </w:pPr>
      <w:r>
        <w:rPr>
          <w:rFonts w:hint="eastAsia" w:ascii="宋体" w:hAnsi="宋体" w:cs="宋体"/>
          <w:b/>
          <w:sz w:val="36"/>
          <w:szCs w:val="36"/>
        </w:rPr>
        <w:t>第五部分 拟签订的合同文本</w:t>
      </w:r>
    </w:p>
    <w:p w14:paraId="138B6410">
      <w:pPr>
        <w:spacing w:line="360" w:lineRule="auto"/>
        <w:ind w:left="420" w:leftChars="200"/>
        <w:jc w:val="center"/>
        <w:rPr>
          <w:rFonts w:hint="eastAsia" w:ascii="宋体" w:hAnsi="宋体" w:eastAsia="宋体" w:cs="宋体"/>
          <w:b/>
          <w:bCs/>
          <w:color w:val="auto"/>
          <w:spacing w:val="-20"/>
          <w:kern w:val="44"/>
          <w:sz w:val="48"/>
          <w:szCs w:val="48"/>
          <w:highlight w:val="none"/>
        </w:rPr>
      </w:pPr>
    </w:p>
    <w:p w14:paraId="3463C29B">
      <w:pPr>
        <w:spacing w:line="360" w:lineRule="auto"/>
        <w:ind w:left="420" w:leftChars="200"/>
        <w:jc w:val="center"/>
        <w:rPr>
          <w:rFonts w:hint="eastAsia" w:ascii="宋体" w:hAnsi="宋体" w:eastAsia="宋体" w:cs="宋体"/>
          <w:b/>
          <w:bCs/>
          <w:color w:val="auto"/>
          <w:spacing w:val="-20"/>
          <w:kern w:val="44"/>
          <w:sz w:val="48"/>
          <w:szCs w:val="48"/>
          <w:highlight w:val="none"/>
        </w:rPr>
      </w:pPr>
    </w:p>
    <w:p w14:paraId="1BA83EF8">
      <w:pPr>
        <w:spacing w:line="360" w:lineRule="auto"/>
        <w:ind w:left="420" w:leftChars="200"/>
        <w:jc w:val="center"/>
        <w:rPr>
          <w:rFonts w:hint="eastAsia" w:ascii="宋体" w:hAnsi="宋体" w:eastAsia="宋体" w:cs="宋体"/>
          <w:b/>
          <w:bCs/>
          <w:color w:val="auto"/>
          <w:spacing w:val="-20"/>
          <w:kern w:val="44"/>
          <w:sz w:val="36"/>
          <w:szCs w:val="36"/>
          <w:highlight w:val="none"/>
        </w:rPr>
      </w:pPr>
      <w:r>
        <w:rPr>
          <w:rFonts w:hint="eastAsia" w:ascii="宋体" w:hAnsi="宋体" w:eastAsia="宋体" w:cs="宋体"/>
          <w:b/>
          <w:bCs/>
          <w:color w:val="auto"/>
          <w:spacing w:val="-20"/>
          <w:kern w:val="44"/>
          <w:sz w:val="36"/>
          <w:szCs w:val="36"/>
          <w:highlight w:val="none"/>
        </w:rPr>
        <w:t>政府采购</w:t>
      </w:r>
      <w:r>
        <w:rPr>
          <w:rFonts w:hint="eastAsia" w:ascii="宋体" w:hAnsi="宋体" w:eastAsia="宋体" w:cs="宋体"/>
          <w:b/>
          <w:bCs/>
          <w:color w:val="auto"/>
          <w:spacing w:val="-20"/>
          <w:kern w:val="44"/>
          <w:sz w:val="36"/>
          <w:szCs w:val="36"/>
          <w:highlight w:val="none"/>
          <w:lang w:eastAsia="zh-CN"/>
        </w:rPr>
        <w:t>货物买卖</w:t>
      </w:r>
      <w:r>
        <w:rPr>
          <w:rFonts w:hint="eastAsia" w:ascii="宋体" w:hAnsi="宋体" w:eastAsia="宋体" w:cs="宋体"/>
          <w:b/>
          <w:bCs/>
          <w:color w:val="auto"/>
          <w:spacing w:val="-20"/>
          <w:kern w:val="44"/>
          <w:sz w:val="36"/>
          <w:szCs w:val="36"/>
          <w:highlight w:val="none"/>
        </w:rPr>
        <w:t>合同</w:t>
      </w:r>
    </w:p>
    <w:p w14:paraId="1C362CD9">
      <w:pPr>
        <w:spacing w:line="360" w:lineRule="auto"/>
        <w:ind w:left="420" w:leftChars="200"/>
        <w:jc w:val="center"/>
        <w:rPr>
          <w:rFonts w:hint="eastAsia" w:ascii="宋体" w:hAnsi="宋体" w:eastAsia="宋体" w:cs="宋体"/>
          <w:color w:val="auto"/>
          <w:kern w:val="0"/>
          <w:sz w:val="36"/>
          <w:szCs w:val="36"/>
          <w:highlight w:val="none"/>
        </w:rPr>
      </w:pPr>
      <w:r>
        <w:rPr>
          <w:rFonts w:hint="eastAsia" w:ascii="宋体" w:hAnsi="宋体" w:eastAsia="宋体" w:cs="宋体"/>
          <w:b/>
          <w:bCs/>
          <w:color w:val="auto"/>
          <w:spacing w:val="-20"/>
          <w:kern w:val="44"/>
          <w:sz w:val="36"/>
          <w:szCs w:val="36"/>
          <w:highlight w:val="none"/>
          <w:lang w:eastAsia="zh-CN"/>
        </w:rPr>
        <w:t>（试行）</w:t>
      </w:r>
    </w:p>
    <w:p w14:paraId="1281D9FA">
      <w:pPr>
        <w:spacing w:line="360" w:lineRule="auto"/>
        <w:ind w:left="420" w:leftChars="200"/>
        <w:rPr>
          <w:rFonts w:hint="eastAsia" w:ascii="宋体" w:hAnsi="宋体" w:eastAsia="宋体" w:cs="宋体"/>
          <w:color w:val="auto"/>
          <w:kern w:val="0"/>
          <w:sz w:val="32"/>
          <w:szCs w:val="32"/>
          <w:highlight w:val="none"/>
        </w:rPr>
      </w:pPr>
    </w:p>
    <w:p w14:paraId="3899E420">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51A2E5EA">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527959F5">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063B7E3C">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12AD729B">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82645F3">
      <w:pPr>
        <w:rPr>
          <w:rFonts w:hint="eastAsia" w:ascii="宋体" w:hAnsi="宋体" w:eastAsia="宋体" w:cs="宋体"/>
          <w:color w:val="auto"/>
          <w:highlight w:val="none"/>
        </w:rPr>
      </w:pPr>
    </w:p>
    <w:p w14:paraId="7EA47379">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616487B7">
      <w:pPr>
        <w:rPr>
          <w:rFonts w:hint="eastAsia" w:ascii="宋体" w:hAnsi="宋体" w:eastAsia="宋体" w:cs="宋体"/>
          <w:color w:val="auto"/>
          <w:sz w:val="44"/>
          <w:szCs w:val="44"/>
          <w:highlight w:val="none"/>
        </w:rPr>
      </w:pPr>
    </w:p>
    <w:p w14:paraId="76CE3144">
      <w:pPr>
        <w:rPr>
          <w:rFonts w:hint="eastAsia" w:ascii="宋体" w:hAnsi="宋体" w:eastAsia="宋体" w:cs="宋体"/>
          <w:color w:val="auto"/>
          <w:sz w:val="44"/>
          <w:szCs w:val="44"/>
          <w:highlight w:val="none"/>
        </w:rPr>
      </w:pPr>
    </w:p>
    <w:p w14:paraId="61A20C86">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7BDC382B">
      <w:pPr>
        <w:ind w:firstLine="640" w:firstLineChars="200"/>
        <w:rPr>
          <w:rFonts w:hint="eastAsia" w:ascii="宋体" w:hAnsi="宋体" w:eastAsia="宋体" w:cs="宋体"/>
          <w:color w:val="auto"/>
          <w:sz w:val="32"/>
          <w:szCs w:val="32"/>
          <w:highlight w:val="none"/>
          <w:lang w:val="en-US" w:eastAsia="zh-CN"/>
        </w:rPr>
      </w:pPr>
    </w:p>
    <w:p w14:paraId="5311004F">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41B75DAC">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381395DB">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6D62A1B">
      <w:pPr>
        <w:ind w:firstLine="880" w:firstLineChars="200"/>
        <w:jc w:val="both"/>
        <w:rPr>
          <w:rFonts w:hint="eastAsia" w:ascii="宋体" w:hAnsi="宋体" w:eastAsia="宋体" w:cs="宋体"/>
          <w:color w:val="auto"/>
          <w:sz w:val="44"/>
          <w:szCs w:val="44"/>
          <w:highlight w:val="none"/>
        </w:rPr>
        <w:sectPr>
          <w:footerReference r:id="rId8" w:type="default"/>
          <w:pgSz w:w="11906" w:h="16838"/>
          <w:pgMar w:top="1040" w:right="1686" w:bottom="1440" w:left="14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03A96E7">
      <w:pPr>
        <w:bidi w:val="0"/>
        <w:rPr>
          <w:rFonts w:hint="eastAsia" w:ascii="宋体" w:hAnsi="宋体" w:eastAsia="宋体" w:cs="宋体"/>
        </w:rPr>
      </w:pPr>
      <w:bookmarkStart w:id="397" w:name="_Toc22209"/>
    </w:p>
    <w:p w14:paraId="6BD6C5DD">
      <w:pPr>
        <w:bidi w:val="0"/>
        <w:jc w:val="center"/>
        <w:rPr>
          <w:rFonts w:hint="eastAsia" w:ascii="宋体" w:hAnsi="宋体" w:eastAsia="宋体" w:cs="宋体"/>
          <w:sz w:val="28"/>
          <w:szCs w:val="28"/>
        </w:rPr>
      </w:pPr>
      <w:r>
        <w:rPr>
          <w:rFonts w:hint="eastAsia" w:ascii="宋体" w:hAnsi="宋体" w:eastAsia="宋体" w:cs="宋体"/>
          <w:sz w:val="28"/>
          <w:szCs w:val="28"/>
        </w:rPr>
        <w:t>第一节 政府采购合同协议书</w:t>
      </w:r>
      <w:bookmarkEnd w:id="397"/>
    </w:p>
    <w:p w14:paraId="692FE3BD">
      <w:pPr>
        <w:bidi w:val="0"/>
        <w:jc w:val="center"/>
        <w:rPr>
          <w:rFonts w:hint="eastAsia" w:ascii="宋体" w:hAnsi="宋体" w:eastAsia="宋体" w:cs="宋体"/>
        </w:rPr>
      </w:pPr>
    </w:p>
    <w:p w14:paraId="0D30F01D">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193E15C6">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690CF1DA">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24E776DD">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6390BF35">
      <w:pPr>
        <w:spacing w:beforeLines="0" w:line="400" w:lineRule="exact"/>
        <w:rPr>
          <w:rFonts w:hint="eastAsia" w:ascii="宋体" w:hAnsi="宋体" w:eastAsia="宋体" w:cs="宋体"/>
          <w:color w:val="auto"/>
          <w:highlight w:val="none"/>
          <w:lang w:val="en-US" w:eastAsia="zh-CN"/>
        </w:rPr>
      </w:pPr>
    </w:p>
    <w:p w14:paraId="6B0A98EA">
      <w:pPr>
        <w:pStyle w:val="2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6883AE5A">
      <w:pPr>
        <w:numPr>
          <w:ilvl w:val="0"/>
          <w:numId w:val="1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4AD05609">
      <w:pPr>
        <w:pStyle w:val="24"/>
        <w:numPr>
          <w:ilvl w:val="0"/>
          <w:numId w:val="15"/>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299CEB1B">
      <w:pPr>
        <w:pStyle w:val="24"/>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w:t>
      </w:r>
      <w:r>
        <w:rPr>
          <w:rFonts w:hint="eastAsia" w:ascii="宋体" w:hAnsi="宋体" w:eastAsia="宋体" w:cs="宋体"/>
          <w:color w:val="auto"/>
          <w:sz w:val="21"/>
          <w:szCs w:val="21"/>
          <w:highlight w:val="none"/>
          <w:u w:val="single"/>
        </w:rPr>
        <w:t xml:space="preserve">                                          </w:t>
      </w:r>
    </w:p>
    <w:p w14:paraId="69CD7E78">
      <w:pPr>
        <w:pStyle w:val="2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DB6336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38AFE44D">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AB5F2B5">
      <w:pPr>
        <w:numPr>
          <w:ilvl w:val="-1"/>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5946B024">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4D4422DB">
      <w:pPr>
        <w:numPr>
          <w:ilvl w:val="-1"/>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32FBE24B">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5A3B8932">
      <w:pPr>
        <w:numPr>
          <w:ilvl w:val="-1"/>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2E278FB">
      <w:pPr>
        <w:pStyle w:val="8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9A173DC">
      <w:pPr>
        <w:pStyle w:val="8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91E722B">
      <w:pPr>
        <w:pStyle w:val="81"/>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277D579">
      <w:pPr>
        <w:pStyle w:val="81"/>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443DC53D">
      <w:pPr>
        <w:pStyle w:val="81"/>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BFFC7C6">
      <w:pPr>
        <w:pStyle w:val="81"/>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27B4D74">
      <w:pPr>
        <w:pStyle w:val="81"/>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42761423">
      <w:pPr>
        <w:pStyle w:val="81"/>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97FA8C5">
      <w:pPr>
        <w:pStyle w:val="81"/>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92B70C7">
      <w:pPr>
        <w:pStyle w:val="81"/>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3177EE8">
      <w:pPr>
        <w:pStyle w:val="81"/>
        <w:numPr>
          <w:ilvl w:val="-1"/>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15D1653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lang w:eastAsia="zh-CN"/>
        </w:rPr>
        <w:t>购</w:t>
      </w:r>
      <w:r>
        <w:rPr>
          <w:rFonts w:hint="eastAsia" w:ascii="宋体" w:hAnsi="宋体" w:eastAsia="宋体" w:cs="宋体"/>
          <w:color w:val="auto"/>
          <w:w w:val="100"/>
          <w:szCs w:val="21"/>
          <w:highlight w:val="none"/>
          <w:shd w:val="clear"/>
        </w:rPr>
        <w:t>合同</w:t>
      </w:r>
      <w:r>
        <w:rPr>
          <w:rFonts w:hint="eastAsia" w:ascii="宋体" w:hAnsi="宋体" w:eastAsia="宋体" w:cs="宋体"/>
          <w:color w:val="auto"/>
          <w:w w:val="100"/>
          <w:szCs w:val="21"/>
          <w:highlight w:val="none"/>
          <w:shd w:val="clear"/>
          <w:lang w:eastAsia="zh-CN"/>
        </w:rPr>
        <w:t>（中小企业预留合同）</w:t>
      </w:r>
      <w:r>
        <w:rPr>
          <w:rFonts w:hint="eastAsia" w:ascii="宋体" w:hAnsi="宋体" w:eastAsia="宋体" w:cs="宋体"/>
          <w:color w:val="auto"/>
          <w:szCs w:val="21"/>
          <w:highlight w:val="none"/>
          <w:shd w:val="clear"/>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0B37E5D">
      <w:pPr>
        <w:numPr>
          <w:ilvl w:val="-1"/>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75650C3">
      <w:pPr>
        <w:numPr>
          <w:ilvl w:val="-1"/>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AE1989D">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49390EB">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2B36BD6">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C6AEC7B">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22680A58">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EFA9F91">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7A309FBE">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1D15FDD5">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1523D985">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5021389">
      <w:pPr>
        <w:pStyle w:val="81"/>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C951E8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0EB17B">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209E8E50">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305E783A">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26D0FDD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71C2ADD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21B2EAA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750BF6F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5471FFF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10D9333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107F7B2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45F22AD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72D9CEF8">
      <w:pPr>
        <w:pStyle w:val="81"/>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49E59B22">
      <w:pPr>
        <w:pStyle w:val="81"/>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5A252DF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18C94CF8">
      <w:pPr>
        <w:pStyle w:val="81"/>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6DD1AE67">
      <w:pPr>
        <w:numPr>
          <w:ilvl w:val="-1"/>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4B4B1036">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1F9FEDA5">
      <w:pPr>
        <w:numPr>
          <w:ilvl w:val="0"/>
          <w:numId w:val="14"/>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60748DF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100BB11">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7FDFC3D">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690AD270">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8D4B7D4">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7FFFB4B6">
      <w:pPr>
        <w:numPr>
          <w:ilvl w:val="-1"/>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51B866FE">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21D57501">
      <w:pPr>
        <w:pStyle w:val="480"/>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10E33036">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134AFDAB">
      <w:pPr>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（应明确预付款的支付比例和支付条件） </w:t>
      </w:r>
    </w:p>
    <w:p w14:paraId="7E8B42F5">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605508AB">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4EA568F2">
      <w:pPr>
        <w:numPr>
          <w:ilvl w:val="0"/>
          <w:numId w:val="14"/>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42A1049E">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09E36B">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51926EB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4F16A36">
      <w:pPr>
        <w:pStyle w:val="81"/>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E2D856C">
      <w:pPr>
        <w:pStyle w:val="81"/>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34A304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B22549">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42163252">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62B1141F">
      <w:pPr>
        <w:numPr>
          <w:ilvl w:val="0"/>
          <w:numId w:val="14"/>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35EEB3ED">
      <w:pPr>
        <w:numPr>
          <w:ilvl w:val="0"/>
          <w:numId w:val="16"/>
        </w:num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3EA93E3D">
      <w:pPr>
        <w:numPr>
          <w:ilvl w:val="0"/>
          <w:numId w:val="0"/>
        </w:numPr>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0D8D5FD6">
      <w:pPr>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E3725F1">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803B8A6">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40A3EA1">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BD34FAF">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E1B47A1">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589EA840">
      <w:pPr>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7FF1094">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3AC852D5">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0C3A6C4A">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13EFBE08">
      <w:pPr>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42968403">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796CFB8F">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7AC5F489">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126FDE3A">
      <w:pPr>
        <w:pStyle w:val="81"/>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F73583B">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1667FC31">
      <w:pPr>
        <w:numPr>
          <w:ilvl w:val="0"/>
          <w:numId w:val="14"/>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032F7A7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4AFCA7A7">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4C0E99D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1C38516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3AEBF082">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08916A5C">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77751DC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05BBA7B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3E60C8EE">
      <w:pPr>
        <w:pStyle w:val="81"/>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8E6B096">
      <w:pPr>
        <w:numPr>
          <w:ilvl w:val="0"/>
          <w:numId w:val="14"/>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21770267">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4CB74CE8">
      <w:pPr>
        <w:numPr>
          <w:ilvl w:val="0"/>
          <w:numId w:val="14"/>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6C9191C0">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4BCAD61B">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D89030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0C42D95C">
      <w:pPr>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0B811AC8">
      <w:pPr>
        <w:pStyle w:val="480"/>
        <w:spacing w:beforeLines="0" w:line="400" w:lineRule="exact"/>
        <w:rPr>
          <w:rFonts w:hint="eastAsia" w:ascii="宋体" w:hAnsi="宋体" w:eastAsia="宋体" w:cs="宋体"/>
          <w:color w:val="auto"/>
          <w:highlight w:val="none"/>
        </w:rPr>
      </w:pPr>
    </w:p>
    <w:p w14:paraId="0B1D678B">
      <w:pPr>
        <w:bidi w:val="0"/>
        <w:rPr>
          <w:rFonts w:hint="eastAsia" w:ascii="宋体" w:hAnsi="宋体" w:eastAsia="宋体" w:cs="宋体"/>
          <w:lang w:val="en-US" w:eastAsia="zh-CN"/>
        </w:rPr>
      </w:pPr>
      <w:r>
        <w:rPr>
          <w:rFonts w:hint="eastAsia" w:ascii="宋体" w:hAnsi="宋体" w:eastAsia="宋体" w:cs="宋体"/>
          <w:lang w:val="en"/>
        </w:rPr>
        <w:t xml:space="preserve">   </w:t>
      </w:r>
    </w:p>
    <w:p w14:paraId="0DA3012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BBEFF6">
      <w:pPr>
        <w:pStyle w:val="480"/>
        <w:rPr>
          <w:rFonts w:hint="eastAsia" w:ascii="宋体" w:hAnsi="宋体" w:eastAsia="宋体" w:cs="宋体"/>
          <w:color w:val="auto"/>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D60720">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4095" w:type="dxa"/>
            <w:gridSpan w:val="2"/>
            <w:tcBorders>
              <w:left w:val="single" w:color="auto" w:sz="2" w:space="0"/>
              <w:bottom w:val="single" w:color="auto" w:sz="2" w:space="0"/>
            </w:tcBorders>
            <w:vAlign w:val="center"/>
          </w:tcPr>
          <w:p w14:paraId="2ED92805">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47793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5922EEA2">
            <w:pPr>
              <w:adjustRightInd w:val="0"/>
              <w:snapToGrid w:val="0"/>
              <w:spacing w:line="300" w:lineRule="exact"/>
              <w:jc w:val="center"/>
              <w:rPr>
                <w:rFonts w:hint="eastAsia" w:ascii="宋体" w:hAnsi="宋体" w:eastAsia="宋体" w:cs="宋体"/>
                <w:color w:val="auto"/>
                <w:spacing w:val="20"/>
                <w:szCs w:val="21"/>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C35AA6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B46819A">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2020A688">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350A24B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E68819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116" w:type="dxa"/>
            <w:tcBorders>
              <w:top w:val="single" w:color="auto" w:sz="2" w:space="0"/>
              <w:left w:val="single" w:color="auto" w:sz="2" w:space="0"/>
              <w:bottom w:val="single" w:color="auto" w:sz="2" w:space="0"/>
            </w:tcBorders>
            <w:vAlign w:val="center"/>
          </w:tcPr>
          <w:p w14:paraId="661B54A2">
            <w:pPr>
              <w:adjustRightInd w:val="0"/>
              <w:snapToGrid w:val="0"/>
              <w:spacing w:line="300" w:lineRule="exact"/>
              <w:jc w:val="center"/>
              <w:rPr>
                <w:rFonts w:hint="eastAsia" w:ascii="宋体" w:hAnsi="宋体" w:eastAsia="宋体" w:cs="宋体"/>
                <w:color w:val="auto"/>
                <w:szCs w:val="21"/>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CFE57FE">
            <w:pPr>
              <w:adjustRightInd w:val="0"/>
              <w:snapToGrid w:val="0"/>
              <w:spacing w:line="300" w:lineRule="exact"/>
              <w:jc w:val="center"/>
              <w:rPr>
                <w:rFonts w:hint="eastAsia" w:ascii="宋体" w:hAnsi="宋体" w:eastAsia="宋体" w:cs="宋体"/>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3BA4B44">
            <w:pPr>
              <w:adjustRightInd w:val="0"/>
              <w:snapToGrid w:val="0"/>
              <w:spacing w:line="300" w:lineRule="exact"/>
              <w:jc w:val="center"/>
              <w:rPr>
                <w:rFonts w:hint="eastAsia" w:ascii="宋体" w:hAnsi="宋体" w:eastAsia="宋体" w:cs="宋体"/>
                <w:color w:val="auto"/>
                <w:spacing w:val="20"/>
                <w:szCs w:val="21"/>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5E4B5">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67949E8B">
            <w:pPr>
              <w:adjustRightInd w:val="0"/>
              <w:snapToGrid w:val="0"/>
              <w:spacing w:line="300" w:lineRule="exact"/>
              <w:jc w:val="center"/>
              <w:rPr>
                <w:rFonts w:hint="eastAsia" w:ascii="宋体" w:hAnsi="宋体" w:eastAsia="宋体" w:cs="宋体"/>
                <w:color w:val="auto"/>
                <w:spacing w:val="20"/>
                <w:szCs w:val="21"/>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6BE2A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adjustRightInd w:val="0"/>
              <w:snapToGrid w:val="0"/>
              <w:spacing w:line="300" w:lineRule="exact"/>
              <w:jc w:val="center"/>
              <w:rPr>
                <w:rFonts w:hint="eastAsia" w:ascii="宋体" w:hAnsi="宋体" w:eastAsia="宋体" w:cs="宋体"/>
                <w:color w:val="auto"/>
                <w:spacing w:val="20"/>
                <w:szCs w:val="21"/>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A0F8D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adjustRightInd w:val="0"/>
              <w:snapToGrid w:val="0"/>
              <w:spacing w:line="300" w:lineRule="exact"/>
              <w:jc w:val="center"/>
              <w:rPr>
                <w:rFonts w:hint="eastAsia" w:ascii="宋体" w:hAnsi="宋体" w:eastAsia="宋体" w:cs="宋体"/>
                <w:color w:val="auto"/>
                <w:spacing w:val="20"/>
                <w:szCs w:val="21"/>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1A0137">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399E4FD">
            <w:pPr>
              <w:adjustRightInd w:val="0"/>
              <w:snapToGrid w:val="0"/>
              <w:spacing w:line="300" w:lineRule="exact"/>
              <w:jc w:val="center"/>
              <w:rPr>
                <w:rFonts w:hint="eastAsia" w:ascii="宋体" w:hAnsi="宋体" w:eastAsia="宋体" w:cs="宋体"/>
                <w:color w:val="auto"/>
                <w:spacing w:val="20"/>
                <w:szCs w:val="21"/>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818B3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adjustRightInd w:val="0"/>
              <w:snapToGrid w:val="0"/>
              <w:spacing w:line="300" w:lineRule="exact"/>
              <w:jc w:val="center"/>
              <w:rPr>
                <w:rFonts w:hint="eastAsia" w:ascii="宋体" w:hAnsi="宋体" w:eastAsia="宋体" w:cs="宋体"/>
                <w:color w:val="auto"/>
                <w:spacing w:val="20"/>
                <w:szCs w:val="21"/>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B2FE0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adjustRightInd w:val="0"/>
              <w:snapToGrid w:val="0"/>
              <w:spacing w:line="300" w:lineRule="exact"/>
              <w:jc w:val="center"/>
              <w:rPr>
                <w:rFonts w:hint="eastAsia" w:ascii="宋体" w:hAnsi="宋体" w:eastAsia="宋体" w:cs="宋体"/>
                <w:color w:val="auto"/>
                <w:spacing w:val="20"/>
                <w:szCs w:val="21"/>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74E74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adjustRightInd w:val="0"/>
              <w:snapToGrid w:val="0"/>
              <w:spacing w:line="300" w:lineRule="exact"/>
              <w:jc w:val="center"/>
              <w:rPr>
                <w:rFonts w:hint="eastAsia" w:ascii="宋体" w:hAnsi="宋体" w:eastAsia="宋体" w:cs="宋体"/>
                <w:color w:val="auto"/>
                <w:spacing w:val="20"/>
                <w:szCs w:val="21"/>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D32F66">
            <w:pPr>
              <w:adjustRightInd w:val="0"/>
              <w:snapToGrid w:val="0"/>
              <w:spacing w:line="300" w:lineRule="exact"/>
              <w:jc w:val="center"/>
              <w:rPr>
                <w:rFonts w:hint="eastAsia" w:ascii="宋体" w:hAnsi="宋体" w:eastAsia="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adjustRightInd w:val="0"/>
              <w:snapToGrid w:val="0"/>
              <w:spacing w:line="300" w:lineRule="exact"/>
              <w:jc w:val="center"/>
              <w:rPr>
                <w:rFonts w:hint="eastAsia" w:ascii="宋体" w:hAnsi="宋体" w:eastAsia="宋体" w:cs="宋体"/>
                <w:color w:val="auto"/>
                <w:spacing w:val="20"/>
                <w:szCs w:val="21"/>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83B9D9">
            <w:pPr>
              <w:adjustRightInd w:val="0"/>
              <w:snapToGrid w:val="0"/>
              <w:spacing w:line="300" w:lineRule="exact"/>
              <w:jc w:val="center"/>
              <w:rPr>
                <w:rFonts w:hint="eastAsia" w:ascii="宋体" w:hAnsi="宋体" w:eastAsia="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adjustRightInd w:val="0"/>
              <w:snapToGrid w:val="0"/>
              <w:spacing w:line="300" w:lineRule="exact"/>
              <w:jc w:val="center"/>
              <w:rPr>
                <w:rFonts w:hint="eastAsia" w:ascii="宋体" w:hAnsi="宋体" w:eastAsia="宋体" w:cs="宋体"/>
                <w:color w:val="auto"/>
                <w:spacing w:val="20"/>
                <w:szCs w:val="21"/>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61A2D">
            <w:pPr>
              <w:adjustRightInd w:val="0"/>
              <w:snapToGrid w:val="0"/>
              <w:spacing w:line="300" w:lineRule="exact"/>
              <w:jc w:val="center"/>
              <w:rPr>
                <w:rFonts w:hint="eastAsia" w:ascii="宋体" w:hAnsi="宋体" w:eastAsia="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adjustRightInd w:val="0"/>
              <w:snapToGrid w:val="0"/>
              <w:spacing w:line="300" w:lineRule="exact"/>
              <w:jc w:val="center"/>
              <w:rPr>
                <w:rFonts w:hint="eastAsia" w:ascii="宋体" w:hAnsi="宋体" w:eastAsia="宋体" w:cs="宋体"/>
                <w:color w:val="auto"/>
                <w:spacing w:val="20"/>
                <w:szCs w:val="21"/>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51B9E5F">
            <w:pPr>
              <w:pStyle w:val="24"/>
              <w:adjustRightInd w:val="0"/>
              <w:snapToGrid w:val="0"/>
              <w:spacing w:before="156" w:beforeLines="50" w:after="0" w:line="360" w:lineRule="auto"/>
              <w:ind w:left="0" w:left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1361F33E">
      <w:pPr>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398" w:name="_Toc27624"/>
      <w:r>
        <w:rPr>
          <w:rFonts w:hint="eastAsia" w:ascii="宋体" w:hAnsi="宋体" w:eastAsia="宋体" w:cs="宋体"/>
          <w:sz w:val="28"/>
          <w:szCs w:val="28"/>
        </w:rPr>
        <w:t>第二节 政府采购合同通用条款</w:t>
      </w:r>
      <w:bookmarkEnd w:id="398"/>
    </w:p>
    <w:p w14:paraId="305D7986">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58D2CDD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5BFB014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4152ACF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57DE3CA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1D64BC3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61F2E781">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5772664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72368D9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6C99EF17">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4591CEE7">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2860109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722BE3C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B799978">
      <w:pPr>
        <w:numPr>
          <w:ilvl w:val="0"/>
          <w:numId w:val="17"/>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764BC7F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78402294">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31AA318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659488A">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0B2970B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3E568FA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6F6C062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40225F27">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1A6AC3D5">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270B6E4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00AA9F91">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52F77F6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320A6D6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65DF0E6A">
      <w:pPr>
        <w:pStyle w:val="23"/>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35AA2EED">
      <w:pPr>
        <w:pStyle w:val="23"/>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21709F8B">
      <w:pPr>
        <w:numPr>
          <w:ilvl w:val="0"/>
          <w:numId w:val="18"/>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5AE3FA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258636B0">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2825D62">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7E22D35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5AC28E3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422B967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01D4B20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3A1B879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5FC41877">
      <w:pPr>
        <w:pStyle w:val="81"/>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2548A28F">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39DD594B">
      <w:pPr>
        <w:pStyle w:val="32"/>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0D15690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6BB898AD">
      <w:pPr>
        <w:pStyle w:val="32"/>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3930CB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1C863E6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06116B9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727F79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7A0ABA6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7B032D4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2A4F6BB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20908BFA">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27EF65DA">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43B3DE1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0F3F046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B6301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5F580980">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385D1F4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39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99"/>
      <w:r>
        <w:rPr>
          <w:rFonts w:hint="eastAsia" w:ascii="宋体" w:hAnsi="宋体" w:eastAsia="宋体" w:cs="宋体"/>
          <w:color w:val="auto"/>
          <w:szCs w:val="21"/>
          <w:highlight w:val="none"/>
        </w:rPr>
        <w:t>。</w:t>
      </w:r>
    </w:p>
    <w:p w14:paraId="582259F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5CFD1F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314E9E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0558FA45">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61D04F5F">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12.2 </w:t>
      </w:r>
      <w:r>
        <w:rPr>
          <w:rFonts w:hint="eastAsia" w:ascii="宋体" w:hAnsi="宋体" w:eastAsia="宋体" w:cs="宋体"/>
          <w:color w:val="auto"/>
          <w:szCs w:val="21"/>
          <w:highlight w:val="none"/>
        </w:rPr>
        <w:t>对于满足合同约定支付条件的，</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原则上应当自收到发票后10个工作日内将资金支付到合同约定的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付款的条件。具体合同价款支付时间在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约</w:t>
      </w:r>
      <w:r>
        <w:rPr>
          <w:rFonts w:hint="eastAsia" w:ascii="宋体" w:hAnsi="宋体" w:eastAsia="宋体" w:cs="宋体"/>
          <w:color w:val="auto"/>
          <w:szCs w:val="21"/>
          <w:highlight w:val="none"/>
        </w:rPr>
        <w:t>定。</w:t>
      </w:r>
    </w:p>
    <w:p w14:paraId="2CC70062">
      <w:pPr>
        <w:pStyle w:val="23"/>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3E17E2E">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A7C5B0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2FC3D6FE">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4E15A09B">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5B91449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73D6A5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723508A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5E27B6D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68B6FBB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7BC65F76">
      <w:pPr>
        <w:pStyle w:val="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4EFDBF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7921432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41B0DAE4">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0D7A2BBB">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05CFAAB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E12848A">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7A5ED36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1465B51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75E7A95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0A6CF78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6CC5287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757D7369">
      <w:pPr>
        <w:numPr>
          <w:ilvl w:val="0"/>
          <w:numId w:val="19"/>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3025B128">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1D4290E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5E33375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1C9AD78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527E324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36ACE737">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636752D">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24704C92">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4034447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21FA27FB">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61775056">
      <w:pPr>
        <w:pStyle w:val="8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331D08D3">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6B82AD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36B0668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1A894E2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5571B56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2F50D2A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2B48E1C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32C97F9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0D5CFDF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3819E97B">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851F59F">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41D451D">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629ED97">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5CA7DAC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A383AB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0A45DE32">
      <w:pPr>
        <w:pStyle w:val="23"/>
        <w:spacing w:after="0" w:line="400" w:lineRule="exact"/>
        <w:ind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2</w:t>
      </w:r>
      <w:r>
        <w:rPr>
          <w:rFonts w:hint="eastAsia" w:ascii="宋体" w:hAnsi="宋体" w:eastAsia="宋体" w:cs="宋体"/>
          <w:color w:val="auto"/>
          <w:sz w:val="21"/>
          <w:szCs w:val="18"/>
          <w:highlight w:val="none"/>
          <w:lang w:val="en-US" w:eastAsia="zh-CN"/>
        </w:rPr>
        <w:t>0</w:t>
      </w:r>
      <w:r>
        <w:rPr>
          <w:rFonts w:hint="eastAsia" w:ascii="宋体" w:hAnsi="宋体" w:eastAsia="宋体" w:cs="宋体"/>
          <w:color w:val="auto"/>
          <w:sz w:val="21"/>
          <w:szCs w:val="18"/>
          <w:highlight w:val="none"/>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rPr>
        <w:t xml:space="preserve"> 对于</w:t>
      </w:r>
      <w:r>
        <w:rPr>
          <w:rFonts w:hint="eastAsia" w:ascii="宋体" w:hAnsi="宋体" w:eastAsia="宋体" w:cs="宋体"/>
          <w:color w:val="auto"/>
          <w:sz w:val="21"/>
          <w:szCs w:val="18"/>
          <w:highlight w:val="none"/>
          <w:lang w:eastAsia="zh-CN"/>
        </w:rPr>
        <w:t>为落实中小企业支持政策，</w:t>
      </w:r>
      <w:r>
        <w:rPr>
          <w:rFonts w:hint="eastAsia" w:ascii="宋体" w:hAnsi="宋体" w:eastAsia="宋体" w:cs="宋体"/>
          <w:color w:val="auto"/>
          <w:sz w:val="21"/>
          <w:szCs w:val="18"/>
          <w:highlight w:val="none"/>
        </w:rPr>
        <w:t>通过采购项目</w:t>
      </w:r>
      <w:r>
        <w:rPr>
          <w:rFonts w:hint="eastAsia" w:ascii="宋体" w:hAnsi="宋体" w:eastAsia="宋体" w:cs="宋体"/>
          <w:color w:val="auto"/>
          <w:sz w:val="21"/>
          <w:szCs w:val="18"/>
          <w:highlight w:val="none"/>
          <w:lang w:eastAsia="zh-CN"/>
        </w:rPr>
        <w:t>整体</w:t>
      </w:r>
      <w:r>
        <w:rPr>
          <w:rFonts w:hint="eastAsia" w:ascii="宋体" w:hAnsi="宋体" w:eastAsia="宋体" w:cs="宋体"/>
          <w:color w:val="auto"/>
          <w:sz w:val="21"/>
          <w:szCs w:val="18"/>
          <w:highlight w:val="none"/>
        </w:rPr>
        <w:t>预留、</w:t>
      </w:r>
      <w:r>
        <w:rPr>
          <w:rFonts w:hint="eastAsia" w:ascii="宋体" w:hAnsi="宋体" w:eastAsia="宋体" w:cs="宋体"/>
          <w:color w:val="auto"/>
          <w:sz w:val="21"/>
          <w:szCs w:val="18"/>
          <w:highlight w:val="none"/>
          <w:lang w:eastAsia="zh-CN"/>
        </w:rPr>
        <w:t>设置</w:t>
      </w:r>
      <w:r>
        <w:rPr>
          <w:rFonts w:hint="eastAsia" w:ascii="宋体" w:hAnsi="宋体" w:eastAsia="宋体" w:cs="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26ACD4B6">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91C2737">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7A9715E">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56541F98">
      <w:pPr>
        <w:pStyle w:val="8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0B6340F">
      <w:pPr>
        <w:pStyle w:val="81"/>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08D334F">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69D5825E">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57336BB6">
      <w:pPr>
        <w:numPr>
          <w:ilvl w:val="0"/>
          <w:numId w:val="20"/>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4A03CEF6">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1512796">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400" w:name="_Toc20313"/>
    </w:p>
    <w:p w14:paraId="673A22D8">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0A48BE5E">
      <w:pPr>
        <w:bidi w:val="0"/>
        <w:jc w:val="center"/>
        <w:rPr>
          <w:rFonts w:hint="eastAsia" w:ascii="宋体" w:hAnsi="宋体" w:eastAsia="宋体" w:cs="宋体"/>
          <w:sz w:val="28"/>
          <w:szCs w:val="28"/>
        </w:rPr>
      </w:pPr>
      <w:r>
        <w:rPr>
          <w:rFonts w:hint="eastAsia" w:ascii="宋体" w:hAnsi="宋体" w:eastAsia="宋体" w:cs="宋体"/>
          <w:sz w:val="28"/>
          <w:szCs w:val="28"/>
        </w:rPr>
        <w:t>第三节 政府采购合同专用条款</w:t>
      </w:r>
      <w:bookmarkEnd w:id="400"/>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647609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1328268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vAlign w:val="center"/>
          </w:tcPr>
          <w:p w14:paraId="3B82086B">
            <w:pPr>
              <w:adjustRightInd w:val="0"/>
              <w:snapToGrid w:val="0"/>
              <w:jc w:val="left"/>
              <w:rPr>
                <w:rFonts w:hint="eastAsia" w:ascii="宋体" w:hAnsi="宋体" w:eastAsia="宋体" w:cs="宋体"/>
                <w:color w:val="auto"/>
                <w:szCs w:val="21"/>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0DD92DE">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vAlign w:val="center"/>
          </w:tcPr>
          <w:p w14:paraId="038AA940">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vAlign w:val="center"/>
          </w:tcPr>
          <w:p w14:paraId="7AC860E3">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AFA8D0B">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vAlign w:val="center"/>
          </w:tcPr>
          <w:p w14:paraId="4CB8B57E">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vAlign w:val="center"/>
          </w:tcPr>
          <w:p w14:paraId="530B6B5D">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FD21E4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vAlign w:val="center"/>
          </w:tcPr>
          <w:p w14:paraId="0BD6FAEB">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vAlign w:val="center"/>
          </w:tcPr>
          <w:p w14:paraId="17F8F65E">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4EA9ACCC">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vAlign w:val="center"/>
          </w:tcPr>
          <w:p w14:paraId="14DB3DAF">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vAlign w:val="center"/>
          </w:tcPr>
          <w:p w14:paraId="053563B3">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2119A11A">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vAlign w:val="center"/>
          </w:tcPr>
          <w:p w14:paraId="777DF284">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vAlign w:val="center"/>
          </w:tcPr>
          <w:p w14:paraId="1B3F468F">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B4B6ED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vAlign w:val="center"/>
          </w:tcPr>
          <w:p w14:paraId="598F8BB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vAlign w:val="center"/>
          </w:tcPr>
          <w:p w14:paraId="238F4F69">
            <w:pPr>
              <w:rPr>
                <w:rFonts w:hint="eastAsia" w:ascii="宋体" w:hAnsi="宋体" w:eastAsia="宋体" w:cs="宋体"/>
                <w:color w:val="auto"/>
                <w:highlight w:val="none"/>
              </w:rPr>
            </w:pP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adjustRightInd w:val="0"/>
              <w:snapToGrid w:val="0"/>
              <w:jc w:val="center"/>
              <w:rPr>
                <w:rFonts w:hint="eastAsia" w:ascii="宋体" w:hAnsi="宋体" w:eastAsia="宋体" w:cs="宋体"/>
                <w:color w:val="auto"/>
                <w:szCs w:val="21"/>
                <w:highlight w:val="none"/>
              </w:rPr>
            </w:pPr>
          </w:p>
        </w:tc>
        <w:tc>
          <w:tcPr>
            <w:tcW w:w="1742" w:type="dxa"/>
            <w:vAlign w:val="center"/>
          </w:tcPr>
          <w:p w14:paraId="6367A5F5">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vAlign w:val="center"/>
          </w:tcPr>
          <w:p w14:paraId="0EE0D077">
            <w:pPr>
              <w:rPr>
                <w:rFonts w:hint="eastAsia" w:ascii="宋体" w:hAnsi="宋体" w:eastAsia="宋体" w:cs="宋体"/>
                <w:color w:val="auto"/>
                <w:highlight w:val="none"/>
              </w:rPr>
            </w:pP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165101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vAlign w:val="center"/>
          </w:tcPr>
          <w:p w14:paraId="5A0F3F5F">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vAlign w:val="center"/>
          </w:tcPr>
          <w:p w14:paraId="487F46DE">
            <w:pPr>
              <w:rPr>
                <w:rFonts w:hint="eastAsia" w:ascii="宋体" w:hAnsi="宋体" w:eastAsia="宋体" w:cs="宋体"/>
                <w:color w:val="auto"/>
                <w:highlight w:val="none"/>
              </w:rPr>
            </w:pP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9F034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vAlign w:val="center"/>
          </w:tcPr>
          <w:p w14:paraId="66AC5AE2">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vAlign w:val="center"/>
          </w:tcPr>
          <w:p w14:paraId="1B84D584">
            <w:pPr>
              <w:rPr>
                <w:rFonts w:hint="eastAsia" w:ascii="宋体" w:hAnsi="宋体" w:eastAsia="宋体" w:cs="宋体"/>
                <w:color w:val="auto"/>
                <w:highlight w:val="none"/>
              </w:rPr>
            </w:pP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7AC83C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vAlign w:val="center"/>
          </w:tcPr>
          <w:p w14:paraId="48DB353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79864455">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BD551D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vAlign w:val="center"/>
          </w:tcPr>
          <w:p w14:paraId="06235653">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1BEDD1A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248539A8">
            <w:pPr>
              <w:adjustRightInd w:val="0"/>
              <w:snapToGrid w:val="0"/>
              <w:jc w:val="left"/>
              <w:rPr>
                <w:rFonts w:hint="eastAsia" w:ascii="宋体" w:hAnsi="宋体" w:eastAsia="宋体" w:cs="宋体"/>
                <w:color w:val="auto"/>
                <w:szCs w:val="21"/>
                <w:highlight w:val="none"/>
              </w:rPr>
            </w:pP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2B09DEA0">
            <w:pPr>
              <w:pStyle w:val="81"/>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CE599FD">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vAlign w:val="center"/>
          </w:tcPr>
          <w:p w14:paraId="1C4EA6C8">
            <w:pPr>
              <w:adjustRightInd w:val="0"/>
              <w:snapToGrid w:val="0"/>
              <w:jc w:val="left"/>
              <w:rPr>
                <w:rFonts w:hint="eastAsia" w:ascii="宋体" w:hAnsi="宋体" w:eastAsia="宋体" w:cs="宋体"/>
                <w:color w:val="auto"/>
                <w:szCs w:val="21"/>
                <w:highlight w:val="none"/>
              </w:rPr>
            </w:pP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921E2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0340A9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vAlign w:val="center"/>
          </w:tcPr>
          <w:p w14:paraId="585DE3B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vAlign w:val="center"/>
          </w:tcPr>
          <w:p w14:paraId="4A7A01BD">
            <w:pPr>
              <w:adjustRightInd w:val="0"/>
              <w:snapToGrid w:val="0"/>
              <w:jc w:val="left"/>
              <w:rPr>
                <w:rFonts w:hint="eastAsia" w:ascii="宋体" w:hAnsi="宋体" w:eastAsia="宋体" w:cs="宋体"/>
                <w:color w:val="auto"/>
                <w:szCs w:val="21"/>
                <w:highlight w:val="none"/>
              </w:rPr>
            </w:pP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06F338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vAlign w:val="center"/>
          </w:tcPr>
          <w:p w14:paraId="65B7E3EF">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vAlign w:val="center"/>
          </w:tcPr>
          <w:p w14:paraId="65AD5173">
            <w:pPr>
              <w:adjustRightInd w:val="0"/>
              <w:snapToGrid w:val="0"/>
              <w:jc w:val="left"/>
              <w:rPr>
                <w:rFonts w:hint="eastAsia" w:ascii="宋体" w:hAnsi="宋体" w:eastAsia="宋体" w:cs="宋体"/>
                <w:color w:val="auto"/>
                <w:szCs w:val="21"/>
                <w:highlight w:val="none"/>
              </w:rPr>
            </w:pP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FB0532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vAlign w:val="center"/>
          </w:tcPr>
          <w:p w14:paraId="65FBA4E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vAlign w:val="center"/>
          </w:tcPr>
          <w:p w14:paraId="1CD66FD0">
            <w:pPr>
              <w:adjustRightInd w:val="0"/>
              <w:snapToGrid w:val="0"/>
              <w:jc w:val="left"/>
              <w:rPr>
                <w:rFonts w:hint="eastAsia" w:ascii="宋体" w:hAnsi="宋体" w:eastAsia="宋体" w:cs="宋体"/>
                <w:color w:val="auto"/>
                <w:szCs w:val="21"/>
                <w:highlight w:val="none"/>
              </w:rPr>
            </w:pP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77E5FE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vAlign w:val="center"/>
          </w:tcPr>
          <w:p w14:paraId="68C33BCA">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vAlign w:val="center"/>
          </w:tcPr>
          <w:p w14:paraId="7ED747A5">
            <w:pPr>
              <w:adjustRightInd w:val="0"/>
              <w:snapToGrid w:val="0"/>
              <w:jc w:val="left"/>
              <w:rPr>
                <w:rFonts w:hint="eastAsia" w:ascii="宋体" w:hAnsi="宋体" w:eastAsia="宋体" w:cs="宋体"/>
                <w:color w:val="auto"/>
                <w:szCs w:val="21"/>
                <w:highlight w:val="none"/>
              </w:rPr>
            </w:pP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01398D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vAlign w:val="center"/>
          </w:tcPr>
          <w:p w14:paraId="0351ADA4">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vAlign w:val="center"/>
          </w:tcPr>
          <w:p w14:paraId="406ECB70">
            <w:pPr>
              <w:adjustRightInd w:val="0"/>
              <w:snapToGrid w:val="0"/>
              <w:jc w:val="left"/>
              <w:rPr>
                <w:rFonts w:hint="eastAsia" w:ascii="宋体" w:hAnsi="宋体" w:eastAsia="宋体" w:cs="宋体"/>
                <w:color w:val="auto"/>
                <w:szCs w:val="21"/>
                <w:highlight w:val="none"/>
              </w:rPr>
            </w:pP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23957C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24DE333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0A9ABA6B">
            <w:pPr>
              <w:adjustRightInd w:val="0"/>
              <w:snapToGrid w:val="0"/>
              <w:jc w:val="left"/>
              <w:rPr>
                <w:rFonts w:hint="eastAsia" w:ascii="宋体" w:hAnsi="宋体" w:eastAsia="宋体" w:cs="宋体"/>
                <w:color w:val="auto"/>
                <w:szCs w:val="21"/>
                <w:highlight w:val="none"/>
              </w:rPr>
            </w:pP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11902E1">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vAlign w:val="center"/>
          </w:tcPr>
          <w:p w14:paraId="50F41FD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29550D2C">
            <w:pPr>
              <w:adjustRightInd w:val="0"/>
              <w:snapToGrid w:val="0"/>
              <w:jc w:val="left"/>
              <w:rPr>
                <w:rFonts w:hint="eastAsia" w:ascii="宋体" w:hAnsi="宋体" w:eastAsia="宋体" w:cs="宋体"/>
                <w:color w:val="auto"/>
                <w:szCs w:val="21"/>
                <w:highlight w:val="none"/>
              </w:rPr>
            </w:pP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DAFF3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5A1861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vAlign w:val="center"/>
          </w:tcPr>
          <w:p w14:paraId="0DBBE46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4B0DCEDA">
            <w:pPr>
              <w:adjustRightInd w:val="0"/>
              <w:snapToGrid w:val="0"/>
              <w:jc w:val="left"/>
              <w:rPr>
                <w:rFonts w:hint="eastAsia" w:ascii="宋体" w:hAnsi="宋体" w:eastAsia="宋体" w:cs="宋体"/>
                <w:color w:val="auto"/>
                <w:szCs w:val="21"/>
                <w:highlight w:val="none"/>
                <w:u w:val="single"/>
              </w:rPr>
            </w:pP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C16FF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vAlign w:val="center"/>
          </w:tcPr>
          <w:p w14:paraId="57B8B0C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20BDFDDC">
            <w:pPr>
              <w:adjustRightInd w:val="0"/>
              <w:snapToGrid w:val="0"/>
              <w:jc w:val="left"/>
              <w:rPr>
                <w:rFonts w:hint="eastAsia" w:ascii="宋体" w:hAnsi="宋体" w:eastAsia="宋体" w:cs="宋体"/>
                <w:color w:val="auto"/>
                <w:szCs w:val="21"/>
                <w:highlight w:val="none"/>
                <w:u w:val="single"/>
              </w:rPr>
            </w:pP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A6CA57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5042B7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1C304B09">
            <w:pPr>
              <w:adjustRightInd w:val="0"/>
              <w:snapToGrid w:val="0"/>
              <w:jc w:val="left"/>
              <w:rPr>
                <w:rFonts w:hint="eastAsia" w:ascii="宋体" w:hAnsi="宋体" w:eastAsia="宋体" w:cs="宋体"/>
                <w:color w:val="auto"/>
                <w:szCs w:val="21"/>
                <w:highlight w:val="none"/>
                <w:u w:val="single"/>
              </w:rPr>
            </w:pP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A4E0F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ABB875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41960E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18F69D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2087714">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53DABD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vAlign w:val="center"/>
          </w:tcPr>
          <w:p w14:paraId="68F5870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14:paraId="7D3115BE">
            <w:pPr>
              <w:adjustRightInd w:val="0"/>
              <w:snapToGrid w:val="0"/>
              <w:jc w:val="left"/>
              <w:rPr>
                <w:rFonts w:hint="eastAsia" w:ascii="宋体" w:hAnsi="宋体" w:eastAsia="宋体" w:cs="宋体"/>
                <w:color w:val="auto"/>
                <w:szCs w:val="21"/>
                <w:highlight w:val="none"/>
                <w:lang w:val="en-US" w:eastAsia="zh-CN"/>
              </w:rPr>
            </w:pPr>
          </w:p>
        </w:tc>
      </w:tr>
    </w:tbl>
    <w:p w14:paraId="61E15922">
      <w:pPr>
        <w:spacing w:line="360" w:lineRule="auto"/>
        <w:ind w:left="-420" w:leftChars="-200" w:right="-420" w:rightChars="-200" w:firstLine="480" w:firstLineChars="200"/>
        <w:rPr>
          <w:rFonts w:hint="eastAsia" w:ascii="宋体" w:hAnsi="宋体" w:cs="宋体"/>
          <w:sz w:val="24"/>
        </w:rPr>
      </w:pPr>
    </w:p>
    <w:p w14:paraId="57637FB8">
      <w:pPr>
        <w:rPr>
          <w:rFonts w:hint="eastAsia" w:ascii="宋体" w:hAnsi="宋体" w:cs="宋体"/>
          <w:b/>
          <w:sz w:val="36"/>
          <w:szCs w:val="20"/>
        </w:rPr>
      </w:pPr>
      <w:r>
        <w:rPr>
          <w:rFonts w:hint="eastAsia" w:ascii="宋体" w:hAnsi="宋体" w:cs="宋体"/>
          <w:b/>
          <w:sz w:val="36"/>
          <w:szCs w:val="20"/>
        </w:rPr>
        <w:br w:type="page"/>
      </w:r>
    </w:p>
    <w:p w14:paraId="5EDAFA1E">
      <w:pPr>
        <w:widowControl/>
        <w:adjustRightInd/>
        <w:spacing w:line="360" w:lineRule="auto"/>
        <w:ind w:left="720" w:leftChars="343" w:firstLine="1084" w:firstLineChars="300"/>
        <w:outlineLvl w:val="0"/>
        <w:rPr>
          <w:rFonts w:hint="eastAsia" w:ascii="宋体" w:hAnsi="宋体" w:cs="宋体"/>
          <w:b/>
          <w:sz w:val="36"/>
          <w:szCs w:val="36"/>
        </w:rPr>
      </w:pPr>
      <w:r>
        <w:rPr>
          <w:rFonts w:hint="eastAsia" w:ascii="宋体" w:hAnsi="宋体" w:cs="宋体"/>
          <w:b/>
          <w:sz w:val="36"/>
          <w:szCs w:val="36"/>
        </w:rPr>
        <w:t>第六部分</w:t>
      </w:r>
      <w:bookmarkEnd w:id="395"/>
      <w:r>
        <w:rPr>
          <w:rFonts w:hint="eastAsia" w:ascii="宋体" w:hAnsi="宋体" w:cs="宋体"/>
          <w:b/>
          <w:sz w:val="36"/>
          <w:szCs w:val="36"/>
        </w:rPr>
        <w:t xml:space="preserve"> </w:t>
      </w:r>
      <w:bookmarkEnd w:id="396"/>
      <w:r>
        <w:rPr>
          <w:rFonts w:hint="eastAsia" w:ascii="宋体" w:hAnsi="宋体" w:cs="宋体"/>
          <w:b/>
          <w:sz w:val="36"/>
          <w:szCs w:val="36"/>
        </w:rPr>
        <w:t>应提交的有关格式范例</w:t>
      </w:r>
    </w:p>
    <w:p w14:paraId="70310003"/>
    <w:p w14:paraId="4EF33378">
      <w:pPr>
        <w:snapToGrid w:val="0"/>
        <w:spacing w:line="360" w:lineRule="auto"/>
        <w:rPr>
          <w:rFonts w:hint="eastAsia" w:ascii="宋体" w:hAnsi="宋体" w:cs="宋体"/>
          <w:b/>
          <w:sz w:val="24"/>
        </w:rPr>
      </w:pPr>
      <w:r>
        <w:rPr>
          <w:rFonts w:hint="eastAsia" w:ascii="宋体" w:hAnsi="宋体" w:cs="宋体"/>
          <w:b/>
          <w:sz w:val="24"/>
        </w:rPr>
        <w:t>一、投标人提交投标文件须知：</w:t>
      </w:r>
    </w:p>
    <w:p w14:paraId="1461D90B">
      <w:pPr>
        <w:snapToGrid w:val="0"/>
        <w:spacing w:line="360" w:lineRule="auto"/>
        <w:ind w:firstLine="480" w:firstLineChars="200"/>
        <w:rPr>
          <w:rFonts w:hint="eastAsia" w:ascii="宋体" w:hAnsi="宋体" w:cs="宋体"/>
          <w:sz w:val="24"/>
        </w:rPr>
      </w:pPr>
      <w:r>
        <w:rPr>
          <w:rFonts w:hint="eastAsia" w:ascii="宋体" w:hAnsi="宋体" w:cs="宋体"/>
          <w:sz w:val="24"/>
        </w:rPr>
        <w:t>1、投标人应严格按照以下顺序填写和提交下述规定的全部格式文件以及其他有关资料，混乱的编排导致投标文件被误读或评标委员会查找不到有效文件是投标人的风险。</w:t>
      </w:r>
    </w:p>
    <w:p w14:paraId="10DF6E9F">
      <w:pPr>
        <w:snapToGrid w:val="0"/>
        <w:spacing w:line="360" w:lineRule="auto"/>
        <w:ind w:firstLine="480" w:firstLineChars="200"/>
        <w:rPr>
          <w:rFonts w:hint="eastAsia" w:ascii="宋体" w:hAnsi="宋体" w:cs="宋体"/>
          <w:sz w:val="24"/>
        </w:rPr>
      </w:pPr>
      <w:r>
        <w:rPr>
          <w:rFonts w:hint="eastAsia" w:ascii="宋体" w:hAnsi="宋体" w:cs="宋体"/>
          <w:sz w:val="24"/>
        </w:rPr>
        <w:t>2、所附表格中要求回答的全部问题和/或信息都必须正面回答。</w:t>
      </w:r>
    </w:p>
    <w:p w14:paraId="200493C2">
      <w:pPr>
        <w:snapToGrid w:val="0"/>
        <w:spacing w:line="360" w:lineRule="auto"/>
        <w:ind w:firstLine="480" w:firstLineChars="200"/>
        <w:rPr>
          <w:rFonts w:hint="eastAsia" w:ascii="宋体" w:hAnsi="宋体" w:cs="宋体"/>
          <w:sz w:val="24"/>
        </w:rPr>
      </w:pPr>
      <w:r>
        <w:rPr>
          <w:rFonts w:hint="eastAsia" w:ascii="宋体" w:hAnsi="宋体" w:cs="宋体"/>
          <w:sz w:val="24"/>
        </w:rPr>
        <w:t>3、本声明书的签字人应保证全部声明和问题的回答是真实的和准确的。</w:t>
      </w:r>
    </w:p>
    <w:p w14:paraId="54FAF614">
      <w:pPr>
        <w:snapToGrid w:val="0"/>
        <w:spacing w:line="360" w:lineRule="auto"/>
        <w:ind w:firstLine="480" w:firstLineChars="200"/>
        <w:rPr>
          <w:rFonts w:hint="eastAsia" w:ascii="宋体" w:hAnsi="宋体" w:cs="宋体"/>
          <w:sz w:val="24"/>
        </w:rPr>
      </w:pPr>
      <w:r>
        <w:rPr>
          <w:rFonts w:hint="eastAsia" w:ascii="宋体" w:hAnsi="宋体" w:cs="宋体"/>
          <w:sz w:val="24"/>
        </w:rPr>
        <w:t>4、评标委员会将应用投标人提交的资料作出自己的判断。</w:t>
      </w:r>
    </w:p>
    <w:p w14:paraId="47484E9F">
      <w:pPr>
        <w:snapToGrid w:val="0"/>
        <w:spacing w:line="360" w:lineRule="auto"/>
        <w:ind w:firstLine="480" w:firstLineChars="200"/>
        <w:rPr>
          <w:rFonts w:hint="eastAsia" w:ascii="宋体" w:hAnsi="宋体" w:cs="宋体"/>
          <w:sz w:val="24"/>
        </w:rPr>
      </w:pPr>
      <w:r>
        <w:rPr>
          <w:rFonts w:hint="eastAsia" w:ascii="宋体" w:hAnsi="宋体" w:cs="宋体"/>
          <w:sz w:val="24"/>
        </w:rPr>
        <w:t>5、投标人提交的材料将在一定期限内被保密保存，但不退还。</w:t>
      </w:r>
    </w:p>
    <w:p w14:paraId="656C9DE1">
      <w:pPr>
        <w:snapToGrid w:val="0"/>
        <w:spacing w:line="360" w:lineRule="auto"/>
        <w:ind w:firstLine="480" w:firstLineChars="200"/>
        <w:rPr>
          <w:rFonts w:hint="eastAsia" w:ascii="宋体" w:hAnsi="宋体" w:cs="宋体"/>
          <w:sz w:val="24"/>
          <w:lang w:val="zh-CN"/>
        </w:rPr>
      </w:pPr>
      <w:r>
        <w:rPr>
          <w:rFonts w:hint="eastAsia" w:ascii="宋体" w:hAnsi="宋体" w:cs="宋体"/>
          <w:sz w:val="24"/>
        </w:rPr>
        <w:t>6、全部文件应按投标人须知中规定的语言和份数提交。投标文件组成漏项或未按规定的格式编制，内容不全或内容字迹模糊辨认不清的情况，</w:t>
      </w:r>
      <w:r>
        <w:rPr>
          <w:rFonts w:hint="eastAsia" w:ascii="宋体" w:hAnsi="宋体" w:cs="宋体"/>
          <w:b/>
          <w:sz w:val="24"/>
        </w:rPr>
        <w:t>将有可能被评标委员会认定为投标无效。</w:t>
      </w:r>
    </w:p>
    <w:p w14:paraId="69DFCB6D">
      <w:pPr>
        <w:rPr>
          <w:rFonts w:hint="eastAsia" w:ascii="仿宋" w:hAnsi="仿宋" w:eastAsia="仿宋" w:cs="仿宋"/>
          <w:b/>
          <w:bCs/>
          <w:sz w:val="40"/>
          <w:szCs w:val="48"/>
        </w:rPr>
      </w:pPr>
      <w:r>
        <w:rPr>
          <w:rFonts w:hint="eastAsia" w:ascii="仿宋" w:hAnsi="仿宋" w:eastAsia="仿宋" w:cs="仿宋"/>
          <w:b/>
          <w:bCs/>
          <w:sz w:val="40"/>
          <w:szCs w:val="48"/>
        </w:rPr>
        <w:br w:type="page"/>
      </w:r>
    </w:p>
    <w:p w14:paraId="44DAAB3B">
      <w:pPr>
        <w:jc w:val="center"/>
        <w:rPr>
          <w:b/>
          <w:bCs/>
          <w:sz w:val="40"/>
          <w:szCs w:val="40"/>
        </w:rPr>
      </w:pPr>
    </w:p>
    <w:p w14:paraId="38147EE1">
      <w:pPr>
        <w:jc w:val="center"/>
        <w:rPr>
          <w:b/>
          <w:bCs/>
          <w:sz w:val="40"/>
          <w:szCs w:val="40"/>
        </w:rPr>
      </w:pPr>
      <w:r>
        <w:rPr>
          <w:rFonts w:hint="eastAsia"/>
          <w:b/>
          <w:bCs/>
          <w:sz w:val="40"/>
          <w:szCs w:val="40"/>
        </w:rPr>
        <w:t>电子备份投标文件的外包装封面格式（若有）</w:t>
      </w:r>
    </w:p>
    <w:p w14:paraId="3D9B9A27">
      <w:pPr>
        <w:jc w:val="center"/>
        <w:rPr>
          <w:b/>
          <w:bCs/>
          <w:sz w:val="40"/>
          <w:szCs w:val="40"/>
        </w:rPr>
      </w:pPr>
    </w:p>
    <w:p w14:paraId="1E71241B">
      <w:pPr>
        <w:jc w:val="center"/>
        <w:rPr>
          <w:b/>
          <w:bCs/>
          <w:sz w:val="40"/>
          <w:szCs w:val="40"/>
        </w:rPr>
      </w:pPr>
      <w:bookmarkStart w:id="401" w:name="_Toc13184"/>
    </w:p>
    <w:p w14:paraId="43C2ED33">
      <w:pPr>
        <w:jc w:val="center"/>
        <w:rPr>
          <w:b/>
          <w:bCs/>
          <w:sz w:val="40"/>
          <w:szCs w:val="40"/>
        </w:rPr>
      </w:pPr>
    </w:p>
    <w:p w14:paraId="6BD6FF52">
      <w:pPr>
        <w:jc w:val="center"/>
        <w:rPr>
          <w:b/>
          <w:bCs/>
          <w:sz w:val="40"/>
          <w:szCs w:val="40"/>
        </w:rPr>
      </w:pPr>
      <w:r>
        <w:rPr>
          <w:rFonts w:hint="eastAsia"/>
          <w:b/>
          <w:bCs/>
          <w:sz w:val="40"/>
          <w:szCs w:val="40"/>
        </w:rPr>
        <w:t>电子备份投标文件</w:t>
      </w:r>
      <w:bookmarkEnd w:id="401"/>
    </w:p>
    <w:p w14:paraId="3EC07C5C">
      <w:pPr>
        <w:jc w:val="center"/>
        <w:rPr>
          <w:b/>
          <w:bCs/>
          <w:sz w:val="40"/>
          <w:szCs w:val="40"/>
        </w:rPr>
      </w:pPr>
    </w:p>
    <w:p w14:paraId="4123894E">
      <w:pPr>
        <w:jc w:val="center"/>
        <w:rPr>
          <w:b/>
          <w:bCs/>
          <w:sz w:val="40"/>
          <w:szCs w:val="40"/>
        </w:rPr>
      </w:pPr>
      <w:bookmarkStart w:id="402" w:name="_Toc18701"/>
      <w:r>
        <w:rPr>
          <w:rFonts w:hint="eastAsia"/>
          <w:b/>
          <w:bCs/>
          <w:sz w:val="40"/>
          <w:szCs w:val="40"/>
        </w:rPr>
        <w:t>项目名称：</w:t>
      </w:r>
      <w:bookmarkEnd w:id="402"/>
    </w:p>
    <w:p w14:paraId="3BF885B6">
      <w:pPr>
        <w:jc w:val="center"/>
        <w:rPr>
          <w:b/>
          <w:bCs/>
          <w:sz w:val="40"/>
          <w:szCs w:val="40"/>
        </w:rPr>
      </w:pPr>
    </w:p>
    <w:p w14:paraId="285AF429">
      <w:pPr>
        <w:jc w:val="center"/>
        <w:rPr>
          <w:b/>
          <w:bCs/>
          <w:sz w:val="40"/>
          <w:szCs w:val="40"/>
        </w:rPr>
      </w:pPr>
      <w:bookmarkStart w:id="403" w:name="_Toc20693"/>
      <w:r>
        <w:rPr>
          <w:rFonts w:hint="eastAsia"/>
          <w:b/>
          <w:bCs/>
          <w:sz w:val="40"/>
          <w:szCs w:val="40"/>
          <w:lang w:val="en-US" w:eastAsia="zh-CN"/>
        </w:rPr>
        <w:t>项目编号</w:t>
      </w:r>
      <w:r>
        <w:rPr>
          <w:rFonts w:hint="eastAsia"/>
          <w:b/>
          <w:bCs/>
          <w:sz w:val="40"/>
          <w:szCs w:val="40"/>
        </w:rPr>
        <w:t>：</w:t>
      </w:r>
      <w:bookmarkEnd w:id="403"/>
    </w:p>
    <w:p w14:paraId="6F184CC1">
      <w:pPr>
        <w:jc w:val="center"/>
        <w:rPr>
          <w:b/>
          <w:bCs/>
          <w:sz w:val="40"/>
          <w:szCs w:val="40"/>
        </w:rPr>
      </w:pPr>
    </w:p>
    <w:p w14:paraId="2DD72143">
      <w:pPr>
        <w:jc w:val="center"/>
        <w:rPr>
          <w:b/>
          <w:bCs/>
          <w:sz w:val="40"/>
          <w:szCs w:val="40"/>
        </w:rPr>
      </w:pPr>
      <w:bookmarkStart w:id="404" w:name="_Toc27616"/>
      <w:r>
        <w:rPr>
          <w:rFonts w:hint="eastAsia"/>
          <w:b/>
          <w:bCs/>
          <w:sz w:val="40"/>
          <w:szCs w:val="40"/>
        </w:rPr>
        <w:t>投标人名称：（盖章）</w:t>
      </w:r>
      <w:bookmarkEnd w:id="404"/>
    </w:p>
    <w:p w14:paraId="6E0D4E12">
      <w:pPr>
        <w:jc w:val="center"/>
        <w:rPr>
          <w:b/>
          <w:bCs/>
          <w:sz w:val="40"/>
          <w:szCs w:val="40"/>
        </w:rPr>
      </w:pPr>
    </w:p>
    <w:p w14:paraId="11174248">
      <w:pPr>
        <w:jc w:val="center"/>
        <w:rPr>
          <w:b/>
          <w:bCs/>
          <w:sz w:val="40"/>
          <w:szCs w:val="40"/>
        </w:rPr>
      </w:pPr>
      <w:bookmarkStart w:id="405" w:name="_Toc8328"/>
      <w:r>
        <w:rPr>
          <w:rFonts w:hint="eastAsia"/>
          <w:b/>
          <w:bCs/>
          <w:sz w:val="40"/>
          <w:szCs w:val="40"/>
        </w:rPr>
        <w:t>投标人地址：</w:t>
      </w:r>
      <w:bookmarkEnd w:id="405"/>
    </w:p>
    <w:p w14:paraId="56283B62">
      <w:pPr>
        <w:jc w:val="center"/>
        <w:rPr>
          <w:b/>
          <w:bCs/>
          <w:sz w:val="40"/>
          <w:szCs w:val="40"/>
        </w:rPr>
      </w:pPr>
    </w:p>
    <w:p w14:paraId="70F253A5">
      <w:pPr>
        <w:jc w:val="center"/>
        <w:rPr>
          <w:b/>
          <w:bCs/>
          <w:sz w:val="40"/>
          <w:szCs w:val="40"/>
        </w:rPr>
      </w:pPr>
      <w:bookmarkStart w:id="406" w:name="_Toc23143"/>
      <w:r>
        <w:rPr>
          <w:rFonts w:hint="eastAsia"/>
          <w:b/>
          <w:bCs/>
          <w:sz w:val="40"/>
          <w:szCs w:val="40"/>
        </w:rPr>
        <w:t xml:space="preserve">在   </w:t>
      </w:r>
      <w:r>
        <w:rPr>
          <w:rFonts w:hint="eastAsia"/>
          <w:b/>
          <w:bCs/>
          <w:sz w:val="40"/>
          <w:szCs w:val="40"/>
        </w:rPr>
        <w:tab/>
      </w:r>
      <w:r>
        <w:rPr>
          <w:rFonts w:hint="eastAsia"/>
          <w:b/>
          <w:bCs/>
          <w:sz w:val="40"/>
          <w:szCs w:val="40"/>
        </w:rPr>
        <w:t xml:space="preserve">年 </w:t>
      </w:r>
      <w:r>
        <w:rPr>
          <w:rFonts w:hint="eastAsia"/>
          <w:b/>
          <w:bCs/>
          <w:sz w:val="40"/>
          <w:szCs w:val="40"/>
        </w:rPr>
        <w:tab/>
      </w:r>
      <w:r>
        <w:rPr>
          <w:rFonts w:hint="eastAsia"/>
          <w:b/>
          <w:bCs/>
          <w:sz w:val="40"/>
          <w:szCs w:val="40"/>
        </w:rPr>
        <w:t>月</w:t>
      </w:r>
      <w:r>
        <w:rPr>
          <w:rFonts w:hint="eastAsia"/>
          <w:b/>
          <w:bCs/>
          <w:sz w:val="40"/>
          <w:szCs w:val="40"/>
        </w:rPr>
        <w:tab/>
      </w:r>
      <w:r>
        <w:rPr>
          <w:rFonts w:hint="eastAsia"/>
          <w:b/>
          <w:bCs/>
          <w:sz w:val="40"/>
          <w:szCs w:val="40"/>
        </w:rPr>
        <w:t xml:space="preserve"> 日</w:t>
      </w:r>
      <w:r>
        <w:rPr>
          <w:rFonts w:hint="eastAsia"/>
          <w:b/>
          <w:bCs/>
          <w:sz w:val="40"/>
          <w:szCs w:val="40"/>
        </w:rPr>
        <w:tab/>
      </w:r>
      <w:r>
        <w:rPr>
          <w:rFonts w:hint="eastAsia"/>
          <w:b/>
          <w:bCs/>
          <w:sz w:val="40"/>
          <w:szCs w:val="40"/>
        </w:rPr>
        <w:t xml:space="preserve"> 时</w:t>
      </w:r>
      <w:r>
        <w:rPr>
          <w:rFonts w:hint="eastAsia"/>
          <w:b/>
          <w:bCs/>
          <w:sz w:val="40"/>
          <w:szCs w:val="40"/>
        </w:rPr>
        <w:tab/>
      </w:r>
      <w:r>
        <w:rPr>
          <w:rFonts w:hint="eastAsia"/>
          <w:b/>
          <w:bCs/>
          <w:sz w:val="40"/>
          <w:szCs w:val="40"/>
        </w:rPr>
        <w:t xml:space="preserve"> 分之前不得启封。</w:t>
      </w:r>
      <w:bookmarkEnd w:id="406"/>
    </w:p>
    <w:p w14:paraId="163CB483">
      <w:pPr>
        <w:jc w:val="center"/>
        <w:rPr>
          <w:b/>
          <w:bCs/>
          <w:sz w:val="40"/>
          <w:szCs w:val="40"/>
        </w:rPr>
      </w:pPr>
    </w:p>
    <w:p w14:paraId="3DBA20A3">
      <w:pPr>
        <w:jc w:val="center"/>
        <w:rPr>
          <w:b/>
          <w:bCs/>
          <w:sz w:val="40"/>
          <w:szCs w:val="40"/>
        </w:rPr>
      </w:pPr>
      <w:bookmarkStart w:id="407" w:name="_Toc10680"/>
      <w:r>
        <w:rPr>
          <w:rFonts w:hint="eastAsia"/>
          <w:b/>
          <w:bCs/>
          <w:sz w:val="40"/>
          <w:szCs w:val="40"/>
        </w:rPr>
        <w:t>年</w:t>
      </w:r>
      <w:r>
        <w:rPr>
          <w:rFonts w:hint="eastAsia"/>
          <w:b/>
          <w:bCs/>
          <w:sz w:val="40"/>
          <w:szCs w:val="40"/>
        </w:rPr>
        <w:tab/>
      </w:r>
      <w:r>
        <w:rPr>
          <w:rFonts w:hint="eastAsia"/>
          <w:b/>
          <w:bCs/>
          <w:sz w:val="40"/>
          <w:szCs w:val="40"/>
        </w:rPr>
        <w:t xml:space="preserve">   月   </w:t>
      </w:r>
      <w:r>
        <w:rPr>
          <w:rFonts w:hint="eastAsia"/>
          <w:b/>
          <w:bCs/>
          <w:sz w:val="40"/>
          <w:szCs w:val="40"/>
        </w:rPr>
        <w:tab/>
      </w:r>
      <w:r>
        <w:rPr>
          <w:rFonts w:hint="eastAsia"/>
          <w:b/>
          <w:bCs/>
          <w:sz w:val="40"/>
          <w:szCs w:val="40"/>
        </w:rPr>
        <w:t>日</w:t>
      </w:r>
      <w:bookmarkEnd w:id="407"/>
    </w:p>
    <w:p w14:paraId="23F7D9CA">
      <w:pPr>
        <w:rPr>
          <w:sz w:val="40"/>
          <w:szCs w:val="40"/>
        </w:rPr>
      </w:pPr>
    </w:p>
    <w:p w14:paraId="22E7C4A6">
      <w:pPr>
        <w:rPr>
          <w:rFonts w:hint="eastAsia" w:ascii="宋体" w:hAnsi="宋体" w:cs="宋体"/>
          <w:b/>
          <w:kern w:val="0"/>
          <w:sz w:val="36"/>
          <w:szCs w:val="36"/>
        </w:rPr>
      </w:pPr>
      <w:r>
        <w:rPr>
          <w:rFonts w:hint="eastAsia" w:ascii="宋体" w:hAnsi="宋体" w:cs="宋体"/>
          <w:b/>
          <w:kern w:val="0"/>
          <w:sz w:val="36"/>
          <w:szCs w:val="36"/>
        </w:rPr>
        <w:br w:type="page"/>
      </w:r>
    </w:p>
    <w:p w14:paraId="4042C65C">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资格文件部分</w:t>
      </w:r>
    </w:p>
    <w:p w14:paraId="53927F31">
      <w:pPr>
        <w:jc w:val="center"/>
        <w:rPr>
          <w:sz w:val="36"/>
          <w:szCs w:val="36"/>
        </w:rPr>
      </w:pPr>
      <w:r>
        <w:rPr>
          <w:rFonts w:hint="eastAsia"/>
          <w:sz w:val="36"/>
          <w:szCs w:val="36"/>
        </w:rPr>
        <w:t>目录</w:t>
      </w:r>
    </w:p>
    <w:p w14:paraId="4138C557"/>
    <w:p w14:paraId="2075283E">
      <w:pPr>
        <w:numPr>
          <w:ilvl w:val="0"/>
          <w:numId w:val="21"/>
        </w:numPr>
        <w:snapToGrid w:val="0"/>
        <w:spacing w:line="360" w:lineRule="auto"/>
        <w:ind w:firstLine="218" w:firstLineChars="91"/>
        <w:rPr>
          <w:rFonts w:hint="eastAsia" w:ascii="宋体" w:hAnsi="宋体" w:cs="宋体"/>
          <w:sz w:val="24"/>
        </w:rPr>
      </w:pPr>
      <w:r>
        <w:rPr>
          <w:rFonts w:hint="eastAsia" w:ascii="宋体" w:hAnsi="宋体" w:cs="宋体"/>
          <w:sz w:val="24"/>
        </w:rPr>
        <w:t>符合参加政府采购活动应当具备的一般条件的承诺函…………………（页码）</w:t>
      </w:r>
    </w:p>
    <w:p w14:paraId="2066E36E">
      <w:pPr>
        <w:numPr>
          <w:ilvl w:val="255"/>
          <w:numId w:val="0"/>
        </w:numPr>
        <w:snapToGrid w:val="0"/>
        <w:spacing w:line="360" w:lineRule="auto"/>
        <w:ind w:firstLine="218" w:firstLineChars="91"/>
        <w:rPr>
          <w:rFonts w:hint="eastAsia" w:ascii="宋体" w:hAnsi="宋体" w:cs="宋体"/>
          <w:sz w:val="24"/>
        </w:rPr>
      </w:pPr>
      <w:r>
        <w:rPr>
          <w:rFonts w:hint="eastAsia" w:ascii="宋体" w:hAnsi="宋体" w:cs="宋体"/>
          <w:snapToGrid w:val="0"/>
          <w:kern w:val="28"/>
          <w:sz w:val="24"/>
          <w:szCs w:val="20"/>
        </w:rPr>
        <w:t>（2）营业执照……………</w:t>
      </w:r>
      <w:r>
        <w:rPr>
          <w:rFonts w:hint="eastAsia" w:ascii="宋体" w:hAnsi="宋体" w:cs="宋体"/>
          <w:sz w:val="24"/>
        </w:rPr>
        <w:t>………………………………………………………（页码）</w:t>
      </w:r>
    </w:p>
    <w:p w14:paraId="64B6A8C1">
      <w:pPr>
        <w:snapToGrid w:val="0"/>
        <w:spacing w:line="360" w:lineRule="auto"/>
        <w:ind w:firstLine="218" w:firstLineChars="91"/>
        <w:rPr>
          <w:rFonts w:hint="eastAsia" w:ascii="宋体" w:hAnsi="宋体" w:cs="宋体"/>
          <w:sz w:val="24"/>
        </w:rPr>
      </w:pPr>
      <w:r>
        <w:rPr>
          <w:rFonts w:hint="eastAsia" w:ascii="宋体" w:hAnsi="宋体" w:cs="宋体"/>
          <w:snapToGrid w:val="0"/>
          <w:kern w:val="28"/>
          <w:sz w:val="24"/>
          <w:szCs w:val="20"/>
        </w:rPr>
        <w:t>（3）联合协议</w:t>
      </w:r>
      <w:r>
        <w:rPr>
          <w:rFonts w:hint="eastAsia" w:ascii="宋体" w:hAnsi="宋体" w:cs="宋体"/>
          <w:sz w:val="24"/>
        </w:rPr>
        <w:t>……………………………………………………………………（页码）</w:t>
      </w:r>
    </w:p>
    <w:p w14:paraId="26B067BE">
      <w:pPr>
        <w:snapToGrid w:val="0"/>
        <w:spacing w:line="360" w:lineRule="auto"/>
        <w:ind w:firstLine="240" w:firstLineChars="100"/>
        <w:rPr>
          <w:rFonts w:hint="eastAsia" w:ascii="宋体" w:hAnsi="宋体" w:cs="宋体"/>
          <w:sz w:val="24"/>
        </w:rPr>
      </w:pPr>
      <w:r>
        <w:rPr>
          <w:rFonts w:hint="eastAsia" w:ascii="宋体" w:hAnsi="宋体" w:cs="宋体"/>
          <w:sz w:val="24"/>
        </w:rPr>
        <w:t>（4）落实政府采购政策需满足的资格要求……………………………………（页码）</w:t>
      </w:r>
    </w:p>
    <w:p w14:paraId="0EC9669C">
      <w:pPr>
        <w:snapToGrid w:val="0"/>
        <w:spacing w:line="360" w:lineRule="auto"/>
        <w:ind w:firstLine="240" w:firstLineChars="100"/>
        <w:rPr>
          <w:rFonts w:hint="eastAsia" w:ascii="宋体" w:hAnsi="宋体" w:cs="宋体"/>
          <w:sz w:val="24"/>
        </w:rPr>
      </w:pPr>
      <w:r>
        <w:rPr>
          <w:rFonts w:hint="eastAsia" w:ascii="宋体" w:hAnsi="宋体" w:cs="宋体"/>
          <w:sz w:val="24"/>
        </w:rPr>
        <w:t>（5）本项目的特定资格要求……………………………………………………（页码）</w:t>
      </w:r>
    </w:p>
    <w:p w14:paraId="066D9303">
      <w:pPr>
        <w:snapToGrid w:val="0"/>
        <w:spacing w:line="360" w:lineRule="auto"/>
        <w:ind w:firstLine="480" w:firstLineChars="200"/>
        <w:rPr>
          <w:rFonts w:hint="eastAsia" w:ascii="宋体" w:hAnsi="宋体" w:cs="宋体"/>
          <w:sz w:val="24"/>
        </w:rPr>
      </w:pPr>
    </w:p>
    <w:p w14:paraId="70942CB0">
      <w:pPr>
        <w:spacing w:line="360" w:lineRule="auto"/>
        <w:ind w:firstLine="480" w:firstLineChars="200"/>
        <w:rPr>
          <w:rFonts w:hint="eastAsia" w:ascii="宋体" w:hAnsi="宋体" w:cs="宋体"/>
          <w:sz w:val="24"/>
        </w:rPr>
      </w:pPr>
    </w:p>
    <w:p w14:paraId="1F7C4C80">
      <w:pPr>
        <w:snapToGrid w:val="0"/>
        <w:spacing w:line="360" w:lineRule="auto"/>
        <w:ind w:right="480"/>
        <w:jc w:val="center"/>
        <w:rPr>
          <w:rFonts w:hint="eastAsia"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01355618">
      <w:pPr>
        <w:snapToGrid w:val="0"/>
        <w:spacing w:line="360" w:lineRule="auto"/>
        <w:rPr>
          <w:rFonts w:hint="eastAsia" w:ascii="宋体" w:hAnsi="宋体" w:cs="宋体"/>
          <w:sz w:val="24"/>
        </w:rPr>
      </w:pPr>
      <w:r>
        <w:rPr>
          <w:rFonts w:hint="eastAsia" w:ascii="宋体" w:hAnsi="宋体" w:cs="宋体"/>
          <w:sz w:val="24"/>
        </w:rPr>
        <w:t>（采购人）、（采购代理机构）：</w:t>
      </w:r>
    </w:p>
    <w:p w14:paraId="29548CAA">
      <w:pPr>
        <w:snapToGrid w:val="0"/>
        <w:spacing w:line="360" w:lineRule="auto"/>
        <w:ind w:firstLine="480" w:firstLineChars="200"/>
        <w:rPr>
          <w:rFonts w:hint="eastAsia" w:ascii="宋体" w:hAnsi="宋体" w:cs="宋体"/>
          <w:sz w:val="24"/>
        </w:rPr>
      </w:pPr>
      <w:r>
        <w:rPr>
          <w:rFonts w:hint="eastAsia" w:ascii="宋体" w:hAnsi="宋体" w:cs="宋体"/>
          <w:sz w:val="24"/>
        </w:rPr>
        <w:t>我方参与（项目名称）【</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】政府采购活动，郑重承诺：</w:t>
      </w:r>
    </w:p>
    <w:p w14:paraId="70ABA773">
      <w:pPr>
        <w:snapToGrid w:val="0"/>
        <w:spacing w:line="360" w:lineRule="auto"/>
        <w:ind w:firstLine="360" w:firstLineChars="150"/>
        <w:rPr>
          <w:rFonts w:hint="eastAsia" w:ascii="宋体" w:hAnsi="宋体" w:cs="宋体"/>
          <w:sz w:val="24"/>
        </w:rPr>
      </w:pPr>
      <w:r>
        <w:rPr>
          <w:rFonts w:hint="eastAsia" w:ascii="宋体" w:hAnsi="宋体" w:cs="宋体"/>
          <w:sz w:val="24"/>
        </w:rPr>
        <w:t>（一）具备《中华人民共和国政府采购法》第二十二条第一款规定的条件：</w:t>
      </w:r>
    </w:p>
    <w:p w14:paraId="454B12F9">
      <w:pPr>
        <w:snapToGrid w:val="0"/>
        <w:spacing w:line="360" w:lineRule="auto"/>
        <w:ind w:firstLine="480" w:firstLineChars="200"/>
        <w:rPr>
          <w:rFonts w:hint="eastAsia" w:ascii="宋体" w:hAnsi="宋体" w:cs="宋体"/>
          <w:sz w:val="24"/>
        </w:rPr>
      </w:pPr>
      <w:r>
        <w:rPr>
          <w:rFonts w:hint="eastAsia" w:ascii="宋体" w:hAnsi="宋体" w:cs="宋体"/>
          <w:sz w:val="24"/>
        </w:rPr>
        <w:t>1、具有独立承担民事责任的能力；</w:t>
      </w:r>
    </w:p>
    <w:p w14:paraId="79675D44">
      <w:pPr>
        <w:snapToGrid w:val="0"/>
        <w:spacing w:line="360" w:lineRule="auto"/>
        <w:ind w:firstLine="480" w:firstLineChars="200"/>
        <w:rPr>
          <w:rFonts w:hint="eastAsia" w:ascii="宋体" w:hAnsi="宋体" w:cs="宋体"/>
          <w:sz w:val="24"/>
        </w:rPr>
      </w:pPr>
      <w:r>
        <w:rPr>
          <w:rFonts w:hint="eastAsia" w:ascii="宋体" w:hAnsi="宋体" w:cs="宋体"/>
          <w:sz w:val="24"/>
        </w:rPr>
        <w:t xml:space="preserve">2、具有良好的商业信誉和健全的财务会计制度； </w:t>
      </w:r>
    </w:p>
    <w:p w14:paraId="102DBED5">
      <w:pPr>
        <w:snapToGrid w:val="0"/>
        <w:spacing w:line="360" w:lineRule="auto"/>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30A41536">
      <w:pPr>
        <w:snapToGrid w:val="0"/>
        <w:spacing w:line="360" w:lineRule="auto"/>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16D28AC1">
      <w:pPr>
        <w:snapToGrid w:val="0"/>
        <w:spacing w:line="360" w:lineRule="auto"/>
        <w:ind w:firstLine="480" w:firstLineChars="200"/>
        <w:rPr>
          <w:rFonts w:hint="eastAsia" w:ascii="宋体" w:hAnsi="宋体" w:cs="宋体"/>
          <w:sz w:val="24"/>
        </w:rPr>
      </w:pPr>
      <w:r>
        <w:rPr>
          <w:rFonts w:hint="eastAsia" w:ascii="宋体" w:hAnsi="宋体" w:cs="宋体"/>
          <w:sz w:val="24"/>
        </w:rPr>
        <w:t>5、参加政府采购活动前三年内，在经营活动中没有重大违法记录；</w:t>
      </w:r>
    </w:p>
    <w:p w14:paraId="1298E5A6">
      <w:pPr>
        <w:snapToGrid w:val="0"/>
        <w:spacing w:line="360" w:lineRule="auto"/>
        <w:ind w:firstLine="480" w:firstLineChars="200"/>
        <w:rPr>
          <w:rFonts w:hint="eastAsia" w:ascii="宋体" w:hAnsi="宋体" w:cs="宋体"/>
          <w:sz w:val="24"/>
        </w:rPr>
      </w:pPr>
      <w:r>
        <w:rPr>
          <w:rFonts w:hint="eastAsia" w:ascii="宋体" w:hAnsi="宋体" w:cs="宋体"/>
          <w:sz w:val="24"/>
        </w:rPr>
        <w:t>6、具有法律、行政法规规定的其他条件。</w:t>
      </w:r>
    </w:p>
    <w:p w14:paraId="440DAEFD">
      <w:pPr>
        <w:snapToGrid w:val="0"/>
        <w:spacing w:line="360" w:lineRule="auto"/>
        <w:ind w:firstLine="480" w:firstLineChars="200"/>
        <w:rPr>
          <w:rFonts w:hint="eastAsia"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69E5D783">
      <w:pPr>
        <w:snapToGrid w:val="0"/>
        <w:spacing w:line="360" w:lineRule="auto"/>
        <w:ind w:firstLine="480" w:firstLineChars="200"/>
        <w:rPr>
          <w:rFonts w:hint="eastAsia" w:ascii="宋体" w:hAnsi="宋体" w:cs="宋体"/>
          <w:sz w:val="24"/>
        </w:rPr>
      </w:pPr>
      <w:r>
        <w:rPr>
          <w:rFonts w:hint="eastAsia" w:ascii="宋体" w:hAnsi="宋体" w:cs="宋体"/>
          <w:sz w:val="24"/>
        </w:rPr>
        <w:t>（三）不存在以下情况：</w:t>
      </w:r>
    </w:p>
    <w:p w14:paraId="443E8984">
      <w:pPr>
        <w:snapToGrid w:val="0"/>
        <w:spacing w:line="360" w:lineRule="auto"/>
        <w:ind w:firstLine="480" w:firstLineChars="200"/>
        <w:rPr>
          <w:rFonts w:hint="eastAsia"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3EA03AC8">
      <w:pPr>
        <w:snapToGrid w:val="0"/>
        <w:spacing w:line="360" w:lineRule="auto"/>
        <w:ind w:firstLine="480" w:firstLineChars="200"/>
        <w:rPr>
          <w:rFonts w:hint="eastAsia"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43B0C0D0">
      <w:pPr>
        <w:snapToGrid w:val="0"/>
        <w:spacing w:line="360" w:lineRule="auto"/>
        <w:ind w:firstLine="5520" w:firstLineChars="2300"/>
        <w:rPr>
          <w:rFonts w:hint="eastAsia" w:ascii="宋体" w:hAnsi="宋体" w:cs="宋体"/>
          <w:kern w:val="0"/>
          <w:sz w:val="24"/>
          <w:lang w:val="zh-CN"/>
        </w:rPr>
      </w:pPr>
    </w:p>
    <w:p w14:paraId="6FFC22C7">
      <w:pPr>
        <w:snapToGrid w:val="0"/>
        <w:spacing w:line="360" w:lineRule="auto"/>
        <w:ind w:firstLine="6240" w:firstLineChars="2600"/>
        <w:rPr>
          <w:rFonts w:hint="eastAsia" w:ascii="宋体" w:hAnsi="宋体" w:cs="宋体"/>
          <w:kern w:val="0"/>
          <w:sz w:val="24"/>
        </w:rPr>
      </w:pPr>
      <w:r>
        <w:rPr>
          <w:rFonts w:hint="eastAsia" w:ascii="宋体" w:hAnsi="宋体" w:cs="宋体"/>
          <w:kern w:val="0"/>
          <w:sz w:val="24"/>
          <w:lang w:val="zh-CN"/>
        </w:rPr>
        <w:t>投标人名称(电子签名)：</w:t>
      </w:r>
    </w:p>
    <w:p w14:paraId="48960F2A">
      <w:pPr>
        <w:snapToGrid w:val="0"/>
        <w:spacing w:line="360" w:lineRule="auto"/>
        <w:rPr>
          <w:rFonts w:hint="eastAsia"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7E2965D">
      <w:pPr>
        <w:snapToGrid w:val="0"/>
        <w:spacing w:line="360" w:lineRule="auto"/>
        <w:ind w:right="480"/>
        <w:jc w:val="center"/>
        <w:rPr>
          <w:rFonts w:hint="eastAsia" w:ascii="宋体" w:hAnsi="宋体" w:cs="宋体"/>
          <w:b/>
          <w:kern w:val="0"/>
          <w:sz w:val="32"/>
          <w:szCs w:val="32"/>
        </w:rPr>
      </w:pPr>
    </w:p>
    <w:p w14:paraId="626AC2A4">
      <w:pPr>
        <w:snapToGrid w:val="0"/>
        <w:spacing w:line="360" w:lineRule="auto"/>
        <w:ind w:right="480"/>
        <w:jc w:val="center"/>
        <w:rPr>
          <w:rFonts w:hint="eastAsia" w:ascii="宋体" w:hAnsi="宋体" w:cs="宋体"/>
          <w:b/>
          <w:kern w:val="0"/>
          <w:sz w:val="32"/>
          <w:szCs w:val="32"/>
        </w:rPr>
      </w:pPr>
    </w:p>
    <w:p w14:paraId="68145BE8">
      <w:pPr>
        <w:spacing w:line="360" w:lineRule="auto"/>
        <w:ind w:right="420"/>
        <w:rPr>
          <w:rFonts w:hint="eastAsia" w:ascii="宋体" w:hAnsi="宋体" w:cs="宋体"/>
          <w:sz w:val="24"/>
        </w:rPr>
      </w:pPr>
      <w:r>
        <w:rPr>
          <w:rFonts w:hint="eastAsia" w:ascii="宋体" w:hAnsi="宋体" w:cs="宋体"/>
          <w:sz w:val="24"/>
        </w:rPr>
        <w:t>注：按本格式和要求提供。</w:t>
      </w:r>
    </w:p>
    <w:p w14:paraId="4AB1D74B">
      <w:pPr>
        <w:snapToGrid w:val="0"/>
        <w:spacing w:line="360" w:lineRule="auto"/>
        <w:ind w:right="480"/>
        <w:jc w:val="center"/>
        <w:rPr>
          <w:rFonts w:hint="eastAsia" w:ascii="宋体" w:hAnsi="宋体" w:cs="宋体"/>
          <w:b/>
          <w:kern w:val="0"/>
          <w:sz w:val="32"/>
          <w:szCs w:val="32"/>
        </w:rPr>
      </w:pPr>
    </w:p>
    <w:p w14:paraId="7D2078C5">
      <w:pPr>
        <w:rPr>
          <w:rFonts w:hint="eastAsia" w:ascii="宋体" w:hAnsi="宋体" w:cs="宋体"/>
        </w:rPr>
      </w:pPr>
    </w:p>
    <w:p w14:paraId="3B94BFF3">
      <w:pPr>
        <w:snapToGrid w:val="0"/>
        <w:spacing w:line="360" w:lineRule="auto"/>
        <w:ind w:right="480"/>
        <w:jc w:val="center"/>
        <w:rPr>
          <w:rFonts w:hint="eastAsia" w:ascii="宋体" w:hAnsi="宋体" w:cs="宋体"/>
          <w:b/>
          <w:kern w:val="0"/>
          <w:sz w:val="32"/>
          <w:szCs w:val="32"/>
        </w:rPr>
      </w:pPr>
    </w:p>
    <w:p w14:paraId="7932540F">
      <w:pPr>
        <w:widowControl/>
        <w:adjustRightInd/>
        <w:jc w:val="left"/>
        <w:rPr>
          <w:rFonts w:hint="eastAsia" w:ascii="宋体" w:hAnsi="宋体" w:cs="宋体"/>
          <w:b/>
          <w:kern w:val="0"/>
          <w:sz w:val="32"/>
          <w:szCs w:val="32"/>
        </w:rPr>
      </w:pPr>
      <w:r>
        <w:rPr>
          <w:rFonts w:ascii="宋体" w:hAnsi="宋体" w:cs="宋体"/>
          <w:b/>
          <w:kern w:val="0"/>
          <w:sz w:val="32"/>
          <w:szCs w:val="32"/>
        </w:rPr>
        <w:br w:type="page"/>
      </w:r>
    </w:p>
    <w:p w14:paraId="75BE2CDA">
      <w:pPr>
        <w:widowControl/>
        <w:numPr>
          <w:ilvl w:val="-1"/>
          <w:numId w:val="0"/>
        </w:numPr>
        <w:spacing w:line="360" w:lineRule="auto"/>
        <w:ind w:left="0" w:firstLine="0" w:firstLineChars="0"/>
        <w:jc w:val="center"/>
        <w:rPr>
          <w:rFonts w:hint="eastAsia" w:ascii="宋体" w:hAnsi="宋体" w:cs="宋体"/>
          <w:b/>
          <w:kern w:val="0"/>
          <w:sz w:val="32"/>
          <w:szCs w:val="32"/>
        </w:rPr>
      </w:pPr>
      <w:r>
        <w:rPr>
          <w:rFonts w:hint="eastAsia" w:ascii="宋体" w:hAnsi="宋体" w:cs="宋体"/>
          <w:b/>
          <w:kern w:val="0"/>
          <w:sz w:val="32"/>
          <w:szCs w:val="32"/>
        </w:rPr>
        <w:t>二、营业执照</w:t>
      </w:r>
    </w:p>
    <w:p w14:paraId="38194B2A">
      <w:pPr>
        <w:widowControl/>
        <w:numPr>
          <w:ilvl w:val="255"/>
          <w:numId w:val="0"/>
        </w:numPr>
        <w:spacing w:line="360" w:lineRule="auto"/>
        <w:ind w:left="600"/>
        <w:jc w:val="center"/>
        <w:rPr>
          <w:rFonts w:hint="eastAsia" w:ascii="宋体" w:hAnsi="宋体" w:cs="宋体"/>
          <w:b/>
          <w:kern w:val="0"/>
          <w:sz w:val="32"/>
          <w:szCs w:val="32"/>
        </w:rPr>
      </w:pPr>
      <w:r>
        <w:rPr>
          <w:rFonts w:hint="eastAsia" w:ascii="宋体" w:hAnsi="宋体" w:cs="宋体"/>
          <w:b/>
          <w:kern w:val="0"/>
          <w:sz w:val="32"/>
          <w:szCs w:val="32"/>
        </w:rPr>
        <w:t>法人或者其他组织机构的营业执照（扫描件或复印件加盖公章）或事业法人登记证书或其他工商等登记证明材料；</w:t>
      </w:r>
    </w:p>
    <w:p w14:paraId="23F6B91F">
      <w:pPr>
        <w:widowControl/>
        <w:adjustRightInd/>
        <w:spacing w:line="360" w:lineRule="auto"/>
        <w:ind w:firstLine="480" w:firstLineChars="200"/>
        <w:jc w:val="left"/>
        <w:rPr>
          <w:rFonts w:hint="eastAsia" w:ascii="宋体" w:hAnsi="宋体" w:cs="宋体"/>
          <w:b/>
          <w:kern w:val="0"/>
          <w:sz w:val="32"/>
          <w:szCs w:val="32"/>
        </w:rPr>
      </w:pPr>
      <w:r>
        <w:rPr>
          <w:rFonts w:hint="eastAsia" w:ascii="宋体" w:hAnsi="宋体" w:cs="宋体"/>
          <w:sz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43222C40">
      <w:pPr>
        <w:widowControl/>
        <w:spacing w:line="360" w:lineRule="auto"/>
        <w:ind w:firstLine="0" w:firstLineChars="0"/>
        <w:jc w:val="both"/>
        <w:rPr>
          <w:rFonts w:hint="eastAsia" w:ascii="宋体" w:hAnsi="宋体" w:cs="宋体"/>
          <w:b/>
          <w:kern w:val="0"/>
          <w:sz w:val="32"/>
          <w:szCs w:val="32"/>
        </w:rPr>
      </w:pPr>
    </w:p>
    <w:p w14:paraId="4BA0459E">
      <w:pPr>
        <w:widowControl/>
        <w:spacing w:line="360" w:lineRule="auto"/>
        <w:ind w:firstLine="643" w:firstLineChars="200"/>
        <w:jc w:val="center"/>
        <w:rPr>
          <w:rFonts w:hint="eastAsia" w:ascii="宋体" w:hAnsi="宋体" w:cs="宋体"/>
          <w:b/>
          <w:kern w:val="0"/>
          <w:sz w:val="32"/>
          <w:szCs w:val="32"/>
        </w:rPr>
      </w:pPr>
      <w:r>
        <w:rPr>
          <w:rFonts w:hint="eastAsia" w:ascii="宋体" w:hAnsi="宋体" w:cs="宋体"/>
          <w:b/>
          <w:kern w:val="0"/>
          <w:sz w:val="32"/>
          <w:szCs w:val="32"/>
        </w:rPr>
        <w:t>三、联合协议</w:t>
      </w:r>
      <w:r>
        <w:rPr>
          <w:rFonts w:hint="eastAsia" w:ascii="宋体" w:hAnsi="宋体" w:cs="宋体"/>
          <w:b/>
          <w:bCs/>
          <w:sz w:val="32"/>
          <w:szCs w:val="32"/>
        </w:rPr>
        <w:t>（若有）</w:t>
      </w:r>
    </w:p>
    <w:p w14:paraId="4368F85E">
      <w:pPr>
        <w:widowControl/>
        <w:spacing w:line="360" w:lineRule="auto"/>
        <w:ind w:firstLine="480" w:firstLineChars="200"/>
        <w:jc w:val="center"/>
        <w:rPr>
          <w:rFonts w:hint="eastAsia" w:ascii="宋体" w:hAnsi="宋体" w:cs="宋体"/>
          <w:b w:val="0"/>
          <w:bCs/>
          <w:sz w:val="24"/>
        </w:rPr>
      </w:pPr>
      <w:r>
        <w:rPr>
          <w:rFonts w:hint="eastAsia" w:ascii="宋体" w:hAnsi="宋体" w:cs="宋体"/>
          <w:b w:val="0"/>
          <w:bCs/>
          <w:sz w:val="24"/>
        </w:rPr>
        <w:t>[以联合体形式投标的，提供联合协议（附件5）；本项目不接受联合体投标或者投标人不以联合体形式投标的，则不需要提供）]</w:t>
      </w:r>
    </w:p>
    <w:p w14:paraId="19509438">
      <w:pPr>
        <w:snapToGrid w:val="0"/>
        <w:spacing w:line="360" w:lineRule="auto"/>
        <w:ind w:right="480"/>
        <w:jc w:val="both"/>
        <w:rPr>
          <w:rFonts w:hint="eastAsia" w:ascii="宋体" w:hAnsi="宋体" w:cs="宋体"/>
          <w:b/>
          <w:kern w:val="0"/>
          <w:sz w:val="32"/>
          <w:szCs w:val="32"/>
        </w:rPr>
      </w:pPr>
    </w:p>
    <w:p w14:paraId="1A497493">
      <w:pPr>
        <w:snapToGrid/>
        <w:spacing w:line="360" w:lineRule="auto"/>
        <w:ind w:right="0"/>
        <w:jc w:val="center"/>
        <w:rPr>
          <w:rFonts w:hint="eastAsia" w:ascii="宋体" w:hAnsi="宋体" w:cs="宋体"/>
          <w:b/>
          <w:kern w:val="0"/>
          <w:sz w:val="32"/>
          <w:szCs w:val="32"/>
        </w:rPr>
      </w:pPr>
      <w:r>
        <w:rPr>
          <w:rFonts w:hint="eastAsia" w:ascii="宋体" w:hAnsi="宋体" w:cs="宋体"/>
          <w:b/>
          <w:kern w:val="0"/>
          <w:sz w:val="32"/>
          <w:szCs w:val="32"/>
        </w:rPr>
        <w:t>四、落实政府采购政策需满足的资格要求</w:t>
      </w:r>
      <w:r>
        <w:rPr>
          <w:rFonts w:hint="eastAsia" w:ascii="宋体" w:hAnsi="宋体" w:cs="宋体"/>
          <w:b/>
          <w:bCs/>
          <w:sz w:val="32"/>
          <w:szCs w:val="32"/>
        </w:rPr>
        <w:t>（若有）</w:t>
      </w:r>
    </w:p>
    <w:p w14:paraId="46E562F1">
      <w:pPr>
        <w:spacing w:line="360" w:lineRule="auto"/>
        <w:jc w:val="center"/>
        <w:rPr>
          <w:rFonts w:hint="eastAsia"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1A204D6A">
      <w:pPr>
        <w:widowControl/>
        <w:snapToGrid w:val="0"/>
        <w:spacing w:before="50" w:after="50" w:line="360" w:lineRule="auto"/>
        <w:ind w:firstLine="472" w:firstLineChars="196"/>
        <w:jc w:val="left"/>
        <w:rPr>
          <w:rFonts w:hint="eastAsia" w:ascii="宋体" w:hAnsi="宋体" w:cs="宋体"/>
          <w:sz w:val="24"/>
        </w:rPr>
      </w:pPr>
      <w:r>
        <w:rPr>
          <w:rFonts w:hint="eastAsia" w:ascii="宋体" w:hAnsi="宋体" w:cs="宋体"/>
          <w:b/>
          <w:bCs w:val="0"/>
          <w:color w:val="000000" w:themeColor="text1"/>
          <w:sz w:val="24"/>
          <w14:textFill>
            <w14:solidFill>
              <w14:schemeClr w14:val="tx1"/>
            </w14:solidFill>
          </w14:textFill>
        </w:rPr>
        <w:t>A.本项目为专门面向中小企业项目。货物全部由符合政策要求的中小微企业制造的，提供相应的中小企业声明函（附件7）。</w:t>
      </w:r>
      <w:r>
        <w:rPr>
          <w:rFonts w:hint="eastAsia" w:ascii="宋体" w:hAnsi="宋体" w:cs="宋体"/>
          <w:b/>
          <w:bCs w:val="0"/>
          <w:sz w:val="24"/>
        </w:rPr>
        <w:t xml:space="preserve"> </w:t>
      </w:r>
    </w:p>
    <w:p w14:paraId="681E31FD">
      <w:pPr>
        <w:widowControl/>
        <w:snapToGrid/>
        <w:spacing w:before="0" w:after="0" w:line="360" w:lineRule="auto"/>
        <w:ind w:firstLine="472" w:firstLineChars="196"/>
        <w:jc w:val="left"/>
        <w:rPr>
          <w:rFonts w:hint="eastAsia"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r>
        <w:rPr>
          <w:rFonts w:hint="eastAsia" w:ascii="宋体" w:hAnsi="宋体" w:cs="宋体"/>
          <w:b/>
          <w:sz w:val="24"/>
        </w:rPr>
        <w:t xml:space="preserve">    </w:t>
      </w:r>
    </w:p>
    <w:p w14:paraId="0F400189">
      <w:pPr>
        <w:spacing w:line="360" w:lineRule="auto"/>
        <w:ind w:firstLine="482" w:firstLineChars="200"/>
        <w:rPr>
          <w:rFonts w:hint="eastAsia"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5ECC0B88">
      <w:pPr>
        <w:widowControl/>
        <w:spacing w:line="360" w:lineRule="auto"/>
        <w:ind w:left="150"/>
        <w:jc w:val="center"/>
        <w:rPr>
          <w:rFonts w:hint="eastAsia" w:ascii="宋体" w:hAnsi="宋体" w:cs="宋体"/>
          <w:b/>
          <w:kern w:val="0"/>
          <w:sz w:val="32"/>
          <w:szCs w:val="32"/>
        </w:rPr>
      </w:pPr>
    </w:p>
    <w:p w14:paraId="0326A169">
      <w:pPr>
        <w:widowControl/>
        <w:spacing w:line="360" w:lineRule="auto"/>
        <w:ind w:left="150"/>
        <w:jc w:val="center"/>
        <w:rPr>
          <w:rFonts w:hint="eastAsia" w:ascii="宋体" w:hAnsi="宋体" w:cs="宋体"/>
          <w:b/>
          <w:kern w:val="0"/>
          <w:sz w:val="32"/>
          <w:szCs w:val="32"/>
        </w:rPr>
      </w:pPr>
      <w:r>
        <w:rPr>
          <w:rFonts w:hint="eastAsia" w:ascii="宋体" w:hAnsi="宋体" w:cs="宋体"/>
          <w:b/>
          <w:kern w:val="0"/>
          <w:sz w:val="32"/>
          <w:szCs w:val="32"/>
        </w:rPr>
        <w:t>五、本项目的特定资格要求（若有）</w:t>
      </w:r>
    </w:p>
    <w:p w14:paraId="53E8A8DC">
      <w:pPr>
        <w:spacing w:line="360" w:lineRule="auto"/>
        <w:jc w:val="center"/>
        <w:rPr>
          <w:rFonts w:hint="eastAsia" w:ascii="宋体" w:hAnsi="宋体" w:cs="宋体"/>
          <w:sz w:val="24"/>
        </w:rPr>
      </w:pPr>
      <w:r>
        <w:rPr>
          <w:rFonts w:hint="eastAsia" w:ascii="宋体" w:hAnsi="宋体" w:cs="宋体"/>
          <w:sz w:val="24"/>
        </w:rPr>
        <w:t>（根据招标公告本项目的特定资格要求提供相应的材料；未要求的，无需提供）</w:t>
      </w:r>
    </w:p>
    <w:p w14:paraId="06865ACC">
      <w:pPr>
        <w:rPr>
          <w:rFonts w:hint="eastAsia" w:ascii="宋体" w:hAnsi="宋体" w:cs="宋体"/>
        </w:rPr>
      </w:pPr>
    </w:p>
    <w:p w14:paraId="0BB92DF9">
      <w:pPr>
        <w:widowControl/>
        <w:adjustRightInd/>
        <w:jc w:val="left"/>
        <w:rPr>
          <w:rFonts w:hint="eastAsia" w:ascii="宋体" w:hAnsi="宋体" w:cs="宋体"/>
          <w:b/>
          <w:kern w:val="0"/>
          <w:sz w:val="36"/>
          <w:szCs w:val="36"/>
        </w:rPr>
      </w:pPr>
      <w:r>
        <w:rPr>
          <w:rFonts w:ascii="宋体" w:hAnsi="宋体" w:cs="宋体"/>
          <w:b/>
          <w:kern w:val="0"/>
          <w:sz w:val="36"/>
          <w:szCs w:val="36"/>
        </w:rPr>
        <w:br w:type="page"/>
      </w:r>
    </w:p>
    <w:p w14:paraId="37FA8BEF">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商务技术文件部分</w:t>
      </w:r>
    </w:p>
    <w:p w14:paraId="325114E1">
      <w:pPr>
        <w:spacing w:line="360" w:lineRule="auto"/>
        <w:jc w:val="center"/>
        <w:rPr>
          <w:sz w:val="36"/>
          <w:szCs w:val="36"/>
        </w:rPr>
      </w:pPr>
      <w:r>
        <w:rPr>
          <w:rFonts w:hint="eastAsia"/>
          <w:sz w:val="36"/>
          <w:szCs w:val="36"/>
        </w:rPr>
        <w:t>目录</w:t>
      </w:r>
    </w:p>
    <w:p w14:paraId="75BE8171">
      <w:pPr>
        <w:numPr>
          <w:ilvl w:val="255"/>
          <w:numId w:val="0"/>
        </w:numPr>
        <w:snapToGrid w:val="0"/>
        <w:spacing w:line="360" w:lineRule="auto"/>
        <w:ind w:firstLine="0" w:firstLineChars="0"/>
        <w:rPr>
          <w:rFonts w:hint="eastAsia" w:ascii="宋体" w:hAnsi="宋体" w:cs="宋体"/>
        </w:rPr>
      </w:pPr>
      <w:r>
        <w:rPr>
          <w:rFonts w:hint="eastAsia" w:ascii="宋体" w:hAnsi="宋体" w:cs="宋体"/>
          <w:sz w:val="24"/>
        </w:rPr>
        <w:t>（1）投标函………………………………………………………………………（页码）</w:t>
      </w:r>
    </w:p>
    <w:p w14:paraId="14F61AC9">
      <w:pPr>
        <w:numPr>
          <w:ilvl w:val="255"/>
          <w:numId w:val="0"/>
        </w:numPr>
        <w:snapToGrid w:val="0"/>
        <w:spacing w:line="360" w:lineRule="auto"/>
        <w:ind w:firstLine="0" w:firstLineChars="0"/>
        <w:rPr>
          <w:rFonts w:hint="eastAsia" w:ascii="宋体" w:hAnsi="宋体" w:cs="宋体"/>
        </w:rPr>
      </w:pPr>
      <w:r>
        <w:rPr>
          <w:rFonts w:hint="eastAsia" w:ascii="宋体" w:hAnsi="宋体" w:cs="宋体"/>
          <w:sz w:val="24"/>
        </w:rPr>
        <w:t>（2）授权委托书或法定代表人（单位负责人、自然人本人）身份证明……（页码）</w:t>
      </w:r>
    </w:p>
    <w:p w14:paraId="40D9EDA0">
      <w:pPr>
        <w:snapToGrid w:val="0"/>
        <w:spacing w:line="360" w:lineRule="auto"/>
        <w:ind w:left="0" w:leftChars="0"/>
        <w:rPr>
          <w:rFonts w:hint="eastAsia"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39AB638C">
      <w:pPr>
        <w:snapToGrid w:val="0"/>
        <w:spacing w:line="360" w:lineRule="auto"/>
        <w:ind w:firstLine="0" w:firstLineChars="0"/>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023E7067">
      <w:pPr>
        <w:snapToGrid w:val="0"/>
        <w:spacing w:line="360" w:lineRule="auto"/>
        <w:ind w:firstLine="0" w:firstLineChars="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5）采购需求实质性内容响应表</w:t>
      </w:r>
      <w:r>
        <w:rPr>
          <w:rFonts w:hint="eastAsia" w:ascii="宋体" w:hAnsi="宋体" w:cs="宋体"/>
          <w:sz w:val="24"/>
        </w:rPr>
        <w:t>………………………………………………（页码）</w:t>
      </w:r>
    </w:p>
    <w:p w14:paraId="0579FE56">
      <w:pPr>
        <w:snapToGrid w:val="0"/>
        <w:spacing w:line="360" w:lineRule="auto"/>
        <w:ind w:left="0" w:leftChars="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）评标标准相应的商务技术资料……………………………………………（页码）</w:t>
      </w:r>
    </w:p>
    <w:p w14:paraId="012ABC7C">
      <w:pPr>
        <w:snapToGrid w:val="0"/>
        <w:spacing w:line="360" w:lineRule="auto"/>
        <w:ind w:left="0" w:leftChars="0"/>
        <w:rPr>
          <w:rFonts w:hint="eastAsia" w:ascii="宋体" w:hAnsi="宋体" w:cs="宋体"/>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）投标标的清单………………………………………………………………（页码）</w:t>
      </w:r>
    </w:p>
    <w:p w14:paraId="63D2333E">
      <w:pPr>
        <w:snapToGrid w:val="0"/>
        <w:spacing w:line="360" w:lineRule="auto"/>
        <w:ind w:left="0" w:leftChars="0"/>
        <w:rPr>
          <w:rFonts w:hint="eastAsia" w:ascii="宋体" w:hAnsi="宋体" w:cs="宋体"/>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）商务技术偏离表……………………………………………………………（页码）</w:t>
      </w:r>
    </w:p>
    <w:p w14:paraId="54C4C58D">
      <w:pPr>
        <w:snapToGrid w:val="0"/>
        <w:spacing w:line="360" w:lineRule="auto"/>
        <w:ind w:left="0" w:leftChars="0"/>
        <w:rPr>
          <w:rFonts w:hint="eastAsia" w:ascii="宋体" w:hAnsi="宋体" w:cs="宋体"/>
        </w:rPr>
      </w:pP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）政府采购供应商廉洁自律承诺书</w:t>
      </w:r>
      <w:r>
        <w:rPr>
          <w:rFonts w:hint="eastAsia" w:ascii="宋体" w:hAnsi="宋体" w:cs="宋体"/>
          <w:sz w:val="24"/>
        </w:rPr>
        <w:t>…………………………………………（页码）</w:t>
      </w:r>
    </w:p>
    <w:p w14:paraId="448C8A56">
      <w:pPr>
        <w:snapToGrid w:val="0"/>
        <w:spacing w:line="360" w:lineRule="auto"/>
        <w:ind w:left="0" w:leftChars="0"/>
        <w:rPr>
          <w:rFonts w:hint="eastAsia" w:ascii="宋体" w:hAnsi="宋体" w:cs="宋体"/>
        </w:rPr>
      </w:pP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）政府采购活动现场确认声明书</w:t>
      </w:r>
      <w:r>
        <w:rPr>
          <w:rFonts w:hint="eastAsia" w:ascii="宋体" w:hAnsi="宋体" w:cs="宋体"/>
          <w:sz w:val="24"/>
          <w:lang w:val="en-US" w:eastAsia="zh-CN"/>
        </w:rPr>
        <w:t xml:space="preserve"> </w:t>
      </w:r>
      <w:r>
        <w:rPr>
          <w:rFonts w:hint="eastAsia" w:ascii="宋体" w:hAnsi="宋体" w:cs="宋体"/>
          <w:sz w:val="24"/>
        </w:rPr>
        <w:t>…………………………………………（页码）</w:t>
      </w:r>
    </w:p>
    <w:p w14:paraId="1CD41655">
      <w:pPr>
        <w:snapToGrid w:val="0"/>
        <w:spacing w:line="360" w:lineRule="auto"/>
        <w:jc w:val="center"/>
        <w:rPr>
          <w:rFonts w:hint="eastAsia" w:ascii="宋体" w:hAnsi="宋体" w:cs="宋体"/>
          <w:b/>
          <w:kern w:val="0"/>
          <w:sz w:val="32"/>
          <w:szCs w:val="32"/>
          <w:lang w:val="zh-CN"/>
        </w:rPr>
      </w:pPr>
    </w:p>
    <w:p w14:paraId="44E00FF4">
      <w:pPr>
        <w:snapToGrid w:val="0"/>
        <w:spacing w:line="360" w:lineRule="auto"/>
        <w:jc w:val="center"/>
        <w:rPr>
          <w:rFonts w:hint="eastAsia" w:ascii="宋体" w:hAnsi="宋体" w:cs="宋体"/>
          <w:b/>
          <w:kern w:val="0"/>
          <w:sz w:val="32"/>
          <w:szCs w:val="32"/>
          <w:lang w:val="zh-CN"/>
        </w:rPr>
      </w:pPr>
    </w:p>
    <w:p w14:paraId="601C52B2">
      <w:pPr>
        <w:snapToGrid w:val="0"/>
        <w:spacing w:line="360" w:lineRule="auto"/>
        <w:jc w:val="center"/>
        <w:rPr>
          <w:rFonts w:hint="eastAsia" w:ascii="宋体" w:hAnsi="宋体" w:cs="宋体"/>
          <w:b/>
          <w:kern w:val="0"/>
          <w:sz w:val="32"/>
          <w:szCs w:val="32"/>
          <w:lang w:val="zh-CN"/>
        </w:rPr>
      </w:pPr>
    </w:p>
    <w:p w14:paraId="3A617A07">
      <w:pPr>
        <w:snapToGrid w:val="0"/>
        <w:spacing w:line="360" w:lineRule="auto"/>
        <w:jc w:val="center"/>
        <w:rPr>
          <w:rFonts w:hint="eastAsia" w:ascii="宋体" w:hAnsi="宋体" w:cs="宋体"/>
          <w:b/>
          <w:kern w:val="0"/>
          <w:sz w:val="32"/>
          <w:szCs w:val="32"/>
          <w:lang w:val="zh-CN"/>
        </w:rPr>
      </w:pPr>
    </w:p>
    <w:p w14:paraId="21C037C9">
      <w:pPr>
        <w:snapToGrid w:val="0"/>
        <w:spacing w:line="360" w:lineRule="auto"/>
        <w:jc w:val="center"/>
        <w:rPr>
          <w:rFonts w:hint="eastAsia" w:ascii="宋体" w:hAnsi="宋体" w:cs="宋体"/>
          <w:b/>
          <w:kern w:val="0"/>
          <w:sz w:val="32"/>
          <w:szCs w:val="32"/>
          <w:lang w:val="zh-CN"/>
        </w:rPr>
      </w:pPr>
    </w:p>
    <w:p w14:paraId="1677955C">
      <w:pPr>
        <w:snapToGrid w:val="0"/>
        <w:spacing w:line="360" w:lineRule="auto"/>
        <w:jc w:val="center"/>
        <w:rPr>
          <w:rFonts w:hint="eastAsia" w:ascii="宋体" w:hAnsi="宋体" w:cs="宋体"/>
          <w:b/>
          <w:kern w:val="0"/>
          <w:sz w:val="32"/>
          <w:szCs w:val="32"/>
          <w:lang w:val="zh-CN"/>
        </w:rPr>
      </w:pPr>
    </w:p>
    <w:p w14:paraId="600E9806">
      <w:pPr>
        <w:snapToGrid w:val="0"/>
        <w:spacing w:line="360" w:lineRule="auto"/>
        <w:jc w:val="center"/>
        <w:rPr>
          <w:rFonts w:hint="eastAsia" w:ascii="宋体" w:hAnsi="宋体" w:cs="宋体"/>
          <w:b/>
          <w:kern w:val="0"/>
          <w:sz w:val="32"/>
          <w:szCs w:val="32"/>
          <w:lang w:val="zh-CN"/>
        </w:rPr>
      </w:pPr>
    </w:p>
    <w:p w14:paraId="625A03CA">
      <w:pPr>
        <w:snapToGrid w:val="0"/>
        <w:spacing w:line="360" w:lineRule="auto"/>
        <w:jc w:val="center"/>
        <w:rPr>
          <w:rFonts w:hint="eastAsia" w:ascii="宋体" w:hAnsi="宋体" w:cs="宋体"/>
          <w:b/>
          <w:kern w:val="0"/>
          <w:sz w:val="32"/>
          <w:szCs w:val="32"/>
          <w:lang w:val="zh-CN"/>
        </w:rPr>
      </w:pPr>
    </w:p>
    <w:p w14:paraId="52B3F118">
      <w:pPr>
        <w:snapToGrid w:val="0"/>
        <w:spacing w:line="360" w:lineRule="auto"/>
        <w:jc w:val="center"/>
        <w:rPr>
          <w:rFonts w:hint="eastAsia" w:ascii="宋体" w:hAnsi="宋体" w:cs="宋体"/>
          <w:b/>
          <w:kern w:val="0"/>
          <w:sz w:val="32"/>
          <w:szCs w:val="32"/>
          <w:lang w:val="zh-CN"/>
        </w:rPr>
      </w:pPr>
    </w:p>
    <w:p w14:paraId="6EAD0517">
      <w:pPr>
        <w:snapToGrid w:val="0"/>
        <w:spacing w:line="360" w:lineRule="auto"/>
        <w:jc w:val="center"/>
        <w:rPr>
          <w:rFonts w:hint="eastAsia" w:ascii="宋体" w:hAnsi="宋体" w:cs="宋体"/>
          <w:b/>
          <w:kern w:val="0"/>
          <w:sz w:val="32"/>
          <w:szCs w:val="32"/>
          <w:lang w:val="zh-CN"/>
        </w:rPr>
      </w:pPr>
    </w:p>
    <w:p w14:paraId="08F04856">
      <w:pPr>
        <w:snapToGrid w:val="0"/>
        <w:spacing w:line="360" w:lineRule="auto"/>
        <w:jc w:val="center"/>
        <w:rPr>
          <w:rFonts w:hint="eastAsia" w:ascii="宋体" w:hAnsi="宋体" w:cs="宋体"/>
          <w:b/>
          <w:kern w:val="0"/>
          <w:sz w:val="32"/>
          <w:szCs w:val="32"/>
          <w:lang w:val="zh-CN"/>
        </w:rPr>
      </w:pPr>
    </w:p>
    <w:p w14:paraId="14EC9700">
      <w:pPr>
        <w:widowControl/>
        <w:adjustRightInd/>
        <w:jc w:val="left"/>
        <w:rPr>
          <w:rFonts w:hint="eastAsia" w:ascii="宋体" w:hAnsi="宋体" w:cs="宋体"/>
          <w:b/>
          <w:kern w:val="0"/>
          <w:sz w:val="32"/>
          <w:szCs w:val="32"/>
        </w:rPr>
      </w:pPr>
      <w:r>
        <w:rPr>
          <w:rFonts w:ascii="宋体" w:hAnsi="宋体" w:cs="宋体"/>
          <w:b/>
          <w:kern w:val="0"/>
          <w:sz w:val="32"/>
          <w:szCs w:val="32"/>
        </w:rPr>
        <w:br w:type="page"/>
      </w:r>
    </w:p>
    <w:p w14:paraId="46DFFAFC">
      <w:pPr>
        <w:spacing w:line="360" w:lineRule="auto"/>
        <w:jc w:val="center"/>
        <w:rPr>
          <w:rFonts w:hint="eastAsia" w:ascii="宋体" w:hAnsi="宋体" w:cs="宋体"/>
          <w:b/>
          <w:kern w:val="0"/>
          <w:sz w:val="32"/>
          <w:szCs w:val="32"/>
          <w:lang w:val="zh-CN"/>
        </w:rPr>
      </w:pPr>
      <w:r>
        <w:rPr>
          <w:rFonts w:hint="eastAsia" w:ascii="宋体" w:hAnsi="宋体" w:cs="宋体"/>
          <w:b/>
          <w:kern w:val="0"/>
          <w:sz w:val="32"/>
          <w:szCs w:val="32"/>
          <w:lang w:val="zh-CN"/>
        </w:rPr>
        <w:t>一、投标函</w:t>
      </w:r>
    </w:p>
    <w:p w14:paraId="51312057">
      <w:pPr>
        <w:snapToGrid w:val="0"/>
        <w:spacing w:line="360" w:lineRule="auto"/>
        <w:rPr>
          <w:rFonts w:hint="eastAsia" w:ascii="宋体" w:hAnsi="宋体" w:cs="宋体"/>
          <w:sz w:val="24"/>
        </w:rPr>
      </w:pPr>
      <w:r>
        <w:rPr>
          <w:rFonts w:hint="eastAsia" w:ascii="宋体" w:hAnsi="宋体" w:cs="宋体"/>
          <w:sz w:val="24"/>
        </w:rPr>
        <w:t>（采购人）、（采购代理机构）：</w:t>
      </w:r>
    </w:p>
    <w:p w14:paraId="63285BF8">
      <w:pPr>
        <w:snapToGrid w:val="0"/>
        <w:spacing w:line="360" w:lineRule="auto"/>
        <w:ind w:firstLine="480" w:firstLineChars="200"/>
        <w:rPr>
          <w:rFonts w:hint="eastAsia" w:ascii="宋体" w:hAnsi="宋体" w:cs="宋体"/>
          <w:sz w:val="24"/>
        </w:rPr>
      </w:pPr>
      <w:r>
        <w:rPr>
          <w:rFonts w:hint="eastAsia" w:ascii="宋体" w:hAnsi="宋体" w:cs="宋体"/>
          <w:sz w:val="24"/>
        </w:rPr>
        <w:t>我方参加你方组织的（项目名称）【</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】招标的有关活动，并对此项目进行投标。为此：</w:t>
      </w:r>
    </w:p>
    <w:p w14:paraId="4D624121">
      <w:pPr>
        <w:snapToGrid w:val="0"/>
        <w:spacing w:line="360" w:lineRule="auto"/>
        <w:ind w:firstLine="480" w:firstLineChars="200"/>
        <w:rPr>
          <w:rFonts w:hint="eastAsia"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5239B56C">
      <w:pPr>
        <w:snapToGrid w:val="0"/>
        <w:spacing w:line="360" w:lineRule="auto"/>
        <w:ind w:firstLine="480" w:firstLineChars="200"/>
        <w:rPr>
          <w:rFonts w:hint="eastAsia" w:ascii="宋体" w:hAnsi="宋体" w:cs="宋体"/>
          <w:sz w:val="24"/>
        </w:rPr>
      </w:pPr>
      <w:r>
        <w:rPr>
          <w:rFonts w:hint="eastAsia" w:ascii="宋体" w:hAnsi="宋体" w:cs="宋体"/>
          <w:sz w:val="24"/>
        </w:rPr>
        <w:t>2、我方的投标文件包括以下内容：</w:t>
      </w:r>
    </w:p>
    <w:p w14:paraId="4C346FDB">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2.1资格文件：</w:t>
      </w:r>
    </w:p>
    <w:p w14:paraId="6B455147">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2.1.1符合参加政府采购活动应当具备的一般条件的承诺函；</w:t>
      </w:r>
    </w:p>
    <w:p w14:paraId="14318D78">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2.1.2营业执照</w:t>
      </w:r>
      <w:r>
        <w:rPr>
          <w:rFonts w:hint="eastAsia" w:ascii="宋体" w:hAnsi="宋体" w:cs="宋体"/>
          <w:color w:val="000000"/>
          <w:sz w:val="24"/>
          <w:szCs w:val="21"/>
        </w:rPr>
        <w:t>；</w:t>
      </w:r>
    </w:p>
    <w:p w14:paraId="5F69AD07">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2.1.3</w:t>
      </w:r>
      <w:r>
        <w:rPr>
          <w:rFonts w:hint="eastAsia" w:ascii="宋体" w:hAnsi="宋体" w:cs="宋体"/>
          <w:snapToGrid w:val="0"/>
          <w:kern w:val="28"/>
          <w:sz w:val="24"/>
          <w:szCs w:val="20"/>
        </w:rPr>
        <w:t>联合协议</w:t>
      </w:r>
      <w:bookmarkStart w:id="408" w:name="_Hlk101257010"/>
      <w:r>
        <w:rPr>
          <w:rFonts w:hint="eastAsia" w:ascii="宋体" w:hAnsi="宋体" w:cs="宋体"/>
          <w:sz w:val="24"/>
        </w:rPr>
        <w:t>（若有)</w:t>
      </w:r>
      <w:bookmarkEnd w:id="408"/>
      <w:r>
        <w:rPr>
          <w:rFonts w:hint="eastAsia" w:ascii="宋体" w:hAnsi="宋体" w:cs="宋体"/>
          <w:snapToGrid w:val="0"/>
          <w:kern w:val="28"/>
          <w:sz w:val="24"/>
          <w:szCs w:val="20"/>
        </w:rPr>
        <w:t>；</w:t>
      </w:r>
    </w:p>
    <w:p w14:paraId="74C5A804">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4落实政府采购政策需满足的资格要求（若有）；</w:t>
      </w:r>
    </w:p>
    <w:p w14:paraId="2587E02E">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2.1.5本项目的特定资格要求（若有)。</w:t>
      </w:r>
    </w:p>
    <w:p w14:paraId="4254731B">
      <w:pPr>
        <w:snapToGrid w:val="0"/>
        <w:spacing w:line="360" w:lineRule="auto"/>
        <w:ind w:left="210" w:leftChars="1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62BD19D5">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041D2445">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2.2.2授权委托书或法定代表人（单位负责人）身份证明；</w:t>
      </w:r>
    </w:p>
    <w:p w14:paraId="503EBF9B">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分包意向协议（若有)；</w:t>
      </w:r>
    </w:p>
    <w:p w14:paraId="26D42462">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0D7AC888">
      <w:pPr>
        <w:snapToGrid w:val="0"/>
        <w:spacing w:line="360" w:lineRule="auto"/>
        <w:ind w:left="420" w:leftChars="200" w:firstLine="480" w:firstLineChars="200"/>
        <w:rPr>
          <w:rFonts w:hint="eastAsia" w:ascii="宋体" w:hAnsi="宋体" w:cs="宋体"/>
          <w:sz w:val="24"/>
        </w:rPr>
      </w:pPr>
      <w:r>
        <w:rPr>
          <w:rFonts w:hint="eastAsia" w:ascii="宋体" w:hAnsi="宋体" w:cs="宋体"/>
          <w:sz w:val="24"/>
          <w:lang w:val="en-US" w:eastAsia="zh-CN"/>
        </w:rPr>
        <w:t>2.2.5</w:t>
      </w:r>
      <w:r>
        <w:rPr>
          <w:rFonts w:hint="eastAsia" w:ascii="宋体" w:hAnsi="宋体" w:cs="宋体"/>
          <w:sz w:val="24"/>
          <w:lang w:val="zh-CN"/>
        </w:rPr>
        <w:t>采购需求实质性内容响应表；</w:t>
      </w:r>
    </w:p>
    <w:p w14:paraId="3C571C13">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hint="eastAsia" w:ascii="宋体" w:hAnsi="宋体" w:cs="宋体"/>
          <w:sz w:val="24"/>
          <w:lang w:val="en-US" w:eastAsia="zh-CN"/>
        </w:rPr>
        <w:t>6</w:t>
      </w:r>
      <w:r>
        <w:rPr>
          <w:rFonts w:hint="eastAsia" w:ascii="宋体" w:hAnsi="宋体" w:cs="宋体"/>
          <w:sz w:val="24"/>
        </w:rPr>
        <w:t>评标标准相应的商务技术资料；</w:t>
      </w:r>
    </w:p>
    <w:p w14:paraId="2D8FB68A">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hint="eastAsia" w:ascii="宋体" w:hAnsi="宋体" w:cs="宋体"/>
          <w:sz w:val="24"/>
          <w:lang w:val="en-US" w:eastAsia="zh-CN"/>
        </w:rPr>
        <w:t>7</w:t>
      </w:r>
      <w:r>
        <w:rPr>
          <w:rFonts w:hint="eastAsia" w:ascii="宋体" w:hAnsi="宋体" w:cs="宋体"/>
          <w:sz w:val="24"/>
        </w:rPr>
        <w:t>投标标的清单；</w:t>
      </w:r>
    </w:p>
    <w:p w14:paraId="53E6BA6B">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hint="eastAsia" w:ascii="宋体" w:hAnsi="宋体" w:cs="宋体"/>
          <w:sz w:val="24"/>
          <w:lang w:val="en-US" w:eastAsia="zh-CN"/>
        </w:rPr>
        <w:t>8</w:t>
      </w:r>
      <w:r>
        <w:rPr>
          <w:rFonts w:hint="eastAsia" w:ascii="宋体" w:hAnsi="宋体" w:cs="宋体"/>
          <w:sz w:val="24"/>
        </w:rPr>
        <w:t>商务技术偏离表；</w:t>
      </w:r>
    </w:p>
    <w:p w14:paraId="3DC365A0">
      <w:pPr>
        <w:snapToGrid w:val="0"/>
        <w:spacing w:line="360" w:lineRule="auto"/>
        <w:ind w:left="42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政府采购供应商廉洁自律承诺书；</w:t>
      </w:r>
    </w:p>
    <w:p w14:paraId="6C696632">
      <w:pPr>
        <w:snapToGrid w:val="0"/>
        <w:spacing w:line="360" w:lineRule="auto"/>
        <w:ind w:left="420" w:leftChars="200" w:firstLine="480" w:firstLineChars="200"/>
        <w:rPr>
          <w:rFonts w:hint="eastAsia" w:ascii="宋体" w:hAnsi="宋体" w:cs="宋体"/>
          <w:sz w:val="24"/>
          <w:lang w:val="zh-CN"/>
        </w:rPr>
      </w:pPr>
      <w:r>
        <w:rPr>
          <w:rFonts w:hint="eastAsia" w:ascii="宋体" w:hAnsi="宋体" w:cs="宋体"/>
          <w:sz w:val="24"/>
        </w:rPr>
        <w:t>2.2.</w:t>
      </w:r>
      <w:r>
        <w:rPr>
          <w:rFonts w:hint="eastAsia" w:ascii="宋体" w:hAnsi="宋体" w:cs="宋体"/>
          <w:sz w:val="24"/>
          <w:lang w:val="en-US" w:eastAsia="zh-CN"/>
        </w:rPr>
        <w:t>10</w:t>
      </w:r>
      <w:r>
        <w:rPr>
          <w:rFonts w:hint="eastAsia" w:ascii="宋体" w:hAnsi="宋体" w:cs="宋体"/>
          <w:sz w:val="24"/>
        </w:rPr>
        <w:t>政府采购活动现场确认声明书</w:t>
      </w:r>
      <w:r>
        <w:rPr>
          <w:rFonts w:hint="eastAsia" w:ascii="宋体" w:hAnsi="宋体" w:cs="宋体"/>
          <w:sz w:val="24"/>
          <w:lang w:val="zh-CN"/>
        </w:rPr>
        <w:t>；</w:t>
      </w:r>
    </w:p>
    <w:p w14:paraId="00779256">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F015CCC">
      <w:pPr>
        <w:spacing w:line="360" w:lineRule="auto"/>
        <w:ind w:left="420" w:leftChars="200" w:firstLine="480" w:firstLineChars="200"/>
        <w:rPr>
          <w:rFonts w:hint="eastAsia" w:ascii="宋体" w:hAnsi="宋体" w:cs="宋体"/>
          <w:sz w:val="24"/>
        </w:rPr>
      </w:pPr>
      <w:r>
        <w:rPr>
          <w:rFonts w:hint="eastAsia" w:ascii="宋体" w:hAnsi="宋体" w:cs="宋体"/>
          <w:sz w:val="24"/>
        </w:rPr>
        <w:t>2.3.1开标一览表（报价表）；</w:t>
      </w:r>
    </w:p>
    <w:p w14:paraId="6AC7070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2.3.2中小企业声明函（若有）；</w:t>
      </w:r>
    </w:p>
    <w:p w14:paraId="6BDDE67F">
      <w:pPr>
        <w:snapToGrid w:val="0"/>
        <w:spacing w:line="360" w:lineRule="auto"/>
        <w:ind w:left="420" w:leftChars="20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2.3.3</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sz w:val="24"/>
        </w:rPr>
        <w:t>（若有）</w:t>
      </w:r>
      <w:r>
        <w:rPr>
          <w:rFonts w:hint="eastAsia" w:ascii="宋体" w:hAnsi="宋体" w:cs="宋体"/>
          <w:sz w:val="24"/>
          <w:lang w:eastAsia="zh-CN"/>
        </w:rPr>
        <w:t>；</w:t>
      </w:r>
    </w:p>
    <w:p w14:paraId="38EA6EB4">
      <w:pPr>
        <w:snapToGrid w:val="0"/>
        <w:spacing w:line="360" w:lineRule="auto"/>
        <w:ind w:left="420" w:leftChars="200" w:firstLine="480" w:firstLineChars="200"/>
        <w:rPr>
          <w:rFonts w:hint="eastAsia" w:ascii="宋体" w:hAnsi="宋体" w:cs="宋体"/>
          <w:sz w:val="24"/>
        </w:rPr>
      </w:pPr>
      <w:r>
        <w:rPr>
          <w:rFonts w:hint="eastAsia" w:ascii="宋体" w:hAnsi="宋体" w:eastAsia="宋体" w:cs="宋体"/>
          <w:sz w:val="24"/>
        </w:rPr>
        <w:t>2.3.</w:t>
      </w:r>
      <w:r>
        <w:rPr>
          <w:rFonts w:hint="eastAsia" w:ascii="宋体" w:hAnsi="宋体" w:eastAsia="宋体" w:cs="宋体"/>
          <w:sz w:val="24"/>
          <w:lang w:val="en-US" w:eastAsia="zh-CN"/>
        </w:rPr>
        <w:t>4</w:t>
      </w:r>
      <w:r>
        <w:rPr>
          <w:rFonts w:hint="eastAsia" w:ascii="宋体" w:hAnsi="宋体" w:eastAsia="宋体" w:cs="宋体"/>
          <w:sz w:val="24"/>
        </w:rPr>
        <w:t>报</w:t>
      </w:r>
      <w:r>
        <w:rPr>
          <w:rFonts w:hint="eastAsia" w:ascii="宋体" w:hAnsi="宋体" w:cs="宋体"/>
          <w:sz w:val="24"/>
        </w:rPr>
        <w:t>价情况说明（若有）。</w:t>
      </w:r>
    </w:p>
    <w:p w14:paraId="16888045">
      <w:pPr>
        <w:snapToGrid w:val="0"/>
        <w:spacing w:line="360" w:lineRule="auto"/>
        <w:ind w:firstLine="480" w:firstLineChars="200"/>
        <w:rPr>
          <w:rFonts w:hint="eastAsia"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1E0F5B50">
      <w:pPr>
        <w:snapToGrid w:val="0"/>
        <w:spacing w:line="360" w:lineRule="auto"/>
        <w:ind w:firstLine="480" w:firstLineChars="200"/>
        <w:rPr>
          <w:rFonts w:hint="eastAsia" w:ascii="宋体" w:hAnsi="宋体" w:cs="宋体"/>
          <w:sz w:val="24"/>
        </w:rPr>
      </w:pPr>
      <w:r>
        <w:rPr>
          <w:rFonts w:hint="eastAsia" w:ascii="宋体" w:hAnsi="宋体" w:cs="宋体"/>
          <w:sz w:val="24"/>
        </w:rPr>
        <w:t>4、如我方中标，我方承诺：</w:t>
      </w:r>
    </w:p>
    <w:p w14:paraId="3C934D4B">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4.1在收到中标通知书后，在中标通知书规定的期限内与你方签订合同； </w:t>
      </w:r>
    </w:p>
    <w:p w14:paraId="0183D571">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4.2在签订合同时不向你方提出附加条件； </w:t>
      </w:r>
    </w:p>
    <w:p w14:paraId="20EA80BA">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4.3按照招标文件要求提交履约保证金； </w:t>
      </w:r>
    </w:p>
    <w:p w14:paraId="277701EE">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4.4在合同约定的期限内完成合同规定的全部义务。 </w:t>
      </w:r>
    </w:p>
    <w:p w14:paraId="1D283752">
      <w:pPr>
        <w:spacing w:line="360" w:lineRule="auto"/>
        <w:ind w:firstLine="480" w:firstLineChars="200"/>
        <w:rPr>
          <w:rFonts w:hint="eastAsia" w:ascii="宋体" w:hAnsi="宋体" w:cs="宋体"/>
          <w:sz w:val="24"/>
          <w:shd w:val="clear" w:color="auto" w:fill="FFFFFF"/>
        </w:rPr>
      </w:pPr>
      <w:r>
        <w:rPr>
          <w:rFonts w:hint="eastAsia" w:ascii="宋体" w:hAnsi="宋体" w:cs="宋体"/>
          <w:sz w:val="24"/>
        </w:rPr>
        <w:t>5、对</w:t>
      </w:r>
      <w:r>
        <w:rPr>
          <w:rFonts w:hint="eastAsia" w:ascii="宋体" w:hAnsi="宋体" w:cs="宋体"/>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2155479">
      <w:pPr>
        <w:snapToGrid w:val="0"/>
        <w:spacing w:line="360" w:lineRule="auto"/>
        <w:ind w:firstLine="480" w:firstLineChars="200"/>
        <w:rPr>
          <w:rFonts w:hint="eastAsia"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64A2A111">
      <w:pPr>
        <w:spacing w:line="360" w:lineRule="auto"/>
        <w:ind w:firstLine="3600" w:firstLineChars="1500"/>
        <w:rPr>
          <w:rFonts w:hint="eastAsia" w:ascii="宋体" w:hAnsi="宋体" w:cs="宋体"/>
          <w:sz w:val="24"/>
        </w:rPr>
      </w:pPr>
    </w:p>
    <w:p w14:paraId="3109A27F">
      <w:pPr>
        <w:spacing w:line="360" w:lineRule="auto"/>
        <w:ind w:firstLine="6000" w:firstLineChars="2500"/>
        <w:rPr>
          <w:rFonts w:hint="eastAsia" w:ascii="宋体" w:hAnsi="宋体" w:cs="宋体"/>
          <w:sz w:val="24"/>
        </w:rPr>
      </w:pPr>
      <w:r>
        <w:rPr>
          <w:rFonts w:hint="eastAsia" w:ascii="宋体" w:hAnsi="宋体" w:cs="宋体"/>
          <w:sz w:val="24"/>
        </w:rPr>
        <w:t xml:space="preserve">投标人名称（电子签名）：                          </w:t>
      </w:r>
    </w:p>
    <w:p w14:paraId="35B2F5BA">
      <w:pPr>
        <w:spacing w:line="360" w:lineRule="auto"/>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  年   月   日</w:t>
      </w:r>
    </w:p>
    <w:p w14:paraId="692B9632">
      <w:pPr>
        <w:snapToGrid w:val="0"/>
        <w:spacing w:line="360" w:lineRule="auto"/>
        <w:ind w:left="420" w:leftChars="200" w:firstLine="4200" w:firstLineChars="1750"/>
        <w:rPr>
          <w:rFonts w:hint="eastAsia" w:ascii="宋体" w:hAnsi="宋体" w:cs="宋体"/>
          <w:kern w:val="0"/>
          <w:sz w:val="24"/>
          <w:u w:val="single"/>
        </w:rPr>
      </w:pPr>
    </w:p>
    <w:p w14:paraId="13C35F4B">
      <w:pPr>
        <w:spacing w:line="360" w:lineRule="auto"/>
        <w:ind w:right="420"/>
        <w:rPr>
          <w:rFonts w:hint="eastAsia" w:ascii="宋体" w:hAnsi="宋体" w:cs="宋体"/>
          <w:sz w:val="24"/>
        </w:rPr>
      </w:pPr>
      <w:r>
        <w:rPr>
          <w:rFonts w:hint="eastAsia" w:ascii="宋体" w:hAnsi="宋体" w:cs="宋体"/>
          <w:sz w:val="24"/>
        </w:rPr>
        <w:t>注：按本格式和要求提供。</w:t>
      </w:r>
    </w:p>
    <w:p w14:paraId="78C92CE9">
      <w:pPr>
        <w:snapToGrid w:val="0"/>
        <w:spacing w:line="360" w:lineRule="auto"/>
        <w:jc w:val="center"/>
        <w:rPr>
          <w:rFonts w:hint="eastAsia" w:ascii="宋体" w:hAnsi="宋体" w:cs="宋体"/>
          <w:b/>
          <w:kern w:val="0"/>
          <w:sz w:val="32"/>
          <w:szCs w:val="32"/>
        </w:rPr>
      </w:pPr>
    </w:p>
    <w:p w14:paraId="33635DEA">
      <w:pPr>
        <w:snapToGrid w:val="0"/>
        <w:spacing w:line="360" w:lineRule="auto"/>
        <w:rPr>
          <w:rFonts w:hint="eastAsia" w:ascii="宋体" w:hAnsi="宋体" w:cs="宋体"/>
          <w:sz w:val="24"/>
        </w:rPr>
      </w:pPr>
    </w:p>
    <w:p w14:paraId="674D5E75">
      <w:pPr>
        <w:rPr>
          <w:rFonts w:hint="eastAsia" w:ascii="宋体" w:hAnsi="宋体" w:cs="宋体"/>
          <w:b/>
          <w:kern w:val="0"/>
          <w:sz w:val="32"/>
          <w:szCs w:val="32"/>
        </w:rPr>
      </w:pPr>
    </w:p>
    <w:p w14:paraId="2FC6977D">
      <w:pPr>
        <w:jc w:val="center"/>
        <w:rPr>
          <w:rFonts w:hint="eastAsia" w:ascii="宋体" w:hAnsi="宋体" w:cs="宋体"/>
          <w:b/>
          <w:kern w:val="0"/>
          <w:sz w:val="32"/>
          <w:szCs w:val="32"/>
        </w:rPr>
      </w:pPr>
    </w:p>
    <w:p w14:paraId="208542F0">
      <w:pPr>
        <w:jc w:val="center"/>
        <w:rPr>
          <w:rFonts w:hint="eastAsia" w:ascii="宋体" w:hAnsi="宋体" w:cs="宋体"/>
          <w:b/>
          <w:kern w:val="0"/>
          <w:sz w:val="32"/>
          <w:szCs w:val="32"/>
        </w:rPr>
      </w:pPr>
    </w:p>
    <w:p w14:paraId="4B012291">
      <w:pPr>
        <w:jc w:val="center"/>
        <w:rPr>
          <w:rFonts w:hint="eastAsia" w:ascii="宋体" w:hAnsi="宋体" w:cs="宋体"/>
          <w:b/>
          <w:kern w:val="0"/>
          <w:sz w:val="32"/>
          <w:szCs w:val="32"/>
        </w:rPr>
      </w:pPr>
    </w:p>
    <w:p w14:paraId="7DAE0B86">
      <w:pPr>
        <w:jc w:val="center"/>
        <w:rPr>
          <w:rFonts w:hint="eastAsia" w:ascii="宋体" w:hAnsi="宋体" w:cs="宋体"/>
          <w:b/>
          <w:kern w:val="0"/>
          <w:sz w:val="32"/>
          <w:szCs w:val="32"/>
        </w:rPr>
      </w:pPr>
    </w:p>
    <w:p w14:paraId="1894B98F">
      <w:pPr>
        <w:jc w:val="center"/>
        <w:rPr>
          <w:rFonts w:hint="eastAsia" w:ascii="宋体" w:hAnsi="宋体" w:cs="宋体"/>
          <w:b/>
          <w:kern w:val="0"/>
          <w:sz w:val="32"/>
          <w:szCs w:val="32"/>
        </w:rPr>
      </w:pPr>
    </w:p>
    <w:p w14:paraId="017B4BD2">
      <w:pPr>
        <w:jc w:val="center"/>
        <w:rPr>
          <w:rFonts w:hint="eastAsia" w:ascii="宋体" w:hAnsi="宋体" w:cs="宋体"/>
          <w:b/>
          <w:kern w:val="0"/>
          <w:sz w:val="32"/>
          <w:szCs w:val="32"/>
        </w:rPr>
      </w:pPr>
    </w:p>
    <w:p w14:paraId="372131A6">
      <w:pPr>
        <w:jc w:val="center"/>
        <w:rPr>
          <w:rFonts w:hint="eastAsia" w:ascii="宋体" w:hAnsi="宋体" w:cs="宋体"/>
          <w:b/>
          <w:kern w:val="0"/>
          <w:sz w:val="32"/>
          <w:szCs w:val="32"/>
        </w:rPr>
      </w:pPr>
    </w:p>
    <w:p w14:paraId="437638A7">
      <w:pPr>
        <w:jc w:val="center"/>
        <w:rPr>
          <w:rFonts w:hint="eastAsia" w:ascii="宋体" w:hAnsi="宋体" w:cs="宋体"/>
          <w:b/>
          <w:kern w:val="0"/>
          <w:sz w:val="32"/>
          <w:szCs w:val="32"/>
        </w:rPr>
      </w:pPr>
    </w:p>
    <w:p w14:paraId="7B03F6F3">
      <w:pPr>
        <w:jc w:val="center"/>
        <w:rPr>
          <w:rFonts w:hint="eastAsia" w:ascii="宋体" w:hAnsi="宋体" w:cs="宋体"/>
          <w:b/>
          <w:kern w:val="0"/>
          <w:sz w:val="32"/>
          <w:szCs w:val="32"/>
        </w:rPr>
      </w:pPr>
    </w:p>
    <w:p w14:paraId="2A50E04F">
      <w:pPr>
        <w:jc w:val="center"/>
        <w:rPr>
          <w:rFonts w:hint="eastAsia" w:ascii="宋体" w:hAnsi="宋体" w:cs="宋体"/>
          <w:b/>
          <w:kern w:val="0"/>
          <w:sz w:val="32"/>
          <w:szCs w:val="32"/>
        </w:rPr>
      </w:pPr>
    </w:p>
    <w:p w14:paraId="6FB3A2EF">
      <w:pPr>
        <w:jc w:val="left"/>
        <w:rPr>
          <w:rFonts w:hint="eastAsia" w:ascii="宋体" w:hAnsi="宋体" w:cs="宋体"/>
          <w:b/>
          <w:kern w:val="0"/>
          <w:sz w:val="30"/>
          <w:szCs w:val="30"/>
          <w:lang w:val="zh-CN"/>
        </w:rPr>
      </w:pPr>
      <w:r>
        <w:rPr>
          <w:rFonts w:hint="eastAsia" w:ascii="宋体" w:hAnsi="宋体" w:cs="宋体"/>
          <w:b/>
          <w:kern w:val="0"/>
          <w:sz w:val="30"/>
          <w:szCs w:val="30"/>
          <w:lang w:val="zh-CN"/>
        </w:rPr>
        <w:br w:type="page"/>
      </w:r>
    </w:p>
    <w:p w14:paraId="1C0A1A83">
      <w:pPr>
        <w:spacing w:line="360" w:lineRule="auto"/>
        <w:jc w:val="left"/>
        <w:rPr>
          <w:rFonts w:hint="eastAsia" w:ascii="宋体" w:hAnsi="宋体" w:cs="宋体"/>
          <w:b/>
          <w:kern w:val="0"/>
          <w:sz w:val="30"/>
          <w:szCs w:val="30"/>
          <w:lang w:val="zh-CN"/>
        </w:rPr>
      </w:pPr>
      <w:r>
        <w:rPr>
          <w:rFonts w:hint="eastAsia" w:ascii="宋体" w:hAnsi="宋体" w:cs="宋体"/>
          <w:b/>
          <w:kern w:val="0"/>
          <w:sz w:val="30"/>
          <w:szCs w:val="30"/>
          <w:lang w:val="zh-CN"/>
        </w:rPr>
        <w:t>二、授权委托书或法定代表人（单位负责人、自然人本人）身份证明</w:t>
      </w:r>
    </w:p>
    <w:p w14:paraId="2D393DD3">
      <w:pPr>
        <w:snapToGrid w:val="0"/>
        <w:spacing w:line="360" w:lineRule="auto"/>
        <w:rPr>
          <w:rFonts w:hint="eastAsia" w:ascii="宋体" w:hAnsi="宋体" w:cs="宋体"/>
          <w:sz w:val="24"/>
        </w:rPr>
      </w:pPr>
      <w:r>
        <w:rPr>
          <w:rFonts w:hint="eastAsia" w:ascii="宋体" w:hAnsi="宋体" w:cs="宋体"/>
          <w:sz w:val="24"/>
        </w:rPr>
        <w:t xml:space="preserve">                                </w:t>
      </w:r>
    </w:p>
    <w:p w14:paraId="6B8D34D9">
      <w:pPr>
        <w:snapToGrid w:val="0"/>
        <w:spacing w:line="360" w:lineRule="auto"/>
        <w:ind w:firstLine="0" w:firstLineChars="0"/>
        <w:jc w:val="center"/>
        <w:rPr>
          <w:rFonts w:hint="eastAsia" w:ascii="宋体" w:hAnsi="宋体" w:cs="宋体"/>
        </w:rPr>
      </w:pPr>
      <w:r>
        <w:rPr>
          <w:rFonts w:hint="eastAsia" w:ascii="宋体" w:hAnsi="宋体" w:cs="宋体"/>
          <w:b/>
          <w:kern w:val="0"/>
          <w:sz w:val="32"/>
          <w:szCs w:val="32"/>
          <w:lang w:val="zh-CN"/>
        </w:rPr>
        <w:t>授权委托书（适用于非联合体投标）</w:t>
      </w:r>
    </w:p>
    <w:p w14:paraId="5AC3A48C">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2BA7790">
      <w:pPr>
        <w:snapToGrid w:val="0"/>
        <w:spacing w:line="360" w:lineRule="auto"/>
        <w:ind w:firstLine="576"/>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573A4217">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78512D6">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53CBB2AD">
      <w:pPr>
        <w:snapToGrid w:val="0"/>
        <w:spacing w:line="360" w:lineRule="auto"/>
        <w:rPr>
          <w:rFonts w:hint="eastAsia" w:ascii="宋体" w:hAnsi="宋体" w:cs="宋体"/>
          <w:kern w:val="0"/>
          <w:sz w:val="24"/>
        </w:rPr>
      </w:pPr>
      <w:r>
        <w:rPr>
          <w:rFonts w:hint="eastAsia" w:ascii="宋体" w:hAnsi="宋体" w:cs="宋体"/>
          <w:kern w:val="0"/>
          <w:sz w:val="24"/>
          <w:lang w:val="zh-CN"/>
        </w:rPr>
        <w:t xml:space="preserve">                                                 投标人名称(电子签名)：</w:t>
      </w:r>
    </w:p>
    <w:p w14:paraId="42DF228C">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签发日期：  年  月   日</w:t>
      </w:r>
    </w:p>
    <w:p w14:paraId="7AA4F695">
      <w:pPr>
        <w:snapToGrid w:val="0"/>
        <w:spacing w:line="360" w:lineRule="auto"/>
        <w:rPr>
          <w:rFonts w:hint="eastAsia" w:ascii="宋体" w:hAnsi="宋体" w:cs="宋体"/>
          <w:sz w:val="24"/>
        </w:rPr>
      </w:pPr>
    </w:p>
    <w:p w14:paraId="68977EA1">
      <w:pPr>
        <w:spacing w:line="360" w:lineRule="auto"/>
        <w:jc w:val="center"/>
        <w:rPr>
          <w:rFonts w:hint="eastAsia"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5E395992">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F7F4820">
      <w:pPr>
        <w:snapToGrid w:val="0"/>
        <w:spacing w:line="360" w:lineRule="auto"/>
        <w:ind w:firstLine="576"/>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5023F638">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479A7AA">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03AD6BA">
      <w:pPr>
        <w:spacing w:line="360" w:lineRule="auto"/>
        <w:jc w:val="center"/>
        <w:rPr>
          <w:rFonts w:hint="eastAsia" w:ascii="宋体" w:hAnsi="宋体" w:cs="宋体"/>
          <w:b/>
          <w:kern w:val="0"/>
          <w:sz w:val="32"/>
          <w:szCs w:val="32"/>
        </w:rPr>
      </w:pPr>
    </w:p>
    <w:p w14:paraId="546EAF01">
      <w:pPr>
        <w:spacing w:line="360" w:lineRule="auto"/>
        <w:rPr>
          <w:rFonts w:hint="eastAsia" w:ascii="宋体" w:hAnsi="宋体" w:cs="宋体"/>
        </w:rPr>
      </w:pPr>
    </w:p>
    <w:p w14:paraId="65ACB220">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67CBAACF">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6AE48AC8">
      <w:pPr>
        <w:snapToGrid w:val="0"/>
        <w:spacing w:line="360" w:lineRule="auto"/>
        <w:ind w:firstLine="5760" w:firstLineChars="2400"/>
        <w:rPr>
          <w:rFonts w:hint="eastAsia" w:ascii="宋体" w:hAnsi="宋体" w:cs="宋体"/>
        </w:rPr>
      </w:pPr>
      <w:r>
        <w:rPr>
          <w:rFonts w:hint="eastAsia" w:ascii="宋体" w:hAnsi="宋体" w:cs="宋体"/>
          <w:kern w:val="0"/>
          <w:sz w:val="24"/>
          <w:lang w:val="zh-CN"/>
        </w:rPr>
        <w:t>……</w:t>
      </w:r>
    </w:p>
    <w:p w14:paraId="3FF8283C">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2F2F6587">
      <w:pPr>
        <w:autoSpaceDE w:val="0"/>
        <w:autoSpaceDN w:val="0"/>
        <w:spacing w:line="360" w:lineRule="auto"/>
        <w:jc w:val="center"/>
        <w:rPr>
          <w:rFonts w:hint="eastAsia" w:ascii="宋体" w:hAnsi="宋体" w:cs="宋体"/>
          <w:b/>
          <w:kern w:val="0"/>
          <w:sz w:val="32"/>
          <w:szCs w:val="32"/>
          <w:lang w:val="zh-CN"/>
        </w:rPr>
      </w:pPr>
    </w:p>
    <w:p w14:paraId="1904C1B8">
      <w:pPr>
        <w:spacing w:line="360" w:lineRule="auto"/>
        <w:ind w:right="420"/>
        <w:rPr>
          <w:rFonts w:hint="eastAsia" w:ascii="宋体" w:hAnsi="宋体" w:cs="宋体"/>
          <w:sz w:val="24"/>
        </w:rPr>
      </w:pPr>
      <w:r>
        <w:rPr>
          <w:rFonts w:hint="eastAsia" w:ascii="宋体" w:hAnsi="宋体" w:cs="宋体"/>
          <w:sz w:val="24"/>
        </w:rPr>
        <w:t>注：按本格式和要求提供。</w:t>
      </w:r>
    </w:p>
    <w:p w14:paraId="02366A3B">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6E0E6D47">
      <w:pPr>
        <w:autoSpaceDE w:val="0"/>
        <w:autoSpaceDN w:val="0"/>
        <w:spacing w:line="360" w:lineRule="auto"/>
        <w:jc w:val="center"/>
        <w:rPr>
          <w:rFonts w:hint="eastAsia"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2892F07F">
      <w:pPr>
        <w:pStyle w:val="91"/>
        <w:spacing w:line="360" w:lineRule="auto"/>
        <w:rPr>
          <w:rFonts w:hint="eastAsia" w:hAnsi="宋体" w:cs="宋体"/>
          <w:bCs/>
          <w:sz w:val="24"/>
        </w:rPr>
      </w:pP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95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DCE4C1F">
            <w:pPr>
              <w:pStyle w:val="91"/>
              <w:adjustRightInd w:val="0"/>
              <w:spacing w:line="360" w:lineRule="auto"/>
              <w:rPr>
                <w:rFonts w:hint="eastAsia" w:hAnsi="宋体" w:cs="宋体"/>
                <w:bCs/>
                <w:sz w:val="24"/>
              </w:rPr>
            </w:pPr>
            <w:r>
              <w:rPr>
                <w:rFonts w:hint="eastAsia" w:hAnsi="宋体" w:cs="宋体"/>
                <w:bCs/>
                <w:sz w:val="24"/>
              </w:rPr>
              <w:t>正面：                                 反面：</w:t>
            </w:r>
          </w:p>
          <w:p w14:paraId="00EBFEA3">
            <w:pPr>
              <w:pStyle w:val="91"/>
              <w:adjustRightInd w:val="0"/>
              <w:spacing w:line="360" w:lineRule="auto"/>
              <w:rPr>
                <w:rFonts w:hint="eastAsia" w:hAnsi="宋体" w:cs="宋体"/>
                <w:bCs/>
                <w:sz w:val="24"/>
              </w:rPr>
            </w:pPr>
          </w:p>
        </w:tc>
      </w:tr>
    </w:tbl>
    <w:p w14:paraId="372AC1DF">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w:t>
      </w:r>
    </w:p>
    <w:p w14:paraId="34B78429">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投标人名称(电子签名)：                              </w:t>
      </w:r>
    </w:p>
    <w:p w14:paraId="4B993981">
      <w:pPr>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  年  月  日</w:t>
      </w:r>
    </w:p>
    <w:p w14:paraId="0EFF97C7">
      <w:pPr>
        <w:jc w:val="center"/>
        <w:rPr>
          <w:rFonts w:hint="eastAsia" w:ascii="宋体" w:hAnsi="宋体" w:cs="宋体"/>
          <w:b/>
          <w:kern w:val="0"/>
          <w:sz w:val="32"/>
          <w:szCs w:val="32"/>
        </w:rPr>
      </w:pPr>
    </w:p>
    <w:p w14:paraId="46FCE7A7">
      <w:pPr>
        <w:jc w:val="center"/>
        <w:rPr>
          <w:rFonts w:hint="eastAsia" w:ascii="宋体" w:hAnsi="宋体" w:cs="宋体"/>
          <w:b/>
          <w:kern w:val="0"/>
          <w:sz w:val="32"/>
          <w:szCs w:val="32"/>
        </w:rPr>
      </w:pPr>
    </w:p>
    <w:p w14:paraId="07DCE919">
      <w:pPr>
        <w:jc w:val="center"/>
        <w:rPr>
          <w:rFonts w:hint="eastAsia" w:ascii="宋体" w:hAnsi="宋体" w:cs="宋体"/>
          <w:b/>
          <w:kern w:val="0"/>
          <w:sz w:val="32"/>
          <w:szCs w:val="32"/>
        </w:rPr>
      </w:pPr>
    </w:p>
    <w:p w14:paraId="0614CA63">
      <w:pPr>
        <w:jc w:val="center"/>
        <w:rPr>
          <w:rFonts w:hint="eastAsia" w:ascii="宋体" w:hAnsi="宋体" w:cs="宋体"/>
          <w:b/>
          <w:kern w:val="0"/>
          <w:sz w:val="32"/>
          <w:szCs w:val="32"/>
        </w:rPr>
      </w:pPr>
    </w:p>
    <w:p w14:paraId="46711903">
      <w:pPr>
        <w:jc w:val="center"/>
        <w:rPr>
          <w:rFonts w:hint="eastAsia" w:ascii="宋体" w:hAnsi="宋体" w:cs="宋体"/>
          <w:b/>
          <w:kern w:val="0"/>
          <w:sz w:val="32"/>
          <w:szCs w:val="32"/>
        </w:rPr>
      </w:pPr>
    </w:p>
    <w:p w14:paraId="0EF1FEB5">
      <w:pPr>
        <w:jc w:val="center"/>
        <w:rPr>
          <w:rFonts w:hint="eastAsia" w:ascii="宋体" w:hAnsi="宋体" w:cs="宋体"/>
          <w:b/>
          <w:kern w:val="0"/>
          <w:sz w:val="32"/>
          <w:szCs w:val="32"/>
        </w:rPr>
      </w:pPr>
    </w:p>
    <w:p w14:paraId="59DAAA72">
      <w:pPr>
        <w:jc w:val="center"/>
        <w:rPr>
          <w:rFonts w:hint="eastAsia" w:ascii="宋体" w:hAnsi="宋体" w:cs="宋体"/>
          <w:b/>
          <w:kern w:val="0"/>
          <w:sz w:val="32"/>
          <w:szCs w:val="32"/>
        </w:rPr>
      </w:pPr>
    </w:p>
    <w:p w14:paraId="42F9789A">
      <w:pPr>
        <w:jc w:val="center"/>
        <w:rPr>
          <w:rFonts w:hint="eastAsia" w:ascii="宋体" w:hAnsi="宋体" w:cs="宋体"/>
          <w:b/>
          <w:kern w:val="0"/>
          <w:sz w:val="32"/>
          <w:szCs w:val="32"/>
        </w:rPr>
      </w:pPr>
    </w:p>
    <w:p w14:paraId="20773531">
      <w:pPr>
        <w:jc w:val="center"/>
        <w:rPr>
          <w:rFonts w:hint="eastAsia" w:ascii="宋体" w:hAnsi="宋体" w:cs="宋体"/>
          <w:b/>
          <w:kern w:val="0"/>
          <w:sz w:val="32"/>
          <w:szCs w:val="32"/>
        </w:rPr>
      </w:pPr>
    </w:p>
    <w:p w14:paraId="15DE02A6">
      <w:pPr>
        <w:jc w:val="center"/>
        <w:rPr>
          <w:rFonts w:hint="eastAsia" w:ascii="宋体" w:hAnsi="宋体" w:cs="宋体"/>
          <w:b/>
          <w:kern w:val="0"/>
          <w:sz w:val="32"/>
          <w:szCs w:val="32"/>
        </w:rPr>
      </w:pPr>
    </w:p>
    <w:p w14:paraId="30D140D5">
      <w:pPr>
        <w:snapToGrid w:val="0"/>
        <w:spacing w:line="360" w:lineRule="auto"/>
        <w:ind w:right="480"/>
        <w:rPr>
          <w:rFonts w:hint="eastAsia" w:ascii="宋体" w:hAnsi="宋体" w:cs="宋体"/>
          <w:b/>
          <w:kern w:val="0"/>
          <w:sz w:val="32"/>
          <w:szCs w:val="32"/>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AA90804">
      <w:pPr>
        <w:snapToGrid w:val="0"/>
        <w:spacing w:line="360" w:lineRule="auto"/>
        <w:jc w:val="center"/>
        <w:rPr>
          <w:rFonts w:hint="eastAsia" w:ascii="宋体" w:hAnsi="宋体" w:cs="宋体"/>
          <w:b/>
          <w:kern w:val="0"/>
          <w:sz w:val="32"/>
          <w:szCs w:val="32"/>
        </w:rPr>
      </w:pPr>
      <w:r>
        <w:rPr>
          <w:rFonts w:hint="eastAsia" w:ascii="宋体" w:hAnsi="宋体" w:cs="宋体"/>
          <w:b/>
          <w:kern w:val="0"/>
          <w:sz w:val="32"/>
          <w:szCs w:val="32"/>
        </w:rPr>
        <w:t>三、分包意向协议（若有）</w:t>
      </w:r>
    </w:p>
    <w:p w14:paraId="7CEE8272">
      <w:pPr>
        <w:widowControl/>
        <w:spacing w:line="360" w:lineRule="auto"/>
        <w:ind w:firstLine="120" w:firstLineChars="50"/>
        <w:jc w:val="center"/>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1FF5EEF0">
      <w:pPr>
        <w:snapToGrid w:val="0"/>
        <w:spacing w:line="360" w:lineRule="auto"/>
        <w:rPr>
          <w:rFonts w:hint="eastAsia" w:ascii="宋体" w:hAnsi="宋体" w:cs="宋体"/>
          <w:kern w:val="0"/>
          <w:sz w:val="24"/>
        </w:rPr>
      </w:pPr>
    </w:p>
    <w:p w14:paraId="629708D0">
      <w:pPr>
        <w:pStyle w:val="32"/>
      </w:pPr>
    </w:p>
    <w:p w14:paraId="1262A241">
      <w:pPr>
        <w:jc w:val="center"/>
        <w:rPr>
          <w:rFonts w:hint="eastAsia" w:ascii="宋体" w:hAnsi="宋体" w:cs="宋体"/>
          <w:b/>
          <w:kern w:val="0"/>
          <w:sz w:val="32"/>
          <w:szCs w:val="32"/>
        </w:rPr>
      </w:pPr>
      <w:r>
        <w:rPr>
          <w:rFonts w:hint="eastAsia" w:ascii="宋体" w:hAnsi="宋体" w:cs="宋体"/>
          <w:b/>
          <w:kern w:val="0"/>
          <w:sz w:val="32"/>
          <w:szCs w:val="32"/>
        </w:rPr>
        <w:t>四、符合性审查资料</w:t>
      </w:r>
    </w:p>
    <w:p w14:paraId="4027E6B1">
      <w:pPr>
        <w:jc w:val="center"/>
        <w:rPr>
          <w:rFonts w:hint="eastAsia" w:ascii="宋体" w:hAnsi="宋体" w:cs="宋体"/>
          <w:b/>
          <w:kern w:val="0"/>
          <w:sz w:val="32"/>
          <w:szCs w:val="32"/>
        </w:rPr>
      </w:pPr>
    </w:p>
    <w:tbl>
      <w:tblPr>
        <w:tblStyle w:val="62"/>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358"/>
        <w:gridCol w:w="2536"/>
        <w:gridCol w:w="1760"/>
      </w:tblGrid>
      <w:tr w14:paraId="142D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14:paraId="4CE7267A">
            <w:pPr>
              <w:snapToGrid w:val="0"/>
              <w:spacing w:line="240" w:lineRule="auto"/>
              <w:jc w:val="center"/>
              <w:rPr>
                <w:rFonts w:hint="eastAsia" w:ascii="宋体" w:hAnsi="宋体" w:cs="宋体"/>
                <w:b/>
                <w:bCs/>
                <w:sz w:val="24"/>
                <w:szCs w:val="24"/>
              </w:rPr>
            </w:pPr>
            <w:r>
              <w:rPr>
                <w:rFonts w:hint="eastAsia" w:ascii="宋体" w:hAnsi="宋体" w:cs="宋体"/>
                <w:b/>
                <w:bCs/>
                <w:sz w:val="24"/>
                <w:szCs w:val="24"/>
              </w:rPr>
              <w:t>序号</w:t>
            </w:r>
          </w:p>
        </w:tc>
        <w:tc>
          <w:tcPr>
            <w:tcW w:w="4358" w:type="dxa"/>
            <w:noWrap w:val="0"/>
            <w:vAlign w:val="center"/>
          </w:tcPr>
          <w:p w14:paraId="4D9D0E72">
            <w:pPr>
              <w:snapToGrid w:val="0"/>
              <w:spacing w:line="240" w:lineRule="auto"/>
              <w:jc w:val="center"/>
              <w:rPr>
                <w:rFonts w:hint="eastAsia" w:ascii="宋体" w:hAnsi="宋体" w:cs="宋体"/>
                <w:b/>
                <w:bCs/>
                <w:sz w:val="24"/>
                <w:szCs w:val="24"/>
              </w:rPr>
            </w:pPr>
            <w:r>
              <w:rPr>
                <w:rFonts w:hint="eastAsia" w:ascii="宋体" w:hAnsi="宋体" w:cs="宋体"/>
                <w:b/>
                <w:bCs/>
                <w:sz w:val="24"/>
                <w:szCs w:val="24"/>
              </w:rPr>
              <w:t>实质性要求</w:t>
            </w:r>
          </w:p>
        </w:tc>
        <w:tc>
          <w:tcPr>
            <w:tcW w:w="2536" w:type="dxa"/>
            <w:noWrap w:val="0"/>
            <w:vAlign w:val="center"/>
          </w:tcPr>
          <w:p w14:paraId="28F00A33">
            <w:pPr>
              <w:snapToGrid w:val="0"/>
              <w:spacing w:line="240" w:lineRule="auto"/>
              <w:jc w:val="center"/>
              <w:rPr>
                <w:rFonts w:hint="eastAsia" w:ascii="宋体" w:hAnsi="宋体" w:cs="宋体"/>
                <w:b/>
                <w:bCs/>
                <w:sz w:val="24"/>
                <w:szCs w:val="24"/>
              </w:rPr>
            </w:pPr>
            <w:r>
              <w:rPr>
                <w:rFonts w:hint="eastAsia" w:ascii="宋体" w:hAnsi="宋体" w:cs="宋体"/>
                <w:b/>
                <w:bCs/>
                <w:sz w:val="24"/>
                <w:szCs w:val="24"/>
              </w:rPr>
              <w:t>需要提供的符合性审查资料</w:t>
            </w:r>
          </w:p>
        </w:tc>
        <w:tc>
          <w:tcPr>
            <w:tcW w:w="1760" w:type="dxa"/>
            <w:noWrap w:val="0"/>
            <w:vAlign w:val="center"/>
          </w:tcPr>
          <w:p w14:paraId="5F2EEB91">
            <w:pPr>
              <w:snapToGrid w:val="0"/>
              <w:spacing w:line="240" w:lineRule="auto"/>
              <w:jc w:val="center"/>
              <w:rPr>
                <w:rFonts w:hint="eastAsia" w:ascii="宋体" w:hAnsi="宋体" w:cs="宋体"/>
                <w:b/>
                <w:bCs/>
                <w:sz w:val="24"/>
                <w:szCs w:val="24"/>
              </w:rPr>
            </w:pPr>
            <w:r>
              <w:rPr>
                <w:rFonts w:hint="eastAsia" w:ascii="宋体" w:hAnsi="宋体" w:cs="宋体"/>
                <w:b/>
                <w:bCs/>
                <w:sz w:val="24"/>
                <w:szCs w:val="24"/>
              </w:rPr>
              <w:t>投标文件中的</w:t>
            </w:r>
          </w:p>
          <w:p w14:paraId="6898E5AB">
            <w:pPr>
              <w:snapToGrid w:val="0"/>
              <w:spacing w:line="240" w:lineRule="auto"/>
              <w:jc w:val="center"/>
              <w:rPr>
                <w:rFonts w:hint="eastAsia" w:ascii="宋体" w:hAnsi="宋体" w:cs="宋体"/>
                <w:b/>
                <w:bCs/>
                <w:sz w:val="24"/>
                <w:szCs w:val="24"/>
              </w:rPr>
            </w:pPr>
            <w:r>
              <w:rPr>
                <w:rFonts w:hint="eastAsia" w:ascii="宋体" w:hAnsi="宋体" w:cs="宋体"/>
                <w:b/>
                <w:bCs/>
                <w:sz w:val="24"/>
                <w:szCs w:val="24"/>
              </w:rPr>
              <w:t>页码位置</w:t>
            </w:r>
          </w:p>
        </w:tc>
      </w:tr>
      <w:tr w14:paraId="038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noWrap w:val="0"/>
            <w:vAlign w:val="center"/>
          </w:tcPr>
          <w:p w14:paraId="23180828">
            <w:pPr>
              <w:spacing w:line="240" w:lineRule="auto"/>
              <w:jc w:val="center"/>
              <w:rPr>
                <w:rFonts w:hint="eastAsia" w:ascii="宋体" w:hAnsi="宋体" w:cs="宋体"/>
                <w:sz w:val="24"/>
                <w:szCs w:val="24"/>
              </w:rPr>
            </w:pPr>
            <w:r>
              <w:rPr>
                <w:rFonts w:hint="eastAsia" w:ascii="宋体" w:hAnsi="宋体" w:cs="宋体"/>
                <w:sz w:val="24"/>
                <w:szCs w:val="24"/>
              </w:rPr>
              <w:t>1</w:t>
            </w:r>
          </w:p>
        </w:tc>
        <w:tc>
          <w:tcPr>
            <w:tcW w:w="4358" w:type="dxa"/>
            <w:noWrap w:val="0"/>
            <w:vAlign w:val="center"/>
          </w:tcPr>
          <w:p w14:paraId="0451A57A">
            <w:pPr>
              <w:spacing w:line="240" w:lineRule="auto"/>
              <w:jc w:val="center"/>
              <w:rPr>
                <w:rFonts w:hint="eastAsia" w:ascii="宋体" w:hAnsi="宋体" w:cs="宋体"/>
                <w:sz w:val="24"/>
                <w:szCs w:val="24"/>
              </w:rPr>
            </w:pPr>
            <w:r>
              <w:rPr>
                <w:rFonts w:hint="eastAsia" w:ascii="宋体" w:hAnsi="宋体" w:cs="宋体"/>
                <w:sz w:val="24"/>
                <w:szCs w:val="24"/>
              </w:rPr>
              <w:t>投标文件按照招标文件要求签署、盖章。</w:t>
            </w:r>
          </w:p>
        </w:tc>
        <w:tc>
          <w:tcPr>
            <w:tcW w:w="2536" w:type="dxa"/>
            <w:noWrap w:val="0"/>
            <w:vAlign w:val="center"/>
          </w:tcPr>
          <w:p w14:paraId="288E40DC">
            <w:pPr>
              <w:spacing w:line="240" w:lineRule="auto"/>
              <w:jc w:val="center"/>
              <w:rPr>
                <w:rFonts w:hint="eastAsia" w:ascii="宋体" w:hAnsi="宋体" w:cs="宋体"/>
                <w:sz w:val="24"/>
                <w:szCs w:val="24"/>
              </w:rPr>
            </w:pPr>
            <w:r>
              <w:rPr>
                <w:rFonts w:hint="eastAsia" w:ascii="宋体" w:hAnsi="宋体" w:cs="宋体"/>
                <w:sz w:val="24"/>
                <w:szCs w:val="24"/>
              </w:rPr>
              <w:t>需要使用电子签名或者签字盖章的投标文件的组成部分</w:t>
            </w:r>
          </w:p>
        </w:tc>
        <w:tc>
          <w:tcPr>
            <w:tcW w:w="1760" w:type="dxa"/>
            <w:noWrap w:val="0"/>
            <w:vAlign w:val="center"/>
          </w:tcPr>
          <w:p w14:paraId="4D8305CF">
            <w:pPr>
              <w:spacing w:line="240" w:lineRule="auto"/>
              <w:jc w:val="center"/>
              <w:rPr>
                <w:rFonts w:hint="eastAsia" w:ascii="宋体" w:hAnsi="宋体" w:cs="宋体"/>
                <w:sz w:val="24"/>
                <w:szCs w:val="24"/>
              </w:rPr>
            </w:pPr>
          </w:p>
          <w:p w14:paraId="2743FE75">
            <w:pPr>
              <w:spacing w:line="240" w:lineRule="auto"/>
              <w:jc w:val="center"/>
              <w:rPr>
                <w:rFonts w:hint="eastAsia" w:ascii="宋体" w:hAnsi="宋体" w:cs="宋体"/>
                <w:sz w:val="24"/>
                <w:szCs w:val="24"/>
              </w:rPr>
            </w:pPr>
            <w:r>
              <w:rPr>
                <w:rFonts w:hint="eastAsia" w:ascii="宋体" w:hAnsi="宋体" w:cs="宋体"/>
                <w:sz w:val="24"/>
                <w:szCs w:val="24"/>
              </w:rPr>
              <w:t>见投标文件</w:t>
            </w:r>
          </w:p>
          <w:p w14:paraId="08C50BEA">
            <w:pPr>
              <w:spacing w:line="240" w:lineRule="auto"/>
              <w:jc w:val="center"/>
              <w:rPr>
                <w:rFonts w:hint="eastAsia" w:ascii="宋体" w:hAnsi="宋体" w:cs="宋体"/>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17C2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noWrap w:val="0"/>
            <w:vAlign w:val="center"/>
          </w:tcPr>
          <w:p w14:paraId="75E0A143">
            <w:pPr>
              <w:spacing w:line="240" w:lineRule="auto"/>
              <w:jc w:val="center"/>
              <w:rPr>
                <w:rFonts w:hint="eastAsia" w:ascii="宋体" w:hAnsi="宋体" w:cs="宋体"/>
                <w:sz w:val="24"/>
                <w:szCs w:val="24"/>
              </w:rPr>
            </w:pPr>
            <w:r>
              <w:rPr>
                <w:rFonts w:hint="eastAsia" w:ascii="宋体" w:hAnsi="宋体" w:cs="宋体"/>
                <w:sz w:val="24"/>
                <w:szCs w:val="24"/>
              </w:rPr>
              <w:t>2</w:t>
            </w:r>
          </w:p>
        </w:tc>
        <w:tc>
          <w:tcPr>
            <w:tcW w:w="4358" w:type="dxa"/>
            <w:noWrap w:val="0"/>
            <w:vAlign w:val="center"/>
          </w:tcPr>
          <w:p w14:paraId="341DB24D">
            <w:pPr>
              <w:spacing w:line="240" w:lineRule="auto"/>
              <w:jc w:val="center"/>
              <w:rPr>
                <w:rFonts w:hint="eastAsia" w:ascii="宋体" w:hAnsi="宋体" w:cs="宋体"/>
                <w:sz w:val="24"/>
                <w:szCs w:val="24"/>
              </w:rPr>
            </w:pPr>
            <w:r>
              <w:rPr>
                <w:rFonts w:hint="eastAsia" w:ascii="宋体" w:hAnsi="宋体" w:cs="宋体"/>
                <w:sz w:val="24"/>
                <w:szCs w:val="24"/>
              </w:rPr>
              <w:t>采购人拟采购的产品属于政府强制采购的节能产品品目清单范围的，投标人按招标文件要求提供国家确定的认证机构出具的、处于有效期之内的节能产品认证证书。</w:t>
            </w:r>
          </w:p>
        </w:tc>
        <w:tc>
          <w:tcPr>
            <w:tcW w:w="2536" w:type="dxa"/>
            <w:noWrap w:val="0"/>
            <w:vAlign w:val="center"/>
          </w:tcPr>
          <w:p w14:paraId="78B93612">
            <w:pPr>
              <w:spacing w:line="240" w:lineRule="auto"/>
              <w:jc w:val="center"/>
              <w:rPr>
                <w:rFonts w:hint="eastAsia" w:ascii="宋体" w:hAnsi="宋体" w:cs="宋体"/>
                <w:sz w:val="24"/>
                <w:szCs w:val="24"/>
              </w:rPr>
            </w:pPr>
            <w:r>
              <w:rPr>
                <w:rFonts w:hint="eastAsia" w:ascii="宋体" w:hAnsi="宋体" w:cs="宋体"/>
                <w:sz w:val="24"/>
                <w:szCs w:val="24"/>
              </w:rPr>
              <w:t>节能产品认证证书</w:t>
            </w:r>
            <w:r>
              <w:rPr>
                <w:rFonts w:hint="eastAsia" w:ascii="宋体" w:hAnsi="宋体" w:cs="宋体"/>
                <w:sz w:val="24"/>
                <w:szCs w:val="24"/>
                <w:highlight w:val="none"/>
              </w:rPr>
              <w:t>（本项目拟采购的产品不属于政府强制采购的节能产品品目清单范围的，无需提供）</w:t>
            </w:r>
          </w:p>
        </w:tc>
        <w:tc>
          <w:tcPr>
            <w:tcW w:w="1760" w:type="dxa"/>
            <w:noWrap w:val="0"/>
            <w:vAlign w:val="center"/>
          </w:tcPr>
          <w:p w14:paraId="448EBBC9">
            <w:pPr>
              <w:spacing w:line="240" w:lineRule="auto"/>
              <w:jc w:val="center"/>
              <w:rPr>
                <w:rFonts w:hint="eastAsia" w:ascii="宋体" w:hAnsi="宋体" w:cs="宋体"/>
                <w:sz w:val="24"/>
                <w:szCs w:val="24"/>
              </w:rPr>
            </w:pPr>
          </w:p>
          <w:p w14:paraId="016FEFEA">
            <w:pPr>
              <w:spacing w:line="240" w:lineRule="auto"/>
              <w:jc w:val="center"/>
              <w:rPr>
                <w:rFonts w:hint="eastAsia" w:ascii="宋体" w:hAnsi="宋体" w:cs="宋体"/>
                <w:sz w:val="24"/>
                <w:szCs w:val="24"/>
              </w:rPr>
            </w:pPr>
          </w:p>
          <w:p w14:paraId="733E79F2">
            <w:pPr>
              <w:spacing w:line="240" w:lineRule="auto"/>
              <w:jc w:val="center"/>
              <w:rPr>
                <w:rFonts w:hint="eastAsia" w:ascii="宋体" w:hAnsi="宋体" w:cs="宋体"/>
                <w:sz w:val="24"/>
                <w:szCs w:val="24"/>
              </w:rPr>
            </w:pPr>
            <w:r>
              <w:rPr>
                <w:rFonts w:hint="eastAsia" w:ascii="宋体" w:hAnsi="宋体" w:cs="宋体"/>
                <w:sz w:val="24"/>
                <w:szCs w:val="24"/>
              </w:rPr>
              <w:t>见投标文件</w:t>
            </w:r>
          </w:p>
          <w:p w14:paraId="67508EED">
            <w:pPr>
              <w:pStyle w:val="3"/>
              <w:spacing w:line="240" w:lineRule="auto"/>
              <w:jc w:val="center"/>
              <w:rPr>
                <w:rFonts w:hint="eastAsia" w:ascii="宋体" w:hAnsi="宋体" w:eastAsia="宋体" w:cs="宋体"/>
                <w:lang w:val="en-US"/>
              </w:rPr>
            </w:pPr>
            <w:r>
              <w:rPr>
                <w:rFonts w:hint="eastAsia" w:ascii="宋体" w:hAnsi="宋体" w:eastAsia="宋体" w:cs="宋体"/>
                <w:b w:val="0"/>
                <w:bCs w:val="0"/>
                <w:sz w:val="24"/>
                <w:szCs w:val="24"/>
                <w:lang w:val="en-US"/>
              </w:rPr>
              <w:t>第</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页</w:t>
            </w:r>
          </w:p>
        </w:tc>
      </w:tr>
      <w:tr w14:paraId="6677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noWrap w:val="0"/>
            <w:vAlign w:val="center"/>
          </w:tcPr>
          <w:p w14:paraId="627A94D0">
            <w:pPr>
              <w:spacing w:line="240" w:lineRule="auto"/>
              <w:jc w:val="center"/>
              <w:rPr>
                <w:rFonts w:hint="eastAsia" w:ascii="宋体" w:hAnsi="宋体" w:cs="宋体"/>
                <w:sz w:val="24"/>
                <w:szCs w:val="24"/>
              </w:rPr>
            </w:pPr>
            <w:r>
              <w:rPr>
                <w:rFonts w:hint="eastAsia" w:ascii="宋体" w:hAnsi="宋体" w:cs="宋体"/>
                <w:sz w:val="24"/>
                <w:szCs w:val="24"/>
              </w:rPr>
              <w:t>3</w:t>
            </w:r>
          </w:p>
        </w:tc>
        <w:tc>
          <w:tcPr>
            <w:tcW w:w="4358" w:type="dxa"/>
            <w:noWrap w:val="0"/>
            <w:vAlign w:val="center"/>
          </w:tcPr>
          <w:p w14:paraId="5EDEF559">
            <w:pPr>
              <w:spacing w:line="240" w:lineRule="auto"/>
              <w:jc w:val="center"/>
              <w:rPr>
                <w:rFonts w:hint="eastAsia" w:ascii="宋体" w:hAnsi="宋体" w:cs="宋体"/>
                <w:sz w:val="24"/>
                <w:szCs w:val="24"/>
              </w:rPr>
            </w:pPr>
            <w:r>
              <w:rPr>
                <w:rFonts w:hint="eastAsia" w:ascii="宋体" w:hAnsi="宋体" w:cs="宋体"/>
                <w:sz w:val="24"/>
                <w:szCs w:val="24"/>
              </w:rPr>
              <w:t>投标文件中承诺的投标有效期不少于招标文件中载明的投标有效期。</w:t>
            </w:r>
          </w:p>
        </w:tc>
        <w:tc>
          <w:tcPr>
            <w:tcW w:w="2536" w:type="dxa"/>
            <w:noWrap w:val="0"/>
            <w:vAlign w:val="center"/>
          </w:tcPr>
          <w:p w14:paraId="095A5E92">
            <w:pPr>
              <w:spacing w:line="240" w:lineRule="auto"/>
              <w:jc w:val="center"/>
              <w:rPr>
                <w:rFonts w:hint="eastAsia" w:ascii="宋体" w:hAnsi="宋体" w:cs="宋体"/>
                <w:sz w:val="24"/>
                <w:szCs w:val="24"/>
              </w:rPr>
            </w:pPr>
            <w:r>
              <w:rPr>
                <w:rFonts w:hint="eastAsia" w:ascii="宋体" w:hAnsi="宋体" w:cs="宋体"/>
                <w:sz w:val="24"/>
                <w:szCs w:val="24"/>
              </w:rPr>
              <w:t>投标函</w:t>
            </w:r>
          </w:p>
        </w:tc>
        <w:tc>
          <w:tcPr>
            <w:tcW w:w="1760" w:type="dxa"/>
            <w:noWrap w:val="0"/>
            <w:vAlign w:val="center"/>
          </w:tcPr>
          <w:p w14:paraId="422DC479">
            <w:pPr>
              <w:spacing w:line="240" w:lineRule="auto"/>
              <w:jc w:val="center"/>
              <w:rPr>
                <w:rFonts w:hint="eastAsia" w:ascii="宋体" w:hAnsi="宋体" w:cs="宋体"/>
                <w:sz w:val="24"/>
                <w:szCs w:val="24"/>
              </w:rPr>
            </w:pPr>
            <w:r>
              <w:rPr>
                <w:rFonts w:hint="eastAsia" w:ascii="宋体" w:hAnsi="宋体" w:cs="宋体"/>
                <w:sz w:val="24"/>
                <w:szCs w:val="24"/>
              </w:rPr>
              <w:t>见投标文件</w:t>
            </w:r>
          </w:p>
          <w:p w14:paraId="61581C31">
            <w:pPr>
              <w:spacing w:line="240" w:lineRule="auto"/>
              <w:jc w:val="center"/>
              <w:rPr>
                <w:rFonts w:hint="eastAsia" w:ascii="宋体" w:hAnsi="宋体" w:cs="宋体"/>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0A8E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noWrap w:val="0"/>
            <w:vAlign w:val="center"/>
          </w:tcPr>
          <w:p w14:paraId="2B3C9014">
            <w:pPr>
              <w:spacing w:line="240" w:lineRule="auto"/>
              <w:jc w:val="center"/>
              <w:rPr>
                <w:rFonts w:hint="eastAsia" w:ascii="宋体" w:hAnsi="宋体" w:cs="宋体"/>
                <w:sz w:val="24"/>
                <w:szCs w:val="24"/>
              </w:rPr>
            </w:pPr>
            <w:r>
              <w:rPr>
                <w:rFonts w:hint="eastAsia" w:ascii="宋体" w:hAnsi="宋体" w:cs="宋体"/>
                <w:sz w:val="24"/>
                <w:szCs w:val="24"/>
              </w:rPr>
              <w:t>4</w:t>
            </w:r>
          </w:p>
        </w:tc>
        <w:tc>
          <w:tcPr>
            <w:tcW w:w="4358" w:type="dxa"/>
            <w:noWrap w:val="0"/>
            <w:vAlign w:val="center"/>
          </w:tcPr>
          <w:p w14:paraId="4B6EEAC6">
            <w:pPr>
              <w:spacing w:line="240" w:lineRule="auto"/>
              <w:jc w:val="center"/>
              <w:rPr>
                <w:rFonts w:hint="eastAsia" w:ascii="宋体" w:hAnsi="宋体" w:cs="宋体"/>
                <w:sz w:val="24"/>
                <w:szCs w:val="24"/>
              </w:rPr>
            </w:pPr>
            <w:r>
              <w:rPr>
                <w:rFonts w:hint="eastAsia" w:ascii="宋体" w:hAnsi="宋体" w:cs="宋体"/>
                <w:sz w:val="24"/>
                <w:szCs w:val="24"/>
              </w:rPr>
              <w:t>投标文件满足招标文件的其它实质性要求。</w:t>
            </w:r>
          </w:p>
        </w:tc>
        <w:tc>
          <w:tcPr>
            <w:tcW w:w="2536" w:type="dxa"/>
            <w:noWrap w:val="0"/>
            <w:vAlign w:val="center"/>
          </w:tcPr>
          <w:p w14:paraId="6A9C2EDA">
            <w:pPr>
              <w:spacing w:line="240" w:lineRule="auto"/>
              <w:jc w:val="center"/>
              <w:rPr>
                <w:rFonts w:hint="eastAsia" w:ascii="宋体" w:hAnsi="宋体" w:cs="宋体"/>
                <w:sz w:val="24"/>
                <w:szCs w:val="24"/>
              </w:rPr>
            </w:pPr>
            <w:r>
              <w:rPr>
                <w:rFonts w:hint="eastAsia" w:ascii="宋体" w:hAnsi="宋体" w:cs="宋体"/>
                <w:kern w:val="0"/>
                <w:sz w:val="24"/>
                <w:szCs w:val="24"/>
              </w:rPr>
              <w:t>招标文件其它实质性要求相应的材料（“▲” 系指实质性要求条款，招标文件无其它实质性要求的，无需提供）</w:t>
            </w:r>
          </w:p>
        </w:tc>
        <w:tc>
          <w:tcPr>
            <w:tcW w:w="1760" w:type="dxa"/>
            <w:noWrap w:val="0"/>
            <w:vAlign w:val="center"/>
          </w:tcPr>
          <w:p w14:paraId="0C743668">
            <w:pPr>
              <w:spacing w:line="240" w:lineRule="auto"/>
              <w:jc w:val="center"/>
              <w:rPr>
                <w:rFonts w:hint="eastAsia" w:ascii="宋体" w:hAnsi="宋体" w:cs="宋体"/>
                <w:sz w:val="24"/>
                <w:szCs w:val="24"/>
              </w:rPr>
            </w:pPr>
            <w:r>
              <w:rPr>
                <w:rFonts w:hint="eastAsia" w:ascii="宋体" w:hAnsi="宋体" w:cs="宋体"/>
                <w:sz w:val="24"/>
                <w:szCs w:val="24"/>
              </w:rPr>
              <w:t>见投标文件</w:t>
            </w:r>
          </w:p>
          <w:p w14:paraId="7C487A5B">
            <w:pPr>
              <w:spacing w:line="240" w:lineRule="auto"/>
              <w:jc w:val="center"/>
              <w:rPr>
                <w:rFonts w:hint="eastAsia" w:ascii="宋体" w:hAnsi="宋体" w:cs="宋体"/>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7FD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noWrap w:val="0"/>
            <w:vAlign w:val="center"/>
          </w:tcPr>
          <w:p w14:paraId="61D8252E">
            <w:pPr>
              <w:spacing w:line="24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4358" w:type="dxa"/>
            <w:noWrap w:val="0"/>
            <w:vAlign w:val="center"/>
          </w:tcPr>
          <w:p w14:paraId="3AC24338">
            <w:pPr>
              <w:spacing w:line="240" w:lineRule="auto"/>
              <w:jc w:val="center"/>
              <w:rPr>
                <w:rFonts w:hint="eastAsia" w:ascii="宋体" w:hAnsi="宋体" w:cs="宋体"/>
                <w:sz w:val="24"/>
                <w:szCs w:val="24"/>
              </w:rPr>
            </w:pPr>
            <w:r>
              <w:rPr>
                <w:rFonts w:hint="eastAsia" w:ascii="宋体" w:hAnsi="宋体" w:eastAsia="宋体" w:cs="宋体"/>
                <w:b w:val="0"/>
                <w:bCs/>
                <w:color w:val="auto"/>
                <w:kern w:val="1"/>
                <w:sz w:val="24"/>
                <w:szCs w:val="24"/>
                <w:highlight w:val="none"/>
              </w:rPr>
              <w:t>本项目“第三部分 采购需求”中带“●”条款为实质性内容，投标人必须作出实质性响应，如有任意一条未响应或不满足，将被视为投标无效。</w:t>
            </w:r>
          </w:p>
        </w:tc>
        <w:tc>
          <w:tcPr>
            <w:tcW w:w="2536" w:type="dxa"/>
            <w:noWrap w:val="0"/>
            <w:vAlign w:val="center"/>
          </w:tcPr>
          <w:p w14:paraId="2CA6A7C5">
            <w:pPr>
              <w:spacing w:line="240" w:lineRule="auto"/>
              <w:jc w:val="center"/>
              <w:rPr>
                <w:rFonts w:hint="eastAsia" w:ascii="宋体" w:hAnsi="宋体" w:cs="宋体"/>
                <w:kern w:val="0"/>
                <w:sz w:val="24"/>
                <w:szCs w:val="24"/>
              </w:rPr>
            </w:pPr>
            <w:r>
              <w:rPr>
                <w:rFonts w:hint="eastAsia" w:ascii="宋体" w:hAnsi="宋体" w:cs="宋体"/>
                <w:kern w:val="0"/>
                <w:sz w:val="24"/>
                <w:lang w:val="en-US" w:eastAsia="zh-CN"/>
              </w:rPr>
              <w:t>提供《采购需求实质性内容响应表》</w:t>
            </w:r>
          </w:p>
        </w:tc>
        <w:tc>
          <w:tcPr>
            <w:tcW w:w="1760" w:type="dxa"/>
            <w:noWrap w:val="0"/>
            <w:vAlign w:val="center"/>
          </w:tcPr>
          <w:p w14:paraId="126EA262">
            <w:pPr>
              <w:spacing w:line="240" w:lineRule="auto"/>
              <w:jc w:val="center"/>
              <w:rPr>
                <w:rFonts w:hint="eastAsia" w:ascii="宋体" w:hAnsi="宋体" w:cs="宋体"/>
                <w:sz w:val="24"/>
              </w:rPr>
            </w:pPr>
            <w:r>
              <w:rPr>
                <w:rFonts w:hint="eastAsia" w:ascii="宋体" w:hAnsi="宋体" w:cs="宋体"/>
                <w:sz w:val="24"/>
              </w:rPr>
              <w:t>见投标文件</w:t>
            </w:r>
          </w:p>
          <w:p w14:paraId="02157BDF">
            <w:pPr>
              <w:spacing w:line="240" w:lineRule="auto"/>
              <w:jc w:val="center"/>
              <w:rPr>
                <w:rFonts w:hint="eastAsia" w:ascii="宋体" w:hAnsi="宋体" w:cs="宋体"/>
                <w:sz w:val="24"/>
                <w:szCs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bl>
    <w:p w14:paraId="7B08CC3D">
      <w:pPr>
        <w:spacing w:before="0" w:beforeLines="0" w:line="360" w:lineRule="auto"/>
        <w:ind w:right="420"/>
        <w:rPr>
          <w:rFonts w:hint="eastAsia" w:ascii="宋体" w:hAnsi="宋体" w:cs="宋体"/>
          <w:sz w:val="24"/>
        </w:rPr>
      </w:pPr>
    </w:p>
    <w:p w14:paraId="6BCCD895">
      <w:pPr>
        <w:spacing w:before="0" w:beforeLines="0" w:line="360" w:lineRule="auto"/>
        <w:ind w:right="420"/>
        <w:rPr>
          <w:rFonts w:hint="eastAsia" w:ascii="宋体" w:hAnsi="宋体" w:cs="宋体"/>
          <w:sz w:val="24"/>
        </w:rPr>
      </w:pPr>
      <w:r>
        <w:rPr>
          <w:rFonts w:hint="eastAsia" w:ascii="宋体" w:hAnsi="宋体" w:cs="宋体"/>
          <w:sz w:val="24"/>
        </w:rPr>
        <w:t>注：1.按本格式和要求提供。</w:t>
      </w:r>
    </w:p>
    <w:p w14:paraId="42E6F080">
      <w:pPr>
        <w:spacing w:before="0" w:beforeLines="0" w:line="360" w:lineRule="auto"/>
        <w:ind w:right="420"/>
        <w:rPr>
          <w:rFonts w:hint="eastAsia" w:ascii="宋体" w:hAnsi="宋体" w:cs="宋体"/>
          <w:sz w:val="24"/>
        </w:rPr>
      </w:pPr>
      <w:r>
        <w:rPr>
          <w:rFonts w:hint="eastAsia" w:ascii="宋体" w:hAnsi="宋体" w:cs="宋体"/>
          <w:sz w:val="24"/>
        </w:rPr>
        <w:t>2、招标文件中实质性要求必须明确响应。</w:t>
      </w:r>
    </w:p>
    <w:p w14:paraId="5CA88DF0">
      <w:pPr>
        <w:jc w:val="center"/>
        <w:rPr>
          <w:rFonts w:hint="eastAsia" w:ascii="宋体" w:hAnsi="宋体" w:cs="宋体"/>
          <w:b/>
          <w:kern w:val="0"/>
          <w:sz w:val="32"/>
          <w:szCs w:val="32"/>
        </w:rPr>
      </w:pPr>
    </w:p>
    <w:p w14:paraId="02ACB48D">
      <w:pPr>
        <w:jc w:val="center"/>
        <w:rPr>
          <w:rFonts w:hint="eastAsia" w:ascii="宋体" w:hAnsi="宋体" w:cs="宋体"/>
          <w:b/>
          <w:kern w:val="0"/>
          <w:sz w:val="32"/>
          <w:szCs w:val="32"/>
        </w:rPr>
      </w:pPr>
      <w:r>
        <w:rPr>
          <w:rFonts w:hint="eastAsia" w:ascii="宋体" w:hAnsi="宋体" w:cs="宋体"/>
          <w:b/>
          <w:kern w:val="0"/>
          <w:sz w:val="32"/>
          <w:szCs w:val="32"/>
        </w:rPr>
        <w:t xml:space="preserve">            </w:t>
      </w:r>
    </w:p>
    <w:p w14:paraId="1826689F">
      <w:pPr>
        <w:jc w:val="center"/>
        <w:rPr>
          <w:rFonts w:hint="eastAsia" w:ascii="宋体" w:hAnsi="宋体" w:cs="宋体"/>
          <w:b/>
          <w:kern w:val="0"/>
          <w:sz w:val="32"/>
          <w:szCs w:val="32"/>
        </w:rPr>
      </w:pPr>
    </w:p>
    <w:p w14:paraId="68DE0506">
      <w:pPr>
        <w:jc w:val="center"/>
        <w:rPr>
          <w:rFonts w:hint="eastAsia" w:ascii="宋体" w:hAnsi="宋体" w:cs="宋体"/>
          <w:b/>
          <w:kern w:val="0"/>
          <w:sz w:val="32"/>
          <w:szCs w:val="32"/>
        </w:rPr>
      </w:pPr>
    </w:p>
    <w:p w14:paraId="4DD31F12">
      <w:pPr>
        <w:jc w:val="center"/>
        <w:rPr>
          <w:rFonts w:hint="eastAsia" w:ascii="宋体" w:hAnsi="宋体" w:cs="宋体"/>
          <w:b/>
          <w:kern w:val="0"/>
          <w:sz w:val="32"/>
          <w:szCs w:val="32"/>
        </w:rPr>
      </w:pPr>
    </w:p>
    <w:p w14:paraId="36E73F6B">
      <w:pPr>
        <w:jc w:val="center"/>
        <w:rPr>
          <w:rFonts w:hint="eastAsia" w:ascii="宋体" w:hAnsi="宋体" w:cs="宋体"/>
          <w:b/>
          <w:kern w:val="0"/>
          <w:sz w:val="32"/>
          <w:szCs w:val="32"/>
        </w:rPr>
      </w:pPr>
    </w:p>
    <w:p w14:paraId="5715980D">
      <w:pPr>
        <w:snapToGrid/>
        <w:spacing w:line="240" w:lineRule="auto"/>
        <w:jc w:val="center"/>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lang w:val="zh-CN"/>
        </w:rPr>
        <w:t>采购需求实质性内容响应表</w:t>
      </w:r>
    </w:p>
    <w:p w14:paraId="11292016">
      <w:pPr>
        <w:autoSpaceDE w:val="0"/>
        <w:autoSpaceDN w:val="0"/>
        <w:adjustRightInd w:val="0"/>
        <w:spacing w:line="360" w:lineRule="auto"/>
        <w:rPr>
          <w:rFonts w:hint="eastAsia" w:ascii="宋体" w:hAnsi="宋体" w:eastAsia="宋体" w:cs="宋体"/>
          <w:b/>
          <w:kern w:val="0"/>
          <w:sz w:val="24"/>
          <w:highlight w:val="none"/>
        </w:rPr>
      </w:pPr>
    </w:p>
    <w:p w14:paraId="52E19884">
      <w:pPr>
        <w:autoSpaceDE w:val="0"/>
        <w:autoSpaceDN w:val="0"/>
        <w:adjustRightInd w:val="0"/>
        <w:spacing w:line="360" w:lineRule="auto"/>
        <w:ind w:firstLine="241" w:firstLineChars="100"/>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项目名称：                           项目编号</w:t>
      </w:r>
      <w:r>
        <w:rPr>
          <w:rFonts w:hint="eastAsia" w:ascii="宋体" w:hAnsi="宋体" w:eastAsia="宋体" w:cs="宋体"/>
          <w:b/>
          <w:kern w:val="0"/>
          <w:sz w:val="24"/>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932"/>
        <w:gridCol w:w="2038"/>
        <w:gridCol w:w="2514"/>
        <w:gridCol w:w="1592"/>
      </w:tblGrid>
      <w:tr w14:paraId="6D8F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tcBorders>
              <w:bottom w:val="single" w:color="auto" w:sz="4" w:space="0"/>
            </w:tcBorders>
            <w:noWrap w:val="0"/>
            <w:vAlign w:val="center"/>
          </w:tcPr>
          <w:p w14:paraId="42BEECB5">
            <w:pPr>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932" w:type="dxa"/>
            <w:tcBorders>
              <w:bottom w:val="single" w:color="auto" w:sz="4" w:space="0"/>
            </w:tcBorders>
            <w:noWrap w:val="0"/>
            <w:vAlign w:val="center"/>
          </w:tcPr>
          <w:p w14:paraId="755362ED">
            <w:pPr>
              <w:jc w:val="center"/>
              <w:rPr>
                <w:rFonts w:hint="eastAsia" w:ascii="宋体" w:hAnsi="宋体" w:eastAsia="宋体" w:cs="宋体"/>
                <w:b/>
                <w:bCs/>
                <w:sz w:val="24"/>
                <w:highlight w:val="none"/>
              </w:rPr>
            </w:pPr>
            <w:r>
              <w:rPr>
                <w:rFonts w:hint="eastAsia" w:ascii="宋体" w:hAnsi="宋体" w:eastAsia="宋体" w:cs="宋体"/>
                <w:b/>
                <w:bCs/>
                <w:sz w:val="24"/>
                <w:highlight w:val="none"/>
              </w:rPr>
              <w:t>实质性条款</w:t>
            </w:r>
          </w:p>
        </w:tc>
        <w:tc>
          <w:tcPr>
            <w:tcW w:w="2038" w:type="dxa"/>
            <w:tcBorders>
              <w:bottom w:val="single" w:color="auto" w:sz="4" w:space="0"/>
            </w:tcBorders>
            <w:noWrap w:val="0"/>
            <w:vAlign w:val="center"/>
          </w:tcPr>
          <w:p w14:paraId="500EB020">
            <w:pPr>
              <w:jc w:val="center"/>
              <w:rPr>
                <w:rFonts w:hint="eastAsia" w:ascii="宋体" w:hAnsi="宋体" w:eastAsia="宋体" w:cs="宋体"/>
                <w:b/>
                <w:bCs/>
                <w:sz w:val="24"/>
                <w:highlight w:val="none"/>
              </w:rPr>
            </w:pPr>
            <w:r>
              <w:rPr>
                <w:rFonts w:hint="eastAsia" w:ascii="宋体" w:hAnsi="宋体" w:eastAsia="宋体" w:cs="宋体"/>
                <w:b/>
                <w:bCs/>
                <w:sz w:val="24"/>
                <w:highlight w:val="none"/>
              </w:rPr>
              <w:t>招标文件要求</w:t>
            </w:r>
          </w:p>
        </w:tc>
        <w:tc>
          <w:tcPr>
            <w:tcW w:w="2514" w:type="dxa"/>
            <w:tcBorders>
              <w:bottom w:val="single" w:color="auto" w:sz="4" w:space="0"/>
            </w:tcBorders>
            <w:noWrap w:val="0"/>
            <w:vAlign w:val="center"/>
          </w:tcPr>
          <w:p w14:paraId="2D2BCEBB">
            <w:pPr>
              <w:jc w:val="center"/>
              <w:rPr>
                <w:rFonts w:hint="eastAsia" w:ascii="宋体" w:hAnsi="宋体" w:eastAsia="宋体" w:cs="宋体"/>
                <w:b/>
                <w:bCs/>
                <w:sz w:val="24"/>
                <w:highlight w:val="none"/>
              </w:rPr>
            </w:pPr>
            <w:r>
              <w:rPr>
                <w:rFonts w:hint="eastAsia" w:ascii="宋体" w:hAnsi="宋体" w:eastAsia="宋体" w:cs="宋体"/>
                <w:b/>
                <w:bCs/>
                <w:sz w:val="24"/>
                <w:highlight w:val="none"/>
              </w:rPr>
              <w:t>投标承诺或说明</w:t>
            </w:r>
          </w:p>
        </w:tc>
        <w:tc>
          <w:tcPr>
            <w:tcW w:w="1592" w:type="dxa"/>
            <w:tcBorders>
              <w:bottom w:val="single" w:color="auto" w:sz="4" w:space="0"/>
            </w:tcBorders>
            <w:noWrap w:val="0"/>
            <w:vAlign w:val="center"/>
          </w:tcPr>
          <w:p w14:paraId="01FF06A6">
            <w:pPr>
              <w:jc w:val="center"/>
              <w:rPr>
                <w:rFonts w:hint="eastAsia" w:ascii="宋体" w:hAnsi="宋体" w:eastAsia="宋体" w:cs="宋体"/>
                <w:b/>
                <w:bCs/>
                <w:sz w:val="24"/>
                <w:highlight w:val="none"/>
              </w:rPr>
            </w:pPr>
            <w:r>
              <w:rPr>
                <w:rFonts w:hint="eastAsia" w:ascii="宋体" w:hAnsi="宋体" w:eastAsia="宋体" w:cs="宋体"/>
                <w:b/>
                <w:bCs/>
                <w:sz w:val="24"/>
                <w:highlight w:val="none"/>
              </w:rPr>
              <w:t>满足情况</w:t>
            </w:r>
          </w:p>
        </w:tc>
      </w:tr>
      <w:tr w14:paraId="0346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1F7979AB">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932" w:type="dxa"/>
            <w:noWrap w:val="0"/>
            <w:vAlign w:val="center"/>
          </w:tcPr>
          <w:p w14:paraId="3328F3A2">
            <w:pPr>
              <w:jc w:val="center"/>
              <w:rPr>
                <w:rFonts w:hint="eastAsia" w:ascii="宋体" w:hAnsi="宋体" w:eastAsia="宋体" w:cs="宋体"/>
                <w:sz w:val="24"/>
                <w:highlight w:val="none"/>
              </w:rPr>
            </w:pPr>
          </w:p>
        </w:tc>
        <w:tc>
          <w:tcPr>
            <w:tcW w:w="2038" w:type="dxa"/>
            <w:noWrap w:val="0"/>
            <w:vAlign w:val="center"/>
          </w:tcPr>
          <w:p w14:paraId="75F29BE5">
            <w:pPr>
              <w:jc w:val="center"/>
              <w:rPr>
                <w:rFonts w:hint="eastAsia" w:ascii="宋体" w:hAnsi="宋体" w:eastAsia="宋体" w:cs="宋体"/>
                <w:sz w:val="24"/>
                <w:highlight w:val="none"/>
              </w:rPr>
            </w:pPr>
          </w:p>
        </w:tc>
        <w:tc>
          <w:tcPr>
            <w:tcW w:w="2514" w:type="dxa"/>
            <w:noWrap w:val="0"/>
            <w:vAlign w:val="center"/>
          </w:tcPr>
          <w:p w14:paraId="1EC12C5D">
            <w:pPr>
              <w:jc w:val="center"/>
              <w:rPr>
                <w:rFonts w:hint="eastAsia" w:ascii="宋体" w:hAnsi="宋体" w:eastAsia="宋体" w:cs="宋体"/>
                <w:sz w:val="24"/>
                <w:highlight w:val="none"/>
              </w:rPr>
            </w:pPr>
          </w:p>
        </w:tc>
        <w:tc>
          <w:tcPr>
            <w:tcW w:w="1592" w:type="dxa"/>
            <w:noWrap w:val="0"/>
            <w:vAlign w:val="center"/>
          </w:tcPr>
          <w:p w14:paraId="4D485F8C">
            <w:pPr>
              <w:jc w:val="center"/>
              <w:rPr>
                <w:rFonts w:hint="eastAsia" w:ascii="宋体" w:hAnsi="宋体" w:eastAsia="宋体" w:cs="宋体"/>
                <w:sz w:val="24"/>
                <w:highlight w:val="none"/>
              </w:rPr>
            </w:pPr>
          </w:p>
        </w:tc>
      </w:tr>
      <w:tr w14:paraId="6F3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255AAB1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932" w:type="dxa"/>
            <w:noWrap w:val="0"/>
            <w:vAlign w:val="center"/>
          </w:tcPr>
          <w:p w14:paraId="0FF46B66">
            <w:pPr>
              <w:jc w:val="center"/>
              <w:rPr>
                <w:rFonts w:hint="eastAsia" w:ascii="宋体" w:hAnsi="宋体" w:eastAsia="宋体" w:cs="宋体"/>
                <w:sz w:val="24"/>
                <w:highlight w:val="none"/>
              </w:rPr>
            </w:pPr>
          </w:p>
        </w:tc>
        <w:tc>
          <w:tcPr>
            <w:tcW w:w="2038" w:type="dxa"/>
            <w:noWrap w:val="0"/>
            <w:vAlign w:val="center"/>
          </w:tcPr>
          <w:p w14:paraId="6F8CEA33">
            <w:pPr>
              <w:jc w:val="center"/>
              <w:rPr>
                <w:rFonts w:hint="eastAsia" w:ascii="宋体" w:hAnsi="宋体" w:eastAsia="宋体" w:cs="宋体"/>
                <w:sz w:val="24"/>
                <w:highlight w:val="none"/>
              </w:rPr>
            </w:pPr>
          </w:p>
        </w:tc>
        <w:tc>
          <w:tcPr>
            <w:tcW w:w="2514" w:type="dxa"/>
            <w:noWrap w:val="0"/>
            <w:vAlign w:val="center"/>
          </w:tcPr>
          <w:p w14:paraId="00031D87">
            <w:pPr>
              <w:jc w:val="center"/>
              <w:rPr>
                <w:rFonts w:hint="eastAsia" w:ascii="宋体" w:hAnsi="宋体" w:eastAsia="宋体" w:cs="宋体"/>
                <w:sz w:val="24"/>
                <w:highlight w:val="none"/>
              </w:rPr>
            </w:pPr>
          </w:p>
        </w:tc>
        <w:tc>
          <w:tcPr>
            <w:tcW w:w="1592" w:type="dxa"/>
            <w:noWrap w:val="0"/>
            <w:vAlign w:val="center"/>
          </w:tcPr>
          <w:p w14:paraId="5677E43F">
            <w:pPr>
              <w:jc w:val="center"/>
              <w:rPr>
                <w:rFonts w:hint="eastAsia" w:ascii="宋体" w:hAnsi="宋体" w:eastAsia="宋体" w:cs="宋体"/>
                <w:sz w:val="24"/>
                <w:highlight w:val="none"/>
              </w:rPr>
            </w:pPr>
          </w:p>
        </w:tc>
      </w:tr>
      <w:tr w14:paraId="2D7F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7043E223">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932" w:type="dxa"/>
            <w:noWrap w:val="0"/>
            <w:vAlign w:val="center"/>
          </w:tcPr>
          <w:p w14:paraId="001AC4A1">
            <w:pPr>
              <w:jc w:val="center"/>
              <w:rPr>
                <w:rFonts w:hint="eastAsia" w:ascii="宋体" w:hAnsi="宋体" w:eastAsia="宋体" w:cs="宋体"/>
                <w:sz w:val="24"/>
                <w:highlight w:val="none"/>
              </w:rPr>
            </w:pPr>
          </w:p>
        </w:tc>
        <w:tc>
          <w:tcPr>
            <w:tcW w:w="2038" w:type="dxa"/>
            <w:noWrap w:val="0"/>
            <w:vAlign w:val="center"/>
          </w:tcPr>
          <w:p w14:paraId="7A4A95C0">
            <w:pPr>
              <w:jc w:val="center"/>
              <w:rPr>
                <w:rFonts w:hint="eastAsia" w:ascii="宋体" w:hAnsi="宋体" w:eastAsia="宋体" w:cs="宋体"/>
                <w:sz w:val="24"/>
                <w:highlight w:val="none"/>
              </w:rPr>
            </w:pPr>
          </w:p>
        </w:tc>
        <w:tc>
          <w:tcPr>
            <w:tcW w:w="2514" w:type="dxa"/>
            <w:noWrap w:val="0"/>
            <w:vAlign w:val="center"/>
          </w:tcPr>
          <w:p w14:paraId="6000ECAE">
            <w:pPr>
              <w:jc w:val="center"/>
              <w:rPr>
                <w:rFonts w:hint="eastAsia" w:ascii="宋体" w:hAnsi="宋体" w:eastAsia="宋体" w:cs="宋体"/>
                <w:sz w:val="24"/>
                <w:highlight w:val="none"/>
              </w:rPr>
            </w:pPr>
          </w:p>
        </w:tc>
        <w:tc>
          <w:tcPr>
            <w:tcW w:w="1592" w:type="dxa"/>
            <w:noWrap w:val="0"/>
            <w:vAlign w:val="center"/>
          </w:tcPr>
          <w:p w14:paraId="5FDDBD33">
            <w:pPr>
              <w:jc w:val="center"/>
              <w:rPr>
                <w:rFonts w:hint="eastAsia" w:ascii="宋体" w:hAnsi="宋体" w:eastAsia="宋体" w:cs="宋体"/>
                <w:sz w:val="24"/>
                <w:highlight w:val="none"/>
              </w:rPr>
            </w:pPr>
          </w:p>
        </w:tc>
      </w:tr>
      <w:tr w14:paraId="010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6FE92DE8">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32" w:type="dxa"/>
            <w:noWrap w:val="0"/>
            <w:vAlign w:val="center"/>
          </w:tcPr>
          <w:p w14:paraId="39FF24EE">
            <w:pPr>
              <w:jc w:val="center"/>
              <w:rPr>
                <w:rFonts w:hint="eastAsia" w:ascii="宋体" w:hAnsi="宋体" w:eastAsia="宋体" w:cs="宋体"/>
                <w:sz w:val="24"/>
                <w:highlight w:val="none"/>
              </w:rPr>
            </w:pPr>
          </w:p>
        </w:tc>
        <w:tc>
          <w:tcPr>
            <w:tcW w:w="2038" w:type="dxa"/>
            <w:noWrap w:val="0"/>
            <w:vAlign w:val="center"/>
          </w:tcPr>
          <w:p w14:paraId="59E9F26D">
            <w:pPr>
              <w:jc w:val="center"/>
              <w:rPr>
                <w:rFonts w:hint="eastAsia" w:ascii="宋体" w:hAnsi="宋体" w:eastAsia="宋体" w:cs="宋体"/>
                <w:sz w:val="24"/>
                <w:highlight w:val="none"/>
              </w:rPr>
            </w:pPr>
          </w:p>
        </w:tc>
        <w:tc>
          <w:tcPr>
            <w:tcW w:w="2514" w:type="dxa"/>
            <w:noWrap w:val="0"/>
            <w:vAlign w:val="center"/>
          </w:tcPr>
          <w:p w14:paraId="47648C0D">
            <w:pPr>
              <w:jc w:val="center"/>
              <w:rPr>
                <w:rFonts w:hint="eastAsia" w:ascii="宋体" w:hAnsi="宋体" w:eastAsia="宋体" w:cs="宋体"/>
                <w:sz w:val="24"/>
                <w:highlight w:val="none"/>
              </w:rPr>
            </w:pPr>
          </w:p>
        </w:tc>
        <w:tc>
          <w:tcPr>
            <w:tcW w:w="1592" w:type="dxa"/>
            <w:noWrap w:val="0"/>
            <w:vAlign w:val="center"/>
          </w:tcPr>
          <w:p w14:paraId="3FE205DA">
            <w:pPr>
              <w:jc w:val="center"/>
              <w:rPr>
                <w:rFonts w:hint="eastAsia" w:ascii="宋体" w:hAnsi="宋体" w:eastAsia="宋体" w:cs="宋体"/>
                <w:sz w:val="24"/>
                <w:highlight w:val="none"/>
              </w:rPr>
            </w:pPr>
          </w:p>
        </w:tc>
      </w:tr>
      <w:tr w14:paraId="09BE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429E272F">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932" w:type="dxa"/>
            <w:noWrap w:val="0"/>
            <w:vAlign w:val="center"/>
          </w:tcPr>
          <w:p w14:paraId="0B51A0BC">
            <w:pPr>
              <w:jc w:val="center"/>
              <w:rPr>
                <w:rFonts w:hint="eastAsia" w:ascii="宋体" w:hAnsi="宋体" w:eastAsia="宋体" w:cs="宋体"/>
                <w:sz w:val="24"/>
                <w:highlight w:val="none"/>
              </w:rPr>
            </w:pPr>
          </w:p>
        </w:tc>
        <w:tc>
          <w:tcPr>
            <w:tcW w:w="2038" w:type="dxa"/>
            <w:noWrap w:val="0"/>
            <w:vAlign w:val="center"/>
          </w:tcPr>
          <w:p w14:paraId="7480CE80">
            <w:pPr>
              <w:jc w:val="center"/>
              <w:rPr>
                <w:rFonts w:hint="eastAsia" w:ascii="宋体" w:hAnsi="宋体" w:eastAsia="宋体" w:cs="宋体"/>
                <w:sz w:val="24"/>
                <w:highlight w:val="none"/>
              </w:rPr>
            </w:pPr>
          </w:p>
        </w:tc>
        <w:tc>
          <w:tcPr>
            <w:tcW w:w="2514" w:type="dxa"/>
            <w:noWrap w:val="0"/>
            <w:vAlign w:val="center"/>
          </w:tcPr>
          <w:p w14:paraId="2E0EF743">
            <w:pPr>
              <w:jc w:val="center"/>
              <w:rPr>
                <w:rFonts w:hint="eastAsia" w:ascii="宋体" w:hAnsi="宋体" w:eastAsia="宋体" w:cs="宋体"/>
                <w:sz w:val="24"/>
                <w:highlight w:val="none"/>
              </w:rPr>
            </w:pPr>
          </w:p>
        </w:tc>
        <w:tc>
          <w:tcPr>
            <w:tcW w:w="1592" w:type="dxa"/>
            <w:noWrap w:val="0"/>
            <w:vAlign w:val="center"/>
          </w:tcPr>
          <w:p w14:paraId="2EDB9281">
            <w:pPr>
              <w:jc w:val="center"/>
              <w:rPr>
                <w:rFonts w:hint="eastAsia" w:ascii="宋体" w:hAnsi="宋体" w:eastAsia="宋体" w:cs="宋体"/>
                <w:sz w:val="24"/>
                <w:highlight w:val="none"/>
              </w:rPr>
            </w:pPr>
          </w:p>
        </w:tc>
      </w:tr>
      <w:tr w14:paraId="3AE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383ED674">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932" w:type="dxa"/>
            <w:noWrap w:val="0"/>
            <w:vAlign w:val="center"/>
          </w:tcPr>
          <w:p w14:paraId="3A911CA8">
            <w:pPr>
              <w:jc w:val="center"/>
              <w:rPr>
                <w:rFonts w:hint="eastAsia" w:ascii="宋体" w:hAnsi="宋体" w:eastAsia="宋体" w:cs="宋体"/>
                <w:sz w:val="24"/>
                <w:highlight w:val="none"/>
              </w:rPr>
            </w:pPr>
          </w:p>
        </w:tc>
        <w:tc>
          <w:tcPr>
            <w:tcW w:w="2038" w:type="dxa"/>
            <w:noWrap w:val="0"/>
            <w:vAlign w:val="center"/>
          </w:tcPr>
          <w:p w14:paraId="53512203">
            <w:pPr>
              <w:jc w:val="center"/>
              <w:rPr>
                <w:rFonts w:hint="eastAsia" w:ascii="宋体" w:hAnsi="宋体" w:eastAsia="宋体" w:cs="宋体"/>
                <w:sz w:val="24"/>
                <w:highlight w:val="none"/>
              </w:rPr>
            </w:pPr>
          </w:p>
        </w:tc>
        <w:tc>
          <w:tcPr>
            <w:tcW w:w="2514" w:type="dxa"/>
            <w:noWrap w:val="0"/>
            <w:vAlign w:val="center"/>
          </w:tcPr>
          <w:p w14:paraId="36A8E703">
            <w:pPr>
              <w:jc w:val="center"/>
              <w:rPr>
                <w:rFonts w:hint="eastAsia" w:ascii="宋体" w:hAnsi="宋体" w:eastAsia="宋体" w:cs="宋体"/>
                <w:sz w:val="24"/>
                <w:highlight w:val="none"/>
              </w:rPr>
            </w:pPr>
          </w:p>
        </w:tc>
        <w:tc>
          <w:tcPr>
            <w:tcW w:w="1592" w:type="dxa"/>
            <w:noWrap w:val="0"/>
            <w:vAlign w:val="center"/>
          </w:tcPr>
          <w:p w14:paraId="5B2C66C0">
            <w:pPr>
              <w:jc w:val="center"/>
              <w:rPr>
                <w:rFonts w:hint="eastAsia" w:ascii="宋体" w:hAnsi="宋体" w:eastAsia="宋体" w:cs="宋体"/>
                <w:sz w:val="24"/>
                <w:highlight w:val="none"/>
              </w:rPr>
            </w:pPr>
          </w:p>
        </w:tc>
      </w:tr>
      <w:tr w14:paraId="2735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 w:type="dxa"/>
            <w:noWrap w:val="0"/>
            <w:vAlign w:val="center"/>
          </w:tcPr>
          <w:p w14:paraId="2BBCC6A0">
            <w:pPr>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c>
          <w:tcPr>
            <w:tcW w:w="1932" w:type="dxa"/>
            <w:noWrap w:val="0"/>
            <w:vAlign w:val="center"/>
          </w:tcPr>
          <w:p w14:paraId="68C1A032">
            <w:pPr>
              <w:jc w:val="center"/>
              <w:rPr>
                <w:rFonts w:hint="eastAsia" w:ascii="宋体" w:hAnsi="宋体" w:eastAsia="宋体" w:cs="宋体"/>
                <w:sz w:val="24"/>
                <w:highlight w:val="none"/>
              </w:rPr>
            </w:pPr>
          </w:p>
        </w:tc>
        <w:tc>
          <w:tcPr>
            <w:tcW w:w="2038" w:type="dxa"/>
            <w:noWrap w:val="0"/>
            <w:vAlign w:val="center"/>
          </w:tcPr>
          <w:p w14:paraId="198FFEA3">
            <w:pPr>
              <w:jc w:val="center"/>
              <w:rPr>
                <w:rFonts w:hint="eastAsia" w:ascii="宋体" w:hAnsi="宋体" w:eastAsia="宋体" w:cs="宋体"/>
                <w:sz w:val="24"/>
                <w:highlight w:val="none"/>
              </w:rPr>
            </w:pPr>
          </w:p>
        </w:tc>
        <w:tc>
          <w:tcPr>
            <w:tcW w:w="2514" w:type="dxa"/>
            <w:noWrap w:val="0"/>
            <w:vAlign w:val="center"/>
          </w:tcPr>
          <w:p w14:paraId="64CF4504">
            <w:pPr>
              <w:jc w:val="center"/>
              <w:rPr>
                <w:rFonts w:hint="eastAsia" w:ascii="宋体" w:hAnsi="宋体" w:eastAsia="宋体" w:cs="宋体"/>
                <w:sz w:val="24"/>
                <w:highlight w:val="none"/>
              </w:rPr>
            </w:pPr>
          </w:p>
        </w:tc>
        <w:tc>
          <w:tcPr>
            <w:tcW w:w="1592" w:type="dxa"/>
            <w:noWrap w:val="0"/>
            <w:vAlign w:val="center"/>
          </w:tcPr>
          <w:p w14:paraId="393B585E">
            <w:pPr>
              <w:jc w:val="center"/>
              <w:rPr>
                <w:rFonts w:hint="eastAsia" w:ascii="宋体" w:hAnsi="宋体" w:eastAsia="宋体" w:cs="宋体"/>
                <w:sz w:val="24"/>
                <w:highlight w:val="none"/>
              </w:rPr>
            </w:pPr>
          </w:p>
        </w:tc>
      </w:tr>
    </w:tbl>
    <w:p w14:paraId="3B696620">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填表说明：</w:t>
      </w:r>
    </w:p>
    <w:p w14:paraId="0EF85C45">
      <w:pPr>
        <w:adjustRightInd/>
        <w:snapToGrid/>
        <w:spacing w:line="360" w:lineRule="auto"/>
        <w:ind w:right="42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cs="宋体"/>
          <w:sz w:val="24"/>
        </w:rPr>
        <w:t>注：按本格式和要求提供。</w:t>
      </w:r>
    </w:p>
    <w:p w14:paraId="229F8B43">
      <w:pPr>
        <w:adjustRightInd w:val="0"/>
        <w:snapToGrid w:val="0"/>
        <w:spacing w:line="360" w:lineRule="auto"/>
        <w:ind w:firstLine="480" w:firstLineChars="200"/>
        <w:rPr>
          <w:rFonts w:hint="eastAsia" w:ascii="宋体" w:hAnsi="宋体" w:eastAsia="宋体" w:cs="宋体"/>
          <w:kern w:val="0"/>
          <w:sz w:val="24"/>
          <w:highlight w:val="none"/>
          <w:lang w:val="zh-CN"/>
        </w:rPr>
      </w:pPr>
      <w:r>
        <w:rPr>
          <w:rFonts w:hint="eastAsia" w:ascii="宋体" w:hAnsi="宋体" w:cs="宋体"/>
          <w:kern w:val="0"/>
          <w:sz w:val="24"/>
          <w:highlight w:val="none"/>
          <w:lang w:val="en-US" w:eastAsia="zh-CN"/>
        </w:rPr>
        <w:t>2、</w:t>
      </w:r>
      <w:r>
        <w:rPr>
          <w:rFonts w:hint="eastAsia" w:ascii="宋体" w:hAnsi="宋体" w:eastAsia="宋体" w:cs="宋体"/>
          <w:kern w:val="0"/>
          <w:sz w:val="24"/>
          <w:highlight w:val="none"/>
          <w:lang w:val="zh-CN"/>
        </w:rPr>
        <w:t>“实质性内容”详见“第三部分 采购需求”中带“●”条款；</w:t>
      </w:r>
    </w:p>
    <w:p w14:paraId="3FBC40FC">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rPr>
        <w:t>投标人应根据投标承诺或说明，对照招标文件要求在“满足情况”栏注明“满足”或“不满足”；</w:t>
      </w:r>
    </w:p>
    <w:p w14:paraId="35CC9BFD">
      <w:pPr>
        <w:adjustRightInd w:val="0"/>
        <w:snapToGrid w:val="0"/>
        <w:spacing w:line="360" w:lineRule="auto"/>
        <w:ind w:firstLine="480" w:firstLineChars="200"/>
        <w:rPr>
          <w:rFonts w:hint="eastAsia" w:ascii="宋体" w:hAnsi="宋体" w:eastAsia="宋体" w:cs="宋体"/>
          <w:kern w:val="0"/>
          <w:sz w:val="24"/>
          <w:highlight w:val="none"/>
          <w:lang w:val="zh-CN"/>
        </w:rPr>
      </w:pP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本项目“第三部分 采购需求”中所有带“●”条款，投标人必须作出实质性响应，如有任意一条未响应或不满足，将被视为无效。</w:t>
      </w:r>
    </w:p>
    <w:p w14:paraId="09AAD55F">
      <w:pPr>
        <w:autoSpaceDE w:val="0"/>
        <w:autoSpaceDN w:val="0"/>
        <w:adjustRightInd w:val="0"/>
        <w:spacing w:line="360" w:lineRule="auto"/>
        <w:rPr>
          <w:rFonts w:hint="eastAsia" w:ascii="宋体" w:hAnsi="宋体" w:eastAsia="宋体" w:cs="宋体"/>
          <w:kern w:val="0"/>
          <w:sz w:val="24"/>
          <w:highlight w:val="none"/>
          <w:lang w:val="zh-CN"/>
        </w:rPr>
      </w:pPr>
    </w:p>
    <w:p w14:paraId="745118DE">
      <w:pPr>
        <w:snapToGrid w:val="0"/>
        <w:spacing w:line="360" w:lineRule="auto"/>
        <w:ind w:firstLine="5520" w:firstLineChars="2300"/>
        <w:jc w:val="right"/>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投标人名称(电子签名)：</w:t>
      </w:r>
    </w:p>
    <w:p w14:paraId="48523227">
      <w:pPr>
        <w:snapToGrid w:val="0"/>
        <w:spacing w:line="360" w:lineRule="auto"/>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425D5910">
      <w:pPr>
        <w:spacing w:line="360" w:lineRule="auto"/>
        <w:jc w:val="center"/>
        <w:rPr>
          <w:rFonts w:ascii="宋体" w:hAnsi="宋体" w:cs="宋体"/>
          <w:kern w:val="0"/>
          <w:sz w:val="24"/>
          <w:lang w:val="zh-CN"/>
        </w:rPr>
      </w:pPr>
    </w:p>
    <w:p w14:paraId="5F60B454">
      <w:pPr>
        <w:jc w:val="center"/>
        <w:rPr>
          <w:rFonts w:hint="eastAsia" w:ascii="宋体" w:hAnsi="宋体" w:cs="宋体"/>
          <w:b/>
          <w:kern w:val="0"/>
          <w:sz w:val="32"/>
          <w:szCs w:val="32"/>
        </w:rPr>
      </w:pPr>
    </w:p>
    <w:p w14:paraId="62DE8B05">
      <w:pPr>
        <w:jc w:val="center"/>
        <w:rPr>
          <w:rFonts w:hint="eastAsia" w:ascii="宋体" w:hAnsi="宋体" w:cs="宋体"/>
          <w:b/>
          <w:kern w:val="0"/>
          <w:sz w:val="32"/>
          <w:szCs w:val="32"/>
        </w:rPr>
      </w:pPr>
    </w:p>
    <w:p w14:paraId="2948DB86">
      <w:pPr>
        <w:jc w:val="center"/>
        <w:rPr>
          <w:rFonts w:hint="eastAsia" w:ascii="宋体" w:hAnsi="宋体" w:cs="宋体"/>
          <w:b/>
          <w:kern w:val="0"/>
          <w:sz w:val="32"/>
          <w:szCs w:val="32"/>
        </w:rPr>
      </w:pPr>
    </w:p>
    <w:p w14:paraId="4DB6700A">
      <w:pPr>
        <w:rPr>
          <w:rFonts w:hint="eastAsia" w:ascii="宋体" w:hAnsi="宋体" w:cs="宋体"/>
          <w:b/>
          <w:kern w:val="0"/>
          <w:sz w:val="32"/>
          <w:szCs w:val="32"/>
        </w:rPr>
      </w:pPr>
      <w:r>
        <w:rPr>
          <w:rFonts w:hint="eastAsia" w:ascii="宋体" w:hAnsi="宋体" w:cs="宋体"/>
          <w:b/>
          <w:kern w:val="0"/>
          <w:sz w:val="32"/>
          <w:szCs w:val="32"/>
        </w:rPr>
        <w:br w:type="page"/>
      </w:r>
    </w:p>
    <w:p w14:paraId="1C69C738">
      <w:pPr>
        <w:spacing w:line="360" w:lineRule="auto"/>
        <w:jc w:val="center"/>
        <w:rPr>
          <w:rFonts w:hint="eastAsia" w:ascii="宋体" w:hAnsi="宋体" w:cs="宋体"/>
        </w:rPr>
      </w:pPr>
      <w:r>
        <w:rPr>
          <w:rFonts w:hint="eastAsia" w:ascii="宋体" w:hAnsi="宋体" w:cs="宋体"/>
          <w:b/>
          <w:kern w:val="0"/>
          <w:sz w:val="32"/>
          <w:szCs w:val="32"/>
          <w:lang w:val="en-US" w:eastAsia="zh-CN"/>
        </w:rPr>
        <w:t>六</w:t>
      </w:r>
      <w:r>
        <w:rPr>
          <w:rFonts w:hint="eastAsia" w:ascii="宋体" w:hAnsi="宋体" w:cs="宋体"/>
          <w:b/>
          <w:kern w:val="0"/>
          <w:sz w:val="32"/>
          <w:szCs w:val="32"/>
        </w:rPr>
        <w:t>、评标标准相应的商务技术资料</w:t>
      </w:r>
    </w:p>
    <w:p w14:paraId="6793378F">
      <w:pPr>
        <w:snapToGrid w:val="0"/>
        <w:spacing w:line="360" w:lineRule="auto"/>
        <w:jc w:val="center"/>
        <w:rPr>
          <w:rFonts w:hint="eastAsia"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3"/>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232"/>
        <w:gridCol w:w="3044"/>
      </w:tblGrid>
      <w:tr w14:paraId="75C4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6" w:type="dxa"/>
            <w:vAlign w:val="center"/>
          </w:tcPr>
          <w:p w14:paraId="65E67035">
            <w:pPr>
              <w:snapToGrid w:val="0"/>
              <w:jc w:val="center"/>
              <w:rPr>
                <w:rFonts w:hint="eastAsia" w:ascii="宋体" w:hAnsi="宋体" w:cs="仿宋_GB2312"/>
                <w:b/>
                <w:bCs w:val="0"/>
                <w:sz w:val="24"/>
              </w:rPr>
            </w:pPr>
            <w:r>
              <w:rPr>
                <w:rFonts w:hint="eastAsia" w:ascii="宋体" w:hAnsi="宋体" w:cs="仿宋_GB2312"/>
                <w:b/>
                <w:bCs w:val="0"/>
                <w:sz w:val="24"/>
              </w:rPr>
              <w:t>序号</w:t>
            </w:r>
          </w:p>
        </w:tc>
        <w:tc>
          <w:tcPr>
            <w:tcW w:w="5232" w:type="dxa"/>
            <w:vAlign w:val="center"/>
          </w:tcPr>
          <w:p w14:paraId="57EC489D">
            <w:pPr>
              <w:snapToGrid w:val="0"/>
              <w:jc w:val="center"/>
              <w:rPr>
                <w:rFonts w:hint="eastAsia" w:ascii="宋体" w:hAnsi="宋体" w:cs="宋体"/>
                <w:b/>
                <w:bCs w:val="0"/>
                <w:sz w:val="24"/>
              </w:rPr>
            </w:pPr>
            <w:r>
              <w:rPr>
                <w:rFonts w:hint="eastAsia" w:ascii="宋体" w:hAnsi="宋体" w:cs="仿宋_GB2312"/>
                <w:b/>
                <w:bCs w:val="0"/>
                <w:sz w:val="24"/>
              </w:rPr>
              <w:t>投标文件中评标标准相应的商务技术资料目录*</w:t>
            </w:r>
          </w:p>
        </w:tc>
        <w:tc>
          <w:tcPr>
            <w:tcW w:w="3044" w:type="dxa"/>
            <w:vAlign w:val="center"/>
          </w:tcPr>
          <w:p w14:paraId="73E1B43F">
            <w:pPr>
              <w:snapToGrid w:val="0"/>
              <w:jc w:val="center"/>
              <w:rPr>
                <w:rFonts w:hint="eastAsia" w:ascii="宋体" w:hAnsi="宋体" w:cs="宋体"/>
                <w:b/>
                <w:bCs w:val="0"/>
                <w:sz w:val="24"/>
              </w:rPr>
            </w:pPr>
            <w:r>
              <w:rPr>
                <w:rFonts w:hint="eastAsia" w:ascii="宋体" w:hAnsi="宋体" w:cs="宋体"/>
                <w:b/>
                <w:bCs w:val="0"/>
                <w:sz w:val="24"/>
              </w:rPr>
              <w:t>投标文件中的页码位置</w:t>
            </w:r>
          </w:p>
        </w:tc>
      </w:tr>
      <w:tr w14:paraId="00BE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6" w:type="dxa"/>
            <w:vAlign w:val="center"/>
          </w:tcPr>
          <w:p w14:paraId="20973386">
            <w:pPr>
              <w:snapToGrid w:val="0"/>
              <w:jc w:val="center"/>
              <w:rPr>
                <w:rFonts w:hint="eastAsia" w:ascii="宋体" w:hAnsi="宋体" w:cs="宋体"/>
                <w:bCs/>
                <w:sz w:val="24"/>
              </w:rPr>
            </w:pPr>
            <w:r>
              <w:rPr>
                <w:rFonts w:hint="eastAsia" w:ascii="宋体" w:hAnsi="宋体" w:cs="宋体"/>
                <w:bCs/>
                <w:sz w:val="24"/>
              </w:rPr>
              <w:t>1</w:t>
            </w:r>
          </w:p>
        </w:tc>
        <w:tc>
          <w:tcPr>
            <w:tcW w:w="5232" w:type="dxa"/>
            <w:vAlign w:val="center"/>
          </w:tcPr>
          <w:p w14:paraId="18A07B1A">
            <w:pPr>
              <w:snapToGrid w:val="0"/>
              <w:jc w:val="center"/>
              <w:rPr>
                <w:rFonts w:hint="eastAsia" w:ascii="宋体" w:hAnsi="宋体" w:cs="宋体"/>
                <w:bCs/>
                <w:sz w:val="24"/>
              </w:rPr>
            </w:pPr>
          </w:p>
        </w:tc>
        <w:tc>
          <w:tcPr>
            <w:tcW w:w="3044" w:type="dxa"/>
            <w:vAlign w:val="center"/>
          </w:tcPr>
          <w:p w14:paraId="21B2CF1C">
            <w:pPr>
              <w:jc w:val="center"/>
              <w:rPr>
                <w:rFonts w:hint="eastAsia"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30A7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6" w:type="dxa"/>
            <w:vAlign w:val="center"/>
          </w:tcPr>
          <w:p w14:paraId="51AA3FC6">
            <w:pPr>
              <w:snapToGrid w:val="0"/>
              <w:jc w:val="center"/>
              <w:rPr>
                <w:rFonts w:hint="eastAsia" w:ascii="宋体" w:hAnsi="宋体" w:cs="宋体"/>
                <w:bCs/>
                <w:sz w:val="24"/>
              </w:rPr>
            </w:pPr>
            <w:r>
              <w:rPr>
                <w:rFonts w:hint="eastAsia" w:ascii="宋体" w:hAnsi="宋体" w:cs="宋体"/>
                <w:bCs/>
                <w:sz w:val="24"/>
              </w:rPr>
              <w:t>2</w:t>
            </w:r>
          </w:p>
        </w:tc>
        <w:tc>
          <w:tcPr>
            <w:tcW w:w="5232" w:type="dxa"/>
            <w:vAlign w:val="center"/>
          </w:tcPr>
          <w:p w14:paraId="084E3B25">
            <w:pPr>
              <w:snapToGrid w:val="0"/>
              <w:jc w:val="center"/>
              <w:rPr>
                <w:rFonts w:hint="eastAsia" w:ascii="宋体" w:hAnsi="宋体" w:cs="宋体"/>
                <w:bCs/>
                <w:sz w:val="24"/>
              </w:rPr>
            </w:pPr>
          </w:p>
        </w:tc>
        <w:tc>
          <w:tcPr>
            <w:tcW w:w="3044" w:type="dxa"/>
            <w:vAlign w:val="center"/>
          </w:tcPr>
          <w:p w14:paraId="65C881DB">
            <w:pPr>
              <w:jc w:val="center"/>
              <w:rPr>
                <w:rFonts w:hint="eastAsia"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53BF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6" w:type="dxa"/>
            <w:vAlign w:val="center"/>
          </w:tcPr>
          <w:p w14:paraId="4A9DE67B">
            <w:pPr>
              <w:snapToGrid w:val="0"/>
              <w:jc w:val="center"/>
              <w:rPr>
                <w:rFonts w:hint="eastAsia" w:ascii="宋体" w:hAnsi="宋体" w:cs="宋体"/>
                <w:bCs/>
                <w:sz w:val="24"/>
              </w:rPr>
            </w:pPr>
            <w:r>
              <w:rPr>
                <w:rFonts w:hint="eastAsia" w:ascii="宋体" w:hAnsi="宋体" w:cs="宋体"/>
                <w:kern w:val="0"/>
                <w:sz w:val="24"/>
              </w:rPr>
              <w:t>……</w:t>
            </w:r>
          </w:p>
        </w:tc>
        <w:tc>
          <w:tcPr>
            <w:tcW w:w="5232" w:type="dxa"/>
            <w:vAlign w:val="center"/>
          </w:tcPr>
          <w:p w14:paraId="4020F943">
            <w:pPr>
              <w:snapToGrid w:val="0"/>
              <w:jc w:val="center"/>
              <w:rPr>
                <w:rFonts w:hint="eastAsia" w:ascii="宋体" w:hAnsi="宋体" w:cs="宋体"/>
                <w:bCs/>
                <w:sz w:val="24"/>
              </w:rPr>
            </w:pPr>
          </w:p>
        </w:tc>
        <w:tc>
          <w:tcPr>
            <w:tcW w:w="3044" w:type="dxa"/>
            <w:vAlign w:val="center"/>
          </w:tcPr>
          <w:p w14:paraId="31C1173E">
            <w:pPr>
              <w:jc w:val="center"/>
              <w:rPr>
                <w:rFonts w:hint="eastAsia"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6AE8C7E9">
      <w:pPr>
        <w:jc w:val="both"/>
        <w:rPr>
          <w:rFonts w:hint="eastAsia" w:ascii="宋体" w:hAnsi="宋体" w:cs="宋体"/>
          <w:b/>
          <w:kern w:val="0"/>
          <w:sz w:val="32"/>
          <w:szCs w:val="32"/>
        </w:rPr>
      </w:pPr>
    </w:p>
    <w:p w14:paraId="6E4CB135">
      <w:pPr>
        <w:jc w:val="center"/>
        <w:rPr>
          <w:rFonts w:hint="eastAsia" w:ascii="宋体" w:hAnsi="宋体" w:cs="宋体"/>
          <w:b/>
          <w:kern w:val="0"/>
          <w:sz w:val="32"/>
          <w:szCs w:val="32"/>
        </w:rPr>
      </w:pPr>
    </w:p>
    <w:p w14:paraId="6463B30A">
      <w:pPr>
        <w:ind w:firstLine="0" w:firstLineChars="0"/>
        <w:jc w:val="center"/>
        <w:rPr>
          <w:rFonts w:hint="eastAsia" w:ascii="宋体" w:hAnsi="宋体" w:cs="宋体"/>
          <w:b/>
          <w:kern w:val="0"/>
          <w:sz w:val="32"/>
          <w:szCs w:val="32"/>
        </w:rPr>
      </w:pPr>
      <w:r>
        <w:rPr>
          <w:rFonts w:hint="eastAsia" w:ascii="宋体" w:hAnsi="宋体" w:cs="宋体"/>
          <w:b/>
          <w:kern w:val="0"/>
          <w:sz w:val="32"/>
          <w:szCs w:val="32"/>
          <w:lang w:val="en-US" w:eastAsia="zh-CN"/>
        </w:rPr>
        <w:t>七</w:t>
      </w:r>
      <w:r>
        <w:rPr>
          <w:rFonts w:hint="eastAsia" w:ascii="宋体" w:hAnsi="宋体" w:cs="宋体"/>
          <w:b/>
          <w:kern w:val="0"/>
          <w:sz w:val="32"/>
          <w:szCs w:val="32"/>
        </w:rPr>
        <w:t>、投标标的清单</w:t>
      </w:r>
    </w:p>
    <w:tbl>
      <w:tblPr>
        <w:tblStyle w:val="62"/>
        <w:tblW w:w="906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55"/>
        <w:gridCol w:w="1269"/>
        <w:gridCol w:w="1278"/>
        <w:gridCol w:w="1510"/>
        <w:gridCol w:w="798"/>
        <w:gridCol w:w="900"/>
        <w:gridCol w:w="1115"/>
      </w:tblGrid>
      <w:tr w14:paraId="4CD9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39" w:type="dxa"/>
            <w:tcBorders>
              <w:top w:val="single" w:color="auto" w:sz="4" w:space="0"/>
              <w:left w:val="single" w:color="auto" w:sz="4" w:space="0"/>
              <w:bottom w:val="single" w:color="auto" w:sz="4" w:space="0"/>
              <w:right w:val="single" w:color="auto" w:sz="4" w:space="0"/>
            </w:tcBorders>
            <w:vAlign w:val="center"/>
          </w:tcPr>
          <w:p w14:paraId="32810F8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55" w:type="dxa"/>
            <w:tcBorders>
              <w:top w:val="single" w:color="auto" w:sz="4" w:space="0"/>
              <w:left w:val="single" w:color="auto" w:sz="4" w:space="0"/>
              <w:bottom w:val="single" w:color="auto" w:sz="4" w:space="0"/>
              <w:right w:val="single" w:color="auto" w:sz="4" w:space="0"/>
            </w:tcBorders>
            <w:vAlign w:val="center"/>
          </w:tcPr>
          <w:p w14:paraId="4E141538">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269" w:type="dxa"/>
            <w:tcBorders>
              <w:top w:val="single" w:color="auto" w:sz="4" w:space="0"/>
              <w:left w:val="single" w:color="auto" w:sz="4" w:space="0"/>
              <w:bottom w:val="single" w:color="auto" w:sz="4" w:space="0"/>
              <w:right w:val="single" w:color="auto" w:sz="4" w:space="0"/>
            </w:tcBorders>
            <w:vAlign w:val="center"/>
          </w:tcPr>
          <w:p w14:paraId="709A8C1B">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p w14:paraId="62B0E25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若有</w:t>
            </w:r>
            <w:r>
              <w:rPr>
                <w:rFonts w:hint="eastAsia" w:ascii="宋体" w:hAnsi="宋体" w:eastAsia="宋体" w:cs="宋体"/>
                <w:b/>
                <w:color w:val="auto"/>
                <w:sz w:val="24"/>
                <w:highlight w:val="none"/>
              </w:rPr>
              <w:t>）</w:t>
            </w:r>
          </w:p>
        </w:tc>
        <w:tc>
          <w:tcPr>
            <w:tcW w:w="1278" w:type="dxa"/>
            <w:tcBorders>
              <w:top w:val="single" w:color="auto" w:sz="4" w:space="0"/>
              <w:left w:val="single" w:color="auto" w:sz="4" w:space="0"/>
              <w:bottom w:val="single" w:color="auto" w:sz="4" w:space="0"/>
              <w:right w:val="single" w:color="auto" w:sz="4" w:space="0"/>
            </w:tcBorders>
            <w:vAlign w:val="center"/>
          </w:tcPr>
          <w:p w14:paraId="1DAA05E1">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510" w:type="dxa"/>
            <w:tcBorders>
              <w:top w:val="single" w:color="auto" w:sz="4" w:space="0"/>
              <w:left w:val="single" w:color="auto" w:sz="4" w:space="0"/>
              <w:bottom w:val="single" w:color="auto" w:sz="4" w:space="0"/>
              <w:right w:val="single" w:color="auto" w:sz="4" w:space="0"/>
            </w:tcBorders>
            <w:vAlign w:val="center"/>
          </w:tcPr>
          <w:p w14:paraId="7004E206">
            <w:pPr>
              <w:spacing w:line="240" w:lineRule="auto"/>
              <w:jc w:val="center"/>
              <w:rPr>
                <w:rFonts w:hint="eastAsia" w:ascii="宋体" w:hAnsi="宋体" w:eastAsia="宋体" w:cs="宋体"/>
                <w:b/>
                <w:color w:val="auto"/>
                <w:sz w:val="24"/>
                <w:highlight w:val="none"/>
              </w:rPr>
            </w:pPr>
            <w:r>
              <w:rPr>
                <w:rFonts w:hint="eastAsia" w:ascii="宋体" w:hAnsi="宋体" w:cs="宋体"/>
                <w:b/>
                <w:bCs/>
                <w:color w:val="000000"/>
                <w:kern w:val="0"/>
                <w:sz w:val="24"/>
                <w:szCs w:val="24"/>
                <w:lang w:bidi="ar"/>
              </w:rPr>
              <w:t>技术参数</w:t>
            </w:r>
          </w:p>
        </w:tc>
        <w:tc>
          <w:tcPr>
            <w:tcW w:w="798" w:type="dxa"/>
            <w:tcBorders>
              <w:top w:val="single" w:color="auto" w:sz="4" w:space="0"/>
              <w:left w:val="single" w:color="auto" w:sz="4" w:space="0"/>
              <w:bottom w:val="single" w:color="auto" w:sz="4" w:space="0"/>
              <w:right w:val="single" w:color="auto" w:sz="4" w:space="0"/>
            </w:tcBorders>
            <w:vAlign w:val="center"/>
          </w:tcPr>
          <w:p w14:paraId="3C3E7758">
            <w:pPr>
              <w:spacing w:line="240" w:lineRule="auto"/>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3F60648E">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115" w:type="dxa"/>
            <w:tcBorders>
              <w:top w:val="single" w:color="auto" w:sz="4" w:space="0"/>
              <w:left w:val="single" w:color="auto" w:sz="4" w:space="0"/>
              <w:bottom w:val="single" w:color="auto" w:sz="4" w:space="0"/>
              <w:right w:val="single" w:color="auto" w:sz="4" w:space="0"/>
            </w:tcBorders>
            <w:vAlign w:val="center"/>
          </w:tcPr>
          <w:p w14:paraId="71A0AA4B">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6FA154C9">
            <w:pPr>
              <w:spacing w:line="240" w:lineRule="auto"/>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若有）</w:t>
            </w:r>
          </w:p>
        </w:tc>
      </w:tr>
      <w:tr w14:paraId="5636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9" w:type="dxa"/>
            <w:tcBorders>
              <w:top w:val="single" w:color="auto" w:sz="4" w:space="0"/>
              <w:left w:val="single" w:color="auto" w:sz="4" w:space="0"/>
              <w:bottom w:val="single" w:color="auto" w:sz="4" w:space="0"/>
              <w:right w:val="single" w:color="auto" w:sz="4" w:space="0"/>
            </w:tcBorders>
            <w:vAlign w:val="center"/>
          </w:tcPr>
          <w:p w14:paraId="211163D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55" w:type="dxa"/>
            <w:tcBorders>
              <w:top w:val="single" w:color="auto" w:sz="4" w:space="0"/>
              <w:left w:val="single" w:color="auto" w:sz="4" w:space="0"/>
              <w:bottom w:val="single" w:color="auto" w:sz="4" w:space="0"/>
              <w:right w:val="single" w:color="auto" w:sz="4" w:space="0"/>
            </w:tcBorders>
            <w:vAlign w:val="center"/>
          </w:tcPr>
          <w:p w14:paraId="68FC689A">
            <w:pPr>
              <w:snapToGrid w:val="0"/>
              <w:spacing w:line="360" w:lineRule="auto"/>
              <w:jc w:val="center"/>
              <w:rPr>
                <w:rFonts w:hint="eastAsia" w:ascii="宋体" w:hAnsi="宋体" w:eastAsia="宋体" w:cs="宋体"/>
                <w:color w:val="auto"/>
                <w:sz w:val="24"/>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7A02A210">
            <w:pPr>
              <w:snapToGrid w:val="0"/>
              <w:spacing w:line="360" w:lineRule="auto"/>
              <w:jc w:val="center"/>
              <w:rPr>
                <w:rFonts w:hint="eastAsia" w:ascii="宋体" w:hAnsi="宋体" w:eastAsia="宋体" w:cs="宋体"/>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vAlign w:val="center"/>
          </w:tcPr>
          <w:p w14:paraId="780E1467">
            <w:pPr>
              <w:snapToGrid w:val="0"/>
              <w:spacing w:line="360" w:lineRule="auto"/>
              <w:jc w:val="center"/>
              <w:rPr>
                <w:rFonts w:hint="eastAsia" w:ascii="宋体" w:hAnsi="宋体" w:eastAsia="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2CB88652">
            <w:pPr>
              <w:snapToGrid w:val="0"/>
              <w:spacing w:line="360" w:lineRule="auto"/>
              <w:jc w:val="center"/>
              <w:rPr>
                <w:rFonts w:hint="eastAsia" w:ascii="宋体" w:hAnsi="宋体" w:eastAsia="宋体" w:cs="宋体"/>
                <w:color w:val="auto"/>
                <w:sz w:val="24"/>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6F678EF8">
            <w:pPr>
              <w:spacing w:line="360" w:lineRule="auto"/>
              <w:jc w:val="center"/>
              <w:rPr>
                <w:rFonts w:hint="eastAsia" w:ascii="宋体" w:hAnsi="宋体" w:eastAsia="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564675E">
            <w:pPr>
              <w:spacing w:line="360" w:lineRule="auto"/>
              <w:jc w:val="center"/>
              <w:rPr>
                <w:rFonts w:hint="eastAsia" w:ascii="宋体" w:hAnsi="宋体" w:eastAsia="宋体" w:cs="宋体"/>
                <w:color w:val="auto"/>
                <w:sz w:val="24"/>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4C04A0EC">
            <w:pPr>
              <w:spacing w:line="360" w:lineRule="auto"/>
              <w:jc w:val="center"/>
              <w:rPr>
                <w:rFonts w:hint="eastAsia" w:ascii="宋体" w:hAnsi="宋体" w:eastAsia="宋体" w:cs="宋体"/>
                <w:color w:val="auto"/>
                <w:sz w:val="24"/>
                <w:highlight w:val="none"/>
              </w:rPr>
            </w:pPr>
          </w:p>
        </w:tc>
      </w:tr>
      <w:tr w14:paraId="5B18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9" w:type="dxa"/>
            <w:tcBorders>
              <w:top w:val="single" w:color="auto" w:sz="4" w:space="0"/>
              <w:left w:val="single" w:color="auto" w:sz="4" w:space="0"/>
              <w:bottom w:val="single" w:color="auto" w:sz="4" w:space="0"/>
              <w:right w:val="single" w:color="auto" w:sz="4" w:space="0"/>
            </w:tcBorders>
            <w:vAlign w:val="center"/>
          </w:tcPr>
          <w:p w14:paraId="594C1B8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3F8EC998">
            <w:pPr>
              <w:snapToGrid w:val="0"/>
              <w:spacing w:line="360" w:lineRule="auto"/>
              <w:jc w:val="center"/>
              <w:rPr>
                <w:rFonts w:hint="eastAsia" w:ascii="宋体" w:hAnsi="宋体" w:eastAsia="宋体" w:cs="宋体"/>
                <w:color w:val="auto"/>
                <w:sz w:val="24"/>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0685028F">
            <w:pPr>
              <w:snapToGrid w:val="0"/>
              <w:spacing w:line="360" w:lineRule="auto"/>
              <w:jc w:val="center"/>
              <w:rPr>
                <w:rFonts w:hint="eastAsia" w:ascii="宋体" w:hAnsi="宋体" w:eastAsia="宋体" w:cs="宋体"/>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vAlign w:val="center"/>
          </w:tcPr>
          <w:p w14:paraId="07067EC8">
            <w:pPr>
              <w:snapToGrid w:val="0"/>
              <w:spacing w:line="360" w:lineRule="auto"/>
              <w:jc w:val="center"/>
              <w:rPr>
                <w:rFonts w:hint="eastAsia" w:ascii="宋体" w:hAnsi="宋体" w:eastAsia="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33B7DA3B">
            <w:pPr>
              <w:snapToGrid w:val="0"/>
              <w:spacing w:line="360" w:lineRule="auto"/>
              <w:jc w:val="center"/>
              <w:rPr>
                <w:rFonts w:hint="eastAsia" w:ascii="宋体" w:hAnsi="宋体" w:eastAsia="宋体" w:cs="宋体"/>
                <w:color w:val="auto"/>
                <w:sz w:val="24"/>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2EB92A46">
            <w:pPr>
              <w:spacing w:line="360" w:lineRule="auto"/>
              <w:jc w:val="center"/>
              <w:rPr>
                <w:rFonts w:hint="eastAsia" w:ascii="宋体" w:hAnsi="宋体" w:eastAsia="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18D511D">
            <w:pPr>
              <w:spacing w:line="360" w:lineRule="auto"/>
              <w:jc w:val="center"/>
              <w:rPr>
                <w:rFonts w:hint="eastAsia" w:ascii="宋体" w:hAnsi="宋体" w:eastAsia="宋体" w:cs="宋体"/>
                <w:color w:val="auto"/>
                <w:sz w:val="24"/>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744AC658">
            <w:pPr>
              <w:spacing w:line="360" w:lineRule="auto"/>
              <w:jc w:val="center"/>
              <w:rPr>
                <w:rFonts w:hint="eastAsia" w:ascii="宋体" w:hAnsi="宋体" w:eastAsia="宋体" w:cs="宋体"/>
                <w:color w:val="auto"/>
                <w:sz w:val="24"/>
                <w:highlight w:val="none"/>
              </w:rPr>
            </w:pPr>
          </w:p>
        </w:tc>
      </w:tr>
      <w:tr w14:paraId="350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39" w:type="dxa"/>
            <w:tcBorders>
              <w:top w:val="single" w:color="auto" w:sz="4" w:space="0"/>
              <w:left w:val="single" w:color="auto" w:sz="4" w:space="0"/>
              <w:bottom w:val="single" w:color="auto" w:sz="4" w:space="0"/>
              <w:right w:val="single" w:color="auto" w:sz="4" w:space="0"/>
            </w:tcBorders>
            <w:vAlign w:val="center"/>
          </w:tcPr>
          <w:p w14:paraId="6DFD842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55" w:type="dxa"/>
            <w:tcBorders>
              <w:top w:val="single" w:color="auto" w:sz="4" w:space="0"/>
              <w:left w:val="single" w:color="auto" w:sz="4" w:space="0"/>
              <w:bottom w:val="single" w:color="auto" w:sz="4" w:space="0"/>
              <w:right w:val="single" w:color="auto" w:sz="4" w:space="0"/>
            </w:tcBorders>
            <w:vAlign w:val="center"/>
          </w:tcPr>
          <w:p w14:paraId="26AA094F">
            <w:pPr>
              <w:snapToGrid w:val="0"/>
              <w:spacing w:line="360" w:lineRule="auto"/>
              <w:jc w:val="center"/>
              <w:rPr>
                <w:rFonts w:hint="eastAsia" w:ascii="宋体" w:hAnsi="宋体" w:eastAsia="宋体" w:cs="宋体"/>
                <w:color w:val="auto"/>
                <w:sz w:val="24"/>
                <w:highlight w:val="none"/>
              </w:rPr>
            </w:pPr>
          </w:p>
        </w:tc>
        <w:tc>
          <w:tcPr>
            <w:tcW w:w="1269" w:type="dxa"/>
            <w:tcBorders>
              <w:top w:val="single" w:color="auto" w:sz="4" w:space="0"/>
              <w:left w:val="single" w:color="auto" w:sz="4" w:space="0"/>
              <w:bottom w:val="single" w:color="auto" w:sz="4" w:space="0"/>
              <w:right w:val="single" w:color="auto" w:sz="4" w:space="0"/>
            </w:tcBorders>
            <w:vAlign w:val="center"/>
          </w:tcPr>
          <w:p w14:paraId="76316C7F">
            <w:pPr>
              <w:snapToGrid w:val="0"/>
              <w:spacing w:line="360" w:lineRule="auto"/>
              <w:jc w:val="center"/>
              <w:rPr>
                <w:rFonts w:hint="eastAsia" w:ascii="宋体" w:hAnsi="宋体" w:eastAsia="宋体" w:cs="宋体"/>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vAlign w:val="center"/>
          </w:tcPr>
          <w:p w14:paraId="69C4DD88">
            <w:pPr>
              <w:snapToGrid w:val="0"/>
              <w:spacing w:line="360" w:lineRule="auto"/>
              <w:jc w:val="center"/>
              <w:rPr>
                <w:rFonts w:hint="eastAsia" w:ascii="宋体" w:hAnsi="宋体" w:eastAsia="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16E37D0">
            <w:pPr>
              <w:snapToGrid w:val="0"/>
              <w:spacing w:line="360" w:lineRule="auto"/>
              <w:jc w:val="center"/>
              <w:rPr>
                <w:rFonts w:hint="eastAsia" w:ascii="宋体" w:hAnsi="宋体" w:eastAsia="宋体" w:cs="宋体"/>
                <w:color w:val="auto"/>
                <w:sz w:val="24"/>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413683B9">
            <w:pPr>
              <w:spacing w:line="360" w:lineRule="auto"/>
              <w:jc w:val="center"/>
              <w:rPr>
                <w:rFonts w:hint="eastAsia" w:ascii="宋体" w:hAnsi="宋体" w:eastAsia="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B844C3B">
            <w:pPr>
              <w:spacing w:line="360" w:lineRule="auto"/>
              <w:jc w:val="center"/>
              <w:rPr>
                <w:rFonts w:hint="eastAsia" w:ascii="宋体" w:hAnsi="宋体" w:eastAsia="宋体" w:cs="宋体"/>
                <w:color w:val="auto"/>
                <w:sz w:val="24"/>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11DFC6EB">
            <w:pPr>
              <w:spacing w:line="360" w:lineRule="auto"/>
              <w:jc w:val="center"/>
              <w:rPr>
                <w:rFonts w:hint="eastAsia" w:ascii="宋体" w:hAnsi="宋体" w:eastAsia="宋体" w:cs="宋体"/>
                <w:color w:val="auto"/>
                <w:sz w:val="24"/>
                <w:highlight w:val="none"/>
              </w:rPr>
            </w:pPr>
          </w:p>
        </w:tc>
      </w:tr>
    </w:tbl>
    <w:p w14:paraId="691CBD27">
      <w:pPr>
        <w:widowControl/>
        <w:spacing w:line="360" w:lineRule="auto"/>
        <w:ind w:right="42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注：</w:t>
      </w:r>
    </w:p>
    <w:p w14:paraId="6C8E8FBF">
      <w:pPr>
        <w:widowControl/>
        <w:spacing w:line="360" w:lineRule="auto"/>
        <w:ind w:right="420"/>
        <w:jc w:val="left"/>
        <w:rPr>
          <w:rFonts w:hint="eastAsia" w:ascii="宋体" w:hAnsi="宋体" w:cs="宋体"/>
          <w:b w:val="0"/>
          <w:bCs w:val="0"/>
          <w:sz w:val="24"/>
          <w:lang w:val="en-US" w:eastAsia="zh-CN"/>
        </w:rPr>
      </w:pPr>
      <w:r>
        <w:rPr>
          <w:rFonts w:hint="eastAsia" w:ascii="宋体" w:hAnsi="宋体" w:cs="宋体"/>
          <w:b w:val="0"/>
          <w:bCs w:val="0"/>
          <w:sz w:val="24"/>
        </w:rPr>
        <w:t>1.按本格式和要求提供。</w:t>
      </w:r>
    </w:p>
    <w:p w14:paraId="72242244">
      <w:pPr>
        <w:widowControl/>
        <w:spacing w:line="360" w:lineRule="auto"/>
        <w:ind w:firstLine="0" w:firstLineChars="0"/>
        <w:jc w:val="left"/>
        <w:rPr>
          <w:rFonts w:hint="eastAsia" w:ascii="宋体" w:hAnsi="宋体" w:eastAsia="宋体" w:cs="宋体"/>
          <w:b/>
          <w:bCs/>
          <w:sz w:val="24"/>
          <w:lang w:eastAsia="zh-CN"/>
        </w:rPr>
      </w:pPr>
      <w:r>
        <w:rPr>
          <w:rFonts w:hint="eastAsia" w:ascii="宋体" w:hAnsi="宋体" w:cs="宋体"/>
          <w:b w:val="0"/>
          <w:bCs w:val="0"/>
          <w:sz w:val="24"/>
          <w:lang w:val="en-US" w:eastAsia="zh-CN"/>
        </w:rPr>
        <w:t>2.</w:t>
      </w:r>
      <w:r>
        <w:rPr>
          <w:rFonts w:hint="eastAsia" w:ascii="宋体" w:hAnsi="宋体" w:cs="宋体"/>
          <w:b w:val="0"/>
          <w:bCs w:val="0"/>
          <w:sz w:val="24"/>
        </w:rPr>
        <w:t>根据采购需求清单明细提供</w:t>
      </w:r>
      <w:r>
        <w:rPr>
          <w:rFonts w:hint="eastAsia" w:ascii="宋体" w:hAnsi="宋体" w:cs="宋体"/>
          <w:b w:val="0"/>
          <w:bCs w:val="0"/>
          <w:sz w:val="24"/>
          <w:lang w:val="en-US" w:eastAsia="zh-CN"/>
        </w:rPr>
        <w:t>投标标的清单，清单中</w:t>
      </w:r>
      <w:r>
        <w:rPr>
          <w:rFonts w:ascii="宋体" w:hAnsi="宋体" w:cs="宋体"/>
          <w:b w:val="0"/>
          <w:bCs w:val="0"/>
          <w:kern w:val="0"/>
          <w:sz w:val="24"/>
          <w:lang w:bidi="ar"/>
        </w:rPr>
        <w:t>不得出现任何形式的报价、价格区间、优惠比例、成本测算等与价格相关的内容</w:t>
      </w:r>
      <w:r>
        <w:rPr>
          <w:rFonts w:hint="eastAsia" w:ascii="宋体" w:hAnsi="宋体" w:cs="宋体"/>
          <w:b w:val="0"/>
          <w:bCs w:val="0"/>
          <w:kern w:val="0"/>
          <w:sz w:val="24"/>
          <w:lang w:eastAsia="zh-CN" w:bidi="ar"/>
        </w:rPr>
        <w:t>，</w:t>
      </w:r>
      <w:r>
        <w:rPr>
          <w:rFonts w:hint="eastAsia" w:ascii="宋体" w:hAnsi="宋体" w:cs="宋体"/>
          <w:b w:val="0"/>
          <w:bCs w:val="0"/>
          <w:kern w:val="0"/>
          <w:sz w:val="24"/>
          <w:lang w:val="en-US" w:eastAsia="zh-CN" w:bidi="ar"/>
        </w:rPr>
        <w:t>否则作投标无效处理</w:t>
      </w:r>
      <w:r>
        <w:rPr>
          <w:rFonts w:hint="eastAsia" w:ascii="宋体" w:hAnsi="宋体" w:cs="宋体"/>
          <w:b w:val="0"/>
          <w:bCs w:val="0"/>
          <w:kern w:val="0"/>
          <w:sz w:val="24"/>
          <w:lang w:eastAsia="zh-CN" w:bidi="ar"/>
        </w:rPr>
        <w:t>。</w:t>
      </w:r>
    </w:p>
    <w:p w14:paraId="049FE9BA">
      <w:pPr>
        <w:spacing w:line="360" w:lineRule="auto"/>
        <w:ind w:right="420"/>
        <w:rPr>
          <w:rFonts w:hint="eastAsia" w:ascii="宋体" w:hAnsi="宋体" w:cs="宋体"/>
          <w:sz w:val="24"/>
        </w:rPr>
      </w:pPr>
    </w:p>
    <w:p w14:paraId="4D2A5A80">
      <w:pPr>
        <w:spacing w:line="360" w:lineRule="auto"/>
        <w:jc w:val="center"/>
        <w:rPr>
          <w:rFonts w:hint="eastAsia" w:ascii="宋体" w:hAnsi="宋体" w:cs="宋体"/>
          <w:b/>
          <w:kern w:val="0"/>
          <w:sz w:val="32"/>
          <w:szCs w:val="32"/>
        </w:rPr>
      </w:pPr>
      <w:r>
        <w:rPr>
          <w:rFonts w:ascii="宋体" w:hAnsi="宋体" w:cs="宋体"/>
          <w:b/>
          <w:kern w:val="0"/>
          <w:sz w:val="32"/>
          <w:szCs w:val="32"/>
        </w:rPr>
        <w:br w:type="column"/>
      </w:r>
      <w:r>
        <w:rPr>
          <w:rFonts w:hint="eastAsia" w:ascii="宋体" w:hAnsi="宋体" w:cs="宋体"/>
          <w:b/>
          <w:kern w:val="0"/>
          <w:sz w:val="32"/>
          <w:szCs w:val="32"/>
          <w:lang w:val="en-US" w:eastAsia="zh-CN"/>
        </w:rPr>
        <w:t>八</w:t>
      </w:r>
      <w:r>
        <w:rPr>
          <w:rFonts w:hint="eastAsia" w:ascii="宋体" w:hAnsi="宋体" w:cs="宋体"/>
          <w:b/>
          <w:kern w:val="0"/>
          <w:sz w:val="32"/>
          <w:szCs w:val="32"/>
        </w:rPr>
        <w:t>、商务技术偏离表</w:t>
      </w:r>
    </w:p>
    <w:tbl>
      <w:tblPr>
        <w:tblStyle w:val="63"/>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446"/>
        <w:gridCol w:w="3435"/>
        <w:gridCol w:w="1328"/>
      </w:tblGrid>
      <w:tr w14:paraId="45D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8" w:type="dxa"/>
            <w:vAlign w:val="center"/>
          </w:tcPr>
          <w:p w14:paraId="1BBD05B3">
            <w:pPr>
              <w:spacing w:line="240" w:lineRule="auto"/>
              <w:jc w:val="center"/>
              <w:rPr>
                <w:rFonts w:hint="eastAsia" w:ascii="宋体" w:hAnsi="宋体" w:cs="宋体"/>
                <w:b/>
                <w:bCs/>
                <w:sz w:val="24"/>
              </w:rPr>
            </w:pPr>
            <w:r>
              <w:rPr>
                <w:rFonts w:hint="eastAsia" w:ascii="宋体" w:hAnsi="宋体" w:cs="宋体"/>
                <w:b/>
                <w:bCs/>
                <w:sz w:val="24"/>
              </w:rPr>
              <w:t>序号</w:t>
            </w:r>
          </w:p>
        </w:tc>
        <w:tc>
          <w:tcPr>
            <w:tcW w:w="3446" w:type="dxa"/>
            <w:vAlign w:val="center"/>
          </w:tcPr>
          <w:p w14:paraId="3A827666">
            <w:pPr>
              <w:spacing w:line="240" w:lineRule="auto"/>
              <w:jc w:val="center"/>
              <w:rPr>
                <w:rFonts w:hint="eastAsia" w:ascii="宋体" w:hAnsi="宋体" w:cs="宋体"/>
                <w:b/>
                <w:bCs/>
                <w:sz w:val="24"/>
              </w:rPr>
            </w:pPr>
            <w:r>
              <w:rPr>
                <w:rFonts w:hint="eastAsia" w:ascii="宋体" w:hAnsi="宋体" w:cs="宋体"/>
                <w:b/>
                <w:bCs/>
                <w:sz w:val="24"/>
              </w:rPr>
              <w:t>招标文件章节及具体内容</w:t>
            </w:r>
          </w:p>
        </w:tc>
        <w:tc>
          <w:tcPr>
            <w:tcW w:w="3435" w:type="dxa"/>
            <w:vAlign w:val="center"/>
          </w:tcPr>
          <w:p w14:paraId="668BA50D">
            <w:pPr>
              <w:spacing w:line="240" w:lineRule="auto"/>
              <w:jc w:val="center"/>
              <w:rPr>
                <w:rFonts w:hint="eastAsia" w:ascii="宋体" w:hAnsi="宋体" w:cs="宋体"/>
                <w:b/>
                <w:bCs/>
                <w:sz w:val="24"/>
              </w:rPr>
            </w:pPr>
            <w:r>
              <w:rPr>
                <w:rFonts w:hint="eastAsia" w:ascii="宋体" w:hAnsi="宋体" w:cs="宋体"/>
                <w:b/>
                <w:bCs/>
                <w:sz w:val="24"/>
              </w:rPr>
              <w:t>投标文件章节及具体内容</w:t>
            </w:r>
          </w:p>
        </w:tc>
        <w:tc>
          <w:tcPr>
            <w:tcW w:w="1328" w:type="dxa"/>
            <w:vAlign w:val="center"/>
          </w:tcPr>
          <w:p w14:paraId="1D467D4E">
            <w:pPr>
              <w:spacing w:line="240" w:lineRule="auto"/>
              <w:jc w:val="center"/>
              <w:rPr>
                <w:rFonts w:hint="eastAsia" w:ascii="宋体" w:hAnsi="宋体" w:cs="宋体"/>
                <w:b/>
                <w:bCs/>
                <w:sz w:val="24"/>
              </w:rPr>
            </w:pPr>
            <w:r>
              <w:rPr>
                <w:rFonts w:hint="eastAsia" w:ascii="宋体" w:hAnsi="宋体" w:cs="宋体"/>
                <w:b/>
                <w:bCs/>
                <w:sz w:val="24"/>
              </w:rPr>
              <w:t>偏离说明</w:t>
            </w:r>
          </w:p>
        </w:tc>
      </w:tr>
      <w:tr w14:paraId="22CE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3BD5E4F2">
            <w:pPr>
              <w:spacing w:line="240" w:lineRule="auto"/>
              <w:jc w:val="center"/>
              <w:rPr>
                <w:rFonts w:hint="eastAsia" w:ascii="宋体" w:hAnsi="宋体" w:cs="宋体"/>
                <w:kern w:val="0"/>
                <w:sz w:val="24"/>
              </w:rPr>
            </w:pPr>
            <w:r>
              <w:rPr>
                <w:rFonts w:hint="eastAsia" w:ascii="宋体" w:hAnsi="宋体" w:cs="宋体"/>
                <w:kern w:val="0"/>
                <w:sz w:val="24"/>
              </w:rPr>
              <w:t>1</w:t>
            </w:r>
          </w:p>
        </w:tc>
        <w:tc>
          <w:tcPr>
            <w:tcW w:w="3446" w:type="dxa"/>
            <w:vAlign w:val="center"/>
          </w:tcPr>
          <w:p w14:paraId="0A5AA626">
            <w:pPr>
              <w:spacing w:line="360" w:lineRule="auto"/>
              <w:jc w:val="center"/>
              <w:rPr>
                <w:rFonts w:hint="eastAsia" w:ascii="宋体" w:hAnsi="宋体" w:cs="宋体"/>
                <w:b/>
                <w:kern w:val="0"/>
                <w:sz w:val="32"/>
                <w:szCs w:val="32"/>
              </w:rPr>
            </w:pPr>
          </w:p>
        </w:tc>
        <w:tc>
          <w:tcPr>
            <w:tcW w:w="3435" w:type="dxa"/>
            <w:vAlign w:val="center"/>
          </w:tcPr>
          <w:p w14:paraId="3C3A6DE1">
            <w:pPr>
              <w:spacing w:line="360" w:lineRule="auto"/>
              <w:jc w:val="center"/>
              <w:rPr>
                <w:rFonts w:hint="eastAsia" w:ascii="宋体" w:hAnsi="宋体" w:cs="宋体"/>
                <w:b/>
                <w:kern w:val="0"/>
                <w:sz w:val="32"/>
                <w:szCs w:val="32"/>
              </w:rPr>
            </w:pPr>
          </w:p>
        </w:tc>
        <w:tc>
          <w:tcPr>
            <w:tcW w:w="1328" w:type="dxa"/>
            <w:vAlign w:val="center"/>
          </w:tcPr>
          <w:p w14:paraId="321CCD3F">
            <w:pPr>
              <w:spacing w:line="360" w:lineRule="auto"/>
              <w:jc w:val="center"/>
              <w:rPr>
                <w:rFonts w:hint="eastAsia" w:ascii="宋体" w:hAnsi="宋体" w:cs="宋体"/>
                <w:b/>
                <w:kern w:val="0"/>
                <w:sz w:val="32"/>
                <w:szCs w:val="32"/>
              </w:rPr>
            </w:pPr>
          </w:p>
        </w:tc>
      </w:tr>
      <w:tr w14:paraId="7518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2203E844">
            <w:pPr>
              <w:spacing w:line="240" w:lineRule="auto"/>
              <w:jc w:val="center"/>
              <w:rPr>
                <w:rFonts w:hint="eastAsia" w:ascii="宋体" w:hAnsi="宋体" w:cs="宋体"/>
                <w:kern w:val="0"/>
                <w:sz w:val="24"/>
              </w:rPr>
            </w:pPr>
            <w:r>
              <w:rPr>
                <w:rFonts w:hint="eastAsia" w:ascii="宋体" w:hAnsi="宋体" w:cs="宋体"/>
                <w:kern w:val="0"/>
                <w:sz w:val="24"/>
              </w:rPr>
              <w:t>2</w:t>
            </w:r>
          </w:p>
        </w:tc>
        <w:tc>
          <w:tcPr>
            <w:tcW w:w="3446" w:type="dxa"/>
            <w:vAlign w:val="center"/>
          </w:tcPr>
          <w:p w14:paraId="41BA8075">
            <w:pPr>
              <w:spacing w:line="360" w:lineRule="auto"/>
              <w:jc w:val="center"/>
              <w:rPr>
                <w:rFonts w:hint="eastAsia" w:ascii="宋体" w:hAnsi="宋体" w:cs="宋体"/>
                <w:b/>
                <w:kern w:val="0"/>
                <w:sz w:val="32"/>
                <w:szCs w:val="32"/>
              </w:rPr>
            </w:pPr>
          </w:p>
        </w:tc>
        <w:tc>
          <w:tcPr>
            <w:tcW w:w="3435" w:type="dxa"/>
            <w:vAlign w:val="center"/>
          </w:tcPr>
          <w:p w14:paraId="3B197740">
            <w:pPr>
              <w:spacing w:line="360" w:lineRule="auto"/>
              <w:jc w:val="center"/>
              <w:rPr>
                <w:rFonts w:hint="eastAsia" w:ascii="宋体" w:hAnsi="宋体" w:cs="宋体"/>
                <w:b/>
                <w:kern w:val="0"/>
                <w:sz w:val="32"/>
                <w:szCs w:val="32"/>
              </w:rPr>
            </w:pPr>
          </w:p>
        </w:tc>
        <w:tc>
          <w:tcPr>
            <w:tcW w:w="1328" w:type="dxa"/>
            <w:vAlign w:val="center"/>
          </w:tcPr>
          <w:p w14:paraId="54BBC2F5">
            <w:pPr>
              <w:spacing w:line="360" w:lineRule="auto"/>
              <w:jc w:val="center"/>
              <w:rPr>
                <w:rFonts w:hint="eastAsia" w:ascii="宋体" w:hAnsi="宋体" w:cs="宋体"/>
                <w:b/>
                <w:kern w:val="0"/>
                <w:sz w:val="32"/>
                <w:szCs w:val="32"/>
              </w:rPr>
            </w:pPr>
          </w:p>
        </w:tc>
      </w:tr>
      <w:tr w14:paraId="421A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0CCF256B">
            <w:pPr>
              <w:spacing w:line="240" w:lineRule="auto"/>
              <w:jc w:val="center"/>
              <w:rPr>
                <w:rFonts w:hint="eastAsia" w:ascii="宋体" w:hAnsi="宋体" w:cs="宋体"/>
                <w:kern w:val="0"/>
                <w:sz w:val="24"/>
              </w:rPr>
            </w:pPr>
            <w:r>
              <w:rPr>
                <w:rFonts w:hint="eastAsia" w:ascii="宋体" w:hAnsi="宋体" w:cs="宋体"/>
                <w:kern w:val="0"/>
                <w:sz w:val="24"/>
              </w:rPr>
              <w:t>……</w:t>
            </w:r>
          </w:p>
        </w:tc>
        <w:tc>
          <w:tcPr>
            <w:tcW w:w="3446" w:type="dxa"/>
            <w:vAlign w:val="center"/>
          </w:tcPr>
          <w:p w14:paraId="723688E0">
            <w:pPr>
              <w:spacing w:line="360" w:lineRule="auto"/>
              <w:jc w:val="center"/>
              <w:rPr>
                <w:rFonts w:hint="eastAsia" w:ascii="宋体" w:hAnsi="宋体" w:cs="宋体"/>
                <w:b/>
                <w:kern w:val="0"/>
                <w:sz w:val="32"/>
                <w:szCs w:val="32"/>
              </w:rPr>
            </w:pPr>
          </w:p>
        </w:tc>
        <w:tc>
          <w:tcPr>
            <w:tcW w:w="3435" w:type="dxa"/>
            <w:vAlign w:val="center"/>
          </w:tcPr>
          <w:p w14:paraId="06D337A8">
            <w:pPr>
              <w:spacing w:line="360" w:lineRule="auto"/>
              <w:jc w:val="center"/>
              <w:rPr>
                <w:rFonts w:hint="eastAsia" w:ascii="宋体" w:hAnsi="宋体" w:cs="宋体"/>
                <w:b/>
                <w:kern w:val="0"/>
                <w:sz w:val="32"/>
                <w:szCs w:val="32"/>
              </w:rPr>
            </w:pPr>
          </w:p>
        </w:tc>
        <w:tc>
          <w:tcPr>
            <w:tcW w:w="1328" w:type="dxa"/>
            <w:vAlign w:val="center"/>
          </w:tcPr>
          <w:p w14:paraId="3C6816E3">
            <w:pPr>
              <w:spacing w:line="360" w:lineRule="auto"/>
              <w:jc w:val="center"/>
              <w:rPr>
                <w:rFonts w:hint="eastAsia" w:ascii="宋体" w:hAnsi="宋体" w:cs="宋体"/>
                <w:b/>
                <w:kern w:val="0"/>
                <w:sz w:val="32"/>
                <w:szCs w:val="32"/>
              </w:rPr>
            </w:pPr>
          </w:p>
        </w:tc>
      </w:tr>
    </w:tbl>
    <w:p w14:paraId="3A9BA646">
      <w:pPr>
        <w:spacing w:before="157" w:beforeLines="50" w:line="360" w:lineRule="auto"/>
        <w:ind w:firstLine="0" w:firstLineChars="0"/>
        <w:jc w:val="left"/>
        <w:rPr>
          <w:rFonts w:hint="eastAsia"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547D7100">
      <w:pPr>
        <w:jc w:val="center"/>
        <w:rPr>
          <w:rFonts w:hint="eastAsia" w:ascii="宋体" w:hAnsi="宋体" w:cs="宋体"/>
          <w:b/>
          <w:kern w:val="0"/>
          <w:sz w:val="32"/>
          <w:szCs w:val="32"/>
        </w:rPr>
      </w:pPr>
    </w:p>
    <w:p w14:paraId="55582214">
      <w:pPr>
        <w:spacing w:line="360" w:lineRule="auto"/>
        <w:ind w:right="420"/>
        <w:rPr>
          <w:rFonts w:hint="eastAsia" w:ascii="宋体" w:hAnsi="宋体" w:cs="宋体"/>
          <w:sz w:val="24"/>
        </w:rPr>
      </w:pPr>
      <w:r>
        <w:rPr>
          <w:rFonts w:hint="eastAsia" w:ascii="宋体" w:hAnsi="宋体" w:cs="宋体"/>
          <w:sz w:val="24"/>
        </w:rPr>
        <w:t>注：1.按本格式和要求提供。</w:t>
      </w:r>
    </w:p>
    <w:p w14:paraId="29A285D2">
      <w:pPr>
        <w:spacing w:line="360" w:lineRule="auto"/>
        <w:ind w:right="420"/>
        <w:rPr>
          <w:rFonts w:hint="eastAsia"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7347A41D">
      <w:pPr>
        <w:spacing w:line="360" w:lineRule="auto"/>
        <w:ind w:right="420"/>
        <w:rPr>
          <w:rFonts w:hint="eastAsia" w:ascii="宋体" w:hAnsi="宋体" w:cs="宋体"/>
          <w:sz w:val="24"/>
        </w:rPr>
      </w:pPr>
      <w:r>
        <w:rPr>
          <w:rFonts w:hint="eastAsia" w:ascii="宋体" w:hAnsi="宋体" w:cs="宋体"/>
          <w:sz w:val="24"/>
        </w:rPr>
        <w:t>3.投标人须保证：除商务技术偏离表列出的偏离外，投标人响应招标文件的全部非实质性要求。</w:t>
      </w:r>
    </w:p>
    <w:p w14:paraId="48873704">
      <w:pPr>
        <w:ind w:firstLine="1911" w:firstLineChars="595"/>
        <w:rPr>
          <w:rFonts w:hint="eastAsia" w:ascii="宋体" w:hAnsi="宋体" w:cs="宋体"/>
          <w:b/>
          <w:bCs/>
          <w:sz w:val="32"/>
          <w:szCs w:val="32"/>
        </w:rPr>
      </w:pPr>
    </w:p>
    <w:p w14:paraId="2F6BEC21">
      <w:pPr>
        <w:ind w:firstLine="1911" w:firstLineChars="595"/>
        <w:rPr>
          <w:rFonts w:hint="eastAsia" w:ascii="宋体" w:hAnsi="宋体" w:cs="宋体"/>
          <w:b/>
          <w:bCs/>
          <w:sz w:val="32"/>
          <w:szCs w:val="32"/>
        </w:rPr>
      </w:pPr>
    </w:p>
    <w:p w14:paraId="6CC602BC">
      <w:pPr>
        <w:ind w:firstLine="1911" w:firstLineChars="595"/>
        <w:rPr>
          <w:rFonts w:hint="eastAsia" w:ascii="宋体" w:hAnsi="宋体" w:cs="宋体"/>
          <w:b/>
          <w:bCs/>
          <w:sz w:val="32"/>
          <w:szCs w:val="32"/>
        </w:rPr>
      </w:pPr>
    </w:p>
    <w:p w14:paraId="1AFBE41F">
      <w:pPr>
        <w:widowControl/>
        <w:adjustRightInd/>
        <w:jc w:val="left"/>
        <w:rPr>
          <w:rFonts w:hint="eastAsia" w:ascii="宋体" w:hAnsi="宋体" w:cs="宋体"/>
          <w:b/>
          <w:bCs/>
          <w:sz w:val="32"/>
          <w:szCs w:val="32"/>
        </w:rPr>
      </w:pPr>
      <w:r>
        <w:rPr>
          <w:rFonts w:ascii="宋体" w:hAnsi="宋体" w:cs="宋体"/>
          <w:b/>
          <w:bCs/>
          <w:sz w:val="32"/>
          <w:szCs w:val="32"/>
        </w:rPr>
        <w:br w:type="page"/>
      </w:r>
    </w:p>
    <w:p w14:paraId="55B01BC2">
      <w:pPr>
        <w:ind w:firstLine="1911" w:firstLineChars="595"/>
        <w:rPr>
          <w:rFonts w:hint="eastAsia" w:ascii="宋体" w:hAnsi="宋体" w:cs="宋体"/>
          <w:b/>
          <w:kern w:val="0"/>
          <w:sz w:val="32"/>
          <w:szCs w:val="32"/>
        </w:rPr>
      </w:pPr>
      <w:r>
        <w:rPr>
          <w:rFonts w:hint="eastAsia" w:ascii="宋体" w:hAnsi="宋体" w:cs="宋体"/>
          <w:b/>
          <w:bCs/>
          <w:sz w:val="32"/>
          <w:szCs w:val="32"/>
          <w:lang w:val="en-US" w:eastAsia="zh-CN"/>
        </w:rPr>
        <w:t>九</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62EC3B23">
      <w:pPr>
        <w:snapToGrid w:val="0"/>
        <w:spacing w:line="360" w:lineRule="auto"/>
        <w:rPr>
          <w:rFonts w:hint="eastAsia" w:ascii="宋体" w:hAnsi="宋体" w:cs="宋体"/>
          <w:sz w:val="24"/>
        </w:rPr>
      </w:pPr>
    </w:p>
    <w:p w14:paraId="5436579B">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98600AB">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C92A5DD">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642F856C">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1A2EC77B">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55EE7D92">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28864D0">
      <w:pPr>
        <w:autoSpaceDE w:val="0"/>
        <w:autoSpaceDN w:val="0"/>
        <w:spacing w:line="360" w:lineRule="auto"/>
        <w:ind w:left="481" w:leftChars="229"/>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60C1270F">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好处；</w:t>
      </w:r>
    </w:p>
    <w:p w14:paraId="37ED00A6">
      <w:pPr>
        <w:autoSpaceDE w:val="0"/>
        <w:autoSpaceDN w:val="0"/>
        <w:spacing w:line="360" w:lineRule="auto"/>
        <w:ind w:left="481" w:leftChars="229"/>
        <w:jc w:val="left"/>
        <w:rPr>
          <w:rFonts w:hint="eastAsia"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0D9732DD">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7E2A3A1">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7C86F69C">
      <w:pPr>
        <w:autoSpaceDE w:val="0"/>
        <w:autoSpaceDN w:val="0"/>
        <w:spacing w:line="360" w:lineRule="auto"/>
        <w:ind w:left="2"/>
        <w:jc w:val="left"/>
        <w:rPr>
          <w:rFonts w:hint="eastAsia" w:ascii="宋体" w:hAnsi="宋体" w:cs="宋体"/>
          <w:kern w:val="0"/>
          <w:sz w:val="24"/>
          <w:lang w:val="zh-CN"/>
        </w:rPr>
      </w:pPr>
    </w:p>
    <w:p w14:paraId="171E8FC3">
      <w:pPr>
        <w:autoSpaceDE w:val="0"/>
        <w:autoSpaceDN w:val="0"/>
        <w:spacing w:line="360" w:lineRule="auto"/>
        <w:ind w:left="2"/>
        <w:jc w:val="left"/>
        <w:rPr>
          <w:rFonts w:hint="eastAsia" w:ascii="宋体" w:hAnsi="宋体" w:cs="宋体"/>
          <w:kern w:val="0"/>
          <w:sz w:val="24"/>
          <w:lang w:val="zh-CN"/>
        </w:rPr>
      </w:pPr>
    </w:p>
    <w:p w14:paraId="7AC037B0">
      <w:pPr>
        <w:autoSpaceDE w:val="0"/>
        <w:autoSpaceDN w:val="0"/>
        <w:spacing w:line="360" w:lineRule="auto"/>
        <w:ind w:left="2"/>
        <w:jc w:val="left"/>
        <w:rPr>
          <w:rFonts w:hint="eastAsia" w:ascii="宋体" w:hAnsi="宋体" w:cs="宋体"/>
          <w:kern w:val="0"/>
          <w:sz w:val="24"/>
          <w:lang w:val="zh-CN"/>
        </w:rPr>
      </w:pPr>
    </w:p>
    <w:p w14:paraId="451A7E2B">
      <w:pPr>
        <w:autoSpaceDE w:val="0"/>
        <w:autoSpaceDN w:val="0"/>
        <w:spacing w:line="360" w:lineRule="auto"/>
        <w:ind w:left="0" w:leftChars="0" w:right="30" w:firstLine="0" w:firstLineChars="0"/>
        <w:jc w:val="right"/>
        <w:rPr>
          <w:rFonts w:hint="eastAsia"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32A27EEF">
      <w:pPr>
        <w:spacing w:line="360" w:lineRule="auto"/>
        <w:ind w:left="4620" w:leftChars="2200"/>
        <w:jc w:val="center"/>
        <w:rPr>
          <w:rFonts w:hint="eastAsia" w:ascii="宋体" w:hAnsi="宋体" w:cs="宋体"/>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3427488">
      <w:pPr>
        <w:spacing w:line="360" w:lineRule="auto"/>
        <w:jc w:val="center"/>
        <w:rPr>
          <w:rFonts w:hint="eastAsia" w:ascii="宋体" w:hAnsi="宋体" w:cs="宋体"/>
          <w:b/>
          <w:bCs/>
          <w:sz w:val="24"/>
        </w:rPr>
      </w:pPr>
    </w:p>
    <w:p w14:paraId="5508372E">
      <w:pPr>
        <w:spacing w:line="360" w:lineRule="auto"/>
        <w:ind w:right="420"/>
        <w:rPr>
          <w:rFonts w:hint="eastAsia" w:ascii="宋体" w:hAnsi="宋体" w:cs="宋体"/>
          <w:sz w:val="24"/>
        </w:rPr>
      </w:pPr>
      <w:r>
        <w:rPr>
          <w:rFonts w:hint="eastAsia" w:ascii="宋体" w:hAnsi="宋体" w:cs="宋体"/>
          <w:sz w:val="24"/>
        </w:rPr>
        <w:t>注：按本格式和要求提供。</w:t>
      </w:r>
    </w:p>
    <w:p w14:paraId="38583925">
      <w:pPr>
        <w:rPr>
          <w:rFonts w:hint="eastAsia" w:ascii="宋体" w:hAnsi="宋体" w:cs="宋体"/>
          <w:b/>
          <w:bCs/>
          <w:sz w:val="24"/>
        </w:rPr>
      </w:pPr>
      <w:r>
        <w:rPr>
          <w:rFonts w:ascii="宋体" w:hAnsi="宋体" w:cs="宋体"/>
          <w:b/>
          <w:bCs/>
          <w:sz w:val="24"/>
        </w:rPr>
        <w:br w:type="page"/>
      </w:r>
    </w:p>
    <w:p w14:paraId="5F245E07">
      <w:pPr>
        <w:jc w:val="center"/>
        <w:rPr>
          <w:rFonts w:hint="eastAsia" w:hAnsi="宋体" w:cs="宋体"/>
          <w:b/>
          <w:sz w:val="28"/>
          <w:szCs w:val="28"/>
        </w:rPr>
      </w:pPr>
      <w:r>
        <w:rPr>
          <w:rFonts w:hint="eastAsia" w:hAnsi="宋体" w:cs="宋体"/>
          <w:b/>
          <w:sz w:val="28"/>
          <w:szCs w:val="28"/>
        </w:rPr>
        <w:t>将以下表格填写完成后与投标文件同步制作递交</w:t>
      </w:r>
    </w:p>
    <w:p w14:paraId="31266114">
      <w:pPr>
        <w:pStyle w:val="624"/>
        <w:snapToGrid w:val="0"/>
        <w:spacing w:before="120" w:after="120"/>
        <w:jc w:val="center"/>
      </w:pPr>
      <w:r>
        <w:rPr>
          <w:rFonts w:hint="eastAsia" w:hAnsi="宋体" w:cs="宋体"/>
          <w:b/>
        </w:rPr>
        <w:t>（要求在电子投标文件解密后，自行核实下述承诺内容，如有不符，重新联系代理公司按新的内容邮箱递交：1187450685@qq.com）</w:t>
      </w:r>
    </w:p>
    <w:p w14:paraId="652398C2">
      <w:pPr>
        <w:pStyle w:val="624"/>
        <w:snapToGrid w:val="0"/>
        <w:spacing w:before="120" w:after="120"/>
        <w:jc w:val="center"/>
        <w:rPr>
          <w:rFonts w:hint="eastAsia" w:hAnsi="宋体" w:cs="宋体"/>
          <w:b/>
          <w:sz w:val="32"/>
          <w:szCs w:val="32"/>
        </w:rPr>
      </w:pPr>
      <w:r>
        <w:rPr>
          <w:rFonts w:hint="eastAsia" w:hAnsi="宋体" w:cs="宋体"/>
          <w:b/>
          <w:sz w:val="32"/>
          <w:szCs w:val="32"/>
          <w:lang w:val="en-US" w:eastAsia="zh-CN"/>
        </w:rPr>
        <w:t>十</w:t>
      </w:r>
      <w:r>
        <w:rPr>
          <w:rFonts w:hint="eastAsia" w:hAnsi="宋体" w:cs="宋体"/>
          <w:b/>
          <w:sz w:val="32"/>
          <w:szCs w:val="32"/>
        </w:rPr>
        <w:t>、政府采购活动现场确认声明书</w:t>
      </w:r>
    </w:p>
    <w:p w14:paraId="0A0015E1">
      <w:pPr>
        <w:pStyle w:val="624"/>
        <w:snapToGrid w:val="0"/>
        <w:spacing w:before="0" w:beforeLines="0" w:after="0" w:afterLines="0" w:line="360" w:lineRule="auto"/>
        <w:rPr>
          <w:rFonts w:hint="eastAsia" w:hAnsi="宋体" w:cs="宋体"/>
          <w:b/>
          <w:sz w:val="24"/>
          <w:szCs w:val="24"/>
        </w:rPr>
      </w:pPr>
      <w:r>
        <w:rPr>
          <w:rFonts w:hint="eastAsia" w:ascii="宋体" w:hAnsi="宋体" w:cs="宋体"/>
          <w:sz w:val="24"/>
        </w:rPr>
        <w:t>（采购人）、（采购代理机构）</w:t>
      </w:r>
      <w:r>
        <w:rPr>
          <w:rFonts w:hint="eastAsia" w:ascii="宋体" w:hAnsi="宋体" w:cs="宋体"/>
          <w:kern w:val="0"/>
          <w:sz w:val="24"/>
          <w:lang w:val="zh-CN"/>
        </w:rPr>
        <w:t>：</w:t>
      </w:r>
    </w:p>
    <w:p w14:paraId="01867CDE">
      <w:pPr>
        <w:pStyle w:val="624"/>
        <w:snapToGrid w:val="0"/>
        <w:spacing w:before="0" w:beforeLines="0" w:after="0" w:afterLines="0" w:line="360" w:lineRule="auto"/>
        <w:ind w:firstLine="504" w:firstLineChars="200"/>
        <w:rPr>
          <w:rFonts w:hint="eastAsia" w:hAnsi="宋体" w:cs="宋体"/>
          <w:spacing w:val="6"/>
          <w:sz w:val="24"/>
          <w:szCs w:val="24"/>
        </w:rPr>
      </w:pPr>
      <w:r>
        <w:rPr>
          <w:rFonts w:hint="eastAsia" w:hAnsi="宋体" w:cs="宋体"/>
          <w:spacing w:val="6"/>
          <w:sz w:val="24"/>
          <w:szCs w:val="24"/>
        </w:rPr>
        <w:t>本人经由</w:t>
      </w:r>
      <w:r>
        <w:rPr>
          <w:rFonts w:hint="eastAsia" w:hAnsi="宋体" w:cs="宋体"/>
          <w:spacing w:val="6"/>
          <w:sz w:val="24"/>
          <w:szCs w:val="24"/>
          <w:u w:val="single"/>
        </w:rPr>
        <w:t xml:space="preserve">                  （单位）</w:t>
      </w:r>
      <w:r>
        <w:rPr>
          <w:rFonts w:hint="eastAsia" w:hAnsi="宋体" w:cs="宋体"/>
          <w:spacing w:val="6"/>
          <w:sz w:val="24"/>
          <w:szCs w:val="24"/>
        </w:rPr>
        <w:t>负责人</w:t>
      </w:r>
      <w:r>
        <w:rPr>
          <w:rFonts w:hint="eastAsia" w:hAnsi="宋体" w:cs="宋体"/>
          <w:spacing w:val="6"/>
          <w:sz w:val="24"/>
          <w:szCs w:val="24"/>
          <w:u w:val="single"/>
        </w:rPr>
        <w:t xml:space="preserve">        （姓名）</w:t>
      </w:r>
      <w:r>
        <w:rPr>
          <w:rFonts w:hint="eastAsia" w:hAnsi="宋体" w:cs="宋体"/>
          <w:spacing w:val="6"/>
          <w:sz w:val="24"/>
          <w:szCs w:val="24"/>
        </w:rPr>
        <w:t>合法授权参加</w:t>
      </w:r>
      <w:r>
        <w:rPr>
          <w:rFonts w:hint="eastAsia" w:hAnsi="宋体" w:cs="宋体"/>
          <w:spacing w:val="6"/>
          <w:sz w:val="24"/>
          <w:szCs w:val="24"/>
          <w:u w:val="single"/>
        </w:rPr>
        <w:t xml:space="preserve">                </w:t>
      </w:r>
      <w:r>
        <w:rPr>
          <w:rFonts w:hint="eastAsia" w:hAnsi="宋体" w:cs="宋体"/>
          <w:spacing w:val="6"/>
          <w:sz w:val="24"/>
          <w:szCs w:val="24"/>
        </w:rPr>
        <w:t>项目（编号：</w:t>
      </w:r>
      <w:r>
        <w:rPr>
          <w:rFonts w:hint="eastAsia" w:hAnsi="宋体" w:cs="宋体"/>
          <w:spacing w:val="6"/>
          <w:sz w:val="24"/>
          <w:szCs w:val="24"/>
          <w:u w:val="single"/>
        </w:rPr>
        <w:t xml:space="preserve">        </w:t>
      </w:r>
      <w:r>
        <w:rPr>
          <w:rFonts w:hint="eastAsia" w:hAnsi="宋体" w:cs="宋体"/>
          <w:spacing w:val="6"/>
          <w:sz w:val="24"/>
          <w:szCs w:val="24"/>
        </w:rPr>
        <w:t xml:space="preserve">）政府采购活动，经与本单位法人代表（负责人）联系确认，现就有关公平竞争事项郑重声明如下： </w:t>
      </w:r>
    </w:p>
    <w:p w14:paraId="7A8E0621">
      <w:pPr>
        <w:pStyle w:val="625"/>
        <w:widowControl/>
        <w:numPr>
          <w:ilvl w:val="-1"/>
          <w:numId w:val="0"/>
        </w:numPr>
        <w:snapToGrid w:val="0"/>
        <w:spacing w:beforeLines="0" w:afterLines="0"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一</w:t>
      </w:r>
      <w:r>
        <w:rPr>
          <w:rFonts w:ascii="宋体" w:hAnsi="宋体" w:cs="宋体"/>
          <w:spacing w:val="6"/>
          <w:sz w:val="24"/>
          <w:szCs w:val="24"/>
        </w:rPr>
        <w:t>、</w:t>
      </w:r>
      <w:r>
        <w:rPr>
          <w:rFonts w:ascii="宋体" w:hAnsi="宋体" w:cs="宋体"/>
          <w:kern w:val="0"/>
          <w:sz w:val="24"/>
          <w:szCs w:val="24"/>
        </w:rPr>
        <w:t>本单位与采购人之间 □不存在利害关系 □存在下列利害关系</w:t>
      </w:r>
      <w:r>
        <w:rPr>
          <w:rFonts w:ascii="宋体" w:hAnsi="宋体" w:cs="宋体"/>
          <w:kern w:val="0"/>
          <w:sz w:val="24"/>
          <w:szCs w:val="24"/>
          <w:u w:val="single"/>
        </w:rPr>
        <w:t xml:space="preserve">           </w:t>
      </w:r>
      <w:r>
        <w:rPr>
          <w:rFonts w:ascii="宋体" w:hAnsi="宋体" w:cs="宋体"/>
          <w:kern w:val="0"/>
          <w:sz w:val="24"/>
          <w:szCs w:val="24"/>
        </w:rPr>
        <w:t>：</w:t>
      </w:r>
    </w:p>
    <w:p w14:paraId="0ECAB01B">
      <w:pPr>
        <w:pStyle w:val="625"/>
        <w:widowControl/>
        <w:snapToGrid w:val="0"/>
        <w:spacing w:beforeLines="0" w:afterLines="0" w:line="360" w:lineRule="auto"/>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A.投资关系    B.行政隶属关系   C.业务指导关系</w:t>
      </w:r>
    </w:p>
    <w:p w14:paraId="246227BB">
      <w:pPr>
        <w:pStyle w:val="625"/>
        <w:widowControl/>
        <w:snapToGrid w:val="0"/>
        <w:spacing w:beforeLines="0" w:afterLines="0" w:line="360" w:lineRule="auto"/>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D.其他可能</w:t>
      </w:r>
      <w:r>
        <w:rPr>
          <w:rFonts w:ascii="宋体" w:hAnsi="宋体" w:cs="宋体"/>
          <w:sz w:val="24"/>
          <w:szCs w:val="24"/>
        </w:rPr>
        <w:t>影响采购公正的</w:t>
      </w:r>
      <w:r>
        <w:rPr>
          <w:rFonts w:ascii="宋体" w:hAnsi="宋体" w:cs="宋体"/>
          <w:kern w:val="0"/>
          <w:sz w:val="24"/>
          <w:szCs w:val="24"/>
        </w:rPr>
        <w:t>利害关系</w:t>
      </w:r>
      <w:r>
        <w:rPr>
          <w:rFonts w:ascii="宋体" w:hAnsi="宋体" w:cs="宋体"/>
          <w:kern w:val="0"/>
          <w:sz w:val="24"/>
          <w:szCs w:val="24"/>
          <w:u w:val="single"/>
        </w:rPr>
        <w:t xml:space="preserve">（如有，请如实说明）                 </w:t>
      </w:r>
      <w:r>
        <w:rPr>
          <w:rFonts w:ascii="宋体" w:hAnsi="宋体" w:cs="宋体"/>
          <w:kern w:val="0"/>
          <w:sz w:val="24"/>
          <w:szCs w:val="24"/>
        </w:rPr>
        <w:t>。</w:t>
      </w:r>
    </w:p>
    <w:p w14:paraId="66B2DABC">
      <w:pPr>
        <w:pStyle w:val="625"/>
        <w:widowControl/>
        <w:snapToGrid w:val="0"/>
        <w:spacing w:beforeLines="0" w:afterLines="0" w:line="360" w:lineRule="auto"/>
        <w:rPr>
          <w:rFonts w:ascii="宋体" w:hAnsi="宋体" w:cs="宋体"/>
          <w:kern w:val="0"/>
          <w:sz w:val="24"/>
          <w:szCs w:val="24"/>
        </w:rPr>
      </w:pPr>
      <w:r>
        <w:rPr>
          <w:rFonts w:ascii="宋体" w:hAnsi="宋体" w:cs="宋体"/>
          <w:spacing w:val="6"/>
          <w:sz w:val="24"/>
          <w:szCs w:val="24"/>
        </w:rPr>
        <w:t xml:space="preserve">  </w:t>
      </w:r>
      <w:r>
        <w:rPr>
          <w:rFonts w:hint="eastAsia" w:ascii="宋体" w:hAnsi="宋体" w:cs="宋体"/>
          <w:spacing w:val="6"/>
          <w:sz w:val="24"/>
          <w:szCs w:val="24"/>
          <w:lang w:val="en-US" w:eastAsia="zh-CN"/>
        </w:rPr>
        <w:t xml:space="preserve"> </w:t>
      </w:r>
      <w:r>
        <w:rPr>
          <w:rFonts w:ascii="宋体" w:hAnsi="宋体" w:cs="宋体"/>
          <w:spacing w:val="6"/>
          <w:sz w:val="24"/>
          <w:szCs w:val="24"/>
        </w:rPr>
        <w:t>二、</w:t>
      </w:r>
      <w:r>
        <w:rPr>
          <w:rFonts w:ascii="宋体" w:hAnsi="宋体" w:cs="宋体"/>
          <w:kern w:val="0"/>
          <w:sz w:val="24"/>
          <w:szCs w:val="24"/>
        </w:rPr>
        <w:t>现已清楚知道参加本项目采购活动的其他所有供应商名称，本单位 □与其他所有供应商之间均不存在利害关系 □与</w:t>
      </w:r>
      <w:r>
        <w:rPr>
          <w:rFonts w:ascii="宋体" w:hAnsi="宋体" w:cs="宋体"/>
          <w:kern w:val="0"/>
          <w:sz w:val="24"/>
          <w:szCs w:val="24"/>
          <w:u w:val="single"/>
        </w:rPr>
        <w:t xml:space="preserve">           （供应商名称）</w:t>
      </w:r>
      <w:r>
        <w:rPr>
          <w:rFonts w:ascii="宋体" w:hAnsi="宋体" w:cs="宋体"/>
          <w:kern w:val="0"/>
          <w:sz w:val="24"/>
          <w:szCs w:val="24"/>
        </w:rPr>
        <w:t>之间存在下列利害关系</w:t>
      </w:r>
      <w:r>
        <w:rPr>
          <w:rFonts w:ascii="宋体" w:hAnsi="宋体" w:cs="宋体"/>
          <w:kern w:val="0"/>
          <w:sz w:val="24"/>
          <w:szCs w:val="24"/>
          <w:u w:val="single"/>
        </w:rPr>
        <w:t xml:space="preserve">          </w:t>
      </w:r>
      <w:r>
        <w:rPr>
          <w:rFonts w:ascii="宋体" w:hAnsi="宋体" w:cs="宋体"/>
          <w:kern w:val="0"/>
          <w:sz w:val="24"/>
          <w:szCs w:val="24"/>
        </w:rPr>
        <w:t>：</w:t>
      </w:r>
    </w:p>
    <w:p w14:paraId="60AF5DDE">
      <w:pPr>
        <w:pStyle w:val="624"/>
        <w:adjustRightInd/>
        <w:snapToGrid w:val="0"/>
        <w:spacing w:before="0" w:beforeLines="0" w:after="0" w:afterLines="0" w:line="360" w:lineRule="auto"/>
        <w:rPr>
          <w:rFonts w:hint="eastAsia" w:hAnsi="宋体" w:cs="宋体"/>
          <w:kern w:val="0"/>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A.法定代表人或负责人或实际控制人是同一人</w:t>
      </w:r>
    </w:p>
    <w:p w14:paraId="4C83678B">
      <w:pPr>
        <w:pStyle w:val="624"/>
        <w:adjustRightInd/>
        <w:snapToGrid w:val="0"/>
        <w:spacing w:before="0" w:beforeLines="0" w:after="0" w:afterLines="0" w:line="360" w:lineRule="auto"/>
        <w:rPr>
          <w:rFonts w:hint="eastAsia" w:hAnsi="宋体" w:cs="宋体"/>
          <w:spacing w:val="6"/>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B.法定代表人或负责人或实际控制人是夫妻关系</w:t>
      </w:r>
    </w:p>
    <w:p w14:paraId="48F39A31">
      <w:pPr>
        <w:pStyle w:val="624"/>
        <w:adjustRightInd/>
        <w:snapToGrid w:val="0"/>
        <w:spacing w:before="0" w:beforeLines="0" w:after="0" w:afterLines="0" w:line="360" w:lineRule="auto"/>
        <w:rPr>
          <w:rFonts w:hint="eastAsia" w:hAnsi="宋体" w:cs="宋体"/>
          <w:spacing w:val="6"/>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C.法定代表人或负责人或实际控制人是直系血亲关系</w:t>
      </w:r>
    </w:p>
    <w:p w14:paraId="658EF61B">
      <w:pPr>
        <w:pStyle w:val="624"/>
        <w:adjustRightInd/>
        <w:snapToGrid w:val="0"/>
        <w:spacing w:before="0" w:beforeLines="0" w:after="0" w:afterLines="0" w:line="360" w:lineRule="auto"/>
        <w:rPr>
          <w:rFonts w:hint="eastAsia" w:hAnsi="宋体" w:cs="宋体"/>
          <w:spacing w:val="6"/>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D.法定代表人或负责人或实际控制人存在三代以内旁系血亲关系</w:t>
      </w:r>
    </w:p>
    <w:p w14:paraId="226B1BAC">
      <w:pPr>
        <w:pStyle w:val="624"/>
        <w:adjustRightInd/>
        <w:snapToGrid w:val="0"/>
        <w:spacing w:before="0" w:beforeLines="0" w:after="0" w:afterLines="0" w:line="360" w:lineRule="auto"/>
        <w:rPr>
          <w:rFonts w:hint="eastAsia" w:hAnsi="宋体" w:cs="宋体"/>
          <w:kern w:val="0"/>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 xml:space="preserve"> E.法定代表人或负责人或实际控制人存在近姻亲关系</w:t>
      </w:r>
    </w:p>
    <w:p w14:paraId="20E7B2FC">
      <w:pPr>
        <w:pStyle w:val="624"/>
        <w:adjustRightInd/>
        <w:snapToGrid w:val="0"/>
        <w:spacing w:before="0" w:beforeLines="0" w:after="0" w:afterLines="0" w:line="360" w:lineRule="auto"/>
        <w:rPr>
          <w:rFonts w:hint="eastAsia" w:hAnsi="宋体" w:cs="宋体"/>
          <w:kern w:val="0"/>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 xml:space="preserve"> F.法定代表人或负责人或实际控制人存在股份控制或实际控制关系</w:t>
      </w:r>
    </w:p>
    <w:p w14:paraId="559ACB54">
      <w:pPr>
        <w:pStyle w:val="624"/>
        <w:adjustRightInd/>
        <w:snapToGrid w:val="0"/>
        <w:spacing w:before="0" w:beforeLines="0" w:after="0" w:afterLines="0" w:line="360" w:lineRule="auto"/>
        <w:rPr>
          <w:rFonts w:hint="eastAsia" w:hAnsi="宋体" w:cs="宋体"/>
          <w:kern w:val="0"/>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 xml:space="preserve"> G.存在共同直接或间接投资设立子公司、联营企业和合营企业情况</w:t>
      </w:r>
    </w:p>
    <w:p w14:paraId="3327DD8F">
      <w:pPr>
        <w:pStyle w:val="624"/>
        <w:adjustRightInd/>
        <w:snapToGrid w:val="0"/>
        <w:spacing w:before="0" w:beforeLines="0" w:after="0" w:afterLines="0" w:line="360" w:lineRule="auto"/>
        <w:rPr>
          <w:rFonts w:hint="eastAsia" w:hAnsi="宋体" w:cs="宋体"/>
          <w:sz w:val="24"/>
          <w:szCs w:val="24"/>
        </w:rPr>
      </w:pPr>
      <w:r>
        <w:rPr>
          <w:rFonts w:hint="eastAsia" w:hAnsi="宋体" w:cs="宋体"/>
          <w:kern w:val="0"/>
          <w:sz w:val="24"/>
          <w:szCs w:val="24"/>
        </w:rPr>
        <w:t xml:space="preserve">  </w:t>
      </w:r>
      <w:r>
        <w:rPr>
          <w:rFonts w:hint="eastAsia" w:hAnsi="宋体" w:cs="宋体"/>
          <w:kern w:val="0"/>
          <w:sz w:val="24"/>
          <w:szCs w:val="24"/>
          <w:lang w:val="en-US" w:eastAsia="zh-CN"/>
        </w:rPr>
        <w:t xml:space="preserve"> </w:t>
      </w:r>
      <w:r>
        <w:rPr>
          <w:rFonts w:hint="eastAsia" w:hAnsi="宋体" w:cs="宋体"/>
          <w:kern w:val="0"/>
          <w:sz w:val="24"/>
          <w:szCs w:val="24"/>
        </w:rPr>
        <w:t>H.存在分级代理或代销关系、同一生产制造商关系、</w:t>
      </w:r>
      <w:r>
        <w:rPr>
          <w:rFonts w:hint="eastAsia" w:hAnsi="宋体" w:cs="宋体"/>
          <w:sz w:val="24"/>
          <w:szCs w:val="24"/>
        </w:rPr>
        <w:t>管理关系、重要业务（占主营业务收入50%以上）或重要财务往来关系（如融资）等其他实质性控制关系</w:t>
      </w:r>
    </w:p>
    <w:p w14:paraId="1DAD6F03">
      <w:pPr>
        <w:pStyle w:val="624"/>
        <w:snapToGrid w:val="0"/>
        <w:spacing w:before="0" w:beforeLines="0" w:after="0" w:afterLines="0" w:line="360" w:lineRule="auto"/>
        <w:rPr>
          <w:rFonts w:hint="eastAsia" w:hAnsi="宋体" w:cs="宋体"/>
          <w:spacing w:val="6"/>
          <w:sz w:val="24"/>
          <w:szCs w:val="24"/>
        </w:rPr>
      </w:pPr>
      <w:r>
        <w:rPr>
          <w:rFonts w:hint="eastAsia" w:hAnsi="宋体" w:cs="宋体"/>
          <w:sz w:val="24"/>
          <w:szCs w:val="24"/>
        </w:rPr>
        <w:t xml:space="preserve">  </w:t>
      </w:r>
      <w:r>
        <w:rPr>
          <w:rFonts w:hint="eastAsia" w:hAnsi="宋体" w:cs="宋体"/>
          <w:sz w:val="24"/>
          <w:szCs w:val="24"/>
          <w:lang w:val="en-US" w:eastAsia="zh-CN"/>
        </w:rPr>
        <w:t xml:space="preserve"> </w:t>
      </w:r>
      <w:r>
        <w:rPr>
          <w:rFonts w:hint="eastAsia" w:hAnsi="宋体" w:cs="宋体"/>
          <w:sz w:val="24"/>
          <w:szCs w:val="24"/>
        </w:rPr>
        <w:t>I</w:t>
      </w:r>
      <w:r>
        <w:rPr>
          <w:rFonts w:hint="eastAsia" w:hAnsi="宋体" w:cs="宋体"/>
          <w:kern w:val="0"/>
          <w:sz w:val="24"/>
          <w:szCs w:val="24"/>
        </w:rPr>
        <w:t>.</w:t>
      </w:r>
      <w:r>
        <w:rPr>
          <w:rFonts w:hint="eastAsia" w:hAnsi="宋体" w:cs="宋体"/>
          <w:sz w:val="24"/>
          <w:szCs w:val="24"/>
        </w:rPr>
        <w:t>其他利害关系情况</w:t>
      </w:r>
      <w:r>
        <w:rPr>
          <w:rFonts w:hint="eastAsia" w:hAnsi="宋体" w:cs="宋体"/>
          <w:sz w:val="24"/>
          <w:szCs w:val="24"/>
          <w:u w:val="single"/>
        </w:rPr>
        <w:t xml:space="preserve">                              </w:t>
      </w:r>
      <w:r>
        <w:rPr>
          <w:rFonts w:hint="eastAsia" w:hAnsi="宋体" w:cs="宋体"/>
          <w:kern w:val="0"/>
          <w:sz w:val="24"/>
          <w:szCs w:val="24"/>
        </w:rPr>
        <w:t>。</w:t>
      </w:r>
    </w:p>
    <w:p w14:paraId="4267AF57">
      <w:pPr>
        <w:pStyle w:val="625"/>
        <w:widowControl/>
        <w:numPr>
          <w:ilvl w:val="-1"/>
          <w:numId w:val="0"/>
        </w:numPr>
        <w:snapToGrid w:val="0"/>
        <w:spacing w:beforeLines="0" w:afterLines="0" w:line="360" w:lineRule="auto"/>
        <w:ind w:firstLine="480" w:firstLineChars="200"/>
        <w:rPr>
          <w:rFonts w:ascii="宋体" w:hAnsi="宋体" w:cs="宋体"/>
          <w:kern w:val="0"/>
          <w:sz w:val="24"/>
          <w:szCs w:val="24"/>
        </w:rPr>
      </w:pPr>
      <w:r>
        <w:rPr>
          <w:rFonts w:hint="eastAsia" w:ascii="宋体" w:hAnsi="宋体" w:cs="宋体"/>
          <w:sz w:val="24"/>
          <w:szCs w:val="24"/>
          <w:lang w:val="en-US" w:eastAsia="zh-CN"/>
        </w:rPr>
        <w:t>三</w:t>
      </w:r>
      <w:r>
        <w:rPr>
          <w:rFonts w:ascii="宋体" w:hAnsi="宋体" w:cs="宋体"/>
          <w:spacing w:val="6"/>
          <w:sz w:val="24"/>
          <w:szCs w:val="24"/>
        </w:rPr>
        <w:t>、</w:t>
      </w:r>
      <w:r>
        <w:rPr>
          <w:rFonts w:ascii="宋体" w:hAnsi="宋体" w:cs="宋体"/>
          <w:sz w:val="24"/>
          <w:szCs w:val="24"/>
        </w:rPr>
        <w:t>现已清楚知道并</w:t>
      </w:r>
      <w:r>
        <w:rPr>
          <w:rFonts w:ascii="宋体" w:hAnsi="宋体" w:cs="宋体"/>
          <w:kern w:val="0"/>
          <w:sz w:val="24"/>
          <w:szCs w:val="24"/>
        </w:rPr>
        <w:t>严格遵守政府采购法律法规和现场纪律。</w:t>
      </w:r>
    </w:p>
    <w:p w14:paraId="740C064C">
      <w:pPr>
        <w:pStyle w:val="625"/>
        <w:widowControl/>
        <w:numPr>
          <w:ilvl w:val="-1"/>
          <w:numId w:val="0"/>
        </w:numPr>
        <w:snapToGrid w:val="0"/>
        <w:spacing w:beforeLines="0" w:afterLines="0"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四</w:t>
      </w:r>
      <w:r>
        <w:rPr>
          <w:rFonts w:ascii="宋体" w:hAnsi="宋体" w:cs="宋体"/>
          <w:spacing w:val="6"/>
          <w:sz w:val="24"/>
          <w:szCs w:val="24"/>
        </w:rPr>
        <w:t>、</w:t>
      </w:r>
      <w:r>
        <w:rPr>
          <w:rFonts w:ascii="宋体" w:hAnsi="宋体" w:cs="宋体"/>
          <w:kern w:val="0"/>
          <w:sz w:val="24"/>
          <w:szCs w:val="24"/>
        </w:rPr>
        <w:t>我发现</w:t>
      </w:r>
      <w:r>
        <w:rPr>
          <w:rFonts w:ascii="宋体" w:hAnsi="宋体" w:cs="宋体"/>
          <w:kern w:val="0"/>
          <w:sz w:val="24"/>
          <w:szCs w:val="24"/>
          <w:u w:val="single"/>
        </w:rPr>
        <w:t xml:space="preserve">                    </w:t>
      </w:r>
      <w:r>
        <w:rPr>
          <w:rFonts w:ascii="宋体" w:hAnsi="宋体" w:cs="宋体"/>
          <w:kern w:val="0"/>
          <w:sz w:val="24"/>
          <w:szCs w:val="24"/>
        </w:rPr>
        <w:t>供应商之间存在或可能存在上述第二条第</w:t>
      </w:r>
      <w:r>
        <w:rPr>
          <w:rFonts w:ascii="宋体" w:hAnsi="宋体" w:cs="宋体"/>
          <w:kern w:val="0"/>
          <w:sz w:val="24"/>
          <w:szCs w:val="24"/>
          <w:u w:val="single"/>
        </w:rPr>
        <w:t xml:space="preserve">        </w:t>
      </w:r>
      <w:r>
        <w:rPr>
          <w:rFonts w:ascii="宋体" w:hAnsi="宋体" w:cs="宋体"/>
          <w:kern w:val="0"/>
          <w:sz w:val="24"/>
          <w:szCs w:val="24"/>
        </w:rPr>
        <w:t>项利害关系。</w:t>
      </w:r>
    </w:p>
    <w:p w14:paraId="49DC524F">
      <w:pPr>
        <w:snapToGrid w:val="0"/>
        <w:spacing w:beforeLines="0" w:afterLines="0" w:line="360" w:lineRule="auto"/>
        <w:ind w:firstLine="5520" w:firstLineChars="2300"/>
        <w:jc w:val="right"/>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投标人名称(电子签名)：</w:t>
      </w:r>
    </w:p>
    <w:p w14:paraId="152994C0">
      <w:pPr>
        <w:snapToGrid w:val="0"/>
        <w:spacing w:beforeLines="0" w:afterLines="0" w:line="360" w:lineRule="auto"/>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70F82673">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报价文件部分</w:t>
      </w:r>
    </w:p>
    <w:p w14:paraId="372C6506">
      <w:pPr>
        <w:jc w:val="center"/>
        <w:rPr>
          <w:sz w:val="36"/>
          <w:szCs w:val="36"/>
        </w:rPr>
      </w:pPr>
      <w:r>
        <w:rPr>
          <w:rFonts w:hint="eastAsia"/>
          <w:sz w:val="36"/>
          <w:szCs w:val="36"/>
        </w:rPr>
        <w:t>目录</w:t>
      </w:r>
    </w:p>
    <w:p w14:paraId="30580BAC"/>
    <w:p w14:paraId="7D296CAD">
      <w:pPr>
        <w:numPr>
          <w:ilvl w:val="0"/>
          <w:numId w:val="22"/>
        </w:numPr>
        <w:snapToGrid w:val="0"/>
        <w:spacing w:line="360" w:lineRule="auto"/>
        <w:rPr>
          <w:rFonts w:hint="eastAsia" w:ascii="宋体" w:hAnsi="宋体" w:cs="宋体"/>
          <w:sz w:val="24"/>
        </w:rPr>
      </w:pPr>
      <w:r>
        <w:rPr>
          <w:rFonts w:hint="eastAsia" w:ascii="宋体" w:hAnsi="宋体" w:cs="宋体"/>
          <w:sz w:val="24"/>
        </w:rPr>
        <w:t>开标一览表（报价表）…………………………………………………………（页码）</w:t>
      </w:r>
    </w:p>
    <w:p w14:paraId="192C4F3D">
      <w:pPr>
        <w:numPr>
          <w:ilvl w:val="0"/>
          <w:numId w:val="23"/>
        </w:numPr>
        <w:snapToGrid w:val="0"/>
        <w:spacing w:line="360" w:lineRule="auto"/>
        <w:rPr>
          <w:rFonts w:hint="eastAsia" w:ascii="宋体" w:hAnsi="宋体" w:cs="宋体"/>
          <w:sz w:val="24"/>
        </w:rPr>
      </w:pPr>
      <w:r>
        <w:rPr>
          <w:rFonts w:hint="eastAsia" w:ascii="宋体" w:hAnsi="宋体" w:cs="宋体"/>
          <w:sz w:val="24"/>
        </w:rPr>
        <w:t>中小企业声明函…………………………………………………………………（页码）</w:t>
      </w:r>
    </w:p>
    <w:p w14:paraId="1C6250BE">
      <w:pPr>
        <w:numPr>
          <w:ilvl w:val="0"/>
          <w:numId w:val="0"/>
        </w:numPr>
        <w:snapToGrid w:val="0"/>
        <w:spacing w:line="360" w:lineRule="auto"/>
        <w:rPr>
          <w:rFonts w:hint="eastAsia"/>
        </w:rPr>
      </w:pPr>
      <w:r>
        <w:rPr>
          <w:rFonts w:hint="eastAsia" w:ascii="宋体" w:hAnsi="宋体" w:cs="宋体"/>
          <w:color w:val="auto"/>
          <w:sz w:val="24"/>
          <w:highlight w:val="none"/>
          <w:lang w:val="en-US" w:eastAsia="zh-CN"/>
        </w:rPr>
        <w:t>（3）关于符合本国产品标准的</w:t>
      </w:r>
      <w:r>
        <w:rPr>
          <w:rFonts w:hint="eastAsia" w:ascii="宋体" w:hAnsi="宋体" w:cs="宋体"/>
          <w:color w:val="auto"/>
          <w:sz w:val="24"/>
          <w:highlight w:val="none"/>
        </w:rPr>
        <w:t>声明函</w:t>
      </w:r>
      <w:r>
        <w:rPr>
          <w:rFonts w:hint="eastAsia" w:ascii="宋体" w:hAnsi="宋体" w:cs="宋体"/>
          <w:sz w:val="24"/>
        </w:rPr>
        <w:t>………………………………………………</w:t>
      </w:r>
      <w:r>
        <w:rPr>
          <w:rFonts w:hint="eastAsia" w:ascii="宋体" w:hAnsi="宋体" w:cs="宋体"/>
          <w:color w:val="auto"/>
          <w:sz w:val="24"/>
          <w:highlight w:val="none"/>
        </w:rPr>
        <w:t>（页码）</w:t>
      </w:r>
    </w:p>
    <w:p w14:paraId="45A67DF9">
      <w:pPr>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）报价情况说明……………………………………………………………………（页码）</w:t>
      </w:r>
    </w:p>
    <w:p w14:paraId="324E6007">
      <w:pPr>
        <w:pStyle w:val="82"/>
        <w:rPr>
          <w:rFonts w:hint="eastAsia"/>
        </w:rPr>
      </w:pPr>
    </w:p>
    <w:p w14:paraId="36414A12">
      <w:pPr>
        <w:pStyle w:val="82"/>
        <w:rPr>
          <w:rFonts w:hint="eastAsia"/>
        </w:rPr>
      </w:pPr>
    </w:p>
    <w:p w14:paraId="5ED7679E">
      <w:pPr>
        <w:snapToGrid w:val="0"/>
        <w:spacing w:line="360" w:lineRule="auto"/>
        <w:ind w:right="480"/>
        <w:jc w:val="center"/>
        <w:rPr>
          <w:rFonts w:hint="eastAsia" w:ascii="宋体" w:hAnsi="宋体" w:cs="宋体"/>
          <w:b/>
          <w:kern w:val="0"/>
          <w:sz w:val="32"/>
          <w:szCs w:val="32"/>
        </w:rPr>
      </w:pPr>
    </w:p>
    <w:p w14:paraId="67BE864B">
      <w:pPr>
        <w:snapToGrid w:val="0"/>
        <w:spacing w:line="360" w:lineRule="auto"/>
        <w:ind w:right="480"/>
        <w:jc w:val="center"/>
        <w:rPr>
          <w:rFonts w:hint="eastAsia" w:ascii="宋体" w:hAnsi="宋体" w:cs="宋体"/>
          <w:b/>
          <w:kern w:val="0"/>
          <w:sz w:val="32"/>
          <w:szCs w:val="32"/>
        </w:rPr>
      </w:pPr>
    </w:p>
    <w:p w14:paraId="1EF5E3C4">
      <w:pPr>
        <w:snapToGrid w:val="0"/>
        <w:spacing w:line="360" w:lineRule="auto"/>
        <w:ind w:right="480"/>
        <w:jc w:val="center"/>
        <w:rPr>
          <w:rFonts w:hint="eastAsia" w:ascii="宋体" w:hAnsi="宋体" w:cs="宋体"/>
          <w:b/>
          <w:kern w:val="0"/>
          <w:sz w:val="32"/>
          <w:szCs w:val="32"/>
        </w:rPr>
      </w:pPr>
    </w:p>
    <w:p w14:paraId="367862F1">
      <w:pPr>
        <w:snapToGrid w:val="0"/>
        <w:spacing w:line="360" w:lineRule="auto"/>
        <w:ind w:right="480"/>
        <w:jc w:val="center"/>
        <w:rPr>
          <w:rFonts w:hint="eastAsia" w:ascii="宋体" w:hAnsi="宋体" w:cs="宋体"/>
          <w:b/>
          <w:kern w:val="0"/>
          <w:sz w:val="32"/>
          <w:szCs w:val="32"/>
        </w:rPr>
      </w:pPr>
    </w:p>
    <w:p w14:paraId="232EB442">
      <w:pPr>
        <w:snapToGrid w:val="0"/>
        <w:spacing w:line="360" w:lineRule="auto"/>
        <w:ind w:right="480"/>
        <w:jc w:val="center"/>
        <w:rPr>
          <w:rFonts w:hint="eastAsia" w:ascii="宋体" w:hAnsi="宋体" w:cs="宋体"/>
          <w:b/>
          <w:kern w:val="0"/>
          <w:sz w:val="32"/>
          <w:szCs w:val="32"/>
        </w:rPr>
      </w:pPr>
    </w:p>
    <w:p w14:paraId="69313904">
      <w:pPr>
        <w:snapToGrid w:val="0"/>
        <w:spacing w:line="360" w:lineRule="auto"/>
        <w:ind w:right="480"/>
        <w:jc w:val="center"/>
        <w:rPr>
          <w:rFonts w:hint="eastAsia" w:ascii="宋体" w:hAnsi="宋体" w:cs="宋体"/>
          <w:b/>
          <w:kern w:val="0"/>
          <w:sz w:val="32"/>
          <w:szCs w:val="32"/>
        </w:rPr>
      </w:pPr>
    </w:p>
    <w:p w14:paraId="0F1FE2C9">
      <w:pPr>
        <w:snapToGrid w:val="0"/>
        <w:spacing w:line="360" w:lineRule="auto"/>
        <w:ind w:right="480"/>
        <w:jc w:val="center"/>
        <w:rPr>
          <w:rFonts w:hint="eastAsia" w:ascii="宋体" w:hAnsi="宋体" w:cs="宋体"/>
          <w:b/>
          <w:kern w:val="0"/>
          <w:sz w:val="32"/>
          <w:szCs w:val="32"/>
        </w:rPr>
      </w:pPr>
    </w:p>
    <w:p w14:paraId="64EC03D6">
      <w:pPr>
        <w:snapToGrid w:val="0"/>
        <w:spacing w:line="360" w:lineRule="auto"/>
        <w:ind w:right="480"/>
        <w:jc w:val="center"/>
        <w:rPr>
          <w:rFonts w:hint="eastAsia" w:ascii="宋体" w:hAnsi="宋体" w:cs="宋体"/>
          <w:b/>
          <w:kern w:val="0"/>
          <w:sz w:val="32"/>
          <w:szCs w:val="32"/>
        </w:rPr>
      </w:pPr>
    </w:p>
    <w:p w14:paraId="0A3C0E77">
      <w:pPr>
        <w:snapToGrid w:val="0"/>
        <w:spacing w:line="360" w:lineRule="auto"/>
        <w:ind w:right="480"/>
        <w:jc w:val="center"/>
        <w:rPr>
          <w:rFonts w:hint="eastAsia" w:ascii="宋体" w:hAnsi="宋体" w:cs="宋体"/>
          <w:b/>
          <w:kern w:val="0"/>
          <w:sz w:val="32"/>
          <w:szCs w:val="32"/>
        </w:rPr>
      </w:pPr>
    </w:p>
    <w:p w14:paraId="3FB37AE4">
      <w:pPr>
        <w:snapToGrid w:val="0"/>
        <w:spacing w:line="360" w:lineRule="auto"/>
        <w:ind w:right="480"/>
        <w:jc w:val="center"/>
        <w:rPr>
          <w:rFonts w:hint="eastAsia" w:ascii="宋体" w:hAnsi="宋体" w:cs="宋体"/>
          <w:b/>
          <w:kern w:val="0"/>
          <w:sz w:val="32"/>
          <w:szCs w:val="32"/>
        </w:rPr>
      </w:pPr>
    </w:p>
    <w:p w14:paraId="52BA82C7">
      <w:pPr>
        <w:snapToGrid w:val="0"/>
        <w:spacing w:line="360" w:lineRule="auto"/>
        <w:ind w:right="480"/>
        <w:jc w:val="center"/>
        <w:rPr>
          <w:rFonts w:hint="eastAsia" w:ascii="宋体" w:hAnsi="宋体" w:cs="宋体"/>
          <w:b/>
          <w:kern w:val="0"/>
          <w:sz w:val="32"/>
          <w:szCs w:val="32"/>
        </w:rPr>
      </w:pPr>
    </w:p>
    <w:p w14:paraId="1CD66071">
      <w:pPr>
        <w:snapToGrid w:val="0"/>
        <w:spacing w:line="360" w:lineRule="auto"/>
        <w:ind w:right="480"/>
        <w:jc w:val="center"/>
        <w:rPr>
          <w:rFonts w:hint="eastAsia" w:ascii="宋体" w:hAnsi="宋体" w:cs="宋体"/>
          <w:b/>
          <w:kern w:val="0"/>
          <w:sz w:val="32"/>
          <w:szCs w:val="32"/>
        </w:rPr>
      </w:pPr>
    </w:p>
    <w:p w14:paraId="36D299ED">
      <w:pPr>
        <w:pStyle w:val="380"/>
        <w:keepNext w:val="0"/>
        <w:tabs>
          <w:tab w:val="clear" w:pos="720"/>
        </w:tabs>
        <w:snapToGrid w:val="0"/>
        <w:spacing w:before="120" w:after="120"/>
        <w:ind w:firstLine="0"/>
        <w:jc w:val="center"/>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901D007">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CC15848">
      <w:pPr>
        <w:snapToGrid w:val="0"/>
        <w:spacing w:line="360" w:lineRule="auto"/>
        <w:ind w:firstLine="482"/>
        <w:rPr>
          <w:rFonts w:hint="eastAsia"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【项目编号：</w:t>
      </w:r>
      <w:r>
        <w:rPr>
          <w:rFonts w:hint="eastAsia" w:ascii="宋体" w:hAnsi="宋体" w:cs="宋体"/>
          <w:kern w:val="0"/>
          <w:sz w:val="24"/>
          <w:lang w:val="en-US" w:eastAsia="zh-CN"/>
        </w:rPr>
        <w:t xml:space="preserve"> </w:t>
      </w:r>
      <w:r>
        <w:rPr>
          <w:rFonts w:hint="eastAsia" w:ascii="宋体" w:hAnsi="宋体" w:cs="宋体"/>
          <w:sz w:val="24"/>
        </w:rPr>
        <w:t>】的实施</w:t>
      </w:r>
      <w:r>
        <w:rPr>
          <w:rFonts w:hint="eastAsia" w:ascii="宋体" w:hAnsi="宋体" w:cs="宋体"/>
          <w:kern w:val="0"/>
          <w:sz w:val="24"/>
          <w:lang w:val="zh-CN"/>
        </w:rPr>
        <w:t>。</w:t>
      </w:r>
    </w:p>
    <w:p w14:paraId="54C6719F">
      <w:pPr>
        <w:spacing w:line="360" w:lineRule="auto"/>
        <w:jc w:val="center"/>
        <w:rPr>
          <w:rFonts w:hint="eastAsia"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18"/>
        <w:gridCol w:w="1132"/>
        <w:gridCol w:w="1064"/>
        <w:gridCol w:w="1322"/>
        <w:gridCol w:w="859"/>
        <w:gridCol w:w="846"/>
        <w:gridCol w:w="845"/>
        <w:gridCol w:w="863"/>
        <w:gridCol w:w="1064"/>
      </w:tblGrid>
      <w:tr w14:paraId="5D6A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15" w:type="dxa"/>
            <w:vAlign w:val="center"/>
          </w:tcPr>
          <w:p w14:paraId="4CED98FA">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18" w:type="dxa"/>
            <w:vAlign w:val="center"/>
          </w:tcPr>
          <w:p w14:paraId="6C526F07">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132" w:type="dxa"/>
          </w:tcPr>
          <w:p w14:paraId="69EAB2F4">
            <w:pPr>
              <w:spacing w:line="240" w:lineRule="auto"/>
              <w:jc w:val="center"/>
              <w:rPr>
                <w:rFonts w:hint="eastAsia" w:ascii="宋体" w:hAnsi="宋体" w:eastAsia="宋体" w:cs="宋体"/>
                <w:b/>
                <w:color w:val="auto"/>
                <w:sz w:val="24"/>
                <w:highlight w:val="none"/>
              </w:rPr>
            </w:pPr>
          </w:p>
          <w:p w14:paraId="5EFE8B9E">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p w14:paraId="2DAF56C1">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若有</w:t>
            </w:r>
            <w:r>
              <w:rPr>
                <w:rFonts w:hint="eastAsia" w:ascii="宋体" w:hAnsi="宋体" w:eastAsia="宋体" w:cs="宋体"/>
                <w:b/>
                <w:color w:val="auto"/>
                <w:sz w:val="24"/>
                <w:highlight w:val="none"/>
              </w:rPr>
              <w:t>）</w:t>
            </w:r>
          </w:p>
        </w:tc>
        <w:tc>
          <w:tcPr>
            <w:tcW w:w="1064" w:type="dxa"/>
            <w:vAlign w:val="center"/>
          </w:tcPr>
          <w:p w14:paraId="4DE519B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322" w:type="dxa"/>
            <w:vAlign w:val="center"/>
          </w:tcPr>
          <w:p w14:paraId="53D3C4D8">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技术参数</w:t>
            </w:r>
          </w:p>
        </w:tc>
        <w:tc>
          <w:tcPr>
            <w:tcW w:w="859" w:type="dxa"/>
            <w:vAlign w:val="center"/>
          </w:tcPr>
          <w:p w14:paraId="7030BEFF">
            <w:pPr>
              <w:spacing w:line="24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单位</w:t>
            </w:r>
          </w:p>
        </w:tc>
        <w:tc>
          <w:tcPr>
            <w:tcW w:w="846" w:type="dxa"/>
            <w:vAlign w:val="center"/>
          </w:tcPr>
          <w:p w14:paraId="16D6905E">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845" w:type="dxa"/>
            <w:vAlign w:val="center"/>
          </w:tcPr>
          <w:p w14:paraId="7C8C163A">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863" w:type="dxa"/>
            <w:vAlign w:val="center"/>
          </w:tcPr>
          <w:p w14:paraId="097AF92A">
            <w:pPr>
              <w:spacing w:line="240" w:lineRule="auto"/>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小计</w:t>
            </w:r>
          </w:p>
        </w:tc>
        <w:tc>
          <w:tcPr>
            <w:tcW w:w="1064" w:type="dxa"/>
            <w:vAlign w:val="center"/>
          </w:tcPr>
          <w:p w14:paraId="6BFE7B79">
            <w:pPr>
              <w:spacing w:line="240" w:lineRule="auto"/>
              <w:jc w:val="center"/>
              <w:rPr>
                <w:rFonts w:hint="eastAsia" w:ascii="宋体" w:hAnsi="宋体" w:eastAsia="宋体" w:cs="宋体"/>
                <w:b/>
                <w:color w:val="auto"/>
                <w:sz w:val="24"/>
                <w:highlight w:val="none"/>
              </w:rPr>
            </w:pPr>
          </w:p>
          <w:p w14:paraId="5BFF6E05">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771C1177">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若有</w:t>
            </w:r>
            <w:r>
              <w:rPr>
                <w:rFonts w:hint="eastAsia" w:ascii="宋体" w:hAnsi="宋体" w:eastAsia="宋体" w:cs="宋体"/>
                <w:b/>
                <w:color w:val="auto"/>
                <w:sz w:val="24"/>
                <w:highlight w:val="none"/>
              </w:rPr>
              <w:t>）</w:t>
            </w:r>
          </w:p>
          <w:p w14:paraId="183CBC43">
            <w:pPr>
              <w:spacing w:line="240" w:lineRule="auto"/>
              <w:jc w:val="center"/>
              <w:rPr>
                <w:rFonts w:hint="eastAsia" w:ascii="宋体" w:hAnsi="宋体" w:eastAsia="宋体" w:cs="宋体"/>
                <w:b/>
                <w:color w:val="auto"/>
                <w:sz w:val="24"/>
                <w:highlight w:val="none"/>
              </w:rPr>
            </w:pPr>
          </w:p>
        </w:tc>
      </w:tr>
      <w:tr w14:paraId="23B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5" w:type="dxa"/>
            <w:vAlign w:val="center"/>
          </w:tcPr>
          <w:p w14:paraId="7EFB82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18" w:type="dxa"/>
            <w:vAlign w:val="center"/>
          </w:tcPr>
          <w:p w14:paraId="289B4B96">
            <w:pPr>
              <w:snapToGrid w:val="0"/>
              <w:spacing w:line="360" w:lineRule="auto"/>
              <w:jc w:val="center"/>
              <w:rPr>
                <w:rFonts w:hint="eastAsia" w:ascii="宋体" w:hAnsi="宋体" w:eastAsia="宋体" w:cs="宋体"/>
                <w:color w:val="auto"/>
                <w:sz w:val="24"/>
                <w:highlight w:val="none"/>
              </w:rPr>
            </w:pPr>
          </w:p>
        </w:tc>
        <w:tc>
          <w:tcPr>
            <w:tcW w:w="1132" w:type="dxa"/>
            <w:vAlign w:val="center"/>
          </w:tcPr>
          <w:p w14:paraId="173D8BF4">
            <w:pPr>
              <w:snapToGrid w:val="0"/>
              <w:spacing w:line="360" w:lineRule="auto"/>
              <w:jc w:val="center"/>
              <w:rPr>
                <w:rFonts w:hint="eastAsia" w:ascii="宋体" w:hAnsi="宋体" w:eastAsia="宋体" w:cs="宋体"/>
                <w:color w:val="auto"/>
                <w:sz w:val="24"/>
                <w:highlight w:val="none"/>
              </w:rPr>
            </w:pPr>
          </w:p>
        </w:tc>
        <w:tc>
          <w:tcPr>
            <w:tcW w:w="1064" w:type="dxa"/>
            <w:vAlign w:val="center"/>
          </w:tcPr>
          <w:p w14:paraId="44480681">
            <w:pPr>
              <w:snapToGrid w:val="0"/>
              <w:spacing w:line="360" w:lineRule="auto"/>
              <w:jc w:val="center"/>
              <w:rPr>
                <w:rFonts w:hint="eastAsia" w:ascii="宋体" w:hAnsi="宋体" w:eastAsia="宋体" w:cs="宋体"/>
                <w:color w:val="auto"/>
                <w:sz w:val="24"/>
                <w:highlight w:val="none"/>
              </w:rPr>
            </w:pPr>
          </w:p>
        </w:tc>
        <w:tc>
          <w:tcPr>
            <w:tcW w:w="1322" w:type="dxa"/>
            <w:vAlign w:val="center"/>
          </w:tcPr>
          <w:p w14:paraId="0C5D1259">
            <w:pPr>
              <w:snapToGrid w:val="0"/>
              <w:spacing w:line="360" w:lineRule="auto"/>
              <w:jc w:val="center"/>
              <w:rPr>
                <w:rFonts w:hint="eastAsia" w:ascii="宋体" w:hAnsi="宋体" w:eastAsia="宋体" w:cs="宋体"/>
                <w:color w:val="auto"/>
                <w:sz w:val="24"/>
                <w:highlight w:val="none"/>
              </w:rPr>
            </w:pPr>
          </w:p>
        </w:tc>
        <w:tc>
          <w:tcPr>
            <w:tcW w:w="859" w:type="dxa"/>
            <w:vAlign w:val="center"/>
          </w:tcPr>
          <w:p w14:paraId="0D13867D">
            <w:pPr>
              <w:snapToGrid w:val="0"/>
              <w:spacing w:line="360" w:lineRule="auto"/>
              <w:jc w:val="center"/>
              <w:rPr>
                <w:rFonts w:hint="eastAsia" w:ascii="宋体" w:hAnsi="宋体" w:eastAsia="宋体" w:cs="宋体"/>
                <w:color w:val="auto"/>
                <w:sz w:val="24"/>
                <w:highlight w:val="none"/>
              </w:rPr>
            </w:pPr>
          </w:p>
        </w:tc>
        <w:tc>
          <w:tcPr>
            <w:tcW w:w="846" w:type="dxa"/>
            <w:vAlign w:val="center"/>
          </w:tcPr>
          <w:p w14:paraId="73284C31">
            <w:pPr>
              <w:snapToGrid w:val="0"/>
              <w:spacing w:line="360" w:lineRule="auto"/>
              <w:jc w:val="center"/>
              <w:rPr>
                <w:rFonts w:hint="eastAsia" w:ascii="宋体" w:hAnsi="宋体" w:eastAsia="宋体" w:cs="宋体"/>
                <w:color w:val="auto"/>
                <w:sz w:val="24"/>
                <w:highlight w:val="none"/>
              </w:rPr>
            </w:pPr>
          </w:p>
        </w:tc>
        <w:tc>
          <w:tcPr>
            <w:tcW w:w="845" w:type="dxa"/>
            <w:vAlign w:val="center"/>
          </w:tcPr>
          <w:p w14:paraId="3F2F8909">
            <w:pPr>
              <w:spacing w:line="360" w:lineRule="auto"/>
              <w:jc w:val="center"/>
              <w:rPr>
                <w:rFonts w:hint="eastAsia" w:ascii="宋体" w:hAnsi="宋体" w:eastAsia="宋体" w:cs="宋体"/>
                <w:color w:val="auto"/>
                <w:sz w:val="24"/>
                <w:highlight w:val="none"/>
              </w:rPr>
            </w:pPr>
          </w:p>
        </w:tc>
        <w:tc>
          <w:tcPr>
            <w:tcW w:w="863" w:type="dxa"/>
            <w:vAlign w:val="center"/>
          </w:tcPr>
          <w:p w14:paraId="735EE84F">
            <w:pPr>
              <w:spacing w:line="360" w:lineRule="auto"/>
              <w:jc w:val="center"/>
              <w:rPr>
                <w:rFonts w:hint="eastAsia" w:ascii="宋体" w:hAnsi="宋体" w:eastAsia="宋体" w:cs="宋体"/>
                <w:color w:val="auto"/>
                <w:sz w:val="24"/>
                <w:highlight w:val="none"/>
              </w:rPr>
            </w:pPr>
          </w:p>
        </w:tc>
        <w:tc>
          <w:tcPr>
            <w:tcW w:w="1064" w:type="dxa"/>
            <w:vAlign w:val="center"/>
          </w:tcPr>
          <w:p w14:paraId="4A99FF5D">
            <w:pPr>
              <w:spacing w:line="360" w:lineRule="auto"/>
              <w:jc w:val="center"/>
              <w:rPr>
                <w:rFonts w:hint="eastAsia" w:ascii="宋体" w:hAnsi="宋体" w:eastAsia="宋体" w:cs="宋体"/>
                <w:color w:val="auto"/>
                <w:sz w:val="24"/>
                <w:highlight w:val="none"/>
              </w:rPr>
            </w:pPr>
          </w:p>
        </w:tc>
      </w:tr>
      <w:tr w14:paraId="1E5F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5" w:type="dxa"/>
            <w:vAlign w:val="center"/>
          </w:tcPr>
          <w:p w14:paraId="581AB56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18" w:type="dxa"/>
            <w:vAlign w:val="center"/>
          </w:tcPr>
          <w:p w14:paraId="73643CB1">
            <w:pPr>
              <w:snapToGrid w:val="0"/>
              <w:spacing w:line="360" w:lineRule="auto"/>
              <w:jc w:val="center"/>
              <w:rPr>
                <w:rFonts w:hint="eastAsia" w:ascii="宋体" w:hAnsi="宋体" w:eastAsia="宋体" w:cs="宋体"/>
                <w:color w:val="auto"/>
                <w:sz w:val="24"/>
                <w:highlight w:val="none"/>
              </w:rPr>
            </w:pPr>
          </w:p>
        </w:tc>
        <w:tc>
          <w:tcPr>
            <w:tcW w:w="1132" w:type="dxa"/>
            <w:vAlign w:val="center"/>
          </w:tcPr>
          <w:p w14:paraId="5FD45479">
            <w:pPr>
              <w:snapToGrid w:val="0"/>
              <w:spacing w:line="360" w:lineRule="auto"/>
              <w:jc w:val="center"/>
              <w:rPr>
                <w:rFonts w:hint="eastAsia" w:ascii="宋体" w:hAnsi="宋体" w:eastAsia="宋体" w:cs="宋体"/>
                <w:color w:val="auto"/>
                <w:sz w:val="24"/>
                <w:highlight w:val="none"/>
              </w:rPr>
            </w:pPr>
          </w:p>
        </w:tc>
        <w:tc>
          <w:tcPr>
            <w:tcW w:w="1064" w:type="dxa"/>
            <w:vAlign w:val="center"/>
          </w:tcPr>
          <w:p w14:paraId="55A21B5D">
            <w:pPr>
              <w:snapToGrid w:val="0"/>
              <w:spacing w:line="360" w:lineRule="auto"/>
              <w:jc w:val="center"/>
              <w:rPr>
                <w:rFonts w:hint="eastAsia" w:ascii="宋体" w:hAnsi="宋体" w:eastAsia="宋体" w:cs="宋体"/>
                <w:color w:val="auto"/>
                <w:sz w:val="24"/>
                <w:highlight w:val="none"/>
              </w:rPr>
            </w:pPr>
          </w:p>
        </w:tc>
        <w:tc>
          <w:tcPr>
            <w:tcW w:w="1322" w:type="dxa"/>
            <w:vAlign w:val="center"/>
          </w:tcPr>
          <w:p w14:paraId="257BBFB6">
            <w:pPr>
              <w:snapToGrid w:val="0"/>
              <w:spacing w:line="360" w:lineRule="auto"/>
              <w:jc w:val="center"/>
              <w:rPr>
                <w:rFonts w:hint="eastAsia" w:ascii="宋体" w:hAnsi="宋体" w:eastAsia="宋体" w:cs="宋体"/>
                <w:color w:val="auto"/>
                <w:sz w:val="24"/>
                <w:highlight w:val="none"/>
              </w:rPr>
            </w:pPr>
          </w:p>
        </w:tc>
        <w:tc>
          <w:tcPr>
            <w:tcW w:w="859" w:type="dxa"/>
            <w:vAlign w:val="center"/>
          </w:tcPr>
          <w:p w14:paraId="273DFC55">
            <w:pPr>
              <w:snapToGrid w:val="0"/>
              <w:spacing w:line="360" w:lineRule="auto"/>
              <w:jc w:val="center"/>
              <w:rPr>
                <w:rFonts w:hint="eastAsia" w:ascii="宋体" w:hAnsi="宋体" w:eastAsia="宋体" w:cs="宋体"/>
                <w:color w:val="auto"/>
                <w:sz w:val="24"/>
                <w:highlight w:val="none"/>
              </w:rPr>
            </w:pPr>
          </w:p>
        </w:tc>
        <w:tc>
          <w:tcPr>
            <w:tcW w:w="846" w:type="dxa"/>
            <w:vAlign w:val="center"/>
          </w:tcPr>
          <w:p w14:paraId="1718D4F0">
            <w:pPr>
              <w:snapToGrid w:val="0"/>
              <w:spacing w:line="360" w:lineRule="auto"/>
              <w:jc w:val="center"/>
              <w:rPr>
                <w:rFonts w:hint="eastAsia" w:ascii="宋体" w:hAnsi="宋体" w:eastAsia="宋体" w:cs="宋体"/>
                <w:color w:val="auto"/>
                <w:sz w:val="24"/>
                <w:highlight w:val="none"/>
              </w:rPr>
            </w:pPr>
          </w:p>
        </w:tc>
        <w:tc>
          <w:tcPr>
            <w:tcW w:w="845" w:type="dxa"/>
            <w:vAlign w:val="center"/>
          </w:tcPr>
          <w:p w14:paraId="7467C26B">
            <w:pPr>
              <w:spacing w:line="360" w:lineRule="auto"/>
              <w:jc w:val="center"/>
              <w:rPr>
                <w:rFonts w:hint="eastAsia" w:ascii="宋体" w:hAnsi="宋体" w:eastAsia="宋体" w:cs="宋体"/>
                <w:color w:val="auto"/>
                <w:sz w:val="24"/>
                <w:highlight w:val="none"/>
              </w:rPr>
            </w:pPr>
          </w:p>
        </w:tc>
        <w:tc>
          <w:tcPr>
            <w:tcW w:w="863" w:type="dxa"/>
            <w:vAlign w:val="center"/>
          </w:tcPr>
          <w:p w14:paraId="73096B2C">
            <w:pPr>
              <w:spacing w:line="360" w:lineRule="auto"/>
              <w:jc w:val="center"/>
              <w:rPr>
                <w:rFonts w:hint="eastAsia" w:ascii="宋体" w:hAnsi="宋体" w:eastAsia="宋体" w:cs="宋体"/>
                <w:color w:val="auto"/>
                <w:sz w:val="24"/>
                <w:highlight w:val="none"/>
              </w:rPr>
            </w:pPr>
          </w:p>
        </w:tc>
        <w:tc>
          <w:tcPr>
            <w:tcW w:w="1064" w:type="dxa"/>
            <w:vAlign w:val="center"/>
          </w:tcPr>
          <w:p w14:paraId="7A5940DB">
            <w:pPr>
              <w:spacing w:line="360" w:lineRule="auto"/>
              <w:jc w:val="center"/>
              <w:rPr>
                <w:rFonts w:hint="eastAsia" w:ascii="宋体" w:hAnsi="宋体" w:eastAsia="宋体" w:cs="宋体"/>
                <w:color w:val="auto"/>
                <w:sz w:val="24"/>
                <w:highlight w:val="none"/>
              </w:rPr>
            </w:pPr>
          </w:p>
        </w:tc>
      </w:tr>
      <w:tr w14:paraId="0419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5" w:type="dxa"/>
            <w:vAlign w:val="center"/>
          </w:tcPr>
          <w:p w14:paraId="0B750EA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818" w:type="dxa"/>
            <w:vAlign w:val="center"/>
          </w:tcPr>
          <w:p w14:paraId="4FD52B0E">
            <w:pPr>
              <w:snapToGrid w:val="0"/>
              <w:spacing w:line="360" w:lineRule="auto"/>
              <w:jc w:val="center"/>
              <w:rPr>
                <w:rFonts w:hint="eastAsia" w:ascii="宋体" w:hAnsi="宋体" w:eastAsia="宋体" w:cs="宋体"/>
                <w:color w:val="auto"/>
                <w:sz w:val="24"/>
                <w:highlight w:val="none"/>
              </w:rPr>
            </w:pPr>
          </w:p>
        </w:tc>
        <w:tc>
          <w:tcPr>
            <w:tcW w:w="1132" w:type="dxa"/>
            <w:vAlign w:val="center"/>
          </w:tcPr>
          <w:p w14:paraId="78885230">
            <w:pPr>
              <w:snapToGrid w:val="0"/>
              <w:spacing w:line="360" w:lineRule="auto"/>
              <w:jc w:val="center"/>
              <w:rPr>
                <w:rFonts w:hint="eastAsia" w:ascii="宋体" w:hAnsi="宋体" w:eastAsia="宋体" w:cs="宋体"/>
                <w:color w:val="auto"/>
                <w:sz w:val="24"/>
                <w:highlight w:val="none"/>
              </w:rPr>
            </w:pPr>
          </w:p>
        </w:tc>
        <w:tc>
          <w:tcPr>
            <w:tcW w:w="1064" w:type="dxa"/>
            <w:vAlign w:val="center"/>
          </w:tcPr>
          <w:p w14:paraId="17B6770F">
            <w:pPr>
              <w:snapToGrid w:val="0"/>
              <w:spacing w:line="360" w:lineRule="auto"/>
              <w:jc w:val="center"/>
              <w:rPr>
                <w:rFonts w:hint="eastAsia" w:ascii="宋体" w:hAnsi="宋体" w:eastAsia="宋体" w:cs="宋体"/>
                <w:color w:val="auto"/>
                <w:sz w:val="24"/>
                <w:highlight w:val="none"/>
              </w:rPr>
            </w:pPr>
          </w:p>
        </w:tc>
        <w:tc>
          <w:tcPr>
            <w:tcW w:w="1322" w:type="dxa"/>
            <w:vAlign w:val="center"/>
          </w:tcPr>
          <w:p w14:paraId="4930BE6A">
            <w:pPr>
              <w:snapToGrid w:val="0"/>
              <w:spacing w:line="360" w:lineRule="auto"/>
              <w:jc w:val="center"/>
              <w:rPr>
                <w:rFonts w:hint="eastAsia" w:ascii="宋体" w:hAnsi="宋体" w:eastAsia="宋体" w:cs="宋体"/>
                <w:color w:val="auto"/>
                <w:sz w:val="24"/>
                <w:highlight w:val="none"/>
              </w:rPr>
            </w:pPr>
          </w:p>
        </w:tc>
        <w:tc>
          <w:tcPr>
            <w:tcW w:w="859" w:type="dxa"/>
            <w:vAlign w:val="center"/>
          </w:tcPr>
          <w:p w14:paraId="0DAC7ACA">
            <w:pPr>
              <w:snapToGrid w:val="0"/>
              <w:spacing w:line="360" w:lineRule="auto"/>
              <w:jc w:val="center"/>
              <w:rPr>
                <w:rFonts w:hint="eastAsia" w:ascii="宋体" w:hAnsi="宋体" w:eastAsia="宋体" w:cs="宋体"/>
                <w:color w:val="auto"/>
                <w:sz w:val="24"/>
                <w:highlight w:val="none"/>
              </w:rPr>
            </w:pPr>
          </w:p>
        </w:tc>
        <w:tc>
          <w:tcPr>
            <w:tcW w:w="846" w:type="dxa"/>
            <w:vAlign w:val="center"/>
          </w:tcPr>
          <w:p w14:paraId="36EBFCC4">
            <w:pPr>
              <w:snapToGrid w:val="0"/>
              <w:spacing w:line="360" w:lineRule="auto"/>
              <w:jc w:val="center"/>
              <w:rPr>
                <w:rFonts w:hint="eastAsia" w:ascii="宋体" w:hAnsi="宋体" w:eastAsia="宋体" w:cs="宋体"/>
                <w:color w:val="auto"/>
                <w:sz w:val="24"/>
                <w:highlight w:val="none"/>
              </w:rPr>
            </w:pPr>
          </w:p>
        </w:tc>
        <w:tc>
          <w:tcPr>
            <w:tcW w:w="845" w:type="dxa"/>
            <w:vAlign w:val="center"/>
          </w:tcPr>
          <w:p w14:paraId="53CC5355">
            <w:pPr>
              <w:spacing w:line="360" w:lineRule="auto"/>
              <w:jc w:val="center"/>
              <w:rPr>
                <w:rFonts w:hint="eastAsia" w:ascii="宋体" w:hAnsi="宋体" w:eastAsia="宋体" w:cs="宋体"/>
                <w:color w:val="auto"/>
                <w:sz w:val="24"/>
                <w:highlight w:val="none"/>
              </w:rPr>
            </w:pPr>
          </w:p>
        </w:tc>
        <w:tc>
          <w:tcPr>
            <w:tcW w:w="863" w:type="dxa"/>
            <w:vAlign w:val="center"/>
          </w:tcPr>
          <w:p w14:paraId="03163091">
            <w:pPr>
              <w:spacing w:line="360" w:lineRule="auto"/>
              <w:jc w:val="center"/>
              <w:rPr>
                <w:rFonts w:hint="eastAsia" w:ascii="宋体" w:hAnsi="宋体" w:eastAsia="宋体" w:cs="宋体"/>
                <w:color w:val="auto"/>
                <w:sz w:val="24"/>
                <w:highlight w:val="none"/>
              </w:rPr>
            </w:pPr>
          </w:p>
        </w:tc>
        <w:tc>
          <w:tcPr>
            <w:tcW w:w="1064" w:type="dxa"/>
            <w:vAlign w:val="center"/>
          </w:tcPr>
          <w:p w14:paraId="0ABC15EF">
            <w:pPr>
              <w:spacing w:line="360" w:lineRule="auto"/>
              <w:jc w:val="center"/>
              <w:rPr>
                <w:rFonts w:hint="eastAsia" w:ascii="宋体" w:hAnsi="宋体" w:eastAsia="宋体" w:cs="宋体"/>
                <w:color w:val="auto"/>
                <w:sz w:val="24"/>
                <w:highlight w:val="none"/>
              </w:rPr>
            </w:pPr>
          </w:p>
        </w:tc>
      </w:tr>
      <w:tr w14:paraId="38E7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5" w:type="dxa"/>
            <w:vAlign w:val="center"/>
          </w:tcPr>
          <w:p w14:paraId="4A4AE164">
            <w:pPr>
              <w:spacing w:line="360" w:lineRule="auto"/>
              <w:jc w:val="center"/>
              <w:rPr>
                <w:rFonts w:hint="eastAsia" w:ascii="宋体" w:hAnsi="宋体" w:eastAsia="宋体" w:cs="宋体"/>
                <w:color w:val="auto"/>
                <w:sz w:val="24"/>
                <w:highlight w:val="none"/>
              </w:rPr>
            </w:pPr>
          </w:p>
        </w:tc>
        <w:tc>
          <w:tcPr>
            <w:tcW w:w="818" w:type="dxa"/>
            <w:vAlign w:val="center"/>
          </w:tcPr>
          <w:p w14:paraId="289142DC">
            <w:pPr>
              <w:snapToGrid w:val="0"/>
              <w:spacing w:line="360" w:lineRule="auto"/>
              <w:jc w:val="center"/>
              <w:rPr>
                <w:rFonts w:hint="eastAsia" w:ascii="宋体" w:hAnsi="宋体" w:eastAsia="宋体" w:cs="宋体"/>
                <w:color w:val="auto"/>
                <w:sz w:val="24"/>
                <w:highlight w:val="none"/>
              </w:rPr>
            </w:pPr>
          </w:p>
        </w:tc>
        <w:tc>
          <w:tcPr>
            <w:tcW w:w="1132" w:type="dxa"/>
            <w:vAlign w:val="center"/>
          </w:tcPr>
          <w:p w14:paraId="06024A30">
            <w:pPr>
              <w:snapToGrid w:val="0"/>
              <w:spacing w:line="360" w:lineRule="auto"/>
              <w:jc w:val="center"/>
              <w:rPr>
                <w:rFonts w:hint="eastAsia" w:ascii="宋体" w:hAnsi="宋体" w:eastAsia="宋体" w:cs="宋体"/>
                <w:color w:val="auto"/>
                <w:sz w:val="24"/>
                <w:highlight w:val="none"/>
              </w:rPr>
            </w:pPr>
          </w:p>
        </w:tc>
        <w:tc>
          <w:tcPr>
            <w:tcW w:w="1064" w:type="dxa"/>
            <w:vAlign w:val="center"/>
          </w:tcPr>
          <w:p w14:paraId="79D40789">
            <w:pPr>
              <w:snapToGrid w:val="0"/>
              <w:spacing w:line="360" w:lineRule="auto"/>
              <w:jc w:val="center"/>
              <w:rPr>
                <w:rFonts w:hint="eastAsia" w:ascii="宋体" w:hAnsi="宋体" w:eastAsia="宋体" w:cs="宋体"/>
                <w:color w:val="auto"/>
                <w:sz w:val="24"/>
                <w:highlight w:val="none"/>
              </w:rPr>
            </w:pPr>
          </w:p>
        </w:tc>
        <w:tc>
          <w:tcPr>
            <w:tcW w:w="1322" w:type="dxa"/>
            <w:vAlign w:val="center"/>
          </w:tcPr>
          <w:p w14:paraId="4C7A2467">
            <w:pPr>
              <w:snapToGrid w:val="0"/>
              <w:spacing w:line="360" w:lineRule="auto"/>
              <w:jc w:val="center"/>
              <w:rPr>
                <w:rFonts w:hint="eastAsia" w:ascii="宋体" w:hAnsi="宋体" w:eastAsia="宋体" w:cs="宋体"/>
                <w:color w:val="auto"/>
                <w:sz w:val="24"/>
                <w:highlight w:val="none"/>
              </w:rPr>
            </w:pPr>
          </w:p>
        </w:tc>
        <w:tc>
          <w:tcPr>
            <w:tcW w:w="859" w:type="dxa"/>
            <w:vAlign w:val="center"/>
          </w:tcPr>
          <w:p w14:paraId="5269A7CE">
            <w:pPr>
              <w:snapToGrid w:val="0"/>
              <w:spacing w:line="360" w:lineRule="auto"/>
              <w:jc w:val="center"/>
              <w:rPr>
                <w:rFonts w:hint="eastAsia" w:ascii="宋体" w:hAnsi="宋体" w:eastAsia="宋体" w:cs="宋体"/>
                <w:color w:val="auto"/>
                <w:sz w:val="24"/>
                <w:highlight w:val="none"/>
              </w:rPr>
            </w:pPr>
          </w:p>
        </w:tc>
        <w:tc>
          <w:tcPr>
            <w:tcW w:w="846" w:type="dxa"/>
            <w:vAlign w:val="center"/>
          </w:tcPr>
          <w:p w14:paraId="1AE37C9B">
            <w:pPr>
              <w:snapToGrid w:val="0"/>
              <w:spacing w:line="360" w:lineRule="auto"/>
              <w:jc w:val="center"/>
              <w:rPr>
                <w:rFonts w:hint="eastAsia" w:ascii="宋体" w:hAnsi="宋体" w:eastAsia="宋体" w:cs="宋体"/>
                <w:color w:val="auto"/>
                <w:sz w:val="24"/>
                <w:highlight w:val="none"/>
              </w:rPr>
            </w:pPr>
          </w:p>
        </w:tc>
        <w:tc>
          <w:tcPr>
            <w:tcW w:w="845" w:type="dxa"/>
            <w:vAlign w:val="center"/>
          </w:tcPr>
          <w:p w14:paraId="041E9A8F">
            <w:pPr>
              <w:spacing w:line="360" w:lineRule="auto"/>
              <w:jc w:val="center"/>
              <w:rPr>
                <w:rFonts w:hint="eastAsia" w:ascii="宋体" w:hAnsi="宋体" w:eastAsia="宋体" w:cs="宋体"/>
                <w:color w:val="auto"/>
                <w:sz w:val="24"/>
                <w:highlight w:val="none"/>
              </w:rPr>
            </w:pPr>
          </w:p>
        </w:tc>
        <w:tc>
          <w:tcPr>
            <w:tcW w:w="863" w:type="dxa"/>
            <w:vAlign w:val="center"/>
          </w:tcPr>
          <w:p w14:paraId="66F77AD6">
            <w:pPr>
              <w:spacing w:line="360" w:lineRule="auto"/>
              <w:jc w:val="center"/>
              <w:rPr>
                <w:rFonts w:hint="eastAsia" w:ascii="宋体" w:hAnsi="宋体" w:eastAsia="宋体" w:cs="宋体"/>
                <w:color w:val="auto"/>
                <w:sz w:val="24"/>
                <w:highlight w:val="none"/>
              </w:rPr>
            </w:pPr>
          </w:p>
        </w:tc>
        <w:tc>
          <w:tcPr>
            <w:tcW w:w="1064" w:type="dxa"/>
            <w:vAlign w:val="center"/>
          </w:tcPr>
          <w:p w14:paraId="5B3035B9">
            <w:pPr>
              <w:spacing w:line="360" w:lineRule="auto"/>
              <w:jc w:val="center"/>
              <w:rPr>
                <w:rFonts w:hint="eastAsia" w:ascii="宋体" w:hAnsi="宋体" w:eastAsia="宋体" w:cs="宋体"/>
                <w:color w:val="auto"/>
                <w:sz w:val="24"/>
                <w:highlight w:val="none"/>
              </w:rPr>
            </w:pPr>
          </w:p>
        </w:tc>
      </w:tr>
      <w:tr w14:paraId="062E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628" w:type="dxa"/>
            <w:gridSpan w:val="10"/>
            <w:vAlign w:val="center"/>
          </w:tcPr>
          <w:p w14:paraId="32C5F8B2">
            <w:pPr>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投标报价</w:t>
            </w:r>
            <w:r>
              <w:rPr>
                <w:rFonts w:hint="eastAsia" w:ascii="宋体" w:hAnsi="宋体" w:cs="宋体"/>
                <w:b/>
                <w:color w:val="auto"/>
                <w:sz w:val="24"/>
                <w:highlight w:val="none"/>
                <w:lang w:val="en-US" w:eastAsia="zh-CN"/>
              </w:rPr>
              <w:t>合计</w:t>
            </w:r>
            <w:r>
              <w:rPr>
                <w:rFonts w:hint="eastAsia" w:ascii="宋体" w:hAnsi="宋体" w:eastAsia="宋体" w:cs="宋体"/>
                <w:b/>
                <w:color w:val="auto"/>
                <w:sz w:val="24"/>
                <w:highlight w:val="none"/>
              </w:rPr>
              <w:t>（小写）</w:t>
            </w:r>
            <w:r>
              <w:rPr>
                <w:rFonts w:hint="eastAsia" w:ascii="宋体" w:hAnsi="宋体" w:eastAsia="宋体" w:cs="宋体"/>
                <w:b/>
                <w:color w:val="auto"/>
                <w:sz w:val="24"/>
                <w:highlight w:val="none"/>
                <w:lang w:eastAsia="zh-CN"/>
              </w:rPr>
              <w:t>：</w:t>
            </w:r>
          </w:p>
        </w:tc>
      </w:tr>
      <w:tr w14:paraId="18AB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28" w:type="dxa"/>
            <w:gridSpan w:val="10"/>
            <w:vAlign w:val="center"/>
          </w:tcPr>
          <w:p w14:paraId="79157A94">
            <w:pPr>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投标报价</w:t>
            </w:r>
            <w:r>
              <w:rPr>
                <w:rFonts w:hint="eastAsia" w:ascii="宋体" w:hAnsi="宋体" w:cs="宋体"/>
                <w:b/>
                <w:color w:val="auto"/>
                <w:sz w:val="24"/>
                <w:highlight w:val="none"/>
                <w:lang w:val="en-US" w:eastAsia="zh-CN"/>
              </w:rPr>
              <w:t>合计</w:t>
            </w:r>
            <w:r>
              <w:rPr>
                <w:rFonts w:hint="eastAsia" w:ascii="宋体" w:hAnsi="宋体" w:eastAsia="宋体" w:cs="宋体"/>
                <w:b/>
                <w:color w:val="auto"/>
                <w:sz w:val="24"/>
                <w:highlight w:val="none"/>
              </w:rPr>
              <w:t>（大写）</w:t>
            </w:r>
            <w:r>
              <w:rPr>
                <w:rFonts w:hint="eastAsia" w:ascii="宋体" w:hAnsi="宋体" w:eastAsia="宋体" w:cs="宋体"/>
                <w:b/>
                <w:color w:val="auto"/>
                <w:sz w:val="24"/>
                <w:highlight w:val="none"/>
                <w:lang w:eastAsia="zh-CN"/>
              </w:rPr>
              <w:t>：</w:t>
            </w:r>
          </w:p>
        </w:tc>
      </w:tr>
    </w:tbl>
    <w:p w14:paraId="44138264">
      <w:pPr>
        <w:snapToGrid w:val="0"/>
        <w:spacing w:line="360" w:lineRule="auto"/>
        <w:rPr>
          <w:rFonts w:hint="eastAsia" w:ascii="宋体" w:hAnsi="宋体" w:cs="宋体"/>
          <w:kern w:val="0"/>
          <w:sz w:val="24"/>
          <w:lang w:val="zh-CN"/>
        </w:rPr>
      </w:pPr>
      <w:r>
        <w:rPr>
          <w:rFonts w:hint="eastAsia" w:ascii="宋体" w:hAnsi="宋体" w:cs="宋体"/>
          <w:b/>
          <w:kern w:val="0"/>
          <w:sz w:val="24"/>
          <w:lang w:val="zh-CN"/>
        </w:rPr>
        <w:t>注：</w:t>
      </w:r>
      <w:r>
        <w:rPr>
          <w:rFonts w:hint="eastAsia" w:ascii="宋体" w:hAnsi="宋体" w:cs="宋体"/>
          <w:b/>
          <w:bCs/>
          <w:kern w:val="0"/>
          <w:sz w:val="24"/>
          <w:lang w:val="zh-CN"/>
        </w:rPr>
        <w:t>1、投标人</w:t>
      </w:r>
      <w:r>
        <w:rPr>
          <w:rFonts w:hint="eastAsia" w:ascii="宋体" w:hAnsi="宋体" w:cs="宋体"/>
          <w:b/>
          <w:bCs/>
          <w:kern w:val="0"/>
          <w:sz w:val="24"/>
          <w:lang w:val="en-US" w:eastAsia="zh-CN"/>
        </w:rPr>
        <w:t>须</w:t>
      </w:r>
      <w:r>
        <w:rPr>
          <w:rFonts w:hint="eastAsia" w:ascii="宋体" w:hAnsi="宋体" w:cs="宋体"/>
          <w:b/>
          <w:bCs/>
          <w:kern w:val="0"/>
          <w:sz w:val="24"/>
          <w:lang w:val="zh-CN"/>
        </w:rPr>
        <w:t>按本表格式填写，</w:t>
      </w:r>
      <w:r>
        <w:rPr>
          <w:rFonts w:hint="eastAsia" w:ascii="宋体" w:hAnsi="宋体" w:cs="宋体"/>
          <w:b/>
          <w:bCs/>
          <w:kern w:val="0"/>
          <w:sz w:val="24"/>
        </w:rPr>
        <w:t>否则视为</w:t>
      </w:r>
      <w:r>
        <w:rPr>
          <w:rFonts w:hint="eastAsia" w:ascii="宋体" w:hAnsi="宋体" w:cs="宋体"/>
          <w:b/>
          <w:bCs/>
          <w:sz w:val="24"/>
        </w:rPr>
        <w:t>投标文件含有采购人不能接受的附加条件，投标无效</w:t>
      </w:r>
      <w:r>
        <w:rPr>
          <w:rFonts w:hint="eastAsia" w:ascii="宋体" w:hAnsi="宋体" w:cs="宋体"/>
          <w:b/>
          <w:bCs/>
          <w:kern w:val="0"/>
          <w:sz w:val="24"/>
          <w:lang w:val="zh-CN"/>
        </w:rPr>
        <w:t>；</w:t>
      </w:r>
    </w:p>
    <w:p w14:paraId="73D8B2C3">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5B78A1C7">
      <w:pPr>
        <w:snapToGrid w:val="0"/>
        <w:spacing w:line="360" w:lineRule="auto"/>
        <w:ind w:firstLine="480" w:firstLineChars="200"/>
        <w:jc w:val="left"/>
        <w:rPr>
          <w:rFonts w:hint="eastAsia" w:ascii="宋体" w:hAnsi="宋体" w:cs="宋体"/>
          <w:b/>
          <w:kern w:val="0"/>
          <w:sz w:val="24"/>
        </w:rPr>
      </w:pPr>
      <w:r>
        <w:rPr>
          <w:rFonts w:hint="eastAsia" w:ascii="宋体" w:hAnsi="宋体" w:cs="宋体"/>
          <w:kern w:val="0"/>
          <w:sz w:val="24"/>
          <w:lang w:val="zh-CN"/>
        </w:rPr>
        <w:t>3、特别提示：采购代理机构将对项目名称和，中标供应商名称、地址和中标金额，主要中标标的名称、服务范围、服务要求、服务时间、服务标准等予以公示。</w:t>
      </w:r>
    </w:p>
    <w:p w14:paraId="414C0B60">
      <w:pPr>
        <w:snapToGrid w:val="0"/>
        <w:spacing w:line="360" w:lineRule="auto"/>
        <w:ind w:firstLine="0" w:firstLineChars="0"/>
        <w:jc w:val="right"/>
        <w:rPr>
          <w:rFonts w:hint="eastAsia" w:ascii="宋体" w:hAnsi="宋体" w:cs="宋体"/>
          <w:sz w:val="24"/>
        </w:rPr>
      </w:pPr>
    </w:p>
    <w:p w14:paraId="21536940">
      <w:pPr>
        <w:spacing w:line="240" w:lineRule="auto"/>
        <w:ind w:right="0" w:firstLine="0" w:firstLineChars="0"/>
        <w:jc w:val="left"/>
        <w:rPr>
          <w:rFonts w:hint="eastAsia" w:ascii="宋体" w:hAnsi="宋体" w:cs="宋体"/>
          <w:sz w:val="24"/>
          <w:lang w:val="en-US" w:eastAsia="zh-CN"/>
        </w:rPr>
      </w:pPr>
      <w:r>
        <w:rPr>
          <w:rFonts w:hint="eastAsia" w:ascii="宋体" w:hAnsi="宋体" w:cs="宋体"/>
          <w:sz w:val="24"/>
          <w:lang w:val="en-US" w:eastAsia="zh-CN"/>
        </w:rPr>
        <w:t xml:space="preserve">                                                 </w:t>
      </w:r>
    </w:p>
    <w:p w14:paraId="69D7EA66">
      <w:pPr>
        <w:spacing w:line="240" w:lineRule="auto"/>
        <w:ind w:right="0" w:firstLine="0" w:firstLineChars="0"/>
        <w:jc w:val="left"/>
        <w:rPr>
          <w:rFonts w:hint="eastAsia" w:ascii="宋体" w:hAnsi="宋体" w:cs="宋体"/>
          <w:sz w:val="24"/>
          <w:lang w:val="en-US" w:eastAsia="zh-CN"/>
        </w:rPr>
      </w:pPr>
    </w:p>
    <w:p w14:paraId="57AC3617">
      <w:pPr>
        <w:spacing w:line="240" w:lineRule="auto"/>
        <w:ind w:right="0" w:firstLine="0" w:firstLineChars="0"/>
        <w:jc w:val="left"/>
        <w:rPr>
          <w:rFonts w:hint="eastAsia" w:ascii="宋体" w:hAnsi="宋体" w:cs="宋体"/>
          <w:sz w:val="24"/>
        </w:rPr>
      </w:pPr>
      <w:r>
        <w:rPr>
          <w:rFonts w:hint="eastAsia" w:ascii="宋体" w:hAnsi="宋体" w:cs="宋体"/>
          <w:sz w:val="24"/>
        </w:rPr>
        <w:br w:type="page"/>
      </w:r>
    </w:p>
    <w:p w14:paraId="07BD7C31">
      <w:pPr>
        <w:widowControl/>
        <w:snapToGrid w:val="0"/>
        <w:spacing w:before="120" w:after="120" w:line="360" w:lineRule="auto"/>
        <w:ind w:firstLine="643" w:firstLineChars="200"/>
        <w:jc w:val="center"/>
        <w:outlineLvl w:val="9"/>
        <w:rPr>
          <w:rFonts w:hint="eastAsia" w:ascii="宋体" w:hAnsi="宋体" w:eastAsia="宋体" w:cs="宋体"/>
          <w:b/>
          <w:bCs/>
          <w:color w:val="auto"/>
          <w:kern w:val="2"/>
          <w:sz w:val="32"/>
          <w:szCs w:val="32"/>
          <w:highlight w:val="none"/>
        </w:rPr>
      </w:pPr>
      <w:r>
        <w:rPr>
          <w:rFonts w:hint="eastAsia" w:ascii="宋体" w:hAnsi="宋体" w:cs="宋体"/>
          <w:b/>
          <w:bCs/>
          <w:color w:val="auto"/>
          <w:kern w:val="2"/>
          <w:sz w:val="32"/>
          <w:szCs w:val="32"/>
          <w:highlight w:val="none"/>
          <w:lang w:val="en-US" w:eastAsia="zh-CN"/>
        </w:rPr>
        <w:t>二</w:t>
      </w:r>
      <w:r>
        <w:rPr>
          <w:rFonts w:hint="eastAsia" w:ascii="宋体" w:hAnsi="宋体" w:eastAsia="宋体" w:cs="宋体"/>
          <w:b/>
          <w:bCs/>
          <w:color w:val="auto"/>
          <w:kern w:val="2"/>
          <w:sz w:val="32"/>
          <w:szCs w:val="32"/>
          <w:highlight w:val="none"/>
        </w:rPr>
        <w:t>、中小企业声明函（若有）</w:t>
      </w:r>
    </w:p>
    <w:p w14:paraId="1E09406C">
      <w:pPr>
        <w:widowControl/>
        <w:spacing w:line="360" w:lineRule="auto"/>
        <w:ind w:firstLine="120" w:firstLineChars="50"/>
        <w:jc w:val="center"/>
        <w:rPr>
          <w:rFonts w:hint="eastAsia"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73870F1C">
      <w:pPr>
        <w:pStyle w:val="380"/>
        <w:keepNext w:val="0"/>
        <w:pageBreakBefore w:val="0"/>
        <w:tabs>
          <w:tab w:val="clear" w:pos="720"/>
        </w:tabs>
        <w:snapToGrid w:val="0"/>
        <w:spacing w:before="120" w:after="120" w:line="360" w:lineRule="auto"/>
        <w:ind w:firstLine="643"/>
        <w:outlineLvl w:val="9"/>
        <w:rPr>
          <w:rFonts w:hint="eastAsia" w:ascii="宋体" w:hAnsi="宋体" w:eastAsia="宋体" w:cs="宋体"/>
          <w:color w:val="auto"/>
          <w:kern w:val="2"/>
          <w:sz w:val="32"/>
          <w:szCs w:val="32"/>
          <w:highlight w:val="none"/>
          <w:lang w:val="en-US" w:eastAsia="zh-CN"/>
        </w:rPr>
      </w:pPr>
    </w:p>
    <w:p w14:paraId="0A042F10">
      <w:pPr>
        <w:rPr>
          <w:rFonts w:hint="eastAsia"/>
        </w:rPr>
      </w:pPr>
    </w:p>
    <w:p w14:paraId="331278E8">
      <w:pPr>
        <w:pStyle w:val="380"/>
        <w:keepNext w:val="0"/>
        <w:pageBreakBefore w:val="0"/>
        <w:tabs>
          <w:tab w:val="clear" w:pos="720"/>
        </w:tabs>
        <w:snapToGrid w:val="0"/>
        <w:spacing w:before="120" w:after="120"/>
        <w:ind w:firstLine="643"/>
        <w:outlineLvl w:val="9"/>
        <w:rPr>
          <w:rFonts w:hint="default" w:ascii="宋体" w:hAnsi="宋体" w:eastAsia="宋体" w:cs="宋体"/>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color w:val="auto"/>
          <w:kern w:val="2"/>
          <w:sz w:val="32"/>
          <w:szCs w:val="32"/>
          <w:highlight w:val="none"/>
          <w:lang w:val="en-US"/>
        </w:rPr>
        <w:br w:type="page"/>
      </w: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三、关于符合本国产品标准的声明函（</w:t>
      </w:r>
      <w:r>
        <w:rPr>
          <w:rFonts w:hint="eastAsia" w:ascii="宋体" w:hAnsi="宋体" w:eastAsia="宋体" w:cs="宋体"/>
          <w:b/>
          <w:bCs/>
          <w:color w:val="auto"/>
          <w:kern w:val="2"/>
          <w:sz w:val="32"/>
          <w:szCs w:val="32"/>
          <w:highlight w:val="none"/>
        </w:rPr>
        <w:t>若有</w:t>
      </w: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w:t>
      </w:r>
    </w:p>
    <w:p w14:paraId="4D6247DF">
      <w:pPr>
        <w:pStyle w:val="380"/>
        <w:keepNext w:val="0"/>
        <w:pageBreakBefore w:val="0"/>
        <w:tabs>
          <w:tab w:val="clear" w:pos="720"/>
        </w:tabs>
        <w:snapToGrid w:val="0"/>
        <w:spacing w:before="120" w:after="120" w:line="360" w:lineRule="auto"/>
        <w:jc w:val="both"/>
        <w:outlineLvl w:val="9"/>
        <w:rPr>
          <w:rFonts w:ascii="宋体" w:hAnsi="宋体" w:eastAsia="宋体" w:cs="宋体"/>
          <w:color w:val="auto"/>
          <w:kern w:val="2"/>
          <w:sz w:val="24"/>
          <w:szCs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eastAsia="宋体" w:cs="宋体"/>
          <w:color w:val="auto"/>
          <w:kern w:val="2"/>
          <w:sz w:val="24"/>
          <w:szCs w:val="24"/>
          <w:highlight w:val="none"/>
        </w:rPr>
        <w:t>符合《</w:t>
      </w:r>
      <w:r>
        <w:rPr>
          <w:color w:val="auto"/>
          <w:highlight w:val="none"/>
        </w:rPr>
        <w:fldChar w:fldCharType="begin"/>
      </w:r>
      <w:r>
        <w:rPr>
          <w:color w:val="auto"/>
          <w:highlight w:val="none"/>
        </w:rPr>
        <w:instrText xml:space="preserve"> HYPERLINK "http://www.cmsta.org/page461?article_id=3014" </w:instrText>
      </w:r>
      <w:r>
        <w:rPr>
          <w:color w:val="auto"/>
          <w:highlight w:val="none"/>
        </w:rPr>
        <w:fldChar w:fldCharType="separate"/>
      </w:r>
      <w:r>
        <w:rPr>
          <w:rFonts w:hint="eastAsia" w:ascii="宋体" w:hAnsi="宋体" w:eastAsia="宋体" w:cs="宋体"/>
          <w:color w:val="auto"/>
          <w:kern w:val="2"/>
          <w:sz w:val="24"/>
          <w:szCs w:val="24"/>
          <w:highlight w:val="none"/>
        </w:rPr>
        <w:t>国务院办公厅关于在政府采购中实施本国产品标准及相关政策的通知</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》规定的本国产品标准拟享受</w:t>
      </w:r>
      <w:r>
        <w:rPr>
          <w:rFonts w:hint="eastAsia" w:asciiTheme="minorEastAsia" w:hAnsiTheme="minorEastAsia" w:eastAsiaTheme="minorEastAsia" w:cstheme="minorEastAsia"/>
          <w:color w:val="auto"/>
          <w:sz w:val="24"/>
          <w:highlight w:val="none"/>
        </w:rPr>
        <w:t>拟享受价格扣除政策的（</w:t>
      </w:r>
      <w:r>
        <w:rPr>
          <w:rFonts w:hint="eastAsia" w:ascii="宋体" w:hAnsi="宋体" w:eastAsia="宋体" w:cs="宋体"/>
          <w:color w:val="auto"/>
          <w:kern w:val="2"/>
          <w:sz w:val="24"/>
          <w:szCs w:val="24"/>
          <w:highlight w:val="none"/>
        </w:rPr>
        <w:t>当采购项目或者采购包中含有多种产品，供应商提供符合本国产品标准的产品成本之和占该供应商提供的全部产品成本之和的比例达到80%以上</w:t>
      </w:r>
      <w:r>
        <w:rPr>
          <w:rFonts w:hint="eastAsia" w:asciiTheme="minorEastAsia" w:hAnsiTheme="minorEastAsia" w:eastAsiaTheme="minorEastAsia" w:cstheme="minorEastAsia"/>
          <w:color w:val="auto"/>
          <w:sz w:val="24"/>
          <w:highlight w:val="none"/>
        </w:rPr>
        <w:t>），</w:t>
      </w:r>
      <w:r>
        <w:rPr>
          <w:rFonts w:hint="eastAsia" w:ascii="宋体" w:hAnsi="宋体" w:eastAsia="宋体" w:cs="宋体"/>
          <w:color w:val="auto"/>
          <w:kern w:val="2"/>
          <w:sz w:val="24"/>
          <w:szCs w:val="24"/>
          <w:highlight w:val="none"/>
        </w:rPr>
        <w:t>需提供关于符合本国产品标准的声明函（附件</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w:t>
      </w:r>
    </w:p>
    <w:p w14:paraId="05BA629F">
      <w:pPr>
        <w:widowControl/>
        <w:spacing w:line="360" w:lineRule="auto"/>
        <w:ind w:firstLine="120" w:firstLineChars="50"/>
        <w:jc w:val="left"/>
        <w:rPr>
          <w:rFonts w:hint="eastAsia" w:ascii="宋体" w:hAnsi="宋体" w:cs="宋体"/>
          <w:b/>
          <w:color w:val="000000" w:themeColor="text1"/>
          <w:sz w:val="24"/>
          <w:highlight w:val="none"/>
          <w14:textFill>
            <w14:solidFill>
              <w14:schemeClr w14:val="tx1"/>
            </w14:solidFill>
          </w14:textFill>
        </w:rPr>
      </w:pPr>
    </w:p>
    <w:p w14:paraId="7242EDEA">
      <w:pPr>
        <w:widowControl/>
        <w:spacing w:line="360" w:lineRule="auto"/>
        <w:ind w:firstLine="0" w:firstLineChars="0"/>
        <w:jc w:val="left"/>
        <w:rPr>
          <w:rFonts w:hint="eastAsia" w:ascii="宋体" w:hAnsi="宋体" w:cs="宋体"/>
          <w:b/>
          <w:color w:val="000000" w:themeColor="text1"/>
          <w:sz w:val="24"/>
          <w:highlight w:val="none"/>
          <w:u w:val="none"/>
          <w14:textFill>
            <w14:solidFill>
              <w14:schemeClr w14:val="tx1"/>
            </w14:solidFill>
          </w14:textFill>
        </w:rPr>
      </w:pPr>
      <w:r>
        <w:rPr>
          <w:rFonts w:hint="eastAsia" w:ascii="宋体" w:hAnsi="宋体" w:cs="宋体"/>
          <w:b/>
          <w:color w:val="000000" w:themeColor="text1"/>
          <w:sz w:val="24"/>
          <w:highlight w:val="none"/>
          <w:u w:val="none"/>
          <w:lang w:val="en-US" w:eastAsia="zh-CN"/>
          <w14:textFill>
            <w14:solidFill>
              <w14:schemeClr w14:val="tx1"/>
            </w14:solidFill>
          </w14:textFill>
        </w:rPr>
        <w:t>注：投标人未提供</w:t>
      </w:r>
      <w:r>
        <w:rPr>
          <w:rFonts w:hint="eastAsia" w:ascii="宋体" w:hAnsi="宋体" w:eastAsia="宋体" w:cs="宋体"/>
          <w:b/>
          <w:color w:val="000000" w:themeColor="text1"/>
          <w:kern w:val="2"/>
          <w:sz w:val="24"/>
          <w:szCs w:val="24"/>
          <w:highlight w:val="none"/>
          <w:u w:val="none"/>
          <w:lang w:val="en-US" w:eastAsia="zh-CN"/>
          <w14:textFill>
            <w14:solidFill>
              <w14:schemeClr w14:val="tx1"/>
            </w14:solidFill>
          </w14:textFill>
        </w:rPr>
        <w:t>关于符合本国产品标准的声明函</w:t>
      </w:r>
      <w:r>
        <w:rPr>
          <w:rFonts w:hint="eastAsia" w:ascii="宋体" w:hAnsi="宋体" w:cs="宋体"/>
          <w:b/>
          <w:color w:val="000000" w:themeColor="text1"/>
          <w:sz w:val="24"/>
          <w:highlight w:val="none"/>
          <w:u w:val="none"/>
          <w:lang w:val="en-US" w:eastAsia="zh-CN"/>
          <w14:textFill>
            <w14:solidFill>
              <w14:schemeClr w14:val="tx1"/>
            </w14:solidFill>
          </w14:textFill>
        </w:rPr>
        <w:t>或提供的</w:t>
      </w:r>
      <w:r>
        <w:rPr>
          <w:rFonts w:hint="eastAsia" w:ascii="宋体" w:hAnsi="宋体" w:eastAsia="宋体" w:cs="宋体"/>
          <w:b/>
          <w:color w:val="000000" w:themeColor="text1"/>
          <w:kern w:val="2"/>
          <w:sz w:val="24"/>
          <w:szCs w:val="24"/>
          <w:highlight w:val="none"/>
          <w:u w:val="non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none"/>
          <w:lang w:val="en-US" w:eastAsia="zh-CN"/>
          <w14:textFill>
            <w14:solidFill>
              <w14:schemeClr w14:val="tx1"/>
            </w14:solidFill>
          </w14:textFill>
        </w:rPr>
        <w:t>不符合要求的，</w:t>
      </w:r>
      <w:r>
        <w:rPr>
          <w:rFonts w:hint="eastAsia" w:ascii="宋体" w:hAnsi="宋体" w:cs="宋体"/>
          <w:b/>
          <w:color w:val="000000" w:themeColor="text1"/>
          <w:sz w:val="24"/>
          <w:highlight w:val="none"/>
          <w:u w:val="none"/>
          <w:lang w:val="en-US" w:eastAsia="zh-CN"/>
          <w14:textFill>
            <w14:solidFill>
              <w14:schemeClr w14:val="tx1"/>
            </w14:solidFill>
          </w14:textFill>
        </w:rPr>
        <w:t>不享受该价格扣除政策</w:t>
      </w:r>
      <w:r>
        <w:rPr>
          <w:rFonts w:hint="eastAsia" w:ascii="宋体" w:hAnsi="宋体" w:cs="宋体"/>
          <w:b/>
          <w:color w:val="000000" w:themeColor="text1"/>
          <w:sz w:val="24"/>
          <w:highlight w:val="none"/>
          <w:u w:val="none"/>
          <w14:textFill>
            <w14:solidFill>
              <w14:schemeClr w14:val="tx1"/>
            </w14:solidFill>
          </w14:textFill>
        </w:rPr>
        <w:t>。</w:t>
      </w:r>
    </w:p>
    <w:p w14:paraId="5EB84D89">
      <w:pPr>
        <w:rPr>
          <w:rFonts w:hint="eastAsia" w:ascii="宋体" w:hAnsi="宋体" w:eastAsia="宋体" w:cs="宋体"/>
          <w:color w:val="auto"/>
          <w:kern w:val="2"/>
          <w:sz w:val="32"/>
          <w:szCs w:val="32"/>
          <w:highlight w:val="none"/>
          <w:lang w:val="en-US"/>
        </w:rPr>
      </w:pPr>
    </w:p>
    <w:p w14:paraId="57EBA186">
      <w:pPr>
        <w:pStyle w:val="380"/>
        <w:tabs>
          <w:tab w:val="clear" w:pos="720"/>
        </w:tabs>
        <w:snapToGrid w:val="0"/>
        <w:spacing w:before="120" w:after="120"/>
        <w:ind w:firstLine="643"/>
        <w:outlineLvl w:val="9"/>
        <w:rPr>
          <w:rFonts w:hint="eastAsia" w:ascii="宋体" w:hAnsi="宋体" w:cs="宋体"/>
          <w:bCs/>
          <w:kern w:val="0"/>
          <w:sz w:val="36"/>
          <w:szCs w:val="36"/>
        </w:rPr>
      </w:pPr>
      <w:r>
        <w:rPr>
          <w:rFonts w:hint="eastAsia" w:ascii="宋体" w:hAnsi="宋体" w:eastAsia="宋体" w:cs="宋体"/>
          <w:color w:val="auto"/>
          <w:kern w:val="2"/>
          <w:sz w:val="32"/>
          <w:szCs w:val="32"/>
          <w:highlight w:val="none"/>
          <w:lang w:val="en-US" w:eastAsia="zh-CN"/>
        </w:rPr>
        <w:t>四</w:t>
      </w:r>
      <w:r>
        <w:rPr>
          <w:rFonts w:hint="eastAsia" w:ascii="宋体" w:hAnsi="宋体" w:eastAsia="宋体" w:cs="宋体"/>
          <w:color w:val="auto"/>
          <w:kern w:val="2"/>
          <w:sz w:val="32"/>
          <w:szCs w:val="32"/>
          <w:highlight w:val="none"/>
        </w:rPr>
        <w:t>、报价情况说明（若有）</w:t>
      </w:r>
    </w:p>
    <w:p w14:paraId="2CFD1FC6">
      <w:pPr>
        <w:spacing w:line="360" w:lineRule="auto"/>
        <w:jc w:val="left"/>
        <w:rPr>
          <w:rFonts w:hint="eastAsia" w:ascii="宋体" w:hAnsi="宋体" w:cs="宋体"/>
          <w:sz w:val="28"/>
          <w:szCs w:val="28"/>
        </w:rPr>
      </w:pPr>
      <w:r>
        <w:rPr>
          <w:rFonts w:hint="eastAsia" w:ascii="宋体" w:hAnsi="宋体" w:cs="宋体"/>
          <w:sz w:val="28"/>
          <w:szCs w:val="28"/>
        </w:rPr>
        <w:t>注：</w:t>
      </w:r>
    </w:p>
    <w:p w14:paraId="0D53F404">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1、投标(响应)报价低于全部通过符合性审查供应商投标(响应)报价平均值50%的，即投标(响应)报价&lt;全部通过符合性审查供应商投标(响应)报价平均值X50%；</w:t>
      </w:r>
    </w:p>
    <w:p w14:paraId="54CCD5D8">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2、投标(响应)报价低于通过符合性审查的次低报价供应商投标(响应)报价50%的，即投标(响应)报价&lt;通过符合性审查的次低报价供应商投标(响应)报价X50%；</w:t>
      </w:r>
    </w:p>
    <w:p w14:paraId="6E72CBCE">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3、投标(响应)报价低于采购项目最高限价45%的，即投标(响应)报价&lt;采购项目最高限价X45%；</w:t>
      </w:r>
    </w:p>
    <w:p w14:paraId="13ECAAB3">
      <w:pPr>
        <w:spacing w:line="360" w:lineRule="auto"/>
        <w:ind w:right="420" w:firstLine="560" w:firstLineChars="200"/>
        <w:rPr>
          <w:rFonts w:hint="eastAsia" w:ascii="宋体" w:hAnsi="宋体" w:cs="宋体"/>
          <w:b/>
          <w:kern w:val="0"/>
          <w:sz w:val="36"/>
          <w:szCs w:val="36"/>
        </w:rPr>
      </w:pPr>
      <w:r>
        <w:rPr>
          <w:rFonts w:hint="eastAsia" w:ascii="宋体" w:hAnsi="宋体" w:cs="宋体"/>
          <w:sz w:val="28"/>
          <w:szCs w:val="28"/>
        </w:rPr>
        <w:t>4、评审委员会基于专业判断，认为供应商报价过低，有可能影响产品质量或者不能诚信履约的其他情形。</w:t>
      </w:r>
    </w:p>
    <w:p w14:paraId="1A84FF42">
      <w:pPr>
        <w:spacing w:line="360" w:lineRule="auto"/>
        <w:ind w:right="420" w:firstLine="3614" w:firstLineChars="1000"/>
        <w:rPr>
          <w:rFonts w:hint="eastAsia" w:ascii="宋体" w:hAnsi="宋体" w:cs="宋体"/>
          <w:b/>
          <w:kern w:val="0"/>
          <w:sz w:val="36"/>
          <w:szCs w:val="36"/>
        </w:rPr>
      </w:pPr>
    </w:p>
    <w:p w14:paraId="28ADCF95">
      <w:pPr>
        <w:spacing w:line="360" w:lineRule="auto"/>
        <w:ind w:right="420" w:firstLine="3614" w:firstLineChars="1000"/>
        <w:rPr>
          <w:rFonts w:hint="eastAsia" w:ascii="宋体" w:hAnsi="宋体" w:cs="宋体"/>
          <w:b/>
          <w:kern w:val="0"/>
          <w:sz w:val="36"/>
          <w:szCs w:val="36"/>
        </w:rPr>
      </w:pPr>
    </w:p>
    <w:p w14:paraId="5B61DED1">
      <w:pPr>
        <w:spacing w:line="360" w:lineRule="auto"/>
        <w:ind w:right="420" w:firstLine="3614" w:firstLineChars="1000"/>
        <w:rPr>
          <w:rFonts w:hint="eastAsia" w:ascii="宋体" w:hAnsi="宋体" w:cs="宋体"/>
          <w:b/>
          <w:kern w:val="0"/>
          <w:sz w:val="36"/>
          <w:szCs w:val="36"/>
        </w:rPr>
      </w:pPr>
    </w:p>
    <w:p w14:paraId="0D941DC6">
      <w:pPr>
        <w:spacing w:line="360" w:lineRule="auto"/>
        <w:ind w:right="420"/>
        <w:rPr>
          <w:rFonts w:hint="eastAsia" w:ascii="宋体" w:hAnsi="宋体" w:cs="宋体"/>
          <w:b/>
          <w:kern w:val="0"/>
          <w:sz w:val="36"/>
          <w:szCs w:val="36"/>
        </w:rPr>
      </w:pPr>
    </w:p>
    <w:p w14:paraId="1A438F7D"/>
    <w:p w14:paraId="135E49BA"/>
    <w:p w14:paraId="4024E9BD"/>
    <w:p w14:paraId="21BBD7C7"/>
    <w:p w14:paraId="5CF223C9"/>
    <w:p w14:paraId="740A4D0A"/>
    <w:p w14:paraId="002AAD3C"/>
    <w:p w14:paraId="432C4DDF"/>
    <w:p w14:paraId="7CCCA441"/>
    <w:p w14:paraId="7E264066"/>
    <w:p w14:paraId="311728CD"/>
    <w:p w14:paraId="3144855E">
      <w:pPr>
        <w:jc w:val="center"/>
      </w:pPr>
    </w:p>
    <w:p w14:paraId="03F4B271">
      <w:pPr>
        <w:jc w:val="center"/>
      </w:pPr>
    </w:p>
    <w:p w14:paraId="07D5578E">
      <w:pPr>
        <w:jc w:val="center"/>
      </w:pPr>
    </w:p>
    <w:p w14:paraId="75F84CF3"/>
    <w:p w14:paraId="440F922B">
      <w:pPr>
        <w:widowControl/>
        <w:jc w:val="left"/>
        <w:rPr>
          <w:rFonts w:hint="eastAsia"/>
          <w:b/>
          <w:bCs/>
          <w:sz w:val="44"/>
          <w:szCs w:val="44"/>
        </w:rPr>
      </w:pPr>
      <w:r>
        <w:rPr>
          <w:rFonts w:hint="eastAsia"/>
          <w:b/>
          <w:bCs/>
          <w:sz w:val="44"/>
          <w:szCs w:val="44"/>
        </w:rPr>
        <w:br w:type="page"/>
      </w:r>
    </w:p>
    <w:p w14:paraId="4279C33B">
      <w:pPr>
        <w:widowControl/>
        <w:jc w:val="center"/>
        <w:rPr>
          <w:b/>
          <w:bCs/>
          <w:sz w:val="44"/>
          <w:szCs w:val="44"/>
        </w:rPr>
      </w:pPr>
      <w:r>
        <w:rPr>
          <w:rFonts w:hint="eastAsia"/>
          <w:b/>
          <w:bCs/>
          <w:sz w:val="44"/>
          <w:szCs w:val="44"/>
        </w:rPr>
        <w:t>附件</w:t>
      </w:r>
    </w:p>
    <w:p w14:paraId="568BE2B4">
      <w:pPr>
        <w:widowControl/>
        <w:jc w:val="center"/>
        <w:rPr>
          <w:b/>
          <w:bCs/>
          <w:sz w:val="44"/>
          <w:szCs w:val="44"/>
        </w:rPr>
      </w:pPr>
    </w:p>
    <w:p w14:paraId="1645B751">
      <w:pPr>
        <w:spacing w:line="360" w:lineRule="auto"/>
        <w:jc w:val="center"/>
        <w:outlineLvl w:val="0"/>
        <w:rPr>
          <w:rFonts w:hint="eastAsia" w:ascii="宋体" w:hAnsi="宋体" w:cs="宋体"/>
          <w:b/>
          <w:spacing w:val="6"/>
          <w:sz w:val="36"/>
          <w:szCs w:val="36"/>
        </w:rPr>
      </w:pPr>
      <w:r>
        <w:rPr>
          <w:rFonts w:hint="eastAsia" w:ascii="宋体" w:hAnsi="宋体" w:cs="宋体"/>
          <w:b/>
          <w:sz w:val="36"/>
          <w:szCs w:val="20"/>
        </w:rPr>
        <w:t>附件1：</w:t>
      </w:r>
      <w:bookmarkStart w:id="409" w:name="OLE_LINK14"/>
      <w:bookmarkStart w:id="410" w:name="OLE_LINK13"/>
      <w:r>
        <w:rPr>
          <w:rFonts w:hint="eastAsia" w:ascii="宋体" w:hAnsi="宋体" w:cs="宋体"/>
          <w:b/>
          <w:spacing w:val="6"/>
          <w:sz w:val="36"/>
          <w:szCs w:val="36"/>
        </w:rPr>
        <w:t>残疾人福利性单位声明函</w:t>
      </w:r>
    </w:p>
    <w:bookmarkEnd w:id="409"/>
    <w:bookmarkEnd w:id="410"/>
    <w:p w14:paraId="01561483">
      <w:pPr>
        <w:spacing w:line="360" w:lineRule="auto"/>
        <w:rPr>
          <w:rFonts w:hint="eastAsia" w:ascii="宋体" w:hAnsi="宋体" w:cs="宋体"/>
          <w:b/>
          <w:spacing w:val="6"/>
          <w:sz w:val="30"/>
          <w:szCs w:val="30"/>
        </w:rPr>
      </w:pPr>
    </w:p>
    <w:p w14:paraId="5CFA89B3">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rPr>
        <w:t>(采购人)</w:t>
      </w:r>
      <w:r>
        <w:rPr>
          <w:rFonts w:hint="eastAsia" w:ascii="宋体" w:hAnsi="宋体" w:cs="宋体"/>
          <w:sz w:val="24"/>
        </w:rPr>
        <w:t>单位的</w:t>
      </w:r>
      <w:r>
        <w:rPr>
          <w:rFonts w:hint="eastAsia" w:ascii="宋体" w:hAnsi="宋体" w:cs="宋体"/>
          <w:sz w:val="24"/>
          <w:u w:val="single"/>
        </w:rPr>
        <w:t>（项目名称）</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7DED3DD9">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2D9B5903">
      <w:pPr>
        <w:spacing w:line="360" w:lineRule="auto"/>
        <w:ind w:firstLine="480" w:firstLineChars="200"/>
        <w:rPr>
          <w:rFonts w:hint="eastAsia" w:ascii="宋体" w:hAnsi="宋体" w:cs="宋体"/>
          <w:sz w:val="24"/>
        </w:rPr>
      </w:pPr>
    </w:p>
    <w:p w14:paraId="18EDF71F">
      <w:pPr>
        <w:spacing w:line="360" w:lineRule="auto"/>
        <w:ind w:firstLine="480" w:firstLineChars="200"/>
        <w:rPr>
          <w:rFonts w:hint="eastAsia" w:ascii="宋体" w:hAnsi="宋体" w:cs="宋体"/>
          <w:sz w:val="24"/>
        </w:rPr>
      </w:pPr>
    </w:p>
    <w:p w14:paraId="1704459F">
      <w:pPr>
        <w:tabs>
          <w:tab w:val="left" w:pos="4860"/>
          <w:tab w:val="left" w:pos="7560"/>
        </w:tabs>
        <w:spacing w:line="360" w:lineRule="auto"/>
        <w:ind w:right="250" w:firstLine="480" w:firstLineChars="200"/>
        <w:jc w:val="center"/>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2F3533A8">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14:paraId="70940302">
      <w:pPr>
        <w:jc w:val="left"/>
        <w:rPr>
          <w:rFonts w:hint="eastAsia" w:ascii="宋体" w:hAnsi="宋体" w:cs="宋体"/>
          <w:b/>
          <w:sz w:val="36"/>
          <w:szCs w:val="20"/>
        </w:rPr>
      </w:pPr>
      <w:r>
        <w:rPr>
          <w:rFonts w:hint="eastAsia" w:ascii="宋体" w:hAnsi="宋体" w:cs="宋体"/>
          <w:b/>
          <w:sz w:val="36"/>
          <w:szCs w:val="20"/>
        </w:rPr>
        <w:br w:type="page"/>
      </w:r>
    </w:p>
    <w:p w14:paraId="6C9F4AF5">
      <w:pPr>
        <w:spacing w:line="360" w:lineRule="auto"/>
        <w:jc w:val="center"/>
        <w:outlineLvl w:val="0"/>
        <w:rPr>
          <w:rFonts w:hint="eastAsia" w:ascii="宋体" w:hAnsi="宋体" w:cs="宋体"/>
          <w:b/>
          <w:sz w:val="36"/>
          <w:szCs w:val="20"/>
        </w:rPr>
      </w:pPr>
      <w:r>
        <w:rPr>
          <w:rFonts w:hint="eastAsia" w:ascii="宋体" w:hAnsi="宋体" w:cs="宋体"/>
          <w:b/>
          <w:sz w:val="36"/>
          <w:szCs w:val="20"/>
        </w:rPr>
        <w:t>附件2：质疑函范本及制作说明</w:t>
      </w:r>
    </w:p>
    <w:p w14:paraId="24C62223">
      <w:pPr>
        <w:spacing w:line="360" w:lineRule="auto"/>
        <w:jc w:val="center"/>
        <w:rPr>
          <w:rFonts w:hint="eastAsia" w:ascii="宋体" w:hAnsi="宋体" w:cs="宋体"/>
          <w:b/>
          <w:spacing w:val="6"/>
          <w:sz w:val="32"/>
          <w:szCs w:val="32"/>
        </w:rPr>
      </w:pPr>
      <w:r>
        <w:rPr>
          <w:rFonts w:hint="eastAsia" w:ascii="宋体" w:hAnsi="宋体" w:cs="宋体"/>
          <w:b/>
          <w:spacing w:val="6"/>
          <w:sz w:val="32"/>
          <w:szCs w:val="32"/>
        </w:rPr>
        <w:t>质疑函范本</w:t>
      </w:r>
    </w:p>
    <w:p w14:paraId="153A1070">
      <w:pPr>
        <w:snapToGrid w:val="0"/>
        <w:spacing w:before="240" w:beforeLines="100" w:line="360" w:lineRule="auto"/>
        <w:rPr>
          <w:rFonts w:hint="eastAsia" w:ascii="宋体" w:hAnsi="宋体" w:cs="宋体"/>
          <w:bCs/>
          <w:sz w:val="24"/>
        </w:rPr>
      </w:pPr>
      <w:r>
        <w:rPr>
          <w:rFonts w:hint="eastAsia" w:ascii="宋体" w:hAnsi="宋体" w:cs="宋体"/>
          <w:bCs/>
          <w:sz w:val="24"/>
        </w:rPr>
        <w:t>一、质疑供应商基本信息</w:t>
      </w:r>
    </w:p>
    <w:p w14:paraId="7CFCDA70">
      <w:pPr>
        <w:snapToGrid w:val="0"/>
        <w:spacing w:line="360" w:lineRule="auto"/>
        <w:rPr>
          <w:rFonts w:hint="eastAsia"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7E1E68C">
      <w:pPr>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4402D1C">
      <w:pPr>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A5AB14C">
      <w:pPr>
        <w:snapToGri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DF7AC24">
      <w:pPr>
        <w:snapToGrid w:val="0"/>
        <w:spacing w:line="360" w:lineRule="auto"/>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57BD8E4">
      <w:pPr>
        <w:snapToGrid w:val="0"/>
        <w:spacing w:line="360" w:lineRule="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B872FB5">
      <w:pPr>
        <w:snapToGrid w:val="0"/>
        <w:spacing w:line="360" w:lineRule="auto"/>
        <w:rPr>
          <w:rFonts w:hint="eastAsia" w:ascii="宋体" w:hAnsi="宋体" w:cs="宋体"/>
          <w:bCs/>
          <w:sz w:val="24"/>
        </w:rPr>
      </w:pPr>
      <w:r>
        <w:rPr>
          <w:rFonts w:hint="eastAsia" w:ascii="宋体" w:hAnsi="宋体" w:cs="宋体"/>
          <w:bCs/>
          <w:sz w:val="24"/>
        </w:rPr>
        <w:t>二、质疑项目基本情况</w:t>
      </w:r>
    </w:p>
    <w:p w14:paraId="0584DE05">
      <w:pPr>
        <w:snapToGrid w:val="0"/>
        <w:spacing w:line="360" w:lineRule="auto"/>
        <w:rPr>
          <w:rFonts w:hint="eastAsia"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BABB7E8">
      <w:pPr>
        <w:snapToGrid w:val="0"/>
        <w:spacing w:line="360" w:lineRule="auto"/>
        <w:rPr>
          <w:rFonts w:hint="eastAsia"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DD5D20A">
      <w:pPr>
        <w:snapToGrid w:val="0"/>
        <w:spacing w:line="360" w:lineRule="auto"/>
        <w:rPr>
          <w:rFonts w:hint="eastAsia"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5E78E2D">
      <w:pPr>
        <w:snapToGrid w:val="0"/>
        <w:spacing w:line="360" w:lineRule="auto"/>
        <w:rPr>
          <w:rFonts w:hint="eastAsia"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5B3C0F67">
      <w:pPr>
        <w:snapToGrid w:val="0"/>
        <w:spacing w:line="360" w:lineRule="auto"/>
        <w:rPr>
          <w:rFonts w:hint="eastAsia" w:ascii="宋体" w:hAnsi="宋体" w:cs="宋体"/>
          <w:bCs/>
          <w:sz w:val="24"/>
        </w:rPr>
      </w:pPr>
      <w:r>
        <w:rPr>
          <w:rFonts w:hint="eastAsia" w:ascii="宋体" w:hAnsi="宋体" w:cs="宋体"/>
          <w:bCs/>
          <w:sz w:val="24"/>
        </w:rPr>
        <w:t>三、质疑事项具体内容</w:t>
      </w:r>
    </w:p>
    <w:p w14:paraId="350FF43E">
      <w:pPr>
        <w:snapToGrid w:val="0"/>
        <w:spacing w:line="360" w:lineRule="auto"/>
        <w:rPr>
          <w:rFonts w:hint="eastAsia"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3EBE430A">
      <w:pPr>
        <w:snapToGrid w:val="0"/>
        <w:spacing w:line="360" w:lineRule="auto"/>
        <w:rPr>
          <w:rFonts w:hint="eastAsia"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85C275C">
      <w:pPr>
        <w:snapToGrid w:val="0"/>
        <w:spacing w:line="360" w:lineRule="auto"/>
        <w:rPr>
          <w:rFonts w:hint="eastAsia" w:ascii="宋体" w:hAnsi="宋体" w:cs="宋体"/>
          <w:sz w:val="24"/>
        </w:rPr>
      </w:pPr>
      <w:r>
        <w:rPr>
          <w:rFonts w:hint="eastAsia" w:ascii="宋体" w:hAnsi="宋体" w:cs="宋体"/>
          <w:sz w:val="24"/>
          <w:u w:val="dotted"/>
        </w:rPr>
        <w:t xml:space="preserve">                                                       </w:t>
      </w:r>
    </w:p>
    <w:p w14:paraId="5645C08F">
      <w:pPr>
        <w:snapToGrid w:val="0"/>
        <w:spacing w:line="360" w:lineRule="auto"/>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5118CD0">
      <w:pPr>
        <w:snapToGrid w:val="0"/>
        <w:spacing w:line="360" w:lineRule="auto"/>
        <w:rPr>
          <w:rFonts w:hint="eastAsia" w:ascii="宋体" w:hAnsi="宋体" w:cs="宋体"/>
          <w:sz w:val="24"/>
          <w:u w:val="dotted"/>
        </w:rPr>
      </w:pPr>
      <w:r>
        <w:rPr>
          <w:rFonts w:hint="eastAsia" w:ascii="宋体" w:hAnsi="宋体" w:cs="宋体"/>
          <w:sz w:val="24"/>
          <w:u w:val="dotted"/>
        </w:rPr>
        <w:t xml:space="preserve">                                                     </w:t>
      </w:r>
    </w:p>
    <w:p w14:paraId="53774CCB">
      <w:pPr>
        <w:snapToGrid w:val="0"/>
        <w:spacing w:line="360" w:lineRule="auto"/>
        <w:rPr>
          <w:rFonts w:hint="eastAsia" w:ascii="宋体" w:hAnsi="宋体" w:cs="宋体"/>
          <w:sz w:val="24"/>
          <w:u w:val="dotted"/>
        </w:rPr>
      </w:pPr>
      <w:r>
        <w:rPr>
          <w:rFonts w:hint="eastAsia" w:ascii="宋体" w:hAnsi="宋体" w:cs="宋体"/>
          <w:sz w:val="24"/>
        </w:rPr>
        <w:t>质疑事项2</w:t>
      </w:r>
    </w:p>
    <w:p w14:paraId="37C2E2C1">
      <w:pPr>
        <w:snapToGrid w:val="0"/>
        <w:spacing w:line="360" w:lineRule="auto"/>
        <w:rPr>
          <w:rFonts w:hint="eastAsia" w:ascii="宋体" w:hAnsi="宋体" w:cs="宋体"/>
          <w:sz w:val="24"/>
        </w:rPr>
      </w:pPr>
      <w:r>
        <w:rPr>
          <w:rFonts w:hint="eastAsia" w:ascii="宋体" w:hAnsi="宋体" w:cs="宋体"/>
          <w:sz w:val="24"/>
        </w:rPr>
        <w:t>……</w:t>
      </w:r>
    </w:p>
    <w:p w14:paraId="5F8B31A9">
      <w:pPr>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14:paraId="38ED4DC1">
      <w:pPr>
        <w:snapToGrid w:val="0"/>
        <w:spacing w:line="360" w:lineRule="auto"/>
        <w:rPr>
          <w:rFonts w:hint="eastAsia"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BCC53D1">
      <w:pPr>
        <w:spacing w:line="360" w:lineRule="auto"/>
        <w:rPr>
          <w:rFonts w:hint="eastAsia" w:ascii="宋体" w:hAnsi="宋体" w:cs="宋体"/>
          <w:sz w:val="24"/>
        </w:rPr>
      </w:pPr>
      <w:r>
        <w:rPr>
          <w:rFonts w:hint="eastAsia" w:ascii="宋体" w:hAnsi="宋体" w:cs="宋体"/>
          <w:sz w:val="24"/>
        </w:rPr>
        <w:t xml:space="preserve">签字(签章)：                   公章：                      </w:t>
      </w:r>
    </w:p>
    <w:p w14:paraId="62BF0A15">
      <w:pPr>
        <w:spacing w:line="360" w:lineRule="auto"/>
        <w:rPr>
          <w:rFonts w:hint="eastAsia" w:ascii="宋体" w:hAnsi="宋体" w:cs="宋体"/>
          <w:sz w:val="24"/>
        </w:rPr>
      </w:pPr>
      <w:r>
        <w:rPr>
          <w:rFonts w:hint="eastAsia" w:ascii="宋体" w:hAnsi="宋体" w:cs="宋体"/>
          <w:sz w:val="24"/>
        </w:rPr>
        <w:t xml:space="preserve">日期：    </w:t>
      </w:r>
    </w:p>
    <w:p w14:paraId="11228228">
      <w:pPr>
        <w:spacing w:line="360" w:lineRule="auto"/>
        <w:rPr>
          <w:rFonts w:hint="eastAsia" w:ascii="宋体" w:hAnsi="宋体" w:cs="宋体"/>
          <w:b/>
          <w:sz w:val="24"/>
        </w:rPr>
      </w:pPr>
      <w:r>
        <w:rPr>
          <w:rFonts w:hint="eastAsia" w:ascii="宋体" w:hAnsi="宋体" w:cs="宋体"/>
          <w:b/>
          <w:sz w:val="24"/>
        </w:rPr>
        <w:t>质疑函制作说明：</w:t>
      </w:r>
    </w:p>
    <w:p w14:paraId="0B788E4B">
      <w:pPr>
        <w:widowControl/>
        <w:spacing w:line="360" w:lineRule="auto"/>
        <w:ind w:firstLine="480" w:firstLineChars="200"/>
        <w:jc w:val="left"/>
        <w:rPr>
          <w:rFonts w:hint="eastAsia" w:ascii="宋体" w:hAnsi="宋体" w:cs="宋体"/>
          <w:sz w:val="24"/>
        </w:rPr>
      </w:pPr>
      <w:r>
        <w:rPr>
          <w:rFonts w:hint="eastAsia" w:ascii="宋体" w:hAnsi="宋体" w:cs="宋体"/>
          <w:sz w:val="24"/>
        </w:rPr>
        <w:t>1.供应商提出质疑时，应提交质疑函和必要的证明材料。</w:t>
      </w:r>
    </w:p>
    <w:p w14:paraId="609C4C1A">
      <w:pPr>
        <w:widowControl/>
        <w:spacing w:line="360" w:lineRule="auto"/>
        <w:ind w:firstLine="480" w:firstLineChars="200"/>
        <w:jc w:val="left"/>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C7E2A85">
      <w:pPr>
        <w:widowControl/>
        <w:spacing w:line="360" w:lineRule="auto"/>
        <w:ind w:firstLine="480" w:firstLineChars="200"/>
        <w:jc w:val="left"/>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1AD25D4E">
      <w:pPr>
        <w:widowControl/>
        <w:spacing w:line="360" w:lineRule="auto"/>
        <w:ind w:firstLine="480" w:firstLineChars="200"/>
        <w:jc w:val="left"/>
        <w:rPr>
          <w:rFonts w:hint="eastAsia" w:ascii="宋体" w:hAnsi="宋体" w:cs="宋体"/>
          <w:sz w:val="24"/>
        </w:rPr>
      </w:pPr>
      <w:r>
        <w:rPr>
          <w:rFonts w:hint="eastAsia" w:ascii="宋体" w:hAnsi="宋体" w:cs="宋体"/>
          <w:sz w:val="24"/>
        </w:rPr>
        <w:t>4.质疑函的质疑事项应具体、明确，并有必要的事实依据和法律依据。</w:t>
      </w:r>
    </w:p>
    <w:p w14:paraId="67B66F02">
      <w:pPr>
        <w:widowControl/>
        <w:spacing w:line="360" w:lineRule="auto"/>
        <w:ind w:firstLine="480" w:firstLineChars="200"/>
        <w:jc w:val="left"/>
        <w:rPr>
          <w:rFonts w:hint="eastAsia" w:ascii="宋体" w:hAnsi="宋体" w:cs="宋体"/>
          <w:sz w:val="24"/>
        </w:rPr>
      </w:pPr>
      <w:r>
        <w:rPr>
          <w:rFonts w:hint="eastAsia" w:ascii="宋体" w:hAnsi="宋体" w:cs="宋体"/>
          <w:sz w:val="24"/>
        </w:rPr>
        <w:t>5.质疑函的质疑请求应与质疑事项相关。</w:t>
      </w:r>
    </w:p>
    <w:p w14:paraId="4B9D203B">
      <w:pPr>
        <w:widowControl/>
        <w:spacing w:line="360" w:lineRule="auto"/>
        <w:ind w:firstLine="480" w:firstLineChars="200"/>
        <w:jc w:val="left"/>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A01D8BF">
      <w:pPr>
        <w:widowControl/>
        <w:spacing w:line="360" w:lineRule="auto"/>
        <w:ind w:firstLine="600" w:firstLineChars="200"/>
        <w:jc w:val="left"/>
        <w:rPr>
          <w:rFonts w:hint="eastAsia" w:ascii="宋体" w:hAnsi="宋体" w:cs="宋体"/>
          <w:sz w:val="30"/>
          <w:szCs w:val="30"/>
        </w:rPr>
      </w:pPr>
    </w:p>
    <w:p w14:paraId="1EADDA67">
      <w:pPr>
        <w:spacing w:line="360" w:lineRule="auto"/>
        <w:jc w:val="center"/>
        <w:rPr>
          <w:rFonts w:hint="eastAsia" w:ascii="宋体" w:hAnsi="宋体" w:cs="宋体"/>
          <w:b/>
          <w:spacing w:val="6"/>
          <w:sz w:val="32"/>
          <w:szCs w:val="32"/>
        </w:rPr>
      </w:pPr>
    </w:p>
    <w:p w14:paraId="788E9F41">
      <w:pPr>
        <w:spacing w:line="360" w:lineRule="auto"/>
        <w:jc w:val="center"/>
        <w:rPr>
          <w:rFonts w:hint="eastAsia" w:ascii="宋体" w:hAnsi="宋体" w:cs="宋体"/>
          <w:b/>
          <w:spacing w:val="6"/>
          <w:sz w:val="32"/>
          <w:szCs w:val="32"/>
        </w:rPr>
      </w:pPr>
    </w:p>
    <w:p w14:paraId="745FC17E">
      <w:pPr>
        <w:spacing w:line="360" w:lineRule="auto"/>
        <w:jc w:val="center"/>
        <w:rPr>
          <w:rFonts w:hint="eastAsia" w:ascii="宋体" w:hAnsi="宋体" w:cs="宋体"/>
          <w:b/>
          <w:spacing w:val="6"/>
          <w:sz w:val="32"/>
          <w:szCs w:val="32"/>
        </w:rPr>
      </w:pPr>
    </w:p>
    <w:p w14:paraId="1B06706A">
      <w:pPr>
        <w:spacing w:line="360" w:lineRule="auto"/>
        <w:jc w:val="center"/>
        <w:rPr>
          <w:rFonts w:hint="eastAsia" w:ascii="宋体" w:hAnsi="宋体" w:cs="宋体"/>
          <w:b/>
          <w:spacing w:val="6"/>
          <w:sz w:val="32"/>
          <w:szCs w:val="32"/>
        </w:rPr>
      </w:pPr>
    </w:p>
    <w:p w14:paraId="012C0DA3">
      <w:pPr>
        <w:jc w:val="left"/>
      </w:pPr>
    </w:p>
    <w:p w14:paraId="12A142B0">
      <w:pPr>
        <w:jc w:val="left"/>
      </w:pPr>
    </w:p>
    <w:p w14:paraId="4BE2B682">
      <w:pPr>
        <w:jc w:val="left"/>
      </w:pPr>
    </w:p>
    <w:p w14:paraId="7DF2077A">
      <w:pPr>
        <w:jc w:val="left"/>
      </w:pPr>
    </w:p>
    <w:p w14:paraId="2082C7B6">
      <w:pPr>
        <w:jc w:val="left"/>
      </w:pPr>
    </w:p>
    <w:p w14:paraId="07E085A0">
      <w:pPr>
        <w:jc w:val="left"/>
      </w:pPr>
    </w:p>
    <w:p w14:paraId="4A44152D">
      <w:pPr>
        <w:spacing w:line="360" w:lineRule="auto"/>
        <w:jc w:val="center"/>
        <w:rPr>
          <w:rFonts w:hint="eastAsia" w:ascii="宋体" w:hAnsi="宋体" w:cs="宋体"/>
          <w:b/>
          <w:spacing w:val="6"/>
          <w:sz w:val="32"/>
          <w:szCs w:val="32"/>
        </w:rPr>
      </w:pPr>
    </w:p>
    <w:p w14:paraId="076D07E5">
      <w:pPr>
        <w:jc w:val="left"/>
        <w:rPr>
          <w:rFonts w:hint="eastAsia" w:ascii="宋体" w:hAnsi="宋体" w:cs="宋体"/>
          <w:b/>
          <w:sz w:val="36"/>
          <w:szCs w:val="20"/>
        </w:rPr>
      </w:pPr>
      <w:r>
        <w:rPr>
          <w:rFonts w:hint="eastAsia" w:ascii="宋体" w:hAnsi="宋体" w:cs="宋体"/>
          <w:b/>
          <w:sz w:val="36"/>
          <w:szCs w:val="20"/>
        </w:rPr>
        <w:br w:type="page"/>
      </w:r>
    </w:p>
    <w:p w14:paraId="26D26C06">
      <w:pPr>
        <w:spacing w:line="360" w:lineRule="auto"/>
        <w:jc w:val="center"/>
        <w:outlineLvl w:val="0"/>
        <w:rPr>
          <w:rFonts w:hint="eastAsia" w:ascii="宋体" w:hAnsi="宋体" w:cs="宋体"/>
          <w:b/>
          <w:sz w:val="36"/>
          <w:szCs w:val="20"/>
        </w:rPr>
      </w:pPr>
      <w:r>
        <w:rPr>
          <w:rFonts w:hint="eastAsia" w:ascii="宋体" w:hAnsi="宋体" w:cs="宋体"/>
          <w:b/>
          <w:sz w:val="36"/>
          <w:szCs w:val="20"/>
        </w:rPr>
        <w:t>附件3：投诉书范本及制作说明</w:t>
      </w:r>
    </w:p>
    <w:p w14:paraId="0D015098">
      <w:pPr>
        <w:spacing w:line="360" w:lineRule="auto"/>
        <w:jc w:val="center"/>
        <w:rPr>
          <w:rFonts w:hint="eastAsia" w:ascii="宋体" w:hAnsi="宋体" w:cs="宋体"/>
          <w:b/>
          <w:sz w:val="24"/>
        </w:rPr>
      </w:pPr>
    </w:p>
    <w:p w14:paraId="30DEC030">
      <w:pPr>
        <w:spacing w:line="360" w:lineRule="auto"/>
        <w:jc w:val="center"/>
        <w:rPr>
          <w:rFonts w:hint="eastAsia" w:ascii="宋体" w:hAnsi="宋体" w:cs="宋体"/>
          <w:b/>
          <w:spacing w:val="6"/>
          <w:sz w:val="32"/>
          <w:szCs w:val="32"/>
        </w:rPr>
      </w:pPr>
      <w:r>
        <w:rPr>
          <w:rFonts w:hint="eastAsia" w:ascii="宋体" w:hAnsi="宋体" w:cs="宋体"/>
          <w:b/>
          <w:spacing w:val="6"/>
          <w:sz w:val="32"/>
          <w:szCs w:val="32"/>
        </w:rPr>
        <w:t>投诉书范本</w:t>
      </w:r>
    </w:p>
    <w:p w14:paraId="75107C63">
      <w:pPr>
        <w:spacing w:line="360" w:lineRule="auto"/>
        <w:rPr>
          <w:rFonts w:hint="eastAsia" w:ascii="宋体" w:hAnsi="宋体" w:cs="宋体"/>
          <w:sz w:val="24"/>
        </w:rPr>
      </w:pPr>
      <w:r>
        <w:rPr>
          <w:rFonts w:hint="eastAsia" w:ascii="宋体" w:hAnsi="宋体" w:cs="宋体"/>
          <w:sz w:val="24"/>
        </w:rPr>
        <w:t>一、投诉相关主体基本情况</w:t>
      </w:r>
    </w:p>
    <w:p w14:paraId="408D7B12">
      <w:pPr>
        <w:spacing w:line="360" w:lineRule="auto"/>
        <w:rPr>
          <w:rFonts w:hint="eastAsia"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4BAF8C1">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BC894D8">
      <w:pPr>
        <w:tabs>
          <w:tab w:val="left" w:pos="6510"/>
        </w:tabs>
        <w:spacing w:line="360" w:lineRule="auto"/>
        <w:jc w:val="left"/>
        <w:rPr>
          <w:rFonts w:hint="eastAsia"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1ACDE2FC">
      <w:pPr>
        <w:tabs>
          <w:tab w:val="left" w:pos="6510"/>
        </w:tabs>
        <w:spacing w:line="360" w:lineRule="auto"/>
        <w:rPr>
          <w:rFonts w:hint="eastAsia"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0DFA4BEA">
      <w:pPr>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D008F28">
      <w:pPr>
        <w:spacing w:line="360" w:lineRule="auto"/>
        <w:rPr>
          <w:rFonts w:hint="eastAsia"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7F2A30AF">
      <w:pPr>
        <w:spacing w:line="360" w:lineRule="auto"/>
        <w:rPr>
          <w:rFonts w:hint="eastAsia"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EC1920A">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6CFDA8C">
      <w:pPr>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59B7A25C">
      <w:pPr>
        <w:spacing w:line="360" w:lineRule="auto"/>
        <w:rPr>
          <w:rFonts w:hint="eastAsia" w:ascii="宋体" w:hAnsi="宋体" w:cs="宋体"/>
          <w:sz w:val="24"/>
        </w:rPr>
      </w:pPr>
      <w:r>
        <w:rPr>
          <w:rFonts w:hint="eastAsia" w:ascii="宋体" w:hAnsi="宋体" w:cs="宋体"/>
          <w:sz w:val="24"/>
        </w:rPr>
        <w:t>被投诉人2</w:t>
      </w:r>
    </w:p>
    <w:p w14:paraId="03776DCE">
      <w:pPr>
        <w:spacing w:line="360" w:lineRule="auto"/>
        <w:rPr>
          <w:rFonts w:hint="eastAsia" w:ascii="宋体" w:hAnsi="宋体" w:cs="宋体"/>
          <w:sz w:val="24"/>
          <w:u w:val="dotted"/>
        </w:rPr>
      </w:pPr>
      <w:r>
        <w:rPr>
          <w:rFonts w:hint="eastAsia" w:ascii="宋体" w:hAnsi="宋体" w:cs="宋体"/>
          <w:sz w:val="24"/>
        </w:rPr>
        <w:t>……</w:t>
      </w:r>
    </w:p>
    <w:p w14:paraId="4CA66B51">
      <w:pPr>
        <w:spacing w:line="360" w:lineRule="auto"/>
        <w:rPr>
          <w:rFonts w:hint="eastAsia"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F860899">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3D76C74">
      <w:pPr>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56140591">
      <w:pPr>
        <w:spacing w:line="360" w:lineRule="auto"/>
        <w:rPr>
          <w:rFonts w:hint="eastAsia" w:ascii="宋体" w:hAnsi="宋体" w:cs="宋体"/>
          <w:sz w:val="24"/>
        </w:rPr>
      </w:pPr>
      <w:r>
        <w:rPr>
          <w:rFonts w:hint="eastAsia" w:ascii="宋体" w:hAnsi="宋体" w:cs="宋体"/>
          <w:sz w:val="24"/>
        </w:rPr>
        <w:t>二、投诉项目基本情况</w:t>
      </w:r>
    </w:p>
    <w:p w14:paraId="022ACAE7">
      <w:pPr>
        <w:spacing w:line="360" w:lineRule="auto"/>
        <w:rPr>
          <w:rFonts w:hint="eastAsia"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016CEA35">
      <w:pPr>
        <w:spacing w:line="360" w:lineRule="auto"/>
        <w:rPr>
          <w:rFonts w:hint="eastAsia" w:ascii="宋体" w:hAnsi="宋体" w:cs="宋体"/>
          <w:sz w:val="24"/>
          <w:u w:val="single"/>
        </w:rPr>
      </w:pPr>
      <w:r>
        <w:rPr>
          <w:rFonts w:hint="eastAsia" w:ascii="宋体" w:hAnsi="宋体" w:cs="宋体"/>
          <w:sz w:val="24"/>
        </w:rPr>
        <w:t>采购：</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B6E32BA">
      <w:pPr>
        <w:spacing w:line="360" w:lineRule="auto"/>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EEAFA0E">
      <w:pPr>
        <w:spacing w:line="360" w:lineRule="auto"/>
        <w:rPr>
          <w:rFonts w:hint="eastAsia"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99A4905">
      <w:pPr>
        <w:spacing w:line="360" w:lineRule="auto"/>
        <w:rPr>
          <w:rFonts w:hint="eastAsia"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E6E21B5">
      <w:pPr>
        <w:spacing w:line="360" w:lineRule="auto"/>
        <w:rPr>
          <w:rFonts w:hint="eastAsia"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1B29400">
      <w:pPr>
        <w:spacing w:line="360" w:lineRule="auto"/>
        <w:rPr>
          <w:rFonts w:hint="eastAsia" w:ascii="宋体" w:hAnsi="宋体" w:cs="宋体"/>
          <w:sz w:val="24"/>
        </w:rPr>
      </w:pPr>
      <w:r>
        <w:rPr>
          <w:rFonts w:hint="eastAsia" w:ascii="宋体" w:hAnsi="宋体" w:cs="宋体"/>
          <w:sz w:val="24"/>
        </w:rPr>
        <w:t>三、质疑基本情况</w:t>
      </w:r>
    </w:p>
    <w:p w14:paraId="5C59A383">
      <w:pPr>
        <w:spacing w:line="360" w:lineRule="auto"/>
        <w:ind w:firstLine="480" w:firstLineChars="200"/>
        <w:rPr>
          <w:rFonts w:hint="eastAsia"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E96B24D">
      <w:pPr>
        <w:spacing w:line="360" w:lineRule="auto"/>
        <w:rPr>
          <w:rFonts w:hint="eastAsia"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5F56CB5">
      <w:pPr>
        <w:spacing w:line="360" w:lineRule="auto"/>
        <w:ind w:firstLine="360" w:firstLineChars="150"/>
        <w:rPr>
          <w:rFonts w:hint="eastAsia"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47BD18C2">
      <w:pPr>
        <w:spacing w:line="360" w:lineRule="auto"/>
        <w:rPr>
          <w:rFonts w:hint="eastAsia" w:ascii="宋体" w:hAnsi="宋体" w:cs="宋体"/>
          <w:sz w:val="24"/>
        </w:rPr>
      </w:pPr>
      <w:r>
        <w:rPr>
          <w:rFonts w:hint="eastAsia" w:ascii="宋体" w:hAnsi="宋体" w:cs="宋体"/>
          <w:sz w:val="24"/>
        </w:rPr>
        <w:t>四、投诉事项具体内容</w:t>
      </w:r>
    </w:p>
    <w:p w14:paraId="73A79AB4">
      <w:pPr>
        <w:spacing w:line="360" w:lineRule="auto"/>
        <w:rPr>
          <w:rFonts w:hint="eastAsia"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4FC7B64">
      <w:pPr>
        <w:spacing w:line="360" w:lineRule="auto"/>
        <w:rPr>
          <w:rFonts w:hint="eastAsia"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4130263">
      <w:pPr>
        <w:spacing w:line="360" w:lineRule="auto"/>
        <w:rPr>
          <w:rFonts w:hint="eastAsia" w:ascii="宋体" w:hAnsi="宋体" w:cs="宋体"/>
          <w:sz w:val="24"/>
          <w:u w:val="dotted"/>
        </w:rPr>
      </w:pPr>
      <w:r>
        <w:rPr>
          <w:rFonts w:hint="eastAsia" w:ascii="宋体" w:hAnsi="宋体" w:cs="宋体"/>
          <w:sz w:val="24"/>
          <w:u w:val="dotted"/>
        </w:rPr>
        <w:t xml:space="preserve">                                                      </w:t>
      </w:r>
    </w:p>
    <w:p w14:paraId="3BB2BFF5">
      <w:pPr>
        <w:spacing w:line="360" w:lineRule="auto"/>
        <w:rPr>
          <w:rFonts w:hint="eastAsia"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02DE854A">
      <w:pPr>
        <w:spacing w:line="360" w:lineRule="auto"/>
        <w:rPr>
          <w:rFonts w:hint="eastAsia" w:ascii="宋体" w:hAnsi="宋体" w:cs="宋体"/>
          <w:sz w:val="24"/>
          <w:u w:val="dotted"/>
        </w:rPr>
      </w:pPr>
      <w:r>
        <w:rPr>
          <w:rFonts w:hint="eastAsia" w:ascii="宋体" w:hAnsi="宋体" w:cs="宋体"/>
          <w:sz w:val="24"/>
          <w:u w:val="dotted"/>
        </w:rPr>
        <w:t xml:space="preserve">                                                      </w:t>
      </w:r>
    </w:p>
    <w:p w14:paraId="54AE2D7D">
      <w:pPr>
        <w:spacing w:line="360" w:lineRule="auto"/>
        <w:rPr>
          <w:rFonts w:hint="eastAsia" w:ascii="宋体" w:hAnsi="宋体" w:cs="宋体"/>
          <w:sz w:val="24"/>
        </w:rPr>
      </w:pPr>
      <w:r>
        <w:rPr>
          <w:rFonts w:hint="eastAsia" w:ascii="宋体" w:hAnsi="宋体" w:cs="宋体"/>
          <w:sz w:val="24"/>
        </w:rPr>
        <w:t>投诉事项2</w:t>
      </w:r>
    </w:p>
    <w:p w14:paraId="4D2930A7">
      <w:pPr>
        <w:spacing w:line="360" w:lineRule="auto"/>
        <w:rPr>
          <w:rFonts w:hint="eastAsia" w:ascii="宋体" w:hAnsi="宋体" w:cs="宋体"/>
          <w:sz w:val="24"/>
          <w:u w:val="dotted"/>
        </w:rPr>
      </w:pPr>
      <w:r>
        <w:rPr>
          <w:rFonts w:hint="eastAsia" w:ascii="宋体" w:hAnsi="宋体" w:cs="宋体"/>
          <w:sz w:val="24"/>
        </w:rPr>
        <w:t>……</w:t>
      </w:r>
    </w:p>
    <w:p w14:paraId="1A08CF41">
      <w:pPr>
        <w:spacing w:line="360" w:lineRule="auto"/>
        <w:rPr>
          <w:rFonts w:hint="eastAsia" w:ascii="宋体" w:hAnsi="宋体" w:cs="宋体"/>
          <w:sz w:val="24"/>
        </w:rPr>
      </w:pPr>
      <w:r>
        <w:rPr>
          <w:rFonts w:hint="eastAsia" w:ascii="宋体" w:hAnsi="宋体" w:cs="宋体"/>
          <w:sz w:val="24"/>
        </w:rPr>
        <w:t>五、与投诉事项相关的投诉请求</w:t>
      </w:r>
    </w:p>
    <w:p w14:paraId="67EAA408">
      <w:pPr>
        <w:spacing w:line="360" w:lineRule="auto"/>
        <w:rPr>
          <w:rFonts w:hint="eastAsia" w:ascii="宋体" w:hAnsi="宋体" w:cs="宋体"/>
          <w:sz w:val="24"/>
          <w:u w:val="single"/>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0B163A1">
      <w:pPr>
        <w:spacing w:line="360" w:lineRule="auto"/>
        <w:rPr>
          <w:rFonts w:hint="eastAsia" w:ascii="宋体" w:hAnsi="宋体" w:cs="宋体"/>
          <w:sz w:val="24"/>
        </w:rPr>
      </w:pPr>
      <w:r>
        <w:rPr>
          <w:rFonts w:hint="eastAsia" w:ascii="宋体" w:hAnsi="宋体" w:cs="宋体"/>
          <w:sz w:val="24"/>
        </w:rPr>
        <w:t xml:space="preserve">签字(签章)：                   公章：                      </w:t>
      </w:r>
    </w:p>
    <w:p w14:paraId="3D83886A">
      <w:pPr>
        <w:spacing w:line="360" w:lineRule="auto"/>
        <w:rPr>
          <w:rFonts w:hint="eastAsia" w:ascii="宋体" w:hAnsi="宋体" w:cs="宋体"/>
          <w:sz w:val="24"/>
        </w:rPr>
      </w:pPr>
      <w:r>
        <w:rPr>
          <w:rFonts w:hint="eastAsia" w:ascii="宋体" w:hAnsi="宋体" w:cs="宋体"/>
          <w:sz w:val="24"/>
        </w:rPr>
        <w:t xml:space="preserve">日期：    </w:t>
      </w:r>
    </w:p>
    <w:p w14:paraId="49710CE3">
      <w:pPr>
        <w:spacing w:line="360" w:lineRule="auto"/>
        <w:rPr>
          <w:rFonts w:hint="eastAsia" w:ascii="宋体" w:hAnsi="宋体" w:cs="宋体"/>
          <w:b/>
          <w:sz w:val="24"/>
        </w:rPr>
      </w:pPr>
      <w:r>
        <w:rPr>
          <w:rFonts w:hint="eastAsia" w:ascii="宋体" w:hAnsi="宋体" w:cs="宋体"/>
          <w:b/>
          <w:sz w:val="24"/>
        </w:rPr>
        <w:t>投诉书制作说明：</w:t>
      </w:r>
    </w:p>
    <w:p w14:paraId="091BA2B4">
      <w:pPr>
        <w:widowControl/>
        <w:spacing w:line="360" w:lineRule="auto"/>
        <w:ind w:firstLine="480" w:firstLineChars="200"/>
        <w:rPr>
          <w:rFonts w:hint="eastAsia"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374662EB">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20DBE020">
      <w:pPr>
        <w:widowControl/>
        <w:spacing w:line="360" w:lineRule="auto"/>
        <w:ind w:firstLine="480" w:firstLineChars="200"/>
        <w:jc w:val="left"/>
        <w:rPr>
          <w:rFonts w:hint="eastAsia" w:ascii="宋体" w:hAnsi="宋体" w:cs="宋体"/>
          <w:sz w:val="24"/>
        </w:rPr>
      </w:pPr>
      <w:r>
        <w:rPr>
          <w:rFonts w:hint="eastAsia" w:ascii="宋体" w:hAnsi="宋体" w:cs="宋体"/>
          <w:sz w:val="24"/>
        </w:rPr>
        <w:t>3.投诉人若对项目的某一分包进行投诉，投诉书应列明具体分包号。</w:t>
      </w:r>
    </w:p>
    <w:p w14:paraId="56845AED">
      <w:pPr>
        <w:widowControl/>
        <w:spacing w:line="360" w:lineRule="auto"/>
        <w:ind w:firstLine="480" w:firstLineChars="200"/>
        <w:jc w:val="left"/>
        <w:rPr>
          <w:rFonts w:hint="eastAsia" w:ascii="宋体" w:hAnsi="宋体" w:cs="宋体"/>
          <w:sz w:val="24"/>
        </w:rPr>
      </w:pPr>
      <w:r>
        <w:rPr>
          <w:rFonts w:hint="eastAsia" w:ascii="宋体" w:hAnsi="宋体" w:cs="宋体"/>
          <w:sz w:val="24"/>
        </w:rPr>
        <w:t>4.投诉书应简要列明质疑事项，质疑函、质疑答复等作为附件材料提供。</w:t>
      </w:r>
    </w:p>
    <w:p w14:paraId="62631F0C">
      <w:pPr>
        <w:widowControl/>
        <w:spacing w:line="360" w:lineRule="auto"/>
        <w:ind w:firstLine="480" w:firstLineChars="200"/>
        <w:jc w:val="left"/>
        <w:rPr>
          <w:rFonts w:hint="eastAsia" w:ascii="宋体" w:hAnsi="宋体" w:cs="宋体"/>
          <w:sz w:val="24"/>
        </w:rPr>
      </w:pPr>
      <w:r>
        <w:rPr>
          <w:rFonts w:hint="eastAsia" w:ascii="宋体" w:hAnsi="宋体" w:cs="宋体"/>
          <w:sz w:val="24"/>
        </w:rPr>
        <w:t>5.投诉书的投诉事项应具体、明确，并有必要的事实依据和法律依据。</w:t>
      </w:r>
    </w:p>
    <w:p w14:paraId="58876631">
      <w:pPr>
        <w:widowControl/>
        <w:spacing w:line="360" w:lineRule="auto"/>
        <w:ind w:firstLine="480" w:firstLineChars="200"/>
        <w:jc w:val="left"/>
        <w:rPr>
          <w:rFonts w:hint="eastAsia" w:ascii="宋体" w:hAnsi="宋体" w:cs="宋体"/>
          <w:sz w:val="24"/>
        </w:rPr>
      </w:pPr>
      <w:r>
        <w:rPr>
          <w:rFonts w:hint="eastAsia" w:ascii="宋体" w:hAnsi="宋体" w:cs="宋体"/>
          <w:sz w:val="24"/>
        </w:rPr>
        <w:t>6.投诉书的投诉请求应与投诉事项相关。</w:t>
      </w:r>
    </w:p>
    <w:p w14:paraId="26F3CC0C">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2A4F2C2">
      <w:pPr>
        <w:autoSpaceDE w:val="0"/>
        <w:autoSpaceDN w:val="0"/>
        <w:jc w:val="center"/>
        <w:rPr>
          <w:rFonts w:hint="eastAsia" w:ascii="宋体" w:hAnsi="宋体" w:cs="宋体"/>
          <w:b/>
          <w:spacing w:val="6"/>
          <w:sz w:val="32"/>
          <w:szCs w:val="32"/>
        </w:rPr>
      </w:pPr>
    </w:p>
    <w:p w14:paraId="6CA7C135">
      <w:pPr>
        <w:rPr>
          <w:rFonts w:hint="eastAsia" w:ascii="宋体" w:hAnsi="宋体" w:cs="宋体"/>
          <w:b/>
          <w:spacing w:val="6"/>
          <w:sz w:val="32"/>
          <w:szCs w:val="32"/>
        </w:rPr>
      </w:pPr>
      <w:r>
        <w:rPr>
          <w:rFonts w:hint="eastAsia" w:ascii="宋体" w:hAnsi="宋体" w:cs="宋体"/>
          <w:b/>
          <w:spacing w:val="6"/>
          <w:sz w:val="32"/>
          <w:szCs w:val="32"/>
        </w:rPr>
        <w:br w:type="page"/>
      </w:r>
    </w:p>
    <w:p w14:paraId="29C3DBE8">
      <w:pPr>
        <w:spacing w:line="360" w:lineRule="auto"/>
        <w:jc w:val="center"/>
        <w:outlineLvl w:val="0"/>
        <w:rPr>
          <w:rFonts w:hint="eastAsia" w:ascii="宋体" w:hAnsi="宋体" w:cs="宋体"/>
          <w:b/>
          <w:sz w:val="36"/>
          <w:szCs w:val="20"/>
        </w:rPr>
      </w:pPr>
      <w:r>
        <w:rPr>
          <w:rFonts w:hint="eastAsia" w:ascii="宋体" w:hAnsi="宋体" w:cs="宋体"/>
          <w:b/>
          <w:sz w:val="36"/>
          <w:szCs w:val="20"/>
        </w:rPr>
        <w:t>附件4：业务专用章使用说明函</w:t>
      </w:r>
    </w:p>
    <w:p w14:paraId="0B8D5A79">
      <w:pPr>
        <w:spacing w:line="360" w:lineRule="auto"/>
        <w:rPr>
          <w:rFonts w:hint="eastAsia" w:ascii="宋体" w:hAnsi="宋体" w:cs="宋体"/>
          <w:sz w:val="24"/>
          <w:u w:val="single"/>
        </w:rPr>
      </w:pPr>
    </w:p>
    <w:p w14:paraId="6D2913D2">
      <w:pPr>
        <w:spacing w:line="360" w:lineRule="auto"/>
        <w:rPr>
          <w:rFonts w:hint="eastAsia" w:ascii="宋体" w:hAnsi="宋体" w:cs="宋体"/>
          <w:sz w:val="24"/>
        </w:rPr>
      </w:pPr>
      <w:r>
        <w:rPr>
          <w:rFonts w:hint="eastAsia" w:ascii="宋体" w:hAnsi="宋体" w:cs="宋体"/>
          <w:sz w:val="24"/>
          <w:u w:val="single"/>
        </w:rPr>
        <w:t>（采购人）、（采购代理机构）：</w:t>
      </w:r>
    </w:p>
    <w:p w14:paraId="6EEC18BA">
      <w:pPr>
        <w:spacing w:line="360" w:lineRule="auto"/>
        <w:ind w:firstLine="480" w:firstLineChars="200"/>
        <w:rPr>
          <w:rFonts w:hint="eastAsia"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25206CB0">
      <w:pPr>
        <w:spacing w:line="360" w:lineRule="auto"/>
        <w:ind w:firstLine="480" w:firstLineChars="200"/>
        <w:rPr>
          <w:rFonts w:hint="eastAsia" w:ascii="宋体" w:hAnsi="宋体" w:cs="宋体"/>
          <w:sz w:val="24"/>
        </w:rPr>
      </w:pPr>
      <w:r>
        <w:rPr>
          <w:rFonts w:hint="eastAsia" w:ascii="宋体" w:hAnsi="宋体" w:cs="宋体"/>
          <w:sz w:val="24"/>
        </w:rPr>
        <w:t>特此说明。</w:t>
      </w:r>
    </w:p>
    <w:p w14:paraId="713A7072">
      <w:pPr>
        <w:spacing w:line="360" w:lineRule="auto"/>
        <w:ind w:firstLine="494"/>
        <w:rPr>
          <w:rFonts w:hint="eastAsia" w:ascii="宋体" w:hAnsi="宋体" w:cs="宋体"/>
          <w:sz w:val="24"/>
        </w:rPr>
      </w:pPr>
    </w:p>
    <w:p w14:paraId="32B7DF5E">
      <w:pPr>
        <w:spacing w:line="360" w:lineRule="auto"/>
        <w:ind w:firstLine="494"/>
        <w:rPr>
          <w:rFonts w:hint="eastAsia" w:ascii="宋体" w:hAnsi="宋体" w:cs="宋体"/>
          <w:sz w:val="24"/>
        </w:rPr>
      </w:pPr>
    </w:p>
    <w:p w14:paraId="46979FD2">
      <w:pPr>
        <w:spacing w:line="360" w:lineRule="auto"/>
        <w:ind w:firstLine="494"/>
        <w:rPr>
          <w:rFonts w:hint="eastAsia" w:ascii="宋体" w:hAnsi="宋体" w:cs="宋体"/>
          <w:sz w:val="24"/>
        </w:rPr>
      </w:pPr>
    </w:p>
    <w:p w14:paraId="3AB64BBB">
      <w:pPr>
        <w:spacing w:line="360" w:lineRule="auto"/>
        <w:ind w:firstLine="494"/>
        <w:rPr>
          <w:rFonts w:hint="eastAsia" w:ascii="宋体" w:hAnsi="宋体" w:cs="宋体"/>
          <w:sz w:val="24"/>
        </w:rPr>
      </w:pPr>
    </w:p>
    <w:p w14:paraId="56F35707">
      <w:pPr>
        <w:spacing w:line="360" w:lineRule="auto"/>
        <w:ind w:right="480" w:firstLine="4080" w:firstLineChars="1700"/>
        <w:rPr>
          <w:rFonts w:hint="eastAsia" w:ascii="宋体" w:hAnsi="宋体" w:cs="宋体"/>
          <w:sz w:val="24"/>
        </w:rPr>
      </w:pPr>
      <w:r>
        <w:rPr>
          <w:rFonts w:hint="eastAsia" w:ascii="宋体" w:hAnsi="宋体" w:cs="宋体"/>
          <w:sz w:val="24"/>
        </w:rPr>
        <w:t>投标单位（法定名称章）：</w:t>
      </w:r>
    </w:p>
    <w:p w14:paraId="23DDC734">
      <w:pPr>
        <w:ind w:right="1440" w:firstLine="494"/>
        <w:jc w:val="center"/>
        <w:rPr>
          <w:rFonts w:hint="eastAsia" w:ascii="宋体" w:hAnsi="宋体" w:cs="宋体"/>
          <w:sz w:val="24"/>
        </w:rPr>
      </w:pPr>
      <w:r>
        <w:rPr>
          <w:rFonts w:hint="eastAsia" w:ascii="宋体" w:hAnsi="宋体" w:cs="宋体"/>
          <w:sz w:val="24"/>
        </w:rPr>
        <w:t xml:space="preserve">                              日期：       年     月     日</w:t>
      </w:r>
    </w:p>
    <w:p w14:paraId="02743BCE">
      <w:pPr>
        <w:rPr>
          <w:rFonts w:hint="eastAsia" w:ascii="宋体" w:hAnsi="宋体" w:cs="宋体"/>
          <w:sz w:val="24"/>
        </w:rPr>
      </w:pPr>
      <w:r>
        <w:rPr>
          <w:rFonts w:hint="eastAsia" w:ascii="宋体" w:hAnsi="宋体" w:cs="宋体"/>
          <w:b/>
          <w:bCs/>
          <w:sz w:val="24"/>
        </w:rPr>
        <w:t>附：</w:t>
      </w:r>
    </w:p>
    <w:p w14:paraId="2B9717CC">
      <w:pPr>
        <w:spacing w:line="360" w:lineRule="auto"/>
        <w:rPr>
          <w:rFonts w:hint="eastAsia"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4445" t="4445" r="15240"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4445" t="4445" r="14605"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sz w:val="24"/>
        </w:rPr>
        <w:t>投标单位法定名称章（印模）                投标单位“XX专用章”（印模）</w:t>
      </w:r>
    </w:p>
    <w:p w14:paraId="3503694D">
      <w:pPr>
        <w:autoSpaceDE w:val="0"/>
        <w:autoSpaceDN w:val="0"/>
        <w:jc w:val="center"/>
        <w:rPr>
          <w:rFonts w:hint="eastAsia" w:ascii="宋体" w:hAnsi="宋体" w:cs="宋体"/>
          <w:b/>
          <w:spacing w:val="6"/>
          <w:sz w:val="32"/>
          <w:szCs w:val="32"/>
        </w:rPr>
      </w:pPr>
    </w:p>
    <w:p w14:paraId="5E8446F0">
      <w:pPr>
        <w:autoSpaceDE w:val="0"/>
        <w:autoSpaceDN w:val="0"/>
        <w:jc w:val="center"/>
        <w:rPr>
          <w:rFonts w:hint="eastAsia" w:ascii="宋体" w:hAnsi="宋体" w:cs="宋体"/>
          <w:b/>
          <w:spacing w:val="6"/>
          <w:sz w:val="32"/>
          <w:szCs w:val="32"/>
        </w:rPr>
      </w:pPr>
    </w:p>
    <w:p w14:paraId="17EA8B88">
      <w:pPr>
        <w:autoSpaceDE w:val="0"/>
        <w:autoSpaceDN w:val="0"/>
        <w:jc w:val="center"/>
        <w:rPr>
          <w:rFonts w:hint="eastAsia" w:ascii="宋体" w:hAnsi="宋体" w:cs="宋体"/>
          <w:b/>
          <w:spacing w:val="6"/>
          <w:sz w:val="32"/>
          <w:szCs w:val="32"/>
        </w:rPr>
      </w:pPr>
    </w:p>
    <w:p w14:paraId="1937EC7A">
      <w:pPr>
        <w:autoSpaceDE w:val="0"/>
        <w:autoSpaceDN w:val="0"/>
        <w:jc w:val="center"/>
        <w:rPr>
          <w:rFonts w:hint="eastAsia" w:ascii="宋体" w:hAnsi="宋体" w:cs="宋体"/>
          <w:b/>
          <w:spacing w:val="6"/>
          <w:sz w:val="32"/>
          <w:szCs w:val="32"/>
        </w:rPr>
      </w:pPr>
    </w:p>
    <w:p w14:paraId="2F071970">
      <w:pPr>
        <w:autoSpaceDE w:val="0"/>
        <w:autoSpaceDN w:val="0"/>
        <w:jc w:val="center"/>
        <w:rPr>
          <w:rFonts w:hint="eastAsia" w:ascii="宋体" w:hAnsi="宋体" w:cs="宋体"/>
          <w:b/>
          <w:spacing w:val="6"/>
          <w:sz w:val="32"/>
          <w:szCs w:val="32"/>
        </w:rPr>
      </w:pPr>
    </w:p>
    <w:p w14:paraId="73869133">
      <w:pPr>
        <w:autoSpaceDE w:val="0"/>
        <w:autoSpaceDN w:val="0"/>
        <w:jc w:val="center"/>
        <w:rPr>
          <w:rFonts w:hint="eastAsia" w:ascii="宋体" w:hAnsi="宋体" w:cs="宋体"/>
          <w:b/>
          <w:spacing w:val="6"/>
          <w:sz w:val="32"/>
          <w:szCs w:val="32"/>
        </w:rPr>
      </w:pPr>
    </w:p>
    <w:p w14:paraId="1A7B4F38">
      <w:pPr>
        <w:autoSpaceDE w:val="0"/>
        <w:autoSpaceDN w:val="0"/>
        <w:jc w:val="center"/>
        <w:rPr>
          <w:rFonts w:hint="eastAsia" w:ascii="宋体" w:hAnsi="宋体" w:cs="宋体"/>
          <w:b/>
          <w:spacing w:val="6"/>
          <w:sz w:val="32"/>
          <w:szCs w:val="32"/>
        </w:rPr>
      </w:pPr>
    </w:p>
    <w:p w14:paraId="186871F6">
      <w:pPr>
        <w:autoSpaceDE w:val="0"/>
        <w:autoSpaceDN w:val="0"/>
        <w:jc w:val="center"/>
        <w:rPr>
          <w:rFonts w:hint="eastAsia" w:ascii="宋体" w:hAnsi="宋体" w:cs="宋体"/>
          <w:b/>
          <w:spacing w:val="6"/>
          <w:sz w:val="32"/>
          <w:szCs w:val="32"/>
        </w:rPr>
      </w:pPr>
    </w:p>
    <w:p w14:paraId="037C75B5">
      <w:pPr>
        <w:autoSpaceDE w:val="0"/>
        <w:autoSpaceDN w:val="0"/>
        <w:jc w:val="center"/>
        <w:rPr>
          <w:rFonts w:hint="eastAsia" w:ascii="宋体" w:hAnsi="宋体" w:cs="宋体"/>
          <w:b/>
          <w:spacing w:val="6"/>
          <w:sz w:val="32"/>
          <w:szCs w:val="32"/>
        </w:rPr>
      </w:pPr>
    </w:p>
    <w:p w14:paraId="1BC252F7">
      <w:pPr>
        <w:autoSpaceDE w:val="0"/>
        <w:autoSpaceDN w:val="0"/>
        <w:jc w:val="center"/>
        <w:rPr>
          <w:rFonts w:hint="eastAsia" w:ascii="宋体" w:hAnsi="宋体" w:cs="宋体"/>
          <w:b/>
          <w:spacing w:val="6"/>
          <w:sz w:val="32"/>
          <w:szCs w:val="32"/>
        </w:rPr>
      </w:pPr>
    </w:p>
    <w:p w14:paraId="77E9C848">
      <w:pPr>
        <w:rPr>
          <w:rFonts w:hint="eastAsia" w:ascii="宋体" w:hAnsi="宋体" w:cs="宋体"/>
          <w:b/>
          <w:spacing w:val="6"/>
          <w:sz w:val="32"/>
          <w:szCs w:val="32"/>
        </w:rPr>
      </w:pPr>
      <w:r>
        <w:rPr>
          <w:rFonts w:hint="eastAsia" w:ascii="宋体" w:hAnsi="宋体" w:cs="宋体"/>
          <w:b/>
          <w:spacing w:val="6"/>
          <w:sz w:val="32"/>
          <w:szCs w:val="32"/>
        </w:rPr>
        <w:br w:type="page"/>
      </w:r>
    </w:p>
    <w:p w14:paraId="00294620">
      <w:pPr>
        <w:snapToGrid w:val="0"/>
        <w:spacing w:line="360" w:lineRule="auto"/>
        <w:jc w:val="center"/>
        <w:outlineLvl w:val="0"/>
        <w:rPr>
          <w:rFonts w:hint="eastAsia" w:ascii="宋体" w:hAnsi="宋体" w:eastAsia="宋体" w:cs="宋体"/>
          <w:b/>
          <w:color w:val="auto"/>
          <w:kern w:val="2"/>
          <w:sz w:val="36"/>
          <w:szCs w:val="20"/>
          <w:highlight w:val="none"/>
        </w:rPr>
      </w:pPr>
      <w:r>
        <w:rPr>
          <w:rFonts w:hint="eastAsia" w:ascii="宋体" w:hAnsi="宋体" w:eastAsia="宋体" w:cs="宋体"/>
          <w:b/>
          <w:color w:val="auto"/>
          <w:kern w:val="2"/>
          <w:sz w:val="36"/>
          <w:szCs w:val="20"/>
          <w:highlight w:val="none"/>
        </w:rPr>
        <w:t>附件5：联合协议</w:t>
      </w:r>
    </w:p>
    <w:p w14:paraId="566A8AA9">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439E90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投标。 </w:t>
      </w:r>
    </w:p>
    <w:p w14:paraId="5206F93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0EA123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5AF7DD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52110DF">
      <w:pPr>
        <w:snapToGrid w:val="0"/>
        <w:spacing w:line="360" w:lineRule="auto"/>
        <w:ind w:firstLine="576"/>
        <w:rPr>
          <w:rFonts w:hint="eastAsia" w:ascii="宋体" w:hAnsi="宋体" w:eastAsia="宋体" w:cs="宋体"/>
          <w:color w:val="auto"/>
          <w:kern w:val="0"/>
          <w:sz w:val="24"/>
          <w:highlight w:val="none"/>
          <w:lang w:val="zh-CN"/>
        </w:rPr>
      </w:pPr>
      <w:bookmarkStart w:id="411" w:name="_Hlk101134295"/>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FC7BF9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6C24BE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bookmarkEnd w:id="411"/>
    <w:p w14:paraId="2AF48F4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3F6ACECC">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4E3F25A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0A314F1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7876E6A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1DC3B22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45DEB31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65D5DA8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02A80843">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5F596789">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72767371">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055FA96D">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DE4AC0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9F9D76">
      <w:pPr>
        <w:autoSpaceDE w:val="0"/>
        <w:autoSpaceDN w:val="0"/>
        <w:jc w:val="center"/>
        <w:rPr>
          <w:rFonts w:hint="eastAsia" w:ascii="宋体" w:hAnsi="宋体" w:eastAsia="宋体" w:cs="宋体"/>
          <w:b/>
          <w:color w:val="auto"/>
          <w:spacing w:val="6"/>
          <w:sz w:val="32"/>
          <w:szCs w:val="32"/>
          <w:highlight w:val="none"/>
        </w:rPr>
      </w:pPr>
    </w:p>
    <w:p w14:paraId="3439256E">
      <w:pPr>
        <w:autoSpaceDE w:val="0"/>
        <w:autoSpaceDN w:val="0"/>
        <w:jc w:val="center"/>
        <w:rPr>
          <w:rFonts w:hint="eastAsia" w:ascii="宋体" w:hAnsi="宋体" w:eastAsia="宋体" w:cs="宋体"/>
          <w:b/>
          <w:color w:val="auto"/>
          <w:spacing w:val="6"/>
          <w:sz w:val="32"/>
          <w:szCs w:val="32"/>
          <w:highlight w:val="none"/>
        </w:rPr>
      </w:pPr>
    </w:p>
    <w:p w14:paraId="12820784">
      <w:pPr>
        <w:autoSpaceDE w:val="0"/>
        <w:autoSpaceDN w:val="0"/>
        <w:jc w:val="center"/>
        <w:rPr>
          <w:rFonts w:hint="eastAsia" w:ascii="宋体" w:hAnsi="宋体" w:eastAsia="宋体" w:cs="宋体"/>
          <w:b/>
          <w:color w:val="auto"/>
          <w:spacing w:val="6"/>
          <w:sz w:val="32"/>
          <w:szCs w:val="32"/>
          <w:highlight w:val="none"/>
        </w:rPr>
      </w:pPr>
    </w:p>
    <w:p w14:paraId="427BA43F">
      <w:pPr>
        <w:autoSpaceDE w:val="0"/>
        <w:autoSpaceDN w:val="0"/>
        <w:jc w:val="center"/>
        <w:rPr>
          <w:rFonts w:hint="eastAsia" w:ascii="宋体" w:hAnsi="宋体" w:eastAsia="宋体" w:cs="宋体"/>
          <w:b/>
          <w:color w:val="auto"/>
          <w:spacing w:val="6"/>
          <w:sz w:val="32"/>
          <w:szCs w:val="32"/>
          <w:highlight w:val="none"/>
        </w:rPr>
      </w:pPr>
    </w:p>
    <w:p w14:paraId="5BCB4350">
      <w:pPr>
        <w:pStyle w:val="81"/>
        <w:rPr>
          <w:rFonts w:hint="eastAsia" w:ascii="宋体" w:hAnsi="宋体" w:eastAsia="宋体" w:cs="宋体"/>
          <w:b/>
          <w:color w:val="auto"/>
          <w:spacing w:val="6"/>
          <w:sz w:val="32"/>
          <w:szCs w:val="32"/>
          <w:highlight w:val="none"/>
        </w:rPr>
      </w:pPr>
    </w:p>
    <w:p w14:paraId="4041E00B">
      <w:pPr>
        <w:pStyle w:val="81"/>
        <w:rPr>
          <w:rFonts w:hint="eastAsia" w:ascii="宋体" w:hAnsi="宋体" w:eastAsia="宋体" w:cs="宋体"/>
          <w:b/>
          <w:color w:val="auto"/>
          <w:spacing w:val="6"/>
          <w:sz w:val="32"/>
          <w:szCs w:val="32"/>
          <w:highlight w:val="none"/>
        </w:rPr>
      </w:pPr>
    </w:p>
    <w:p w14:paraId="7AFF353E">
      <w:pPr>
        <w:pStyle w:val="81"/>
        <w:rPr>
          <w:rFonts w:hint="eastAsia" w:ascii="宋体" w:hAnsi="宋体" w:eastAsia="宋体" w:cs="宋体"/>
          <w:b/>
          <w:color w:val="auto"/>
          <w:spacing w:val="6"/>
          <w:sz w:val="32"/>
          <w:szCs w:val="32"/>
          <w:highlight w:val="none"/>
        </w:rPr>
      </w:pPr>
    </w:p>
    <w:p w14:paraId="576AF20A">
      <w:pPr>
        <w:pStyle w:val="81"/>
        <w:rPr>
          <w:rFonts w:hint="eastAsia" w:ascii="宋体" w:hAnsi="宋体" w:eastAsia="宋体" w:cs="宋体"/>
          <w:b/>
          <w:color w:val="auto"/>
          <w:spacing w:val="6"/>
          <w:sz w:val="32"/>
          <w:szCs w:val="32"/>
          <w:highlight w:val="none"/>
        </w:rPr>
      </w:pPr>
    </w:p>
    <w:p w14:paraId="177CD6A4">
      <w:pPr>
        <w:pStyle w:val="81"/>
        <w:rPr>
          <w:rFonts w:hint="eastAsia" w:ascii="宋体" w:hAnsi="宋体" w:eastAsia="宋体" w:cs="宋体"/>
          <w:b/>
          <w:color w:val="auto"/>
          <w:spacing w:val="6"/>
          <w:sz w:val="32"/>
          <w:szCs w:val="32"/>
          <w:highlight w:val="none"/>
        </w:rPr>
      </w:pPr>
    </w:p>
    <w:p w14:paraId="4DC462E1">
      <w:pPr>
        <w:pStyle w:val="81"/>
        <w:rPr>
          <w:rFonts w:hint="eastAsia" w:ascii="宋体" w:hAnsi="宋体" w:eastAsia="宋体" w:cs="宋体"/>
          <w:b/>
          <w:color w:val="auto"/>
          <w:spacing w:val="6"/>
          <w:sz w:val="32"/>
          <w:szCs w:val="32"/>
          <w:highlight w:val="none"/>
        </w:rPr>
      </w:pPr>
    </w:p>
    <w:p w14:paraId="4473894C">
      <w:pPr>
        <w:pStyle w:val="81"/>
        <w:rPr>
          <w:rFonts w:hint="eastAsia" w:ascii="宋体" w:hAnsi="宋体" w:eastAsia="宋体" w:cs="宋体"/>
          <w:b/>
          <w:color w:val="auto"/>
          <w:spacing w:val="6"/>
          <w:sz w:val="32"/>
          <w:szCs w:val="32"/>
          <w:highlight w:val="none"/>
        </w:rPr>
      </w:pPr>
    </w:p>
    <w:p w14:paraId="5C4321A1">
      <w:pPr>
        <w:pStyle w:val="81"/>
        <w:rPr>
          <w:rFonts w:hint="eastAsia" w:ascii="宋体" w:hAnsi="宋体" w:eastAsia="宋体" w:cs="宋体"/>
          <w:b/>
          <w:color w:val="auto"/>
          <w:spacing w:val="6"/>
          <w:sz w:val="32"/>
          <w:szCs w:val="32"/>
          <w:highlight w:val="none"/>
        </w:rPr>
      </w:pPr>
    </w:p>
    <w:p w14:paraId="09BE4957">
      <w:pPr>
        <w:pStyle w:val="81"/>
        <w:rPr>
          <w:rFonts w:hint="eastAsia" w:ascii="宋体" w:hAnsi="宋体" w:eastAsia="宋体" w:cs="宋体"/>
          <w:b/>
          <w:color w:val="auto"/>
          <w:spacing w:val="6"/>
          <w:sz w:val="32"/>
          <w:szCs w:val="32"/>
          <w:highlight w:val="none"/>
        </w:rPr>
      </w:pPr>
    </w:p>
    <w:p w14:paraId="266278AD">
      <w:pPr>
        <w:pStyle w:val="81"/>
        <w:rPr>
          <w:rFonts w:hint="eastAsia" w:ascii="宋体" w:hAnsi="宋体" w:eastAsia="宋体" w:cs="宋体"/>
          <w:b/>
          <w:color w:val="auto"/>
          <w:spacing w:val="6"/>
          <w:sz w:val="32"/>
          <w:szCs w:val="32"/>
          <w:highlight w:val="none"/>
        </w:rPr>
      </w:pPr>
    </w:p>
    <w:p w14:paraId="35FCBC83">
      <w:pPr>
        <w:pStyle w:val="81"/>
        <w:rPr>
          <w:rFonts w:hint="eastAsia" w:ascii="宋体" w:hAnsi="宋体" w:eastAsia="宋体" w:cs="宋体"/>
          <w:b/>
          <w:color w:val="auto"/>
          <w:spacing w:val="6"/>
          <w:sz w:val="32"/>
          <w:szCs w:val="32"/>
          <w:highlight w:val="none"/>
        </w:rPr>
      </w:pPr>
    </w:p>
    <w:p w14:paraId="7DD18B97">
      <w:pPr>
        <w:pStyle w:val="81"/>
        <w:rPr>
          <w:rFonts w:hint="eastAsia" w:ascii="宋体" w:hAnsi="宋体" w:eastAsia="宋体" w:cs="宋体"/>
          <w:b/>
          <w:color w:val="auto"/>
          <w:spacing w:val="6"/>
          <w:sz w:val="32"/>
          <w:szCs w:val="32"/>
          <w:highlight w:val="none"/>
        </w:rPr>
      </w:pPr>
    </w:p>
    <w:p w14:paraId="4848CE2E">
      <w:pPr>
        <w:pStyle w:val="81"/>
        <w:rPr>
          <w:rFonts w:hint="eastAsia" w:ascii="宋体" w:hAnsi="宋体" w:eastAsia="宋体" w:cs="宋体"/>
          <w:b/>
          <w:color w:val="auto"/>
          <w:spacing w:val="6"/>
          <w:sz w:val="32"/>
          <w:szCs w:val="32"/>
          <w:highlight w:val="none"/>
        </w:rPr>
      </w:pPr>
    </w:p>
    <w:p w14:paraId="0842F6D2">
      <w:pPr>
        <w:pStyle w:val="81"/>
        <w:rPr>
          <w:rFonts w:hint="eastAsia" w:ascii="宋体" w:hAnsi="宋体" w:eastAsia="宋体" w:cs="宋体"/>
          <w:b/>
          <w:color w:val="auto"/>
          <w:spacing w:val="6"/>
          <w:sz w:val="32"/>
          <w:szCs w:val="32"/>
          <w:highlight w:val="none"/>
        </w:rPr>
      </w:pPr>
    </w:p>
    <w:p w14:paraId="4073A2FB">
      <w:pPr>
        <w:pStyle w:val="81"/>
        <w:rPr>
          <w:rFonts w:hint="eastAsia" w:ascii="宋体" w:hAnsi="宋体" w:eastAsia="宋体" w:cs="宋体"/>
          <w:b/>
          <w:color w:val="auto"/>
          <w:spacing w:val="6"/>
          <w:sz w:val="32"/>
          <w:szCs w:val="32"/>
          <w:highlight w:val="none"/>
        </w:rPr>
      </w:pPr>
    </w:p>
    <w:p w14:paraId="2AC37F77">
      <w:pPr>
        <w:pStyle w:val="81"/>
        <w:rPr>
          <w:rFonts w:hint="eastAsia" w:ascii="宋体" w:hAnsi="宋体" w:eastAsia="宋体" w:cs="宋体"/>
          <w:b/>
          <w:color w:val="auto"/>
          <w:spacing w:val="6"/>
          <w:sz w:val="32"/>
          <w:szCs w:val="32"/>
          <w:highlight w:val="none"/>
        </w:rPr>
      </w:pPr>
    </w:p>
    <w:p w14:paraId="2DA90400">
      <w:pPr>
        <w:pStyle w:val="81"/>
        <w:rPr>
          <w:rFonts w:hint="eastAsia" w:ascii="宋体" w:hAnsi="宋体" w:eastAsia="宋体" w:cs="宋体"/>
          <w:b/>
          <w:color w:val="auto"/>
          <w:spacing w:val="6"/>
          <w:sz w:val="32"/>
          <w:szCs w:val="32"/>
          <w:highlight w:val="none"/>
        </w:rPr>
      </w:pPr>
    </w:p>
    <w:p w14:paraId="662F310C">
      <w:pPr>
        <w:pStyle w:val="81"/>
        <w:rPr>
          <w:rFonts w:hint="eastAsia" w:ascii="宋体" w:hAnsi="宋体" w:eastAsia="宋体" w:cs="宋体"/>
          <w:b/>
          <w:color w:val="auto"/>
          <w:spacing w:val="6"/>
          <w:sz w:val="32"/>
          <w:szCs w:val="32"/>
          <w:highlight w:val="none"/>
        </w:rPr>
      </w:pPr>
    </w:p>
    <w:p w14:paraId="7CFB1928">
      <w:pPr>
        <w:pStyle w:val="81"/>
        <w:rPr>
          <w:rFonts w:hint="eastAsia" w:ascii="宋体" w:hAnsi="宋体" w:eastAsia="宋体" w:cs="宋体"/>
          <w:b/>
          <w:color w:val="auto"/>
          <w:spacing w:val="6"/>
          <w:sz w:val="32"/>
          <w:szCs w:val="32"/>
          <w:highlight w:val="none"/>
        </w:rPr>
      </w:pPr>
    </w:p>
    <w:p w14:paraId="1C9048A9">
      <w:pPr>
        <w:pStyle w:val="81"/>
        <w:rPr>
          <w:rFonts w:hint="eastAsia" w:ascii="宋体" w:hAnsi="宋体" w:eastAsia="宋体" w:cs="宋体"/>
          <w:b/>
          <w:color w:val="auto"/>
          <w:spacing w:val="6"/>
          <w:sz w:val="32"/>
          <w:szCs w:val="32"/>
          <w:highlight w:val="none"/>
        </w:rPr>
      </w:pPr>
    </w:p>
    <w:p w14:paraId="6BCC76A7">
      <w:pPr>
        <w:pStyle w:val="81"/>
        <w:ind w:left="0" w:leftChars="0" w:firstLine="0" w:firstLineChars="0"/>
        <w:rPr>
          <w:rFonts w:hint="eastAsia" w:ascii="宋体" w:hAnsi="宋体" w:eastAsia="宋体" w:cs="宋体"/>
          <w:b/>
          <w:color w:val="auto"/>
          <w:spacing w:val="6"/>
          <w:sz w:val="32"/>
          <w:szCs w:val="32"/>
          <w:highlight w:val="none"/>
        </w:rPr>
      </w:pPr>
    </w:p>
    <w:p w14:paraId="54BAE1D9">
      <w:pPr>
        <w:snapToGrid/>
        <w:spacing w:line="240" w:lineRule="auto"/>
        <w:jc w:val="left"/>
        <w:outlineLvl w:val="9"/>
        <w:rPr>
          <w:rFonts w:hint="eastAsia" w:ascii="宋体" w:hAnsi="宋体" w:eastAsia="宋体" w:cs="宋体"/>
          <w:b/>
          <w:color w:val="auto"/>
          <w:kern w:val="2"/>
          <w:sz w:val="36"/>
          <w:szCs w:val="20"/>
          <w:highlight w:val="none"/>
        </w:rPr>
      </w:pPr>
      <w:r>
        <w:rPr>
          <w:rFonts w:hint="eastAsia" w:ascii="宋体" w:hAnsi="宋体" w:eastAsia="宋体" w:cs="宋体"/>
          <w:b/>
          <w:color w:val="auto"/>
          <w:kern w:val="2"/>
          <w:sz w:val="36"/>
          <w:szCs w:val="20"/>
          <w:highlight w:val="none"/>
        </w:rPr>
        <w:br w:type="page"/>
      </w:r>
    </w:p>
    <w:p w14:paraId="48596C08">
      <w:pPr>
        <w:snapToGrid w:val="0"/>
        <w:spacing w:line="360" w:lineRule="auto"/>
        <w:jc w:val="center"/>
        <w:outlineLvl w:val="0"/>
        <w:rPr>
          <w:rFonts w:hint="eastAsia" w:ascii="宋体" w:hAnsi="宋体" w:eastAsia="宋体" w:cs="宋体"/>
          <w:b/>
          <w:color w:val="auto"/>
          <w:kern w:val="2"/>
          <w:sz w:val="36"/>
          <w:szCs w:val="20"/>
          <w:highlight w:val="none"/>
        </w:rPr>
      </w:pPr>
      <w:r>
        <w:rPr>
          <w:rFonts w:hint="eastAsia" w:ascii="宋体" w:hAnsi="宋体" w:eastAsia="宋体" w:cs="宋体"/>
          <w:b/>
          <w:color w:val="auto"/>
          <w:kern w:val="2"/>
          <w:sz w:val="36"/>
          <w:szCs w:val="20"/>
          <w:highlight w:val="none"/>
        </w:rPr>
        <w:t>附件6：分包意向协议</w:t>
      </w:r>
    </w:p>
    <w:p w14:paraId="267AFCB3">
      <w:pPr>
        <w:pageBreakBefore w:val="0"/>
        <w:widowControl/>
        <w:kinsoku/>
        <w:wordWrap/>
        <w:overflowPunct/>
        <w:topLinePunct w:val="0"/>
        <w:autoSpaceDE/>
        <w:autoSpaceDN/>
        <w:bidi w:val="0"/>
        <w:spacing w:line="400" w:lineRule="exact"/>
        <w:ind w:firstLine="120" w:firstLineChars="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77D70C3">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17F8559D">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6DAC650">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7370A9C1">
      <w:pPr>
        <w:bidi w:val="0"/>
        <w:rPr>
          <w:rFonts w:hint="eastAsia" w:ascii="宋体" w:hAnsi="宋体" w:eastAsia="宋体" w:cs="宋体"/>
        </w:rPr>
      </w:pPr>
      <w:r>
        <w:rPr>
          <w:rFonts w:hint="eastAsia" w:ascii="宋体" w:hAnsi="宋体" w:eastAsia="宋体" w:cs="宋体"/>
        </w:rPr>
        <w:t>……</w:t>
      </w:r>
    </w:p>
    <w:p w14:paraId="2EAAAC54">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754355DB">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D1F68C8">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28E37668">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02C16717">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7B2E2115">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1A4B4AF8">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6E77269">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5B3B116E">
      <w:pPr>
        <w:pageBreakBefore w:val="0"/>
        <w:kinsoku/>
        <w:wordWrap/>
        <w:overflowPunct/>
        <w:topLinePunct w:val="0"/>
        <w:autoSpaceDE/>
        <w:autoSpaceDN/>
        <w:bidi w:val="0"/>
        <w:snapToGrid w:val="0"/>
        <w:spacing w:line="400" w:lineRule="exact"/>
        <w:ind w:left="573" w:leftChars="273"/>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69FCAA5">
      <w:pPr>
        <w:pageBreakBefore w:val="0"/>
        <w:kinsoku/>
        <w:wordWrap/>
        <w:overflowPunct/>
        <w:topLinePunct w:val="0"/>
        <w:autoSpaceDE/>
        <w:autoSpaceDN/>
        <w:bidi w:val="0"/>
        <w:snapToGrid w:val="0"/>
        <w:spacing w:line="400" w:lineRule="exact"/>
        <w:ind w:left="573" w:leftChars="273"/>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464AEADF">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4413C50">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6B63FC3C">
      <w:pPr>
        <w:pageBreakBefore w:val="0"/>
        <w:kinsoku/>
        <w:wordWrap/>
        <w:overflowPunct/>
        <w:topLinePunct w:val="0"/>
        <w:autoSpaceDE/>
        <w:autoSpaceDN/>
        <w:bidi w:val="0"/>
        <w:snapToGrid w:val="0"/>
        <w:spacing w:line="400" w:lineRule="exact"/>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73BD663">
      <w:pPr>
        <w:pageBreakBefore w:val="0"/>
        <w:kinsoku/>
        <w:wordWrap/>
        <w:overflowPunct/>
        <w:topLinePunct w:val="0"/>
        <w:autoSpaceDE/>
        <w:autoSpaceDN/>
        <w:bidi w:val="0"/>
        <w:snapToGrid w:val="0"/>
        <w:spacing w:line="400" w:lineRule="exact"/>
        <w:ind w:left="5758" w:leftChars="342" w:hanging="5040" w:hangingChars="2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w:t>
      </w:r>
    </w:p>
    <w:p w14:paraId="6276365A">
      <w:pPr>
        <w:pageBreakBefore w:val="0"/>
        <w:kinsoku/>
        <w:wordWrap/>
        <w:overflowPunct/>
        <w:topLinePunct w:val="0"/>
        <w:autoSpaceDE/>
        <w:autoSpaceDN/>
        <w:bidi w:val="0"/>
        <w:snapToGrid w:val="0"/>
        <w:spacing w:line="400" w:lineRule="exact"/>
        <w:jc w:val="righ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p>
    <w:p w14:paraId="62FD1608">
      <w:pPr>
        <w:pageBreakBefore w:val="0"/>
        <w:kinsoku/>
        <w:wordWrap/>
        <w:overflowPunct/>
        <w:topLinePunct w:val="0"/>
        <w:autoSpaceDE/>
        <w:autoSpaceDN/>
        <w:bidi w:val="0"/>
        <w:snapToGrid w:val="0"/>
        <w:spacing w:line="400" w:lineRule="exact"/>
        <w:ind w:firstLine="5760" w:firstLineChars="240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7B7AFEDC">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522822CD">
      <w:pPr>
        <w:pageBreakBefore w:val="0"/>
        <w:kinsoku/>
        <w:wordWrap/>
        <w:overflowPunct/>
        <w:topLinePunct w:val="0"/>
        <w:autoSpaceDE/>
        <w:autoSpaceDN/>
        <w:bidi w:val="0"/>
        <w:spacing w:line="400" w:lineRule="exact"/>
        <w:ind w:right="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BCCE806">
      <w:pPr>
        <w:autoSpaceDE w:val="0"/>
        <w:autoSpaceDN w:val="0"/>
        <w:jc w:val="center"/>
        <w:rPr>
          <w:rFonts w:hint="eastAsia" w:ascii="宋体" w:hAnsi="宋体" w:eastAsia="宋体" w:cs="宋体"/>
          <w:b/>
          <w:color w:val="auto"/>
          <w:spacing w:val="6"/>
          <w:sz w:val="32"/>
          <w:szCs w:val="32"/>
          <w:highlight w:val="none"/>
        </w:rPr>
      </w:pPr>
    </w:p>
    <w:p w14:paraId="58BA0CAA">
      <w:pPr>
        <w:snapToGrid/>
        <w:spacing w:line="240" w:lineRule="auto"/>
        <w:jc w:val="left"/>
        <w:outlineLvl w:val="9"/>
        <w:rPr>
          <w:rFonts w:hint="eastAsia" w:ascii="宋体" w:hAnsi="宋体" w:eastAsia="宋体" w:cs="宋体"/>
          <w:b/>
          <w:color w:val="auto"/>
          <w:kern w:val="2"/>
          <w:sz w:val="36"/>
          <w:szCs w:val="20"/>
          <w:highlight w:val="none"/>
        </w:rPr>
      </w:pPr>
      <w:r>
        <w:rPr>
          <w:rFonts w:hint="eastAsia" w:ascii="宋体" w:hAnsi="宋体" w:eastAsia="宋体" w:cs="宋体"/>
          <w:b/>
          <w:color w:val="auto"/>
          <w:kern w:val="2"/>
          <w:sz w:val="36"/>
          <w:szCs w:val="20"/>
          <w:highlight w:val="none"/>
        </w:rPr>
        <w:br w:type="page"/>
      </w:r>
    </w:p>
    <w:p w14:paraId="299E145F">
      <w:pPr>
        <w:snapToGrid w:val="0"/>
        <w:spacing w:line="360" w:lineRule="auto"/>
        <w:jc w:val="center"/>
        <w:outlineLvl w:val="0"/>
        <w:rPr>
          <w:rFonts w:hint="eastAsia" w:ascii="宋体" w:hAnsi="宋体" w:eastAsia="宋体" w:cs="宋体"/>
          <w:color w:val="auto"/>
          <w:sz w:val="24"/>
          <w:highlight w:val="none"/>
          <w:u w:val="single"/>
        </w:rPr>
      </w:pPr>
      <w:r>
        <w:rPr>
          <w:rFonts w:hint="eastAsia" w:ascii="宋体" w:hAnsi="宋体" w:eastAsia="宋体" w:cs="宋体"/>
          <w:b/>
          <w:color w:val="auto"/>
          <w:kern w:val="2"/>
          <w:sz w:val="36"/>
          <w:szCs w:val="20"/>
          <w:highlight w:val="none"/>
        </w:rPr>
        <w:t>附件7：中小企业声明函</w:t>
      </w:r>
    </w:p>
    <w:p w14:paraId="29B414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（采购人）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277EFC5C">
      <w:pPr>
        <w:numPr>
          <w:ilvl w:val="-1"/>
          <w:numId w:val="0"/>
        </w:num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u w:val="none"/>
          <w:lang w:val="en-US" w:eastAsia="zh-CN"/>
        </w:rPr>
        <w:t>1.</w:t>
      </w:r>
      <w:r>
        <w:rPr>
          <w:rFonts w:hint="eastAsia" w:ascii="宋体" w:hAnsi="宋体" w:cs="宋体"/>
          <w:sz w:val="24"/>
          <w:highlight w:val="none"/>
          <w:u w:val="single"/>
        </w:rPr>
        <w:t>（标的名称）</w:t>
      </w:r>
      <w:r>
        <w:rPr>
          <w:rFonts w:hint="eastAsia" w:ascii="宋体" w:hAnsi="宋体" w:cs="宋体"/>
          <w:b/>
          <w:bCs/>
          <w:color w:val="FF0000"/>
          <w:sz w:val="24"/>
          <w:highlight w:val="none"/>
          <w:u w:val="single"/>
        </w:rPr>
        <w:t>（自行根据采购清单</w:t>
      </w:r>
      <w:r>
        <w:rPr>
          <w:rFonts w:hint="eastAsia" w:ascii="宋体" w:hAnsi="宋体" w:cs="宋体"/>
          <w:b/>
          <w:bCs/>
          <w:color w:val="FF0000"/>
          <w:sz w:val="24"/>
          <w:highlight w:val="none"/>
          <w:u w:val="single"/>
          <w:lang w:val="en-US" w:eastAsia="zh-CN"/>
        </w:rPr>
        <w:t>中各项名称</w:t>
      </w:r>
      <w:r>
        <w:rPr>
          <w:rFonts w:hint="eastAsia" w:ascii="宋体" w:hAnsi="宋体" w:cs="宋体"/>
          <w:b/>
          <w:bCs/>
          <w:color w:val="FF0000"/>
          <w:sz w:val="24"/>
          <w:highlight w:val="none"/>
          <w:u w:val="single"/>
        </w:rPr>
        <w:t>逐一填写）</w:t>
      </w:r>
      <w:r>
        <w:rPr>
          <w:rFonts w:hint="eastAsia" w:ascii="宋体" w:hAnsi="宋体" w:cs="宋体"/>
          <w:color w:val="auto"/>
          <w:sz w:val="24"/>
          <w:highlight w:val="none"/>
        </w:rPr>
        <w:t>，属于</w:t>
      </w:r>
      <w:r>
        <w:rPr>
          <w:rFonts w:hint="eastAsia" w:ascii="宋体" w:hAnsi="宋体" w:cs="宋体"/>
          <w:sz w:val="24"/>
          <w:highlight w:val="none"/>
          <w:u w:val="single"/>
        </w:rPr>
        <w:t>（采购文件中明确的所属行业）</w:t>
      </w:r>
      <w:r>
        <w:rPr>
          <w:rFonts w:hint="eastAsia" w:ascii="宋体" w:hAnsi="宋体" w:cs="宋体"/>
          <w:color w:val="auto"/>
          <w:sz w:val="24"/>
          <w:highlight w:val="none"/>
        </w:rPr>
        <w:t>行业 ；制造商为</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②（中型企业、小型企业、微型企业）</w:t>
      </w:r>
      <w:r>
        <w:rPr>
          <w:rFonts w:hint="eastAsia" w:ascii="宋体" w:hAnsi="宋体" w:cs="宋体"/>
          <w:color w:val="auto"/>
          <w:sz w:val="24"/>
          <w:highlight w:val="none"/>
        </w:rPr>
        <w:t>；</w:t>
      </w:r>
    </w:p>
    <w:p w14:paraId="13767FD6">
      <w:pPr>
        <w:numPr>
          <w:ilvl w:val="-1"/>
          <w:numId w:val="0"/>
        </w:numPr>
        <w:spacing w:line="360" w:lineRule="auto"/>
        <w:ind w:firstLine="480" w:firstLineChars="200"/>
      </w:pPr>
      <w:r>
        <w:rPr>
          <w:rFonts w:hint="eastAsia" w:ascii="宋体" w:hAnsi="宋体" w:cs="宋体"/>
          <w:sz w:val="24"/>
          <w:highlight w:val="none"/>
          <w:u w:val="none"/>
          <w:lang w:val="en-US" w:eastAsia="zh-CN"/>
        </w:rPr>
        <w:t>2.</w:t>
      </w:r>
      <w:r>
        <w:rPr>
          <w:rFonts w:hint="eastAsia" w:ascii="宋体" w:hAnsi="宋体" w:cs="宋体"/>
          <w:sz w:val="24"/>
          <w:highlight w:val="none"/>
          <w:u w:val="single"/>
        </w:rPr>
        <w:t>（标的名称）</w:t>
      </w:r>
      <w:r>
        <w:rPr>
          <w:rFonts w:hint="eastAsia" w:ascii="宋体" w:hAnsi="宋体" w:cs="宋体"/>
          <w:b/>
          <w:bCs/>
          <w:color w:val="FF0000"/>
          <w:sz w:val="24"/>
          <w:highlight w:val="none"/>
          <w:u w:val="single"/>
        </w:rPr>
        <w:t>（自行根据采购清单</w:t>
      </w:r>
      <w:r>
        <w:rPr>
          <w:rFonts w:hint="eastAsia" w:ascii="宋体" w:hAnsi="宋体" w:cs="宋体"/>
          <w:b/>
          <w:bCs/>
          <w:color w:val="FF0000"/>
          <w:sz w:val="24"/>
          <w:highlight w:val="none"/>
          <w:u w:val="single"/>
          <w:lang w:val="en-US" w:eastAsia="zh-CN"/>
        </w:rPr>
        <w:t>中各项名称</w:t>
      </w:r>
      <w:r>
        <w:rPr>
          <w:rFonts w:hint="eastAsia" w:ascii="宋体" w:hAnsi="宋体" w:cs="宋体"/>
          <w:b/>
          <w:bCs/>
          <w:color w:val="FF0000"/>
          <w:sz w:val="24"/>
          <w:highlight w:val="none"/>
          <w:u w:val="single"/>
        </w:rPr>
        <w:t>逐一填写）</w:t>
      </w:r>
      <w:r>
        <w:rPr>
          <w:rFonts w:hint="eastAsia" w:ascii="宋体" w:hAnsi="宋体" w:cs="宋体"/>
          <w:color w:val="auto"/>
          <w:sz w:val="24"/>
          <w:highlight w:val="none"/>
        </w:rPr>
        <w:t>，属于</w:t>
      </w:r>
      <w:r>
        <w:rPr>
          <w:rFonts w:hint="eastAsia" w:ascii="宋体" w:hAnsi="宋体" w:cs="宋体"/>
          <w:sz w:val="24"/>
          <w:highlight w:val="none"/>
          <w:u w:val="single"/>
        </w:rPr>
        <w:t>（采购文件中明确的所属行业）</w:t>
      </w:r>
      <w:r>
        <w:rPr>
          <w:rFonts w:hint="eastAsia" w:ascii="宋体" w:hAnsi="宋体" w:cs="宋体"/>
          <w:color w:val="auto"/>
          <w:sz w:val="24"/>
          <w:highlight w:val="none"/>
        </w:rPr>
        <w:t>行业 ；制造商为</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②（中型企业、小型企业、微型企业）</w:t>
      </w:r>
      <w:r>
        <w:rPr>
          <w:rFonts w:hint="eastAsia" w:ascii="宋体" w:hAnsi="宋体" w:cs="宋体"/>
          <w:color w:val="auto"/>
          <w:sz w:val="24"/>
          <w:highlight w:val="none"/>
        </w:rPr>
        <w:t>；</w:t>
      </w:r>
    </w:p>
    <w:p w14:paraId="60BD26BE">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w:t>
      </w:r>
    </w:p>
    <w:p w14:paraId="07F064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6661C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EF0CE50">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833379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894B9D3">
      <w:pPr>
        <w:tabs>
          <w:tab w:val="left" w:pos="9040"/>
        </w:tabs>
        <w:spacing w:line="360" w:lineRule="auto"/>
        <w:ind w:right="3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12F7BB14">
      <w:pPr>
        <w:tabs>
          <w:tab w:val="left" w:pos="9040"/>
        </w:tabs>
        <w:spacing w:line="360" w:lineRule="auto"/>
        <w:ind w:right="3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CE9CA17">
      <w:pPr>
        <w:snapToGrid/>
        <w:spacing w:line="240" w:lineRule="auto"/>
        <w:jc w:val="left"/>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6B025B34">
      <w:pPr>
        <w:snapToGrid w:val="0"/>
        <w:spacing w:before="0" w:line="360" w:lineRule="auto"/>
        <w:ind w:left="0" w:right="0" w:firstLine="0" w:firstLineChars="0"/>
        <w:jc w:val="center"/>
        <w:outlineLvl w:val="0"/>
        <w:rPr>
          <w:rFonts w:hint="eastAsia" w:ascii="宋体" w:hAnsi="宋体" w:eastAsia="宋体" w:cs="宋体"/>
          <w:b/>
          <w:spacing w:val="0"/>
          <w:kern w:val="2"/>
          <w:sz w:val="36"/>
          <w:szCs w:val="20"/>
          <w:lang w:val="en-US" w:eastAsia="zh-CN"/>
        </w:rPr>
      </w:pPr>
      <w:r>
        <w:rPr>
          <w:rFonts w:hint="eastAsia" w:ascii="宋体" w:hAnsi="宋体" w:eastAsia="宋体" w:cs="宋体"/>
          <w:b/>
          <w:sz w:val="36"/>
          <w:szCs w:val="20"/>
          <w:highlight w:val="none"/>
        </w:rPr>
        <w:t>附件</w:t>
      </w:r>
      <w:r>
        <w:rPr>
          <w:rFonts w:hint="eastAsia" w:ascii="宋体" w:hAnsi="宋体" w:eastAsia="宋体" w:cs="宋体"/>
          <w:b/>
          <w:sz w:val="36"/>
          <w:szCs w:val="20"/>
          <w:highlight w:val="none"/>
          <w:lang w:val="en-US" w:eastAsia="zh-CN"/>
        </w:rPr>
        <w:t>8</w:t>
      </w:r>
      <w:r>
        <w:rPr>
          <w:rFonts w:hint="eastAsia" w:ascii="宋体" w:hAnsi="宋体" w:eastAsia="宋体" w:cs="宋体"/>
          <w:b/>
          <w:sz w:val="36"/>
          <w:szCs w:val="20"/>
          <w:highlight w:val="none"/>
        </w:rPr>
        <w:t>：</w:t>
      </w:r>
      <w:r>
        <w:rPr>
          <w:rFonts w:hint="eastAsia" w:ascii="宋体" w:hAnsi="宋体" w:eastAsia="宋体" w:cs="宋体"/>
          <w:b/>
          <w:spacing w:val="0"/>
          <w:sz w:val="36"/>
          <w:szCs w:val="20"/>
          <w:highlight w:val="none"/>
          <w:lang w:val="zh-CN"/>
        </w:rPr>
        <w:t>关于符合本国产品标准的声明函</w:t>
      </w:r>
    </w:p>
    <w:p w14:paraId="6E61B91E">
      <w:pPr>
        <w:snapToGrid w:val="0"/>
        <w:spacing w:before="0" w:line="360" w:lineRule="auto"/>
        <w:ind w:left="0" w:right="0" w:firstLine="480" w:firstLineChars="200"/>
        <w:jc w:val="left"/>
        <w:rPr>
          <w:rFonts w:hint="eastAsia" w:ascii="宋体" w:hAnsi="宋体" w:cs="宋体"/>
          <w:color w:val="auto"/>
          <w:spacing w:val="0"/>
          <w:kern w:val="0"/>
          <w:sz w:val="24"/>
          <w:szCs w:val="24"/>
          <w:highlight w:val="none"/>
          <w:lang w:val="en-US" w:eastAsia="zh-CN"/>
        </w:rPr>
      </w:pPr>
    </w:p>
    <w:p w14:paraId="75FBC0A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3FB9CB6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47FDD86D">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396581C4">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2E1A7B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41087F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8"/>
        <w:gridCol w:w="2092"/>
      </w:tblGrid>
      <w:tr w14:paraId="1F42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208" w:type="dxa"/>
            <w:vAlign w:val="center"/>
          </w:tcPr>
          <w:p w14:paraId="55026D8C">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61740097">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7C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2F06786">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2FD789FF">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782F1F6E">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65A42B7A">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9841046">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017526C4">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6391BAD">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5973BBC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6CF82D4A">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63B86CC8">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投标人名称（电子签名）：</w:t>
      </w:r>
    </w:p>
    <w:p w14:paraId="24A6EFFC">
      <w:pPr>
        <w:snapToGrid w:val="0"/>
        <w:spacing w:before="0" w:line="360" w:lineRule="auto"/>
        <w:ind w:left="0"/>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日期：   年   月   日</w:t>
      </w:r>
    </w:p>
    <w:p w14:paraId="5D8A50CA">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0950BCCD">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05D2082D">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4538083">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660FE876">
      <w:pPr>
        <w:jc w:val="center"/>
        <w:rPr>
          <w:rFonts w:hint="eastAsia" w:cs="宋体"/>
          <w:b/>
          <w:sz w:val="36"/>
          <w:szCs w:val="20"/>
        </w:rPr>
      </w:pPr>
    </w:p>
    <w:p w14:paraId="6A7B89E8">
      <w:pPr>
        <w:snapToGrid/>
        <w:spacing w:line="240" w:lineRule="auto"/>
        <w:jc w:val="left"/>
        <w:outlineLvl w:val="9"/>
        <w:rPr>
          <w:rFonts w:hint="eastAsia" w:ascii="宋体" w:hAnsi="宋体" w:eastAsia="宋体" w:cs="宋体"/>
          <w:b/>
          <w:color w:val="auto"/>
          <w:sz w:val="36"/>
          <w:szCs w:val="20"/>
          <w:highlight w:val="none"/>
        </w:rPr>
      </w:pPr>
    </w:p>
    <w:p w14:paraId="07D57F09">
      <w:pPr>
        <w:snapToGrid/>
        <w:spacing w:line="240" w:lineRule="auto"/>
        <w:jc w:val="left"/>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0D36C338">
      <w:pPr>
        <w:snapToGrid w:val="0"/>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w:t>
      </w:r>
      <w:r>
        <w:rPr>
          <w:rFonts w:hint="eastAsia" w:ascii="宋体" w:hAnsi="宋体" w:eastAsia="宋体" w:cs="宋体"/>
          <w:b/>
          <w:color w:val="auto"/>
          <w:sz w:val="36"/>
          <w:szCs w:val="20"/>
          <w:highlight w:val="none"/>
          <w:lang w:val="en-US" w:eastAsia="zh-CN"/>
        </w:rPr>
        <w:t>9</w:t>
      </w:r>
      <w:r>
        <w:rPr>
          <w:rFonts w:hint="eastAsia" w:ascii="宋体" w:hAnsi="宋体" w:eastAsia="宋体" w:cs="宋体"/>
          <w:b/>
          <w:color w:val="auto"/>
          <w:sz w:val="36"/>
          <w:szCs w:val="20"/>
          <w:highlight w:val="none"/>
        </w:rPr>
        <w:t>：（中标后提供）</w:t>
      </w:r>
    </w:p>
    <w:p w14:paraId="438CC850">
      <w:pPr>
        <w:spacing w:line="360" w:lineRule="auto"/>
        <w:ind w:right="420"/>
        <w:rPr>
          <w:rFonts w:hint="eastAsia" w:ascii="宋体" w:hAnsi="宋体" w:eastAsia="宋体" w:cs="宋体"/>
        </w:rPr>
      </w:pPr>
    </w:p>
    <w:p w14:paraId="79846772">
      <w:pPr>
        <w:jc w:val="center"/>
        <w:rPr>
          <w:rFonts w:hint="eastAsia" w:ascii="宋体" w:hAnsi="宋体" w:eastAsia="宋体" w:cs="宋体"/>
          <w:b/>
          <w:sz w:val="36"/>
          <w:szCs w:val="36"/>
        </w:rPr>
      </w:pPr>
      <w:r>
        <w:rPr>
          <w:rFonts w:hint="eastAsia" w:ascii="宋体" w:hAnsi="宋体" w:eastAsia="宋体" w:cs="宋体"/>
          <w:b/>
          <w:sz w:val="36"/>
          <w:szCs w:val="36"/>
        </w:rPr>
        <w:t>承 诺 书</w:t>
      </w:r>
    </w:p>
    <w:p w14:paraId="2A4755FD">
      <w:pPr>
        <w:rPr>
          <w:rFonts w:hint="eastAsia" w:ascii="宋体" w:hAnsi="宋体" w:eastAsia="宋体" w:cs="宋体"/>
          <w:sz w:val="30"/>
          <w:szCs w:val="30"/>
        </w:rPr>
      </w:pPr>
    </w:p>
    <w:p w14:paraId="507CD0F0">
      <w:pPr>
        <w:spacing w:line="480" w:lineRule="auto"/>
        <w:rPr>
          <w:rFonts w:hint="eastAsia" w:ascii="宋体" w:hAnsi="宋体" w:eastAsia="宋体" w:cs="宋体"/>
          <w:sz w:val="28"/>
          <w:szCs w:val="28"/>
        </w:rPr>
      </w:pPr>
      <w:r>
        <w:rPr>
          <w:rFonts w:hint="eastAsia" w:ascii="宋体" w:hAnsi="宋体" w:eastAsia="宋体" w:cs="宋体"/>
          <w:sz w:val="28"/>
          <w:szCs w:val="28"/>
          <w:u w:val="single"/>
        </w:rPr>
        <w:t xml:space="preserve">浙江中达工程造价事务所有限公司 </w:t>
      </w:r>
      <w:r>
        <w:rPr>
          <w:rFonts w:hint="eastAsia" w:ascii="宋体" w:hAnsi="宋体" w:eastAsia="宋体" w:cs="宋体"/>
          <w:sz w:val="28"/>
          <w:szCs w:val="28"/>
        </w:rPr>
        <w:t>：</w:t>
      </w:r>
    </w:p>
    <w:p w14:paraId="1C625488">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我单位参与投标的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有幸中标，考虑本项目备案事宜，故由我单位再提供加盖公章的纸质版投标文件一式三份（正本一份，副本二份）递交给招标代理机构备案。</w:t>
      </w:r>
    </w:p>
    <w:p w14:paraId="7A466FD0">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本公司承诺：</w:t>
      </w:r>
    </w:p>
    <w:p w14:paraId="1FAAF968">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本单位提交给招标代理机构备案的</w:t>
      </w:r>
      <w:r>
        <w:rPr>
          <w:rFonts w:hint="eastAsia" w:ascii="宋体" w:hAnsi="宋体" w:eastAsia="宋体" w:cs="宋体"/>
          <w:sz w:val="28"/>
          <w:szCs w:val="28"/>
          <w:u w:val="single"/>
        </w:rPr>
        <w:t>纸质版投标文件</w:t>
      </w:r>
      <w:r>
        <w:rPr>
          <w:rFonts w:hint="eastAsia" w:ascii="宋体" w:hAnsi="宋体" w:eastAsia="宋体" w:cs="宋体"/>
          <w:sz w:val="28"/>
          <w:szCs w:val="28"/>
        </w:rPr>
        <w:t>与</w:t>
      </w:r>
      <w:r>
        <w:rPr>
          <w:rFonts w:hint="eastAsia" w:ascii="宋体" w:hAnsi="宋体" w:eastAsia="宋体" w:cs="宋体"/>
          <w:sz w:val="28"/>
          <w:szCs w:val="28"/>
          <w:u w:val="single"/>
        </w:rPr>
        <w:t>电子投标文件</w:t>
      </w:r>
      <w:r>
        <w:rPr>
          <w:rFonts w:hint="eastAsia" w:ascii="宋体" w:hAnsi="宋体" w:eastAsia="宋体" w:cs="宋体"/>
          <w:sz w:val="28"/>
          <w:szCs w:val="28"/>
        </w:rPr>
        <w:t>内容均一致，如不一致导致的任何法律责任自负。特此承诺！</w:t>
      </w:r>
    </w:p>
    <w:p w14:paraId="4AE950B4">
      <w:pPr>
        <w:spacing w:line="780" w:lineRule="exact"/>
        <w:rPr>
          <w:rFonts w:hint="eastAsia" w:ascii="宋体" w:hAnsi="宋体" w:eastAsia="宋体" w:cs="宋体"/>
          <w:sz w:val="30"/>
          <w:szCs w:val="30"/>
        </w:rPr>
      </w:pPr>
    </w:p>
    <w:p w14:paraId="74B11408">
      <w:pPr>
        <w:spacing w:line="780" w:lineRule="exact"/>
        <w:jc w:val="right"/>
        <w:rPr>
          <w:rFonts w:hint="eastAsia" w:ascii="宋体" w:hAnsi="宋体" w:eastAsia="宋体" w:cs="宋体"/>
          <w:sz w:val="28"/>
          <w:szCs w:val="28"/>
        </w:rPr>
      </w:pPr>
      <w:r>
        <w:rPr>
          <w:rFonts w:hint="eastAsia" w:ascii="宋体" w:hAnsi="宋体" w:eastAsia="宋体" w:cs="宋体"/>
          <w:sz w:val="28"/>
          <w:szCs w:val="28"/>
        </w:rPr>
        <w:t>投标人名称（盖公章）：</w:t>
      </w:r>
    </w:p>
    <w:p w14:paraId="605E771E">
      <w:pPr>
        <w:spacing w:line="780" w:lineRule="exact"/>
        <w:ind w:firstLine="0" w:firstLineChars="0"/>
        <w:jc w:val="center"/>
        <w:rPr>
          <w:rFonts w:hint="eastAsia" w:ascii="宋体" w:hAnsi="宋体" w:eastAsia="宋体" w:cs="宋体"/>
          <w:sz w:val="30"/>
          <w:szCs w:val="30"/>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年   月   日</w:t>
      </w:r>
    </w:p>
    <w:p w14:paraId="45E7A0EB">
      <w:pPr>
        <w:spacing w:line="780" w:lineRule="exact"/>
        <w:ind w:firstLine="0" w:firstLineChars="0"/>
        <w:jc w:val="center"/>
        <w:rPr>
          <w:rFonts w:hint="eastAsia" w:ascii="宋体" w:hAnsi="宋体" w:eastAsia="宋体" w:cs="宋体"/>
          <w:sz w:val="30"/>
          <w:szCs w:val="30"/>
        </w:rPr>
      </w:pPr>
    </w:p>
    <w:p w14:paraId="68F95B90">
      <w:pPr>
        <w:spacing w:line="780" w:lineRule="exact"/>
        <w:ind w:firstLine="0" w:firstLineChars="0"/>
        <w:jc w:val="center"/>
        <w:rPr>
          <w:rFonts w:hint="eastAsia" w:ascii="宋体" w:hAnsi="宋体" w:eastAsia="宋体" w:cs="宋体"/>
          <w:sz w:val="30"/>
          <w:szCs w:val="30"/>
        </w:rPr>
      </w:pPr>
    </w:p>
    <w:p w14:paraId="0100278E">
      <w:pPr>
        <w:spacing w:line="780" w:lineRule="exact"/>
        <w:ind w:firstLine="0" w:firstLineChars="0"/>
        <w:jc w:val="center"/>
        <w:rPr>
          <w:rFonts w:hint="eastAsia" w:ascii="宋体" w:hAnsi="宋体" w:eastAsia="宋体" w:cs="宋体"/>
          <w:sz w:val="30"/>
          <w:szCs w:val="30"/>
        </w:rPr>
      </w:pPr>
    </w:p>
    <w:p w14:paraId="1FF2E8E8">
      <w:pPr>
        <w:jc w:val="left"/>
        <w:outlineLvl w:val="9"/>
        <w:rPr>
          <w:rFonts w:hint="eastAsia" w:cs="宋体"/>
          <w:b/>
          <w:sz w:val="36"/>
          <w:szCs w:val="20"/>
        </w:rPr>
      </w:pPr>
    </w:p>
    <w:sectPr>
      <w:pgSz w:w="11906" w:h="16838"/>
      <w:pgMar w:top="1276" w:right="124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Segoe UI Symbol"/>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040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E17AD">
    <w:pPr>
      <w:pStyle w:val="39"/>
      <w:framePr w:wrap="around" w:vAnchor="text" w:hAnchor="margin" w:xAlign="right" w:y="1"/>
      <w:rPr>
        <w:rStyle w:val="72"/>
      </w:rPr>
    </w:pPr>
    <w:r>
      <w:fldChar w:fldCharType="begin"/>
    </w:r>
    <w:r>
      <w:rPr>
        <w:rStyle w:val="72"/>
      </w:rPr>
      <w:instrText xml:space="preserve">PAGE  </w:instrText>
    </w:r>
    <w:r>
      <w:fldChar w:fldCharType="end"/>
    </w:r>
  </w:p>
  <w:p w14:paraId="173F2883">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A10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4AF1F">
                          <w:pPr>
                            <w:pStyle w:val="3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4AF1F">
                    <w:pPr>
                      <w:pStyle w:val="3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5EC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0A8574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339F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CB4511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09D8">
    <w:pPr>
      <w:pStyle w:val="40"/>
      <w:pBdr>
        <w:bottom w:val="single" w:color="auto" w:sz="6" w:space="4"/>
      </w:pBdr>
      <w:jc w:val="right"/>
    </w:pPr>
    <w:r>
      <w:t></w:t>
    </w:r>
    <w:r>
      <w:rPr>
        <w:rFonts w:hint="eastAsia"/>
      </w:rPr>
      <w:t xml:space="preserve">             </w:t>
    </w:r>
    <w:r>
      <w:t>杭州市政府采购公开招标文件</w:t>
    </w:r>
  </w:p>
  <w:p w14:paraId="3FD2D168">
    <w:pPr>
      <w:pStyle w:val="58"/>
      <w:tabs>
        <w:tab w:val="center" w:pos="4535"/>
        <w:tab w:val="right" w:pos="9070"/>
      </w:tabs>
      <w:ind w:firstLine="180" w:firstLineChars="100"/>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895B">
    <w:pPr>
      <w:pStyle w:val="40"/>
      <w:pBdr>
        <w:bottom w:val="single" w:color="auto" w:sz="6" w:space="0"/>
      </w:pBdr>
      <w:tabs>
        <w:tab w:val="center" w:pos="4535"/>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CC1B">
    <w:pPr>
      <w:pStyle w:val="40"/>
      <w:rPr>
        <w:rFonts w:ascii="仿宋_GB2312" w:eastAsia="仿宋_GB2312"/>
        <w:b/>
        <w:i/>
        <w:u w:val="single"/>
      </w:rPr>
    </w:pPr>
    <w:r>
      <w:t></w:t>
    </w:r>
    <w:r>
      <w:rPr>
        <w:rFonts w:hint="eastAsia"/>
      </w:rPr>
      <w:t xml:space="preserve">                                                  </w:t>
    </w:r>
    <w:r>
      <w:t xml:space="preserve">             杭州市政府采购公开招标文件</w:t>
    </w:r>
  </w:p>
  <w:p w14:paraId="172E9A19">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D298">
    <w:pPr>
      <w:pStyle w:val="40"/>
    </w:pPr>
    <w:r>
      <w:t></w:t>
    </w:r>
    <w:r>
      <w:rPr>
        <w:rFonts w:hint="eastAsia"/>
      </w:rPr>
      <w:t xml:space="preserve">         </w:t>
    </w:r>
  </w:p>
  <w:p w14:paraId="5DD00634">
    <w:pPr>
      <w:pStyle w:val="40"/>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5057"/>
    <w:multiLevelType w:val="singleLevel"/>
    <w:tmpl w:val="B2645057"/>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191F132"/>
    <w:multiLevelType w:val="singleLevel"/>
    <w:tmpl w:val="C191F132"/>
    <w:lvl w:ilvl="0" w:tentative="0">
      <w:start w:val="1"/>
      <w:numFmt w:val="decimal"/>
      <w:lvlText w:val="%1."/>
      <w:lvlJc w:val="left"/>
      <w:pPr>
        <w:tabs>
          <w:tab w:val="left" w:pos="312"/>
        </w:tabs>
      </w:pPr>
    </w:lvl>
  </w:abstractNum>
  <w:abstractNum w:abstractNumId="3">
    <w:nsid w:val="C35FDA38"/>
    <w:multiLevelType w:val="singleLevel"/>
    <w:tmpl w:val="C35FDA38"/>
    <w:lvl w:ilvl="0" w:tentative="0">
      <w:start w:val="14"/>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DF6F85FE"/>
    <w:multiLevelType w:val="singleLevel"/>
    <w:tmpl w:val="DF6F85FE"/>
    <w:lvl w:ilvl="0" w:tentative="0">
      <w:start w:val="1"/>
      <w:numFmt w:val="decimal"/>
      <w:lvlText w:val="%1."/>
      <w:lvlJc w:val="left"/>
      <w:pPr>
        <w:tabs>
          <w:tab w:val="left" w:pos="312"/>
        </w:tabs>
      </w:pPr>
    </w:lvl>
  </w:abstractNum>
  <w:abstractNum w:abstractNumId="9">
    <w:nsid w:val="EAB3556F"/>
    <w:multiLevelType w:val="singleLevel"/>
    <w:tmpl w:val="EAB3556F"/>
    <w:lvl w:ilvl="0" w:tentative="0">
      <w:start w:val="2"/>
      <w:numFmt w:val="decimal"/>
      <w:suff w:val="nothing"/>
      <w:lvlText w:val="（%1）"/>
      <w:lvlJc w:val="left"/>
    </w:lvl>
  </w:abstractNum>
  <w:abstractNum w:abstractNumId="10">
    <w:nsid w:val="F0D5DDCC"/>
    <w:multiLevelType w:val="singleLevel"/>
    <w:tmpl w:val="F0D5DDCC"/>
    <w:lvl w:ilvl="0" w:tentative="0">
      <w:start w:val="1"/>
      <w:numFmt w:val="decimal"/>
      <w:suff w:val="nothing"/>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D7D0861"/>
    <w:multiLevelType w:val="singleLevel"/>
    <w:tmpl w:val="0D7D0861"/>
    <w:lvl w:ilvl="0" w:tentative="0">
      <w:start w:val="1"/>
      <w:numFmt w:val="decimal"/>
      <w:lvlText w:val="%1."/>
      <w:lvlJc w:val="left"/>
      <w:pPr>
        <w:tabs>
          <w:tab w:val="left" w:pos="312"/>
        </w:tabs>
      </w:pPr>
    </w:lvl>
  </w:abstractNum>
  <w:abstractNum w:abstractNumId="13">
    <w:nsid w:val="19B99376"/>
    <w:multiLevelType w:val="singleLevel"/>
    <w:tmpl w:val="19B99376"/>
    <w:lvl w:ilvl="0" w:tentative="0">
      <w:start w:val="3"/>
      <w:numFmt w:val="decimal"/>
      <w:suff w:val="nothing"/>
      <w:lvlText w:val="（%1）"/>
      <w:lvlJc w:val="left"/>
    </w:lvl>
  </w:abstractNum>
  <w:abstractNum w:abstractNumId="14">
    <w:nsid w:val="2950C025"/>
    <w:multiLevelType w:val="singleLevel"/>
    <w:tmpl w:val="2950C025"/>
    <w:lvl w:ilvl="0" w:tentative="0">
      <w:start w:val="1"/>
      <w:numFmt w:val="chineseCounting"/>
      <w:suff w:val="nothing"/>
      <w:lvlText w:val="%1、"/>
      <w:lvlJc w:val="left"/>
      <w:rPr>
        <w:rFonts w:hint="eastAsia"/>
      </w:rPr>
    </w:lvl>
  </w:abstractNum>
  <w:abstractNum w:abstractNumId="15">
    <w:nsid w:val="303B0EDC"/>
    <w:multiLevelType w:val="singleLevel"/>
    <w:tmpl w:val="303B0EDC"/>
    <w:lvl w:ilvl="0" w:tentative="0">
      <w:start w:val="1"/>
      <w:numFmt w:val="decimal"/>
      <w:suff w:val="nothing"/>
      <w:lvlText w:val="%1、"/>
      <w:lvlJc w:val="left"/>
    </w:lvl>
  </w:abstractNum>
  <w:abstractNum w:abstractNumId="16">
    <w:nsid w:val="33DC65CD"/>
    <w:multiLevelType w:val="singleLevel"/>
    <w:tmpl w:val="33DC65CD"/>
    <w:lvl w:ilvl="0" w:tentative="0">
      <w:start w:val="1"/>
      <w:numFmt w:val="chineseCounting"/>
      <w:suff w:val="nothing"/>
      <w:lvlText w:val="%1、"/>
      <w:lvlJc w:val="left"/>
      <w:rPr>
        <w:rFonts w:hint="eastAsia"/>
      </w:rPr>
    </w:lvl>
  </w:abstractNum>
  <w:abstractNum w:abstractNumId="17">
    <w:nsid w:val="41892D21"/>
    <w:multiLevelType w:val="singleLevel"/>
    <w:tmpl w:val="41892D21"/>
    <w:lvl w:ilvl="0" w:tentative="0">
      <w:start w:val="1"/>
      <w:numFmt w:val="decimal"/>
      <w:suff w:val="nothing"/>
      <w:lvlText w:val="（%1）"/>
      <w:lvlJc w:val="left"/>
    </w:lvl>
  </w:abstractNum>
  <w:abstractNum w:abstractNumId="18">
    <w:nsid w:val="480FA662"/>
    <w:multiLevelType w:val="singleLevel"/>
    <w:tmpl w:val="480FA662"/>
    <w:lvl w:ilvl="0" w:tentative="0">
      <w:start w:val="1"/>
      <w:numFmt w:val="decimal"/>
      <w:lvlText w:val="%1."/>
      <w:lvlJc w:val="left"/>
      <w:pPr>
        <w:tabs>
          <w:tab w:val="left" w:pos="312"/>
        </w:tabs>
      </w:pPr>
    </w:lvl>
  </w:abstractNum>
  <w:abstractNum w:abstractNumId="19">
    <w:nsid w:val="52874221"/>
    <w:multiLevelType w:val="singleLevel"/>
    <w:tmpl w:val="52874221"/>
    <w:lvl w:ilvl="0" w:tentative="0">
      <w:start w:val="1"/>
      <w:numFmt w:val="chineseCounting"/>
      <w:suff w:val="nothing"/>
      <w:lvlText w:val="%1、"/>
      <w:lvlJc w:val="left"/>
      <w:rPr>
        <w:rFonts w:hint="eastAsia"/>
      </w:rPr>
    </w:lvl>
  </w:abstractNum>
  <w:abstractNum w:abstractNumId="20">
    <w:nsid w:val="657AD1D5"/>
    <w:multiLevelType w:val="singleLevel"/>
    <w:tmpl w:val="657AD1D5"/>
    <w:lvl w:ilvl="0" w:tentative="0">
      <w:start w:val="1"/>
      <w:numFmt w:val="decimal"/>
      <w:lvlText w:val="%1."/>
      <w:lvlJc w:val="left"/>
      <w:pPr>
        <w:tabs>
          <w:tab w:val="left" w:pos="312"/>
        </w:tabs>
      </w:pPr>
    </w:lvl>
  </w:abstractNum>
  <w:abstractNum w:abstractNumId="21">
    <w:nsid w:val="68B933E9"/>
    <w:multiLevelType w:val="singleLevel"/>
    <w:tmpl w:val="68B933E9"/>
    <w:lvl w:ilvl="0" w:tentative="0">
      <w:start w:val="1"/>
      <w:numFmt w:val="decimal"/>
      <w:suff w:val="nothing"/>
      <w:lvlText w:val="（%1）"/>
      <w:lvlJc w:val="left"/>
    </w:lvl>
  </w:abstractNum>
  <w:abstractNum w:abstractNumId="22">
    <w:nsid w:val="7A0F6431"/>
    <w:multiLevelType w:val="singleLevel"/>
    <w:tmpl w:val="7A0F6431"/>
    <w:lvl w:ilvl="0" w:tentative="0">
      <w:start w:val="1"/>
      <w:numFmt w:val="decimal"/>
      <w:suff w:val="space"/>
      <w:lvlText w:val="%1."/>
      <w:lvlJc w:val="left"/>
    </w:lvl>
  </w:abstractNum>
  <w:num w:numId="1">
    <w:abstractNumId w:val="21"/>
  </w:num>
  <w:num w:numId="2">
    <w:abstractNumId w:val="13"/>
  </w:num>
  <w:num w:numId="3">
    <w:abstractNumId w:val="3"/>
  </w:num>
  <w:num w:numId="4">
    <w:abstractNumId w:val="14"/>
  </w:num>
  <w:num w:numId="5">
    <w:abstractNumId w:val="20"/>
  </w:num>
  <w:num w:numId="6">
    <w:abstractNumId w:val="2"/>
  </w:num>
  <w:num w:numId="7">
    <w:abstractNumId w:val="8"/>
  </w:num>
  <w:num w:numId="8">
    <w:abstractNumId w:val="12"/>
  </w:num>
  <w:num w:numId="9">
    <w:abstractNumId w:val="18"/>
  </w:num>
  <w:num w:numId="10">
    <w:abstractNumId w:val="16"/>
  </w:num>
  <w:num w:numId="11">
    <w:abstractNumId w:val="10"/>
  </w:num>
  <w:num w:numId="12">
    <w:abstractNumId w:val="15"/>
  </w:num>
  <w:num w:numId="13">
    <w:abstractNumId w:val="19"/>
  </w:num>
  <w:num w:numId="14">
    <w:abstractNumId w:val="22"/>
  </w:num>
  <w:num w:numId="15">
    <w:abstractNumId w:val="4"/>
  </w:num>
  <w:num w:numId="16">
    <w:abstractNumId w:val="11"/>
  </w:num>
  <w:num w:numId="17">
    <w:abstractNumId w:val="6"/>
  </w:num>
  <w:num w:numId="18">
    <w:abstractNumId w:val="5"/>
  </w:num>
  <w:num w:numId="19">
    <w:abstractNumId w:val="1"/>
  </w:num>
  <w:num w:numId="20">
    <w:abstractNumId w:val="7"/>
  </w:num>
  <w:num w:numId="21">
    <w:abstractNumId w:val="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493"/>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658"/>
    <w:rsid w:val="002778AB"/>
    <w:rsid w:val="002802A5"/>
    <w:rsid w:val="00280CFB"/>
    <w:rsid w:val="00280D24"/>
    <w:rsid w:val="002815C4"/>
    <w:rsid w:val="00281BCB"/>
    <w:rsid w:val="00281C76"/>
    <w:rsid w:val="002823C3"/>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12C"/>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5F2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633"/>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B15"/>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4E0"/>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17823"/>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6B84"/>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270B"/>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907"/>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92AB0"/>
    <w:rsid w:val="011F6449"/>
    <w:rsid w:val="01236AFB"/>
    <w:rsid w:val="016759B5"/>
    <w:rsid w:val="019F7441"/>
    <w:rsid w:val="01A050EF"/>
    <w:rsid w:val="01B37585"/>
    <w:rsid w:val="01D55165"/>
    <w:rsid w:val="01DF6BF8"/>
    <w:rsid w:val="01EC2C57"/>
    <w:rsid w:val="02206518"/>
    <w:rsid w:val="025F0711"/>
    <w:rsid w:val="026B2E25"/>
    <w:rsid w:val="02824D4D"/>
    <w:rsid w:val="02DC4B10"/>
    <w:rsid w:val="02DD76CE"/>
    <w:rsid w:val="02E334E5"/>
    <w:rsid w:val="02F36323"/>
    <w:rsid w:val="02F5619C"/>
    <w:rsid w:val="0313168D"/>
    <w:rsid w:val="0326446A"/>
    <w:rsid w:val="032D5555"/>
    <w:rsid w:val="036634D2"/>
    <w:rsid w:val="03CC5F0E"/>
    <w:rsid w:val="03DD35E4"/>
    <w:rsid w:val="03E63460"/>
    <w:rsid w:val="03E70DB3"/>
    <w:rsid w:val="04076900"/>
    <w:rsid w:val="041A5A3B"/>
    <w:rsid w:val="042311BA"/>
    <w:rsid w:val="042B157A"/>
    <w:rsid w:val="043D0076"/>
    <w:rsid w:val="04825674"/>
    <w:rsid w:val="048F763B"/>
    <w:rsid w:val="049F330E"/>
    <w:rsid w:val="04AA775C"/>
    <w:rsid w:val="04AF1889"/>
    <w:rsid w:val="04B769D7"/>
    <w:rsid w:val="04F66F48"/>
    <w:rsid w:val="050C79AC"/>
    <w:rsid w:val="05251E14"/>
    <w:rsid w:val="05947E17"/>
    <w:rsid w:val="05A16594"/>
    <w:rsid w:val="05A7762D"/>
    <w:rsid w:val="060E5941"/>
    <w:rsid w:val="06110FAF"/>
    <w:rsid w:val="06253E14"/>
    <w:rsid w:val="06493CA7"/>
    <w:rsid w:val="065A6178"/>
    <w:rsid w:val="066F1CF3"/>
    <w:rsid w:val="06930BB8"/>
    <w:rsid w:val="06AE1EBF"/>
    <w:rsid w:val="06B3286F"/>
    <w:rsid w:val="06BD404D"/>
    <w:rsid w:val="06CE02FF"/>
    <w:rsid w:val="07245D42"/>
    <w:rsid w:val="07264C62"/>
    <w:rsid w:val="074D43F4"/>
    <w:rsid w:val="07597635"/>
    <w:rsid w:val="0779354C"/>
    <w:rsid w:val="077B4BBA"/>
    <w:rsid w:val="08061376"/>
    <w:rsid w:val="08127DF5"/>
    <w:rsid w:val="081E6D6D"/>
    <w:rsid w:val="08452D77"/>
    <w:rsid w:val="085F5DFB"/>
    <w:rsid w:val="086401F8"/>
    <w:rsid w:val="08751CAA"/>
    <w:rsid w:val="087E4C40"/>
    <w:rsid w:val="08892CC7"/>
    <w:rsid w:val="08A40BE4"/>
    <w:rsid w:val="08A70B11"/>
    <w:rsid w:val="08A871D0"/>
    <w:rsid w:val="08D66AD6"/>
    <w:rsid w:val="08DA33A3"/>
    <w:rsid w:val="08E80F13"/>
    <w:rsid w:val="08E94F5B"/>
    <w:rsid w:val="08FF1EF4"/>
    <w:rsid w:val="09335624"/>
    <w:rsid w:val="093D3223"/>
    <w:rsid w:val="0944690F"/>
    <w:rsid w:val="09535675"/>
    <w:rsid w:val="095F057D"/>
    <w:rsid w:val="09606584"/>
    <w:rsid w:val="09642282"/>
    <w:rsid w:val="09733572"/>
    <w:rsid w:val="09772C16"/>
    <w:rsid w:val="098353B5"/>
    <w:rsid w:val="09A92330"/>
    <w:rsid w:val="09B06B87"/>
    <w:rsid w:val="09C13146"/>
    <w:rsid w:val="09E04166"/>
    <w:rsid w:val="0A157CFC"/>
    <w:rsid w:val="0A1C0718"/>
    <w:rsid w:val="0A3E7710"/>
    <w:rsid w:val="0A4E70E3"/>
    <w:rsid w:val="0A5B7E63"/>
    <w:rsid w:val="0AA374A5"/>
    <w:rsid w:val="0AA5278A"/>
    <w:rsid w:val="0AAB7649"/>
    <w:rsid w:val="0ABC5606"/>
    <w:rsid w:val="0B147891"/>
    <w:rsid w:val="0B30404E"/>
    <w:rsid w:val="0B4C6C14"/>
    <w:rsid w:val="0B547599"/>
    <w:rsid w:val="0B631A88"/>
    <w:rsid w:val="0B683D45"/>
    <w:rsid w:val="0B7A69B0"/>
    <w:rsid w:val="0B7F3F11"/>
    <w:rsid w:val="0B884417"/>
    <w:rsid w:val="0BA84D92"/>
    <w:rsid w:val="0BF6188C"/>
    <w:rsid w:val="0BF73C91"/>
    <w:rsid w:val="0C170175"/>
    <w:rsid w:val="0C2C345C"/>
    <w:rsid w:val="0C4B4C8F"/>
    <w:rsid w:val="0C4B57FA"/>
    <w:rsid w:val="0C571A41"/>
    <w:rsid w:val="0C5C1171"/>
    <w:rsid w:val="0C5E1CBC"/>
    <w:rsid w:val="0C615B50"/>
    <w:rsid w:val="0C8445DA"/>
    <w:rsid w:val="0C87121B"/>
    <w:rsid w:val="0CC007F7"/>
    <w:rsid w:val="0CC617AC"/>
    <w:rsid w:val="0CE618DF"/>
    <w:rsid w:val="0CFE707A"/>
    <w:rsid w:val="0D063BDA"/>
    <w:rsid w:val="0D08375F"/>
    <w:rsid w:val="0D184CFB"/>
    <w:rsid w:val="0D333071"/>
    <w:rsid w:val="0D4A7419"/>
    <w:rsid w:val="0D827401"/>
    <w:rsid w:val="0D84094E"/>
    <w:rsid w:val="0D8A00E9"/>
    <w:rsid w:val="0D8D589E"/>
    <w:rsid w:val="0DA01C73"/>
    <w:rsid w:val="0DBF68FD"/>
    <w:rsid w:val="0DD63300"/>
    <w:rsid w:val="0DDA54E4"/>
    <w:rsid w:val="0DF50604"/>
    <w:rsid w:val="0DF702FE"/>
    <w:rsid w:val="0DF83C90"/>
    <w:rsid w:val="0E060E51"/>
    <w:rsid w:val="0E36511D"/>
    <w:rsid w:val="0E5604B2"/>
    <w:rsid w:val="0E6D5D79"/>
    <w:rsid w:val="0E9D0089"/>
    <w:rsid w:val="0EA578A0"/>
    <w:rsid w:val="0EB803EE"/>
    <w:rsid w:val="0EC80158"/>
    <w:rsid w:val="0EF94D4B"/>
    <w:rsid w:val="0F4958DC"/>
    <w:rsid w:val="0F515DF7"/>
    <w:rsid w:val="0F596BA8"/>
    <w:rsid w:val="0F6248D2"/>
    <w:rsid w:val="0F693536"/>
    <w:rsid w:val="0F7B0511"/>
    <w:rsid w:val="0F7B76D9"/>
    <w:rsid w:val="0F816ACD"/>
    <w:rsid w:val="0F9832DB"/>
    <w:rsid w:val="0FB06655"/>
    <w:rsid w:val="0FBF3FD2"/>
    <w:rsid w:val="0FBF7FF3"/>
    <w:rsid w:val="10646583"/>
    <w:rsid w:val="107D4B15"/>
    <w:rsid w:val="108A3C80"/>
    <w:rsid w:val="10C26171"/>
    <w:rsid w:val="10F33360"/>
    <w:rsid w:val="10FC16EA"/>
    <w:rsid w:val="110F1D40"/>
    <w:rsid w:val="11266F33"/>
    <w:rsid w:val="112B284A"/>
    <w:rsid w:val="118963A1"/>
    <w:rsid w:val="118B12F1"/>
    <w:rsid w:val="119B640E"/>
    <w:rsid w:val="11C6522A"/>
    <w:rsid w:val="11E104CC"/>
    <w:rsid w:val="11E20309"/>
    <w:rsid w:val="12255233"/>
    <w:rsid w:val="123E4294"/>
    <w:rsid w:val="12437AFC"/>
    <w:rsid w:val="12463148"/>
    <w:rsid w:val="12530213"/>
    <w:rsid w:val="127723A9"/>
    <w:rsid w:val="12862074"/>
    <w:rsid w:val="12883966"/>
    <w:rsid w:val="129E45B4"/>
    <w:rsid w:val="12D81596"/>
    <w:rsid w:val="12EA7CAB"/>
    <w:rsid w:val="13072A44"/>
    <w:rsid w:val="130B4E1E"/>
    <w:rsid w:val="130D7FA9"/>
    <w:rsid w:val="135F4BE2"/>
    <w:rsid w:val="139B1A0A"/>
    <w:rsid w:val="139D25C7"/>
    <w:rsid w:val="13BF3CE4"/>
    <w:rsid w:val="13C94031"/>
    <w:rsid w:val="13CE750E"/>
    <w:rsid w:val="13EE47E7"/>
    <w:rsid w:val="13F04F46"/>
    <w:rsid w:val="141008D8"/>
    <w:rsid w:val="14125FE6"/>
    <w:rsid w:val="143C6E6F"/>
    <w:rsid w:val="146D271E"/>
    <w:rsid w:val="14982588"/>
    <w:rsid w:val="149A5AD9"/>
    <w:rsid w:val="14A7619D"/>
    <w:rsid w:val="14DE2E1C"/>
    <w:rsid w:val="150536C3"/>
    <w:rsid w:val="150C1963"/>
    <w:rsid w:val="151447A0"/>
    <w:rsid w:val="154A6454"/>
    <w:rsid w:val="15762120"/>
    <w:rsid w:val="15892876"/>
    <w:rsid w:val="15AD3681"/>
    <w:rsid w:val="15D1541F"/>
    <w:rsid w:val="16A8729C"/>
    <w:rsid w:val="16AA5591"/>
    <w:rsid w:val="16B33777"/>
    <w:rsid w:val="16BC70A7"/>
    <w:rsid w:val="16BD1ECD"/>
    <w:rsid w:val="16C6339E"/>
    <w:rsid w:val="17085DA0"/>
    <w:rsid w:val="172F2D79"/>
    <w:rsid w:val="17557BEF"/>
    <w:rsid w:val="1776627E"/>
    <w:rsid w:val="17A0779F"/>
    <w:rsid w:val="17BE4B04"/>
    <w:rsid w:val="17D349C1"/>
    <w:rsid w:val="1830729E"/>
    <w:rsid w:val="183C4272"/>
    <w:rsid w:val="1870062C"/>
    <w:rsid w:val="18817102"/>
    <w:rsid w:val="18830A15"/>
    <w:rsid w:val="18852B28"/>
    <w:rsid w:val="188B5321"/>
    <w:rsid w:val="18D13410"/>
    <w:rsid w:val="191E4072"/>
    <w:rsid w:val="191F28C9"/>
    <w:rsid w:val="19664EBD"/>
    <w:rsid w:val="196D545F"/>
    <w:rsid w:val="19800B96"/>
    <w:rsid w:val="19902E8B"/>
    <w:rsid w:val="19932372"/>
    <w:rsid w:val="19A20DD5"/>
    <w:rsid w:val="19AE03F1"/>
    <w:rsid w:val="1A071A03"/>
    <w:rsid w:val="1A1F16AE"/>
    <w:rsid w:val="1A3B5C77"/>
    <w:rsid w:val="1A984BAD"/>
    <w:rsid w:val="1AB8220E"/>
    <w:rsid w:val="1AE4166C"/>
    <w:rsid w:val="1AF06CFB"/>
    <w:rsid w:val="1AF11B8D"/>
    <w:rsid w:val="1B11359C"/>
    <w:rsid w:val="1B2A271F"/>
    <w:rsid w:val="1B3C333B"/>
    <w:rsid w:val="1B530544"/>
    <w:rsid w:val="1B713184"/>
    <w:rsid w:val="1BA209CF"/>
    <w:rsid w:val="1BB4777D"/>
    <w:rsid w:val="1BD75AB8"/>
    <w:rsid w:val="1C0459C2"/>
    <w:rsid w:val="1C1B3B4A"/>
    <w:rsid w:val="1C88086E"/>
    <w:rsid w:val="1C8F0C6C"/>
    <w:rsid w:val="1CC23D13"/>
    <w:rsid w:val="1CD53A47"/>
    <w:rsid w:val="1D01647D"/>
    <w:rsid w:val="1D266CE1"/>
    <w:rsid w:val="1D3963AF"/>
    <w:rsid w:val="1D6A673C"/>
    <w:rsid w:val="1D7148B4"/>
    <w:rsid w:val="1D9247AE"/>
    <w:rsid w:val="1DB567EC"/>
    <w:rsid w:val="1DD51824"/>
    <w:rsid w:val="1DEC54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0546D5"/>
    <w:rsid w:val="20173E4B"/>
    <w:rsid w:val="204E48BC"/>
    <w:rsid w:val="208921B3"/>
    <w:rsid w:val="20920A4C"/>
    <w:rsid w:val="20973DEB"/>
    <w:rsid w:val="20B26522"/>
    <w:rsid w:val="20B44310"/>
    <w:rsid w:val="20C42EDB"/>
    <w:rsid w:val="211116EB"/>
    <w:rsid w:val="216133FC"/>
    <w:rsid w:val="21927613"/>
    <w:rsid w:val="21D56769"/>
    <w:rsid w:val="21E52EF3"/>
    <w:rsid w:val="21FB5D7B"/>
    <w:rsid w:val="22015E94"/>
    <w:rsid w:val="2205092A"/>
    <w:rsid w:val="220770D0"/>
    <w:rsid w:val="220B1C3D"/>
    <w:rsid w:val="221D1D20"/>
    <w:rsid w:val="22334A87"/>
    <w:rsid w:val="226D06CE"/>
    <w:rsid w:val="22BE6801"/>
    <w:rsid w:val="22E97FEC"/>
    <w:rsid w:val="233500BF"/>
    <w:rsid w:val="23377FF7"/>
    <w:rsid w:val="236B425F"/>
    <w:rsid w:val="23836192"/>
    <w:rsid w:val="23901F29"/>
    <w:rsid w:val="239C0061"/>
    <w:rsid w:val="23B908A4"/>
    <w:rsid w:val="23E95BEF"/>
    <w:rsid w:val="23FD0064"/>
    <w:rsid w:val="245375B0"/>
    <w:rsid w:val="246102B6"/>
    <w:rsid w:val="246170BF"/>
    <w:rsid w:val="24642C0A"/>
    <w:rsid w:val="24B22173"/>
    <w:rsid w:val="24B95AD9"/>
    <w:rsid w:val="24BE24DA"/>
    <w:rsid w:val="24CF5825"/>
    <w:rsid w:val="24D663E6"/>
    <w:rsid w:val="24D77F2B"/>
    <w:rsid w:val="24D81381"/>
    <w:rsid w:val="254C54BA"/>
    <w:rsid w:val="25671D1A"/>
    <w:rsid w:val="258B00E2"/>
    <w:rsid w:val="25A917A6"/>
    <w:rsid w:val="25BE27CC"/>
    <w:rsid w:val="25E847EB"/>
    <w:rsid w:val="25F74A5C"/>
    <w:rsid w:val="26062EC3"/>
    <w:rsid w:val="2628662C"/>
    <w:rsid w:val="262D45DE"/>
    <w:rsid w:val="2685028B"/>
    <w:rsid w:val="26871DC8"/>
    <w:rsid w:val="26A53EF9"/>
    <w:rsid w:val="26A94201"/>
    <w:rsid w:val="26AC274F"/>
    <w:rsid w:val="26D9760C"/>
    <w:rsid w:val="26DF025B"/>
    <w:rsid w:val="26FC6074"/>
    <w:rsid w:val="27044A29"/>
    <w:rsid w:val="271D34C8"/>
    <w:rsid w:val="27492FC4"/>
    <w:rsid w:val="276142BF"/>
    <w:rsid w:val="27783712"/>
    <w:rsid w:val="27907362"/>
    <w:rsid w:val="28333E1D"/>
    <w:rsid w:val="28454BD6"/>
    <w:rsid w:val="28455253"/>
    <w:rsid w:val="284B6FF1"/>
    <w:rsid w:val="28546825"/>
    <w:rsid w:val="28551971"/>
    <w:rsid w:val="285B1C53"/>
    <w:rsid w:val="289F7086"/>
    <w:rsid w:val="28AB26BB"/>
    <w:rsid w:val="28C32028"/>
    <w:rsid w:val="28CC490F"/>
    <w:rsid w:val="28DE40AA"/>
    <w:rsid w:val="293167F2"/>
    <w:rsid w:val="29345E77"/>
    <w:rsid w:val="294C65AD"/>
    <w:rsid w:val="29565B6D"/>
    <w:rsid w:val="296879F1"/>
    <w:rsid w:val="29806583"/>
    <w:rsid w:val="298B3C4C"/>
    <w:rsid w:val="29A30A29"/>
    <w:rsid w:val="29AF561F"/>
    <w:rsid w:val="29F26D24"/>
    <w:rsid w:val="2A15033F"/>
    <w:rsid w:val="2A1662C1"/>
    <w:rsid w:val="2A1C7367"/>
    <w:rsid w:val="2A2815FA"/>
    <w:rsid w:val="2A57715E"/>
    <w:rsid w:val="2A6D6092"/>
    <w:rsid w:val="2A7D76B4"/>
    <w:rsid w:val="2A810244"/>
    <w:rsid w:val="2ACD5D8A"/>
    <w:rsid w:val="2AD417E1"/>
    <w:rsid w:val="2AD43590"/>
    <w:rsid w:val="2B437463"/>
    <w:rsid w:val="2B742E28"/>
    <w:rsid w:val="2B765B6D"/>
    <w:rsid w:val="2B7807EE"/>
    <w:rsid w:val="2BA50BF7"/>
    <w:rsid w:val="2BBF00EC"/>
    <w:rsid w:val="2BC37CFD"/>
    <w:rsid w:val="2BD5237F"/>
    <w:rsid w:val="2BE536CE"/>
    <w:rsid w:val="2BE758D9"/>
    <w:rsid w:val="2C034294"/>
    <w:rsid w:val="2C09049E"/>
    <w:rsid w:val="2C0A653C"/>
    <w:rsid w:val="2C191F85"/>
    <w:rsid w:val="2C864D5D"/>
    <w:rsid w:val="2C970EA2"/>
    <w:rsid w:val="2CA1264A"/>
    <w:rsid w:val="2CE82D6F"/>
    <w:rsid w:val="2D055FC3"/>
    <w:rsid w:val="2D343236"/>
    <w:rsid w:val="2D886BC3"/>
    <w:rsid w:val="2DD15014"/>
    <w:rsid w:val="2DF72DE4"/>
    <w:rsid w:val="2E0220AF"/>
    <w:rsid w:val="2E4B082A"/>
    <w:rsid w:val="2E5D4E86"/>
    <w:rsid w:val="2E5D790B"/>
    <w:rsid w:val="2E755089"/>
    <w:rsid w:val="2E9A3C18"/>
    <w:rsid w:val="2EBB0FEE"/>
    <w:rsid w:val="2EC63002"/>
    <w:rsid w:val="2EE26C05"/>
    <w:rsid w:val="2EE84EB6"/>
    <w:rsid w:val="2EED0139"/>
    <w:rsid w:val="2F0A6B38"/>
    <w:rsid w:val="2F5702EB"/>
    <w:rsid w:val="2F946CCB"/>
    <w:rsid w:val="2FCC6F2B"/>
    <w:rsid w:val="2FD25781"/>
    <w:rsid w:val="2FDC745C"/>
    <w:rsid w:val="2FFD7934"/>
    <w:rsid w:val="30733ACD"/>
    <w:rsid w:val="308C08B3"/>
    <w:rsid w:val="308C3862"/>
    <w:rsid w:val="309379D8"/>
    <w:rsid w:val="30A270F7"/>
    <w:rsid w:val="30B359F5"/>
    <w:rsid w:val="30DF1478"/>
    <w:rsid w:val="30EC586F"/>
    <w:rsid w:val="310402C4"/>
    <w:rsid w:val="314550B7"/>
    <w:rsid w:val="319C6071"/>
    <w:rsid w:val="31A55C86"/>
    <w:rsid w:val="31AC537E"/>
    <w:rsid w:val="31AD49A8"/>
    <w:rsid w:val="31C00DA6"/>
    <w:rsid w:val="31CA670A"/>
    <w:rsid w:val="31E3679B"/>
    <w:rsid w:val="31E732FD"/>
    <w:rsid w:val="32517576"/>
    <w:rsid w:val="325904C6"/>
    <w:rsid w:val="32BE5C2C"/>
    <w:rsid w:val="32E95EDD"/>
    <w:rsid w:val="32FB6478"/>
    <w:rsid w:val="33263B3F"/>
    <w:rsid w:val="333746BC"/>
    <w:rsid w:val="336963EB"/>
    <w:rsid w:val="33816EEB"/>
    <w:rsid w:val="33D84C7D"/>
    <w:rsid w:val="33EB55CD"/>
    <w:rsid w:val="33EC4C02"/>
    <w:rsid w:val="340D2360"/>
    <w:rsid w:val="340D79CE"/>
    <w:rsid w:val="3410665D"/>
    <w:rsid w:val="34211214"/>
    <w:rsid w:val="342E63AB"/>
    <w:rsid w:val="34650059"/>
    <w:rsid w:val="34950E68"/>
    <w:rsid w:val="34986E94"/>
    <w:rsid w:val="34AF62C9"/>
    <w:rsid w:val="34CB4388"/>
    <w:rsid w:val="34E02B31"/>
    <w:rsid w:val="34EB5ED3"/>
    <w:rsid w:val="34F860CC"/>
    <w:rsid w:val="34FA6E12"/>
    <w:rsid w:val="351A7D2B"/>
    <w:rsid w:val="35284C04"/>
    <w:rsid w:val="353F6600"/>
    <w:rsid w:val="354D7158"/>
    <w:rsid w:val="355F30A2"/>
    <w:rsid w:val="357F5DFD"/>
    <w:rsid w:val="358D5588"/>
    <w:rsid w:val="363A3B40"/>
    <w:rsid w:val="365302AE"/>
    <w:rsid w:val="36607A0A"/>
    <w:rsid w:val="366E227C"/>
    <w:rsid w:val="366F2E0D"/>
    <w:rsid w:val="36751450"/>
    <w:rsid w:val="367774C5"/>
    <w:rsid w:val="367B6A5C"/>
    <w:rsid w:val="367E0853"/>
    <w:rsid w:val="369C2757"/>
    <w:rsid w:val="36A74ADA"/>
    <w:rsid w:val="36AD60D5"/>
    <w:rsid w:val="36B224F9"/>
    <w:rsid w:val="36B350A3"/>
    <w:rsid w:val="36B61AEF"/>
    <w:rsid w:val="36D6068F"/>
    <w:rsid w:val="36EC0CC9"/>
    <w:rsid w:val="371429A1"/>
    <w:rsid w:val="373553B6"/>
    <w:rsid w:val="373F410B"/>
    <w:rsid w:val="37700B05"/>
    <w:rsid w:val="37E666B0"/>
    <w:rsid w:val="37EE7094"/>
    <w:rsid w:val="38296C89"/>
    <w:rsid w:val="383002EB"/>
    <w:rsid w:val="38586797"/>
    <w:rsid w:val="386A108F"/>
    <w:rsid w:val="38BC0149"/>
    <w:rsid w:val="38D87D1C"/>
    <w:rsid w:val="395872A2"/>
    <w:rsid w:val="39636459"/>
    <w:rsid w:val="396B7F6C"/>
    <w:rsid w:val="39727A7A"/>
    <w:rsid w:val="39B05A3B"/>
    <w:rsid w:val="39B417A9"/>
    <w:rsid w:val="39C61923"/>
    <w:rsid w:val="39CA255A"/>
    <w:rsid w:val="39FC5695"/>
    <w:rsid w:val="3A006D8E"/>
    <w:rsid w:val="3A22616F"/>
    <w:rsid w:val="3A3651E5"/>
    <w:rsid w:val="3A744481"/>
    <w:rsid w:val="3A8C7BEF"/>
    <w:rsid w:val="3A906246"/>
    <w:rsid w:val="3A925DE0"/>
    <w:rsid w:val="3AB4171D"/>
    <w:rsid w:val="3AFA5B18"/>
    <w:rsid w:val="3B2349B7"/>
    <w:rsid w:val="3B616CFF"/>
    <w:rsid w:val="3B6259F6"/>
    <w:rsid w:val="3B797FDE"/>
    <w:rsid w:val="3B976654"/>
    <w:rsid w:val="3BC01EFC"/>
    <w:rsid w:val="3BCA786A"/>
    <w:rsid w:val="3BD31E2F"/>
    <w:rsid w:val="3BF15831"/>
    <w:rsid w:val="3C094C15"/>
    <w:rsid w:val="3C105946"/>
    <w:rsid w:val="3C471448"/>
    <w:rsid w:val="3C5F759A"/>
    <w:rsid w:val="3C6C525A"/>
    <w:rsid w:val="3CB95933"/>
    <w:rsid w:val="3CBD139C"/>
    <w:rsid w:val="3CCE23CB"/>
    <w:rsid w:val="3CD17D17"/>
    <w:rsid w:val="3CDA2233"/>
    <w:rsid w:val="3CE80E5E"/>
    <w:rsid w:val="3CF719D1"/>
    <w:rsid w:val="3D243C29"/>
    <w:rsid w:val="3D3C7F39"/>
    <w:rsid w:val="3D440F09"/>
    <w:rsid w:val="3D4504A0"/>
    <w:rsid w:val="3D8734BB"/>
    <w:rsid w:val="3D9A11D4"/>
    <w:rsid w:val="3DA16D89"/>
    <w:rsid w:val="3DA364BE"/>
    <w:rsid w:val="3DE041CB"/>
    <w:rsid w:val="3E0D48F6"/>
    <w:rsid w:val="3E1868B4"/>
    <w:rsid w:val="3E377251"/>
    <w:rsid w:val="3E42664B"/>
    <w:rsid w:val="3E5A7334"/>
    <w:rsid w:val="3E78202C"/>
    <w:rsid w:val="3E7B5D6B"/>
    <w:rsid w:val="3E843E66"/>
    <w:rsid w:val="3E8F51FE"/>
    <w:rsid w:val="3E926F87"/>
    <w:rsid w:val="3E9A59DE"/>
    <w:rsid w:val="3EA5765F"/>
    <w:rsid w:val="3EA95F54"/>
    <w:rsid w:val="3EAF4836"/>
    <w:rsid w:val="3EC33DFA"/>
    <w:rsid w:val="3ECA58C5"/>
    <w:rsid w:val="3ED2798E"/>
    <w:rsid w:val="3F060E16"/>
    <w:rsid w:val="3F103F9B"/>
    <w:rsid w:val="3F1441AB"/>
    <w:rsid w:val="3F1D1096"/>
    <w:rsid w:val="3F2F0234"/>
    <w:rsid w:val="3F6363FE"/>
    <w:rsid w:val="3F756B8F"/>
    <w:rsid w:val="3F95482B"/>
    <w:rsid w:val="3FC41290"/>
    <w:rsid w:val="3FE317E0"/>
    <w:rsid w:val="4019356B"/>
    <w:rsid w:val="40307062"/>
    <w:rsid w:val="40592157"/>
    <w:rsid w:val="406E1CAE"/>
    <w:rsid w:val="40714F85"/>
    <w:rsid w:val="407B3DF4"/>
    <w:rsid w:val="40933A6C"/>
    <w:rsid w:val="40A0133A"/>
    <w:rsid w:val="40C31A53"/>
    <w:rsid w:val="40FE5502"/>
    <w:rsid w:val="40FF545D"/>
    <w:rsid w:val="410067C8"/>
    <w:rsid w:val="415F481E"/>
    <w:rsid w:val="418F0D2A"/>
    <w:rsid w:val="41A372F8"/>
    <w:rsid w:val="41A72896"/>
    <w:rsid w:val="41D01505"/>
    <w:rsid w:val="41E2613A"/>
    <w:rsid w:val="42211995"/>
    <w:rsid w:val="42474939"/>
    <w:rsid w:val="424C3C57"/>
    <w:rsid w:val="425D28C0"/>
    <w:rsid w:val="42613FF3"/>
    <w:rsid w:val="42660D96"/>
    <w:rsid w:val="428667D2"/>
    <w:rsid w:val="42935686"/>
    <w:rsid w:val="42CD1CE0"/>
    <w:rsid w:val="42D37581"/>
    <w:rsid w:val="42E1381E"/>
    <w:rsid w:val="42ED6459"/>
    <w:rsid w:val="42FE58DD"/>
    <w:rsid w:val="431542ED"/>
    <w:rsid w:val="43174B3D"/>
    <w:rsid w:val="431E4514"/>
    <w:rsid w:val="43215F32"/>
    <w:rsid w:val="434B790E"/>
    <w:rsid w:val="4360274F"/>
    <w:rsid w:val="43977AB6"/>
    <w:rsid w:val="43A3342B"/>
    <w:rsid w:val="43A51592"/>
    <w:rsid w:val="43C77C27"/>
    <w:rsid w:val="43DE09EE"/>
    <w:rsid w:val="44002FAD"/>
    <w:rsid w:val="44342174"/>
    <w:rsid w:val="449101DD"/>
    <w:rsid w:val="44B448E1"/>
    <w:rsid w:val="44DE1391"/>
    <w:rsid w:val="451B225C"/>
    <w:rsid w:val="452410C9"/>
    <w:rsid w:val="45317DFB"/>
    <w:rsid w:val="456D3CE4"/>
    <w:rsid w:val="4579042C"/>
    <w:rsid w:val="457F0571"/>
    <w:rsid w:val="45851176"/>
    <w:rsid w:val="45C63B94"/>
    <w:rsid w:val="460E7DA5"/>
    <w:rsid w:val="462179EA"/>
    <w:rsid w:val="46422483"/>
    <w:rsid w:val="4659254A"/>
    <w:rsid w:val="465B0637"/>
    <w:rsid w:val="465E3F0D"/>
    <w:rsid w:val="466A16E6"/>
    <w:rsid w:val="468679DC"/>
    <w:rsid w:val="46893F2B"/>
    <w:rsid w:val="46C4686E"/>
    <w:rsid w:val="46E96037"/>
    <w:rsid w:val="46EE7E51"/>
    <w:rsid w:val="47196C4D"/>
    <w:rsid w:val="476745C6"/>
    <w:rsid w:val="477B778F"/>
    <w:rsid w:val="478203EC"/>
    <w:rsid w:val="47B025FA"/>
    <w:rsid w:val="4809698F"/>
    <w:rsid w:val="4811697D"/>
    <w:rsid w:val="487A3E25"/>
    <w:rsid w:val="488B5503"/>
    <w:rsid w:val="48937E21"/>
    <w:rsid w:val="489445A1"/>
    <w:rsid w:val="489A0361"/>
    <w:rsid w:val="48B94FF3"/>
    <w:rsid w:val="48E24BBA"/>
    <w:rsid w:val="48E37AAB"/>
    <w:rsid w:val="48FD4B4C"/>
    <w:rsid w:val="490A68E0"/>
    <w:rsid w:val="491055FE"/>
    <w:rsid w:val="495F5B3E"/>
    <w:rsid w:val="496F77D7"/>
    <w:rsid w:val="497654FD"/>
    <w:rsid w:val="4997621F"/>
    <w:rsid w:val="499B0405"/>
    <w:rsid w:val="49B64211"/>
    <w:rsid w:val="49E56AF9"/>
    <w:rsid w:val="49F6167F"/>
    <w:rsid w:val="4A064FA0"/>
    <w:rsid w:val="4A16615C"/>
    <w:rsid w:val="4A1A236D"/>
    <w:rsid w:val="4A361719"/>
    <w:rsid w:val="4A4424D7"/>
    <w:rsid w:val="4A724CCD"/>
    <w:rsid w:val="4AA15E16"/>
    <w:rsid w:val="4AB82D0F"/>
    <w:rsid w:val="4AEB7664"/>
    <w:rsid w:val="4AF65AC7"/>
    <w:rsid w:val="4AFD7C19"/>
    <w:rsid w:val="4B0567D1"/>
    <w:rsid w:val="4B0615B6"/>
    <w:rsid w:val="4B094738"/>
    <w:rsid w:val="4B236AAE"/>
    <w:rsid w:val="4B63653E"/>
    <w:rsid w:val="4B65492A"/>
    <w:rsid w:val="4B707271"/>
    <w:rsid w:val="4B9739F7"/>
    <w:rsid w:val="4B992BBC"/>
    <w:rsid w:val="4BEE2503"/>
    <w:rsid w:val="4C0D4AF5"/>
    <w:rsid w:val="4C245A30"/>
    <w:rsid w:val="4C406E6F"/>
    <w:rsid w:val="4CAD2037"/>
    <w:rsid w:val="4CB6685F"/>
    <w:rsid w:val="4CC367FE"/>
    <w:rsid w:val="4D077F3C"/>
    <w:rsid w:val="4D123355"/>
    <w:rsid w:val="4D2A3B31"/>
    <w:rsid w:val="4D312C52"/>
    <w:rsid w:val="4D362611"/>
    <w:rsid w:val="4D905305"/>
    <w:rsid w:val="4D964A72"/>
    <w:rsid w:val="4D9C1254"/>
    <w:rsid w:val="4E793892"/>
    <w:rsid w:val="4E7A455F"/>
    <w:rsid w:val="4E800872"/>
    <w:rsid w:val="4EB233C7"/>
    <w:rsid w:val="4EC569ED"/>
    <w:rsid w:val="4ED50EA1"/>
    <w:rsid w:val="4EEC050C"/>
    <w:rsid w:val="4EED7D43"/>
    <w:rsid w:val="4F104EC3"/>
    <w:rsid w:val="4F336227"/>
    <w:rsid w:val="4F47354A"/>
    <w:rsid w:val="4F477F24"/>
    <w:rsid w:val="4F571288"/>
    <w:rsid w:val="4F601FC2"/>
    <w:rsid w:val="4F6D4A83"/>
    <w:rsid w:val="4F911C54"/>
    <w:rsid w:val="4FA233D6"/>
    <w:rsid w:val="4FDD5E60"/>
    <w:rsid w:val="4FE625E0"/>
    <w:rsid w:val="50035492"/>
    <w:rsid w:val="50083210"/>
    <w:rsid w:val="50195DE8"/>
    <w:rsid w:val="5021480F"/>
    <w:rsid w:val="506F328F"/>
    <w:rsid w:val="50733871"/>
    <w:rsid w:val="50962ECB"/>
    <w:rsid w:val="509947EF"/>
    <w:rsid w:val="50A42E38"/>
    <w:rsid w:val="50A4577F"/>
    <w:rsid w:val="50B73D1F"/>
    <w:rsid w:val="50BD5BC9"/>
    <w:rsid w:val="50C11EEE"/>
    <w:rsid w:val="50CC248F"/>
    <w:rsid w:val="50DC646D"/>
    <w:rsid w:val="50E97CFC"/>
    <w:rsid w:val="50FA4028"/>
    <w:rsid w:val="510D65B7"/>
    <w:rsid w:val="511157AB"/>
    <w:rsid w:val="5142540C"/>
    <w:rsid w:val="518832C8"/>
    <w:rsid w:val="518E1E3B"/>
    <w:rsid w:val="519D3C50"/>
    <w:rsid w:val="51A0432A"/>
    <w:rsid w:val="51A86090"/>
    <w:rsid w:val="51B7396D"/>
    <w:rsid w:val="522E4CC3"/>
    <w:rsid w:val="5244713B"/>
    <w:rsid w:val="52593770"/>
    <w:rsid w:val="52615633"/>
    <w:rsid w:val="526F4DE4"/>
    <w:rsid w:val="52977FD4"/>
    <w:rsid w:val="52A25790"/>
    <w:rsid w:val="52A96B6F"/>
    <w:rsid w:val="52B45975"/>
    <w:rsid w:val="52C51A09"/>
    <w:rsid w:val="52CC27E1"/>
    <w:rsid w:val="52D94AA4"/>
    <w:rsid w:val="52EA3A62"/>
    <w:rsid w:val="52F50BB8"/>
    <w:rsid w:val="53097272"/>
    <w:rsid w:val="53391AD7"/>
    <w:rsid w:val="53544462"/>
    <w:rsid w:val="5397158E"/>
    <w:rsid w:val="53AF092B"/>
    <w:rsid w:val="53C65031"/>
    <w:rsid w:val="53DC7D3D"/>
    <w:rsid w:val="54013861"/>
    <w:rsid w:val="54487265"/>
    <w:rsid w:val="544D6070"/>
    <w:rsid w:val="54605E1E"/>
    <w:rsid w:val="54B3506A"/>
    <w:rsid w:val="54BE0D1A"/>
    <w:rsid w:val="54CA0D16"/>
    <w:rsid w:val="54DD4057"/>
    <w:rsid w:val="54E7490F"/>
    <w:rsid w:val="550764A4"/>
    <w:rsid w:val="550B2BF6"/>
    <w:rsid w:val="55214EB5"/>
    <w:rsid w:val="55364EFD"/>
    <w:rsid w:val="555D4828"/>
    <w:rsid w:val="55674B67"/>
    <w:rsid w:val="557A4C8B"/>
    <w:rsid w:val="558931E1"/>
    <w:rsid w:val="55923347"/>
    <w:rsid w:val="55925180"/>
    <w:rsid w:val="55983B1B"/>
    <w:rsid w:val="559A3473"/>
    <w:rsid w:val="55A60382"/>
    <w:rsid w:val="55A8376B"/>
    <w:rsid w:val="55DC29B6"/>
    <w:rsid w:val="55DD4241"/>
    <w:rsid w:val="566B6D1E"/>
    <w:rsid w:val="56E21644"/>
    <w:rsid w:val="57006746"/>
    <w:rsid w:val="57032A2C"/>
    <w:rsid w:val="570F5219"/>
    <w:rsid w:val="575D12B5"/>
    <w:rsid w:val="57610A87"/>
    <w:rsid w:val="577B1140"/>
    <w:rsid w:val="577B7F21"/>
    <w:rsid w:val="577C44E3"/>
    <w:rsid w:val="577F181B"/>
    <w:rsid w:val="57921984"/>
    <w:rsid w:val="579737F0"/>
    <w:rsid w:val="579E5E7E"/>
    <w:rsid w:val="57AB7B30"/>
    <w:rsid w:val="57AF5251"/>
    <w:rsid w:val="57B26373"/>
    <w:rsid w:val="57B63F04"/>
    <w:rsid w:val="57CD20C2"/>
    <w:rsid w:val="57D675AB"/>
    <w:rsid w:val="57D95FDD"/>
    <w:rsid w:val="58397D2F"/>
    <w:rsid w:val="584E4457"/>
    <w:rsid w:val="586207C1"/>
    <w:rsid w:val="58737694"/>
    <w:rsid w:val="58917D2F"/>
    <w:rsid w:val="5894085C"/>
    <w:rsid w:val="58AE4F0C"/>
    <w:rsid w:val="58B85899"/>
    <w:rsid w:val="58E363A9"/>
    <w:rsid w:val="593F38B9"/>
    <w:rsid w:val="595E1678"/>
    <w:rsid w:val="59636C09"/>
    <w:rsid w:val="596D5BD4"/>
    <w:rsid w:val="597E3DD8"/>
    <w:rsid w:val="598A2BDD"/>
    <w:rsid w:val="59C853E4"/>
    <w:rsid w:val="59F80043"/>
    <w:rsid w:val="59FF2471"/>
    <w:rsid w:val="5A09252F"/>
    <w:rsid w:val="5A0B2778"/>
    <w:rsid w:val="5A2A7C7B"/>
    <w:rsid w:val="5A3E2560"/>
    <w:rsid w:val="5A452D7F"/>
    <w:rsid w:val="5A5D3B6E"/>
    <w:rsid w:val="5A637A76"/>
    <w:rsid w:val="5A6D33BA"/>
    <w:rsid w:val="5A737E20"/>
    <w:rsid w:val="5A792B1F"/>
    <w:rsid w:val="5A874767"/>
    <w:rsid w:val="5AA85BE2"/>
    <w:rsid w:val="5AAD6F28"/>
    <w:rsid w:val="5ACA5A39"/>
    <w:rsid w:val="5AD63A24"/>
    <w:rsid w:val="5B2E1A1D"/>
    <w:rsid w:val="5B7020EA"/>
    <w:rsid w:val="5B843A1C"/>
    <w:rsid w:val="5B873E3F"/>
    <w:rsid w:val="5BAD072F"/>
    <w:rsid w:val="5C02690E"/>
    <w:rsid w:val="5C196DA7"/>
    <w:rsid w:val="5C2A048C"/>
    <w:rsid w:val="5C78171D"/>
    <w:rsid w:val="5C80234E"/>
    <w:rsid w:val="5C8127C5"/>
    <w:rsid w:val="5C8A680C"/>
    <w:rsid w:val="5C8C6F77"/>
    <w:rsid w:val="5C94450E"/>
    <w:rsid w:val="5CF35D1E"/>
    <w:rsid w:val="5D08721B"/>
    <w:rsid w:val="5D0C4701"/>
    <w:rsid w:val="5D0F0395"/>
    <w:rsid w:val="5D1A27D4"/>
    <w:rsid w:val="5D221076"/>
    <w:rsid w:val="5D397964"/>
    <w:rsid w:val="5D5A391C"/>
    <w:rsid w:val="5D5F10C0"/>
    <w:rsid w:val="5D7B0352"/>
    <w:rsid w:val="5D891B7B"/>
    <w:rsid w:val="5D8B5480"/>
    <w:rsid w:val="5DAD38EE"/>
    <w:rsid w:val="5DEA02BF"/>
    <w:rsid w:val="5E006862"/>
    <w:rsid w:val="5E0207B9"/>
    <w:rsid w:val="5E1834A1"/>
    <w:rsid w:val="5E261785"/>
    <w:rsid w:val="5E4A7017"/>
    <w:rsid w:val="5E552BBA"/>
    <w:rsid w:val="5E611C10"/>
    <w:rsid w:val="5E7A0F3F"/>
    <w:rsid w:val="5EBC487B"/>
    <w:rsid w:val="5EFC7377"/>
    <w:rsid w:val="5F06174D"/>
    <w:rsid w:val="5F3A3602"/>
    <w:rsid w:val="5F45733B"/>
    <w:rsid w:val="5F6277C6"/>
    <w:rsid w:val="5F6D0B1D"/>
    <w:rsid w:val="5F8D04D8"/>
    <w:rsid w:val="5F8D0B82"/>
    <w:rsid w:val="5FC03B07"/>
    <w:rsid w:val="5FCC5339"/>
    <w:rsid w:val="5FE34A5B"/>
    <w:rsid w:val="5FE62E42"/>
    <w:rsid w:val="5FFE1E36"/>
    <w:rsid w:val="60232584"/>
    <w:rsid w:val="607330CE"/>
    <w:rsid w:val="60825176"/>
    <w:rsid w:val="609F2AC4"/>
    <w:rsid w:val="60CB55BA"/>
    <w:rsid w:val="60FA2EE8"/>
    <w:rsid w:val="60FC0DF8"/>
    <w:rsid w:val="61054A27"/>
    <w:rsid w:val="610A52BC"/>
    <w:rsid w:val="611D2366"/>
    <w:rsid w:val="61271964"/>
    <w:rsid w:val="61421856"/>
    <w:rsid w:val="615227C4"/>
    <w:rsid w:val="61654E3F"/>
    <w:rsid w:val="6182292A"/>
    <w:rsid w:val="619F7F92"/>
    <w:rsid w:val="61D86616"/>
    <w:rsid w:val="61DC2F30"/>
    <w:rsid w:val="61F94C26"/>
    <w:rsid w:val="62000E56"/>
    <w:rsid w:val="622E3F37"/>
    <w:rsid w:val="624F3E49"/>
    <w:rsid w:val="626126AB"/>
    <w:rsid w:val="62632286"/>
    <w:rsid w:val="62885958"/>
    <w:rsid w:val="629152E7"/>
    <w:rsid w:val="62F40B65"/>
    <w:rsid w:val="62FC2CFE"/>
    <w:rsid w:val="62FD4649"/>
    <w:rsid w:val="63024505"/>
    <w:rsid w:val="63091321"/>
    <w:rsid w:val="635600A5"/>
    <w:rsid w:val="635B1DB5"/>
    <w:rsid w:val="63711FED"/>
    <w:rsid w:val="63880DDC"/>
    <w:rsid w:val="638D750D"/>
    <w:rsid w:val="63AC6CC0"/>
    <w:rsid w:val="63CE127D"/>
    <w:rsid w:val="64055776"/>
    <w:rsid w:val="64240056"/>
    <w:rsid w:val="643E143A"/>
    <w:rsid w:val="64491666"/>
    <w:rsid w:val="648B6EEF"/>
    <w:rsid w:val="64BB3ED9"/>
    <w:rsid w:val="64C158BF"/>
    <w:rsid w:val="64CE2EAA"/>
    <w:rsid w:val="64D73725"/>
    <w:rsid w:val="650C0590"/>
    <w:rsid w:val="6511270F"/>
    <w:rsid w:val="6517787E"/>
    <w:rsid w:val="653C3090"/>
    <w:rsid w:val="653C4DBE"/>
    <w:rsid w:val="657B681A"/>
    <w:rsid w:val="65854376"/>
    <w:rsid w:val="658767BE"/>
    <w:rsid w:val="65892531"/>
    <w:rsid w:val="65DC0990"/>
    <w:rsid w:val="66195831"/>
    <w:rsid w:val="662656B1"/>
    <w:rsid w:val="662E75B1"/>
    <w:rsid w:val="66342C2E"/>
    <w:rsid w:val="663E784C"/>
    <w:rsid w:val="667342C5"/>
    <w:rsid w:val="668B6A45"/>
    <w:rsid w:val="66FF28C8"/>
    <w:rsid w:val="67011F07"/>
    <w:rsid w:val="672F3F24"/>
    <w:rsid w:val="673E055F"/>
    <w:rsid w:val="674C362E"/>
    <w:rsid w:val="67551CE3"/>
    <w:rsid w:val="675863D3"/>
    <w:rsid w:val="6784723F"/>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30B76"/>
    <w:rsid w:val="689F444F"/>
    <w:rsid w:val="68B03FED"/>
    <w:rsid w:val="68B96DBB"/>
    <w:rsid w:val="68CA2805"/>
    <w:rsid w:val="68E937A3"/>
    <w:rsid w:val="6914554E"/>
    <w:rsid w:val="691602F4"/>
    <w:rsid w:val="691664E5"/>
    <w:rsid w:val="69340509"/>
    <w:rsid w:val="693E15D3"/>
    <w:rsid w:val="69627681"/>
    <w:rsid w:val="696306FF"/>
    <w:rsid w:val="6977531D"/>
    <w:rsid w:val="69A26638"/>
    <w:rsid w:val="69CC2BFF"/>
    <w:rsid w:val="69ED0011"/>
    <w:rsid w:val="69FD55B8"/>
    <w:rsid w:val="6A0B1C62"/>
    <w:rsid w:val="6A2406C8"/>
    <w:rsid w:val="6AB2096F"/>
    <w:rsid w:val="6ADE0BD1"/>
    <w:rsid w:val="6AE96859"/>
    <w:rsid w:val="6B0227AC"/>
    <w:rsid w:val="6B147746"/>
    <w:rsid w:val="6B24787C"/>
    <w:rsid w:val="6B573233"/>
    <w:rsid w:val="6B5B6274"/>
    <w:rsid w:val="6B8A35E4"/>
    <w:rsid w:val="6B935D53"/>
    <w:rsid w:val="6B95182F"/>
    <w:rsid w:val="6C196F71"/>
    <w:rsid w:val="6C226FCB"/>
    <w:rsid w:val="6C31226F"/>
    <w:rsid w:val="6C552F0B"/>
    <w:rsid w:val="6C8C67B7"/>
    <w:rsid w:val="6C9C1848"/>
    <w:rsid w:val="6C9D744C"/>
    <w:rsid w:val="6CAE69CD"/>
    <w:rsid w:val="6D167928"/>
    <w:rsid w:val="6D26299B"/>
    <w:rsid w:val="6D4772EC"/>
    <w:rsid w:val="6D9078AF"/>
    <w:rsid w:val="6DAA3FEF"/>
    <w:rsid w:val="6DC0172B"/>
    <w:rsid w:val="6DCB690C"/>
    <w:rsid w:val="6DD41A5B"/>
    <w:rsid w:val="6DDD59FB"/>
    <w:rsid w:val="6DEC5355"/>
    <w:rsid w:val="6DF43C2E"/>
    <w:rsid w:val="6DF51CA3"/>
    <w:rsid w:val="6E1D0A51"/>
    <w:rsid w:val="6E8335BD"/>
    <w:rsid w:val="6E8E12EF"/>
    <w:rsid w:val="6E972936"/>
    <w:rsid w:val="6E980103"/>
    <w:rsid w:val="6ED446C5"/>
    <w:rsid w:val="6F2A7D94"/>
    <w:rsid w:val="6F3239AE"/>
    <w:rsid w:val="6F5E06F8"/>
    <w:rsid w:val="6F623A01"/>
    <w:rsid w:val="6F711220"/>
    <w:rsid w:val="6F8331F1"/>
    <w:rsid w:val="6FAE1A09"/>
    <w:rsid w:val="6FCD6C63"/>
    <w:rsid w:val="6FD75BF8"/>
    <w:rsid w:val="70273981"/>
    <w:rsid w:val="704B4683"/>
    <w:rsid w:val="707723D0"/>
    <w:rsid w:val="709A32CA"/>
    <w:rsid w:val="70ED2282"/>
    <w:rsid w:val="70F5661B"/>
    <w:rsid w:val="711517D9"/>
    <w:rsid w:val="71360107"/>
    <w:rsid w:val="713B688E"/>
    <w:rsid w:val="71D43752"/>
    <w:rsid w:val="71F1796A"/>
    <w:rsid w:val="72154626"/>
    <w:rsid w:val="72262B5D"/>
    <w:rsid w:val="72283FF7"/>
    <w:rsid w:val="722E7212"/>
    <w:rsid w:val="723A0474"/>
    <w:rsid w:val="725923E4"/>
    <w:rsid w:val="72743EAF"/>
    <w:rsid w:val="728576B2"/>
    <w:rsid w:val="72864BF7"/>
    <w:rsid w:val="729023FC"/>
    <w:rsid w:val="7338355D"/>
    <w:rsid w:val="7358775B"/>
    <w:rsid w:val="736305DA"/>
    <w:rsid w:val="737850AF"/>
    <w:rsid w:val="73940FC7"/>
    <w:rsid w:val="73AE265B"/>
    <w:rsid w:val="73BB5E73"/>
    <w:rsid w:val="73C0646E"/>
    <w:rsid w:val="73CB4171"/>
    <w:rsid w:val="73E7CF11"/>
    <w:rsid w:val="74216391"/>
    <w:rsid w:val="742222F5"/>
    <w:rsid w:val="743701E4"/>
    <w:rsid w:val="74476126"/>
    <w:rsid w:val="74670BC6"/>
    <w:rsid w:val="74706664"/>
    <w:rsid w:val="747F3682"/>
    <w:rsid w:val="749C4185"/>
    <w:rsid w:val="74AD7B60"/>
    <w:rsid w:val="74F17E67"/>
    <w:rsid w:val="74FE0C7D"/>
    <w:rsid w:val="75067759"/>
    <w:rsid w:val="752E6DCD"/>
    <w:rsid w:val="75436915"/>
    <w:rsid w:val="75491A51"/>
    <w:rsid w:val="7551380D"/>
    <w:rsid w:val="7554749E"/>
    <w:rsid w:val="75600BE5"/>
    <w:rsid w:val="7564475C"/>
    <w:rsid w:val="7583797F"/>
    <w:rsid w:val="75B25848"/>
    <w:rsid w:val="75D20F1D"/>
    <w:rsid w:val="75DA2C18"/>
    <w:rsid w:val="75F54412"/>
    <w:rsid w:val="761D08E0"/>
    <w:rsid w:val="765D347C"/>
    <w:rsid w:val="7662459F"/>
    <w:rsid w:val="767261D5"/>
    <w:rsid w:val="76826699"/>
    <w:rsid w:val="76C60C1B"/>
    <w:rsid w:val="76C87133"/>
    <w:rsid w:val="76CD08D5"/>
    <w:rsid w:val="76DB4B92"/>
    <w:rsid w:val="76FD013A"/>
    <w:rsid w:val="77005500"/>
    <w:rsid w:val="77052AA4"/>
    <w:rsid w:val="77136511"/>
    <w:rsid w:val="77340A39"/>
    <w:rsid w:val="77351FD0"/>
    <w:rsid w:val="77416E84"/>
    <w:rsid w:val="77472422"/>
    <w:rsid w:val="777F31F2"/>
    <w:rsid w:val="77BA51DD"/>
    <w:rsid w:val="77C86342"/>
    <w:rsid w:val="77D1700D"/>
    <w:rsid w:val="77EC04CC"/>
    <w:rsid w:val="78775729"/>
    <w:rsid w:val="78A42DB0"/>
    <w:rsid w:val="78A656AB"/>
    <w:rsid w:val="78B2245C"/>
    <w:rsid w:val="78E172CC"/>
    <w:rsid w:val="78EA1D1F"/>
    <w:rsid w:val="7904172F"/>
    <w:rsid w:val="79055AB7"/>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CD16AF"/>
    <w:rsid w:val="7AD05746"/>
    <w:rsid w:val="7AD868F2"/>
    <w:rsid w:val="7AFE0079"/>
    <w:rsid w:val="7B257FFD"/>
    <w:rsid w:val="7B27395D"/>
    <w:rsid w:val="7B273D20"/>
    <w:rsid w:val="7B343476"/>
    <w:rsid w:val="7B5A2978"/>
    <w:rsid w:val="7B5A7E4C"/>
    <w:rsid w:val="7B667AF9"/>
    <w:rsid w:val="7B7468F8"/>
    <w:rsid w:val="7B78100F"/>
    <w:rsid w:val="7BA9702E"/>
    <w:rsid w:val="7BEE0103"/>
    <w:rsid w:val="7C0A0FE4"/>
    <w:rsid w:val="7C254906"/>
    <w:rsid w:val="7C374112"/>
    <w:rsid w:val="7C590818"/>
    <w:rsid w:val="7C7C10F6"/>
    <w:rsid w:val="7C853BEA"/>
    <w:rsid w:val="7C881368"/>
    <w:rsid w:val="7C9E08D4"/>
    <w:rsid w:val="7CE27788"/>
    <w:rsid w:val="7CFC1AEC"/>
    <w:rsid w:val="7D0C32F1"/>
    <w:rsid w:val="7D0F408D"/>
    <w:rsid w:val="7D295026"/>
    <w:rsid w:val="7D491C6C"/>
    <w:rsid w:val="7D5429C0"/>
    <w:rsid w:val="7D6E6D43"/>
    <w:rsid w:val="7D733B0F"/>
    <w:rsid w:val="7DB57A34"/>
    <w:rsid w:val="7DE60973"/>
    <w:rsid w:val="7DEF0916"/>
    <w:rsid w:val="7E1E5218"/>
    <w:rsid w:val="7E532C2D"/>
    <w:rsid w:val="7E935512"/>
    <w:rsid w:val="7E9A4E1F"/>
    <w:rsid w:val="7EA42BBA"/>
    <w:rsid w:val="7EA7723A"/>
    <w:rsid w:val="7ED24FDD"/>
    <w:rsid w:val="7EF56FBB"/>
    <w:rsid w:val="7F06663A"/>
    <w:rsid w:val="7F0768EB"/>
    <w:rsid w:val="7F143BEC"/>
    <w:rsid w:val="7F285F22"/>
    <w:rsid w:val="7F715AF2"/>
    <w:rsid w:val="7F7C5952"/>
    <w:rsid w:val="7F886E69"/>
    <w:rsid w:val="7F9D30C5"/>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link w:val="977"/>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4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1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8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2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1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25"/>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5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32"/>
    <w:qFormat/>
    <w:uiPriority w:val="0"/>
    <w:pPr>
      <w:shd w:val="clear" w:color="auto" w:fill="000080"/>
    </w:pPr>
  </w:style>
  <w:style w:type="paragraph" w:styleId="19">
    <w:name w:val="annotation text"/>
    <w:basedOn w:val="1"/>
    <w:link w:val="859"/>
    <w:qFormat/>
    <w:uiPriority w:val="99"/>
    <w:pPr>
      <w:jc w:val="left"/>
    </w:pPr>
  </w:style>
  <w:style w:type="paragraph" w:styleId="20">
    <w:name w:val="Salutation"/>
    <w:basedOn w:val="1"/>
    <w:next w:val="1"/>
    <w:link w:val="819"/>
    <w:qFormat/>
    <w:uiPriority w:val="0"/>
    <w:rPr>
      <w:rFonts w:ascii="仿宋_GB2312" w:eastAsia="仿宋_GB2312"/>
      <w:sz w:val="28"/>
      <w:szCs w:val="20"/>
    </w:rPr>
  </w:style>
  <w:style w:type="paragraph" w:styleId="21">
    <w:name w:val="Body Text 3"/>
    <w:basedOn w:val="1"/>
    <w:link w:val="84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936"/>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787"/>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748"/>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664"/>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714"/>
    <w:qFormat/>
    <w:uiPriority w:val="0"/>
    <w:pPr>
      <w:ind w:left="100" w:leftChars="2500"/>
    </w:pPr>
    <w:rPr>
      <w:rFonts w:ascii="宋体"/>
      <w:sz w:val="24"/>
      <w:szCs w:val="21"/>
      <w:lang w:val="zh-CN"/>
    </w:rPr>
  </w:style>
  <w:style w:type="paragraph" w:styleId="36">
    <w:name w:val="Body Text Indent 2"/>
    <w:basedOn w:val="1"/>
    <w:link w:val="827"/>
    <w:qFormat/>
    <w:uiPriority w:val="0"/>
    <w:pPr>
      <w:spacing w:line="360" w:lineRule="auto"/>
      <w:ind w:firstLine="601"/>
      <w:textAlignment w:val="baseline"/>
    </w:pPr>
    <w:rPr>
      <w:rFonts w:ascii="宋体"/>
      <w:kern w:val="0"/>
      <w:sz w:val="28"/>
      <w:szCs w:val="20"/>
    </w:rPr>
  </w:style>
  <w:style w:type="paragraph" w:styleId="37">
    <w:name w:val="endnote text"/>
    <w:basedOn w:val="1"/>
    <w:link w:val="944"/>
    <w:qFormat/>
    <w:uiPriority w:val="0"/>
    <w:rPr>
      <w:lang w:val="zh-CN"/>
    </w:rPr>
  </w:style>
  <w:style w:type="paragraph" w:styleId="38">
    <w:name w:val="Balloon Text"/>
    <w:basedOn w:val="1"/>
    <w:link w:val="721"/>
    <w:qFormat/>
    <w:uiPriority w:val="0"/>
    <w:rPr>
      <w:sz w:val="18"/>
      <w:szCs w:val="18"/>
    </w:rPr>
  </w:style>
  <w:style w:type="paragraph" w:styleId="39">
    <w:name w:val="footer"/>
    <w:basedOn w:val="1"/>
    <w:link w:val="895"/>
    <w:qFormat/>
    <w:uiPriority w:val="99"/>
    <w:pPr>
      <w:tabs>
        <w:tab w:val="center" w:pos="4153"/>
        <w:tab w:val="right" w:pos="8306"/>
      </w:tabs>
      <w:snapToGrid w:val="0"/>
      <w:jc w:val="left"/>
    </w:pPr>
    <w:rPr>
      <w:sz w:val="18"/>
      <w:szCs w:val="18"/>
    </w:rPr>
  </w:style>
  <w:style w:type="paragraph" w:styleId="40">
    <w:name w:val="header"/>
    <w:basedOn w:val="1"/>
    <w:link w:val="903"/>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860"/>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67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829"/>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8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823"/>
    <w:qFormat/>
    <w:uiPriority w:val="0"/>
    <w:pPr>
      <w:spacing w:after="120" w:line="480" w:lineRule="auto"/>
    </w:pPr>
  </w:style>
  <w:style w:type="paragraph" w:styleId="56">
    <w:name w:val="HTML Preformatted"/>
    <w:basedOn w:val="1"/>
    <w:link w:val="8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807"/>
    <w:qFormat/>
    <w:uiPriority w:val="10"/>
    <w:pPr>
      <w:widowControl/>
      <w:overflowPunct w:val="0"/>
      <w:autoSpaceDE w:val="0"/>
      <w:autoSpaceDN w:val="0"/>
      <w:jc w:val="center"/>
      <w:textAlignment w:val="baseline"/>
    </w:pPr>
    <w:rPr>
      <w:b/>
      <w:kern w:val="0"/>
      <w:sz w:val="24"/>
      <w:szCs w:val="20"/>
    </w:rPr>
  </w:style>
  <w:style w:type="paragraph" w:styleId="59">
    <w:name w:val="annotation subject"/>
    <w:basedOn w:val="19"/>
    <w:next w:val="19"/>
    <w:link w:val="637"/>
    <w:qFormat/>
    <w:uiPriority w:val="0"/>
    <w:rPr>
      <w:b/>
      <w:bCs/>
    </w:rPr>
  </w:style>
  <w:style w:type="paragraph" w:styleId="60">
    <w:name w:val="Body Text First Indent"/>
    <w:basedOn w:val="23"/>
    <w:next w:val="50"/>
    <w:link w:val="838"/>
    <w:qFormat/>
    <w:uiPriority w:val="0"/>
    <w:pPr>
      <w:ind w:firstLine="420"/>
    </w:pPr>
    <w:rPr>
      <w:rFonts w:hAnsi="Calibri" w:cs="Times New Roman"/>
      <w:szCs w:val="20"/>
    </w:rPr>
  </w:style>
  <w:style w:type="paragraph" w:styleId="61">
    <w:name w:val="Body Text First Indent 2"/>
    <w:basedOn w:val="24"/>
    <w:next w:val="60"/>
    <w:link w:val="66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标题 2 Char"/>
    <w:qFormat/>
    <w:uiPriority w:val="0"/>
    <w:rPr>
      <w:rFonts w:ascii="Arial" w:hAnsi="Arial" w:eastAsia="黑体"/>
      <w:b/>
      <w:kern w:val="2"/>
      <w:sz w:val="32"/>
      <w:lang w:val="en-US" w:eastAsia="zh-CN"/>
    </w:rPr>
  </w:style>
  <w:style w:type="paragraph" w:customStyle="1" w:styleId="80">
    <w:name w:val="正文文本首行缩进 21"/>
    <w:basedOn w:val="24"/>
    <w:qFormat/>
    <w:uiPriority w:val="99"/>
    <w:pPr>
      <w:spacing w:line="200" w:lineRule="atLeast"/>
      <w:ind w:firstLine="420"/>
    </w:pPr>
    <w:rPr>
      <w:rFonts w:hAnsi="Courier New"/>
      <w:spacing w:val="-4"/>
      <w:sz w:val="18"/>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paragraph" w:customStyle="1" w:styleId="84">
    <w:name w:val="表格非标题文字"/>
    <w:link w:val="626"/>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5">
    <w:name w:val="*正文"/>
    <w:basedOn w:val="1"/>
    <w:link w:val="627"/>
    <w:qFormat/>
    <w:uiPriority w:val="0"/>
    <w:pPr>
      <w:snapToGrid w:val="0"/>
      <w:spacing w:line="360" w:lineRule="auto"/>
      <w:ind w:firstLine="482"/>
      <w:jc w:val="left"/>
    </w:pPr>
    <w:rPr>
      <w:rFonts w:ascii="宋体" w:hAnsi="宋体"/>
      <w:kern w:val="0"/>
      <w:sz w:val="24"/>
      <w:szCs w:val="20"/>
    </w:rPr>
  </w:style>
  <w:style w:type="paragraph" w:customStyle="1" w:styleId="86">
    <w:name w:val="U_正文"/>
    <w:basedOn w:val="1"/>
    <w:link w:val="635"/>
    <w:qFormat/>
    <w:uiPriority w:val="0"/>
    <w:pPr>
      <w:adjustRightInd/>
      <w:spacing w:beforeLines="20" w:afterLines="20" w:line="300" w:lineRule="auto"/>
      <w:ind w:firstLine="200" w:firstLineChars="200"/>
    </w:pPr>
    <w:rPr>
      <w:kern w:val="0"/>
      <w:sz w:val="24"/>
    </w:rPr>
  </w:style>
  <w:style w:type="paragraph" w:customStyle="1" w:styleId="87">
    <w:name w:val="哈哈正文"/>
    <w:basedOn w:val="1"/>
    <w:link w:val="642"/>
    <w:qFormat/>
    <w:uiPriority w:val="0"/>
    <w:pPr>
      <w:adjustRightInd/>
      <w:spacing w:line="360" w:lineRule="auto"/>
      <w:ind w:firstLine="200" w:firstLineChars="200"/>
    </w:pPr>
    <w:rPr>
      <w:rFonts w:ascii="宋体" w:hAnsi="宋体"/>
      <w:sz w:val="24"/>
      <w:szCs w:val="20"/>
    </w:rPr>
  </w:style>
  <w:style w:type="paragraph" w:customStyle="1" w:styleId="88">
    <w:name w:val="5正文"/>
    <w:basedOn w:val="1"/>
    <w:link w:val="655"/>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9">
    <w:name w:val="正文2"/>
    <w:basedOn w:val="1"/>
    <w:link w:val="669"/>
    <w:qFormat/>
    <w:uiPriority w:val="0"/>
    <w:pPr>
      <w:spacing w:before="156" w:line="360" w:lineRule="auto"/>
      <w:ind w:firstLine="510" w:firstLineChars="200"/>
    </w:pPr>
    <w:rPr>
      <w:sz w:val="24"/>
      <w:szCs w:val="20"/>
    </w:rPr>
  </w:style>
  <w:style w:type="paragraph" w:customStyle="1" w:styleId="90">
    <w:name w:val="无间隔1"/>
    <w:link w:val="677"/>
    <w:qFormat/>
    <w:uiPriority w:val="1"/>
    <w:rPr>
      <w:rFonts w:ascii="Times New Roman" w:hAnsi="Times New Roman" w:eastAsia="宋体" w:cs="Times New Roman"/>
      <w:sz w:val="22"/>
      <w:szCs w:val="22"/>
      <w:lang w:val="en-US" w:eastAsia="zh-CN" w:bidi="ar-SA"/>
    </w:rPr>
  </w:style>
  <w:style w:type="paragraph" w:customStyle="1" w:styleId="91">
    <w:name w:val="纯文本_0_0"/>
    <w:basedOn w:val="92"/>
    <w:link w:val="685"/>
    <w:qFormat/>
    <w:uiPriority w:val="0"/>
    <w:rPr>
      <w:rFonts w:ascii="宋体" w:hAnsi="Courier New"/>
      <w:szCs w:val="21"/>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绿盟科技）"/>
    <w:link w:val="695"/>
    <w:qFormat/>
    <w:uiPriority w:val="0"/>
    <w:pPr>
      <w:spacing w:line="300" w:lineRule="auto"/>
    </w:pPr>
    <w:rPr>
      <w:rFonts w:ascii="Arial" w:hAnsi="Arial" w:eastAsia="宋体" w:cs="Times New Roman"/>
      <w:sz w:val="21"/>
      <w:szCs w:val="21"/>
      <w:lang w:val="en-US" w:eastAsia="zh-CN" w:bidi="ar-SA"/>
    </w:rPr>
  </w:style>
  <w:style w:type="paragraph" w:customStyle="1" w:styleId="94">
    <w:name w:val="表格名称"/>
    <w:basedOn w:val="3"/>
    <w:link w:val="704"/>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5">
    <w:name w:val="my正文"/>
    <w:basedOn w:val="1"/>
    <w:link w:val="724"/>
    <w:qFormat/>
    <w:uiPriority w:val="0"/>
    <w:pPr>
      <w:adjustRightInd/>
      <w:spacing w:line="360" w:lineRule="auto"/>
      <w:ind w:firstLine="480" w:firstLineChars="200"/>
    </w:pPr>
    <w:rPr>
      <w:rFonts w:ascii="Tahoma" w:hAnsi="Tahoma"/>
      <w:kern w:val="0"/>
      <w:sz w:val="24"/>
    </w:rPr>
  </w:style>
  <w:style w:type="paragraph" w:customStyle="1" w:styleId="96">
    <w:name w:val="3级"/>
    <w:basedOn w:val="97"/>
    <w:link w:val="730"/>
    <w:qFormat/>
    <w:uiPriority w:val="0"/>
    <w:pPr>
      <w:ind w:left="0" w:right="466" w:firstLine="288"/>
    </w:pPr>
    <w:rPr>
      <w:rFonts w:hAnsi="宋体"/>
    </w:rPr>
  </w:style>
  <w:style w:type="paragraph" w:customStyle="1" w:styleId="97">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8">
    <w:name w:val="标题4-dyf"/>
    <w:basedOn w:val="6"/>
    <w:link w:val="75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9">
    <w:name w:val="冯"/>
    <w:basedOn w:val="1"/>
    <w:link w:val="753"/>
    <w:qFormat/>
    <w:uiPriority w:val="0"/>
    <w:pPr>
      <w:widowControl/>
      <w:adjustRightInd/>
      <w:spacing w:line="360" w:lineRule="auto"/>
      <w:ind w:firstLine="480" w:firstLineChars="200"/>
    </w:pPr>
    <w:rPr>
      <w:rFonts w:ascii="宋体" w:hAnsi="宋体"/>
      <w:color w:val="000000"/>
      <w:kern w:val="0"/>
      <w:sz w:val="24"/>
    </w:rPr>
  </w:style>
  <w:style w:type="paragraph" w:customStyle="1" w:styleId="100">
    <w:name w:val="Default"/>
    <w:link w:val="76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样式"/>
    <w:basedOn w:val="1"/>
    <w:link w:val="771"/>
    <w:qFormat/>
    <w:uiPriority w:val="0"/>
    <w:pPr>
      <w:adjustRightInd/>
      <w:spacing w:line="360" w:lineRule="auto"/>
      <w:ind w:firstLine="480" w:firstLineChars="200"/>
    </w:pPr>
    <w:rPr>
      <w:kern w:val="0"/>
      <w:sz w:val="24"/>
    </w:rPr>
  </w:style>
  <w:style w:type="paragraph" w:customStyle="1" w:styleId="102">
    <w:name w:val="gf正文1"/>
    <w:basedOn w:val="1"/>
    <w:link w:val="777"/>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3">
    <w:name w:val="列表1"/>
    <w:basedOn w:val="1"/>
    <w:next w:val="104"/>
    <w:link w:val="780"/>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4">
    <w:name w:val="列表段落1"/>
    <w:basedOn w:val="1"/>
    <w:qFormat/>
    <w:uiPriority w:val="34"/>
    <w:pPr>
      <w:spacing w:line="360" w:lineRule="auto"/>
      <w:ind w:firstLine="200" w:firstLineChars="200"/>
    </w:pPr>
    <w:rPr>
      <w:rFonts w:eastAsia="楷体_GB2312" w:cs="Lucida Sans"/>
      <w:sz w:val="24"/>
    </w:rPr>
  </w:style>
  <w:style w:type="paragraph" w:customStyle="1" w:styleId="105">
    <w:name w:val="此正文"/>
    <w:basedOn w:val="1"/>
    <w:link w:val="802"/>
    <w:qFormat/>
    <w:uiPriority w:val="0"/>
    <w:pPr>
      <w:adjustRightInd/>
      <w:spacing w:line="360" w:lineRule="auto"/>
      <w:ind w:firstLine="200" w:firstLineChars="200"/>
    </w:pPr>
    <w:rPr>
      <w:sz w:val="24"/>
    </w:rPr>
  </w:style>
  <w:style w:type="paragraph" w:customStyle="1" w:styleId="106">
    <w:name w:val="样式 样式 标题 4h4H4Fab-4T5Ref Heading 1rh1Heading sqlsect 1.2.3.... +..."/>
    <w:basedOn w:val="107"/>
    <w:link w:val="824"/>
    <w:qFormat/>
    <w:uiPriority w:val="0"/>
    <w:pPr>
      <w:tabs>
        <w:tab w:val="left" w:pos="2356"/>
      </w:tabs>
    </w:pPr>
  </w:style>
  <w:style w:type="paragraph" w:customStyle="1" w:styleId="107">
    <w:name w:val="样式 标题 4h4H4Fab-4T5Ref Heading 1rh1Heading sqlsect 1.2.3...."/>
    <w:basedOn w:val="6"/>
    <w:link w:val="92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8">
    <w:name w:val="Item List"/>
    <w:link w:val="83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9">
    <w:name w:val="纯文本1"/>
    <w:basedOn w:val="1"/>
    <w:link w:val="837"/>
    <w:qFormat/>
    <w:uiPriority w:val="0"/>
    <w:pPr>
      <w:adjustRightInd/>
    </w:pPr>
    <w:rPr>
      <w:rFonts w:ascii="宋体" w:hAnsi="Courier New"/>
      <w:kern w:val="0"/>
      <w:sz w:val="20"/>
      <w:szCs w:val="20"/>
    </w:rPr>
  </w:style>
  <w:style w:type="paragraph" w:customStyle="1" w:styleId="110">
    <w:name w:val="正文说明"/>
    <w:basedOn w:val="1"/>
    <w:link w:val="849"/>
    <w:qFormat/>
    <w:uiPriority w:val="0"/>
    <w:pPr>
      <w:adjustRightInd/>
      <w:spacing w:line="360" w:lineRule="auto"/>
    </w:pPr>
    <w:rPr>
      <w:kern w:val="0"/>
      <w:sz w:val="24"/>
    </w:rPr>
  </w:style>
  <w:style w:type="paragraph" w:customStyle="1" w:styleId="111">
    <w:name w:val="Table Text"/>
    <w:basedOn w:val="1"/>
    <w:link w:val="855"/>
    <w:qFormat/>
    <w:uiPriority w:val="0"/>
    <w:pPr>
      <w:widowControl/>
      <w:spacing w:before="60" w:after="60"/>
      <w:jc w:val="left"/>
    </w:pPr>
    <w:rPr>
      <w:kern w:val="0"/>
      <w:sz w:val="24"/>
    </w:rPr>
  </w:style>
  <w:style w:type="paragraph" w:customStyle="1" w:styleId="112">
    <w:name w:val="公文正文"/>
    <w:basedOn w:val="1"/>
    <w:link w:val="867"/>
    <w:qFormat/>
    <w:uiPriority w:val="0"/>
    <w:pPr>
      <w:adjustRightInd/>
      <w:spacing w:before="156" w:line="360" w:lineRule="auto"/>
      <w:ind w:firstLine="360" w:firstLineChars="200"/>
    </w:pPr>
    <w:rPr>
      <w:rFonts w:ascii="仿宋_GB2312" w:eastAsia="仿宋_GB2312"/>
      <w:sz w:val="24"/>
    </w:rPr>
  </w:style>
  <w:style w:type="paragraph" w:customStyle="1" w:styleId="113">
    <w:name w:val="正文（缩进2汉字）"/>
    <w:basedOn w:val="1"/>
    <w:link w:val="87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4">
    <w:name w:val="b11_01b"/>
    <w:basedOn w:val="1"/>
    <w:next w:val="1"/>
    <w:link w:val="89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5">
    <w:name w:val="段落"/>
    <w:basedOn w:val="1"/>
    <w:link w:val="900"/>
    <w:qFormat/>
    <w:uiPriority w:val="0"/>
    <w:pPr>
      <w:adjustRightInd/>
      <w:spacing w:line="360" w:lineRule="auto"/>
      <w:ind w:firstLine="480" w:firstLineChars="200"/>
    </w:pPr>
    <w:rPr>
      <w:rFonts w:ascii="宋体" w:hAnsi="宋体"/>
      <w:kern w:val="0"/>
      <w:sz w:val="24"/>
      <w:szCs w:val="20"/>
    </w:rPr>
  </w:style>
  <w:style w:type="paragraph" w:customStyle="1" w:styleId="116">
    <w:name w:val="正文段"/>
    <w:basedOn w:val="1"/>
    <w:link w:val="907"/>
    <w:qFormat/>
    <w:uiPriority w:val="0"/>
    <w:pPr>
      <w:widowControl/>
      <w:snapToGrid w:val="0"/>
      <w:spacing w:after="156" w:afterLines="50"/>
      <w:ind w:firstLine="200" w:firstLineChars="200"/>
    </w:pPr>
    <w:rPr>
      <w:kern w:val="0"/>
      <w:sz w:val="24"/>
      <w:szCs w:val="20"/>
    </w:rPr>
  </w:style>
  <w:style w:type="paragraph" w:customStyle="1" w:styleId="117">
    <w:name w:val="冯广丽"/>
    <w:basedOn w:val="1"/>
    <w:link w:val="910"/>
    <w:qFormat/>
    <w:uiPriority w:val="0"/>
    <w:pPr>
      <w:adjustRightInd/>
      <w:spacing w:line="360" w:lineRule="auto"/>
      <w:ind w:firstLine="480" w:firstLineChars="200"/>
    </w:pPr>
    <w:rPr>
      <w:rFonts w:ascii="宋体" w:hAnsi="宋体"/>
      <w:sz w:val="24"/>
      <w:szCs w:val="22"/>
    </w:rPr>
  </w:style>
  <w:style w:type="paragraph" w:customStyle="1" w:styleId="118">
    <w:name w:val="编号，小四"/>
    <w:basedOn w:val="1"/>
    <w:link w:val="916"/>
    <w:qFormat/>
    <w:uiPriority w:val="0"/>
    <w:pPr>
      <w:tabs>
        <w:tab w:val="left" w:pos="432"/>
      </w:tabs>
      <w:adjustRightInd/>
      <w:spacing w:line="360" w:lineRule="auto"/>
      <w:ind w:left="432" w:hanging="432"/>
    </w:pPr>
    <w:rPr>
      <w:rFonts w:ascii="Arial" w:hAnsi="Arial"/>
      <w:kern w:val="0"/>
      <w:sz w:val="24"/>
      <w:szCs w:val="20"/>
    </w:rPr>
  </w:style>
  <w:style w:type="paragraph" w:customStyle="1" w:styleId="119">
    <w:name w:val="仿宋正文"/>
    <w:basedOn w:val="1"/>
    <w:link w:val="923"/>
    <w:qFormat/>
    <w:uiPriority w:val="0"/>
    <w:pPr>
      <w:adjustRightInd/>
      <w:spacing w:line="360" w:lineRule="auto"/>
      <w:ind w:firstLine="480" w:firstLineChars="200"/>
    </w:pPr>
    <w:rPr>
      <w:rFonts w:ascii="仿宋_GB2312" w:eastAsia="仿宋_GB2312"/>
      <w:sz w:val="24"/>
      <w:szCs w:val="20"/>
    </w:rPr>
  </w:style>
  <w:style w:type="paragraph" w:customStyle="1" w:styleId="120">
    <w:name w:val="样式 正文缩进 + 首行缩进:  2 字符"/>
    <w:basedOn w:val="5"/>
    <w:link w:val="935"/>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3">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8">
    <w:name w:val="标题4_自定义"/>
    <w:basedOn w:val="6"/>
    <w:qFormat/>
    <w:uiPriority w:val="0"/>
    <w:pPr>
      <w:adjustRightInd/>
      <w:spacing w:before="0" w:after="0" w:line="360" w:lineRule="auto"/>
    </w:pPr>
    <w:rPr>
      <w:rFonts w:ascii="Verdana" w:eastAsia="Verdana"/>
      <w:sz w:val="21"/>
      <w:lang w:val="en-US"/>
    </w:rPr>
  </w:style>
  <w:style w:type="paragraph" w:customStyle="1" w:styleId="129">
    <w:name w:val="正文 内标 序号标"/>
    <w:basedOn w:val="130"/>
    <w:qFormat/>
    <w:uiPriority w:val="0"/>
    <w:pPr>
      <w:tabs>
        <w:tab w:val="left" w:pos="0"/>
      </w:tabs>
      <w:adjustRightInd/>
      <w:spacing w:before="0"/>
      <w:ind w:firstLine="482"/>
    </w:pPr>
    <w:rPr>
      <w:rFonts w:ascii="微软雅黑" w:hAnsi="微软雅黑"/>
      <w:sz w:val="24"/>
      <w:szCs w:val="24"/>
    </w:rPr>
  </w:style>
  <w:style w:type="paragraph" w:customStyle="1" w:styleId="130">
    <w:name w:val="My正文"/>
    <w:basedOn w:val="1"/>
    <w:qFormat/>
    <w:uiPriority w:val="0"/>
    <w:pPr>
      <w:spacing w:before="120" w:line="360" w:lineRule="auto"/>
      <w:ind w:firstLine="567"/>
    </w:pPr>
    <w:rPr>
      <w:rFonts w:ascii="Arial" w:hAnsi="Arial"/>
      <w:sz w:val="20"/>
      <w:szCs w:val="20"/>
    </w:rPr>
  </w:style>
  <w:style w:type="paragraph" w:customStyle="1" w:styleId="13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4">
    <w:name w:val="修订2"/>
    <w:qFormat/>
    <w:uiPriority w:val="0"/>
    <w:rPr>
      <w:rFonts w:ascii="Times New Roman" w:hAnsi="Times New Roman" w:eastAsia="宋体" w:cs="Times New Roman"/>
      <w:kern w:val="2"/>
      <w:sz w:val="21"/>
      <w:lang w:val="en-US" w:eastAsia="zh-CN" w:bidi="ar-SA"/>
    </w:rPr>
  </w:style>
  <w:style w:type="paragraph" w:customStyle="1" w:styleId="13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7">
    <w:name w:val="文章标题"/>
    <w:next w:val="13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8">
    <w:name w:val="封面公司名"/>
    <w:qFormat/>
    <w:uiPriority w:val="0"/>
    <w:pPr>
      <w:jc w:val="center"/>
    </w:pPr>
    <w:rPr>
      <w:rFonts w:ascii="Arial" w:hAnsi="Arial" w:eastAsia="楷体_GB2312" w:cs="宋体"/>
      <w:bCs/>
      <w:kern w:val="2"/>
      <w:sz w:val="28"/>
      <w:lang w:val="en-US" w:eastAsia="zh-CN" w:bidi="ar-SA"/>
    </w:rPr>
  </w:style>
  <w:style w:type="paragraph" w:customStyle="1" w:styleId="139">
    <w:name w:val="Char1 Char Char Char5"/>
    <w:basedOn w:val="1"/>
    <w:qFormat/>
    <w:uiPriority w:val="0"/>
    <w:pPr>
      <w:adjustRightInd/>
      <w:ind w:firstLine="200" w:firstLineChars="200"/>
    </w:pPr>
    <w:rPr>
      <w:rFonts w:ascii="Tahoma" w:hAnsi="Tahoma"/>
      <w:sz w:val="24"/>
      <w:szCs w:val="20"/>
    </w:rPr>
  </w:style>
  <w:style w:type="paragraph" w:customStyle="1" w:styleId="14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2">
    <w:name w:val="Char Char Char Char Char Char Char Char"/>
    <w:basedOn w:val="1"/>
    <w:qFormat/>
    <w:uiPriority w:val="0"/>
    <w:pPr>
      <w:tabs>
        <w:tab w:val="left" w:pos="360"/>
      </w:tabs>
    </w:pPr>
    <w:rPr>
      <w:sz w:val="24"/>
      <w:szCs w:val="20"/>
    </w:rPr>
  </w:style>
  <w:style w:type="paragraph" w:customStyle="1" w:styleId="143">
    <w:name w:val="Char Char11 Char Char Char"/>
    <w:basedOn w:val="1"/>
    <w:qFormat/>
    <w:uiPriority w:val="0"/>
    <w:pPr>
      <w:spacing w:line="360" w:lineRule="auto"/>
    </w:pPr>
    <w:rPr>
      <w:szCs w:val="20"/>
    </w:rPr>
  </w:style>
  <w:style w:type="paragraph" w:customStyle="1" w:styleId="14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4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6">
    <w:name w:val="样式3"/>
    <w:basedOn w:val="147"/>
    <w:qFormat/>
    <w:uiPriority w:val="0"/>
    <w:pPr>
      <w:tabs>
        <w:tab w:val="left" w:pos="2790"/>
        <w:tab w:val="left" w:pos="4230"/>
      </w:tabs>
      <w:spacing w:before="312" w:beforeLines="100"/>
      <w:jc w:val="left"/>
    </w:pPr>
  </w:style>
  <w:style w:type="paragraph" w:customStyle="1" w:styleId="14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8">
    <w:name w:val="Char Char1 Char Char1 Char Char1"/>
    <w:basedOn w:val="1"/>
    <w:qFormat/>
    <w:uiPriority w:val="0"/>
    <w:pPr>
      <w:tabs>
        <w:tab w:val="left" w:pos="840"/>
      </w:tabs>
      <w:ind w:left="840" w:hanging="420"/>
    </w:pPr>
    <w:rPr>
      <w:rFonts w:ascii="Tahoma" w:hAnsi="Tahoma"/>
      <w:sz w:val="24"/>
    </w:rPr>
  </w:style>
  <w:style w:type="paragraph" w:customStyle="1" w:styleId="14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50">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5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2">
    <w:name w:val="正文21"/>
    <w:basedOn w:val="1"/>
    <w:qFormat/>
    <w:uiPriority w:val="0"/>
    <w:pPr>
      <w:adjustRightInd/>
      <w:spacing w:before="156" w:line="360" w:lineRule="auto"/>
      <w:ind w:firstLine="510" w:firstLineChars="200"/>
    </w:pPr>
    <w:rPr>
      <w:sz w:val="24"/>
      <w:szCs w:val="20"/>
    </w:rPr>
  </w:style>
  <w:style w:type="paragraph" w:customStyle="1" w:styleId="15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5">
    <w:name w:val="Char1"/>
    <w:basedOn w:val="1"/>
    <w:qFormat/>
    <w:uiPriority w:val="0"/>
    <w:rPr>
      <w:rFonts w:ascii="仿宋_GB2312" w:eastAsia="仿宋_GB2312"/>
      <w:b/>
      <w:sz w:val="32"/>
      <w:szCs w:val="32"/>
    </w:rPr>
  </w:style>
  <w:style w:type="paragraph" w:customStyle="1" w:styleId="15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0">
    <w:name w:val="6级标题"/>
    <w:basedOn w:val="161"/>
    <w:qFormat/>
    <w:uiPriority w:val="0"/>
    <w:pPr>
      <w:keepNext/>
      <w:tabs>
        <w:tab w:val="left" w:pos="360"/>
      </w:tabs>
      <w:spacing w:before="0" w:after="0"/>
      <w:outlineLvl w:val="5"/>
    </w:pPr>
  </w:style>
  <w:style w:type="paragraph" w:customStyle="1" w:styleId="161">
    <w:name w:val="5级标题"/>
    <w:basedOn w:val="162"/>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2">
    <w:name w:val="4级标题"/>
    <w:basedOn w:val="10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3">
    <w:name w:val="样式 正文文本缩进 + 段前: 2 字符"/>
    <w:basedOn w:val="1"/>
    <w:qFormat/>
    <w:uiPriority w:val="0"/>
    <w:pPr>
      <w:adjustRightInd/>
      <w:ind w:left="420" w:leftChars="200"/>
      <w:jc w:val="left"/>
    </w:pPr>
    <w:rPr>
      <w:sz w:val="28"/>
      <w:szCs w:val="20"/>
      <w:lang w:eastAsia="zh-TW"/>
    </w:rPr>
  </w:style>
  <w:style w:type="paragraph" w:customStyle="1" w:styleId="164">
    <w:name w:val="Char2 Char Char"/>
    <w:basedOn w:val="1"/>
    <w:qFormat/>
    <w:uiPriority w:val="0"/>
    <w:pPr>
      <w:adjustRightInd/>
    </w:pPr>
    <w:rPr>
      <w:rFonts w:ascii="Tahoma" w:hAnsi="Tahoma"/>
      <w:sz w:val="24"/>
      <w:szCs w:val="20"/>
    </w:rPr>
  </w:style>
  <w:style w:type="paragraph" w:customStyle="1" w:styleId="165">
    <w:name w:val="_Style 11"/>
    <w:basedOn w:val="1"/>
    <w:qFormat/>
    <w:uiPriority w:val="34"/>
    <w:pPr>
      <w:adjustRightInd/>
      <w:ind w:firstLine="420" w:firstLineChars="200"/>
    </w:pPr>
    <w:rPr>
      <w:rFonts w:eastAsia="仿宋_GB2312"/>
      <w:sz w:val="28"/>
    </w:rPr>
  </w:style>
  <w:style w:type="paragraph" w:customStyle="1" w:styleId="16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70">
    <w:name w:val="无间隔2"/>
    <w:basedOn w:val="1"/>
    <w:link w:val="945"/>
    <w:qFormat/>
    <w:uiPriority w:val="99"/>
    <w:rPr>
      <w:szCs w:val="22"/>
    </w:rPr>
  </w:style>
  <w:style w:type="paragraph" w:customStyle="1" w:styleId="17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2">
    <w:name w:val="Char Char Char Char Char Char Char Char Char Char Char Char1 Char1"/>
    <w:basedOn w:val="1"/>
    <w:qFormat/>
    <w:uiPriority w:val="6"/>
    <w:rPr>
      <w:rFonts w:ascii="Tahoma" w:hAnsi="Tahoma" w:cs="仿宋_GB2312"/>
      <w:sz w:val="24"/>
      <w:szCs w:val="20"/>
    </w:rPr>
  </w:style>
  <w:style w:type="paragraph" w:customStyle="1" w:styleId="17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6">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7">
    <w:name w:val="五级无标题条"/>
    <w:basedOn w:val="1"/>
    <w:qFormat/>
    <w:uiPriority w:val="0"/>
    <w:pPr>
      <w:adjustRightInd/>
    </w:pPr>
  </w:style>
  <w:style w:type="paragraph" w:customStyle="1" w:styleId="178">
    <w:name w:val="Char5"/>
    <w:basedOn w:val="1"/>
    <w:qFormat/>
    <w:uiPriority w:val="0"/>
    <w:rPr>
      <w:rFonts w:ascii="仿宋_GB2312" w:eastAsia="仿宋_GB2312"/>
      <w:b/>
      <w:sz w:val="32"/>
      <w:szCs w:val="32"/>
    </w:rPr>
  </w:style>
  <w:style w:type="paragraph" w:customStyle="1" w:styleId="17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80">
    <w:name w:val="彩色列表 - 强调文字颜色 12"/>
    <w:basedOn w:val="1"/>
    <w:qFormat/>
    <w:uiPriority w:val="0"/>
    <w:pPr>
      <w:adjustRightInd/>
      <w:ind w:firstLine="420" w:firstLineChars="200"/>
    </w:pPr>
    <w:rPr>
      <w:rFonts w:ascii="Calibri" w:hAnsi="Calibri"/>
      <w:szCs w:val="22"/>
    </w:rPr>
  </w:style>
  <w:style w:type="paragraph" w:customStyle="1" w:styleId="18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2">
    <w:name w:val="Char2"/>
    <w:basedOn w:val="1"/>
    <w:qFormat/>
    <w:uiPriority w:val="0"/>
    <w:rPr>
      <w:rFonts w:ascii="仿宋_GB2312" w:eastAsia="仿宋_GB2312"/>
      <w:b/>
      <w:sz w:val="32"/>
      <w:szCs w:val="32"/>
    </w:rPr>
  </w:style>
  <w:style w:type="paragraph" w:customStyle="1" w:styleId="183">
    <w:name w:val="数字标题3"/>
    <w:basedOn w:val="4"/>
    <w:next w:val="1"/>
    <w:qFormat/>
    <w:uiPriority w:val="0"/>
    <w:pPr>
      <w:spacing w:line="240" w:lineRule="auto"/>
    </w:pPr>
    <w:rPr>
      <w:sz w:val="28"/>
      <w:szCs w:val="28"/>
    </w:rPr>
  </w:style>
  <w:style w:type="paragraph" w:customStyle="1" w:styleId="184">
    <w:name w:val="FA正文"/>
    <w:basedOn w:val="1"/>
    <w:qFormat/>
    <w:uiPriority w:val="0"/>
    <w:pPr>
      <w:spacing w:line="360" w:lineRule="auto"/>
      <w:ind w:firstLine="480" w:firstLineChars="200"/>
    </w:pPr>
    <w:rPr>
      <w:rFonts w:hAnsi="宋体"/>
      <w:sz w:val="24"/>
      <w:szCs w:val="20"/>
    </w:rPr>
  </w:style>
  <w:style w:type="paragraph" w:customStyle="1" w:styleId="185">
    <w:name w:val="MM Topic 5"/>
    <w:basedOn w:val="7"/>
    <w:qFormat/>
    <w:uiPriority w:val="0"/>
    <w:pPr>
      <w:tabs>
        <w:tab w:val="left" w:pos="2520"/>
        <w:tab w:val="clear" w:pos="1008"/>
      </w:tabs>
      <w:adjustRightInd/>
      <w:ind w:left="2520" w:hanging="420"/>
    </w:pPr>
  </w:style>
  <w:style w:type="paragraph" w:customStyle="1" w:styleId="186">
    <w:name w:val="Char Char Char Char Char Char Char Char Char Char1"/>
    <w:basedOn w:val="1"/>
    <w:qFormat/>
    <w:uiPriority w:val="0"/>
    <w:rPr>
      <w:rFonts w:ascii="仿宋_GB2312" w:eastAsia="仿宋_GB2312"/>
      <w:b/>
      <w:sz w:val="32"/>
      <w:szCs w:val="32"/>
    </w:rPr>
  </w:style>
  <w:style w:type="paragraph" w:customStyle="1" w:styleId="18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8">
    <w:name w:val="修订1"/>
    <w:qFormat/>
    <w:uiPriority w:val="3"/>
    <w:rPr>
      <w:rFonts w:ascii="Times New Roman" w:hAnsi="Times New Roman" w:eastAsia="宋体" w:cs="Times New Roman"/>
      <w:color w:val="000000"/>
      <w:kern w:val="1"/>
      <w:sz w:val="21"/>
      <w:lang w:val="en-US" w:eastAsia="zh-CN" w:bidi="ar-SA"/>
    </w:rPr>
  </w:style>
  <w:style w:type="paragraph" w:customStyle="1" w:styleId="189">
    <w:name w:val="Char2 Char Char Char"/>
    <w:basedOn w:val="1"/>
    <w:qFormat/>
    <w:uiPriority w:val="0"/>
    <w:rPr>
      <w:rFonts w:ascii="仿宋_GB2312" w:eastAsia="仿宋_GB2312"/>
      <w:b/>
      <w:sz w:val="32"/>
      <w:szCs w:val="32"/>
    </w:rPr>
  </w:style>
  <w:style w:type="paragraph" w:customStyle="1" w:styleId="190">
    <w:name w:val="Char2 Char Char Char1"/>
    <w:basedOn w:val="1"/>
    <w:qFormat/>
    <w:uiPriority w:val="6"/>
    <w:rPr>
      <w:rFonts w:ascii="仿宋_GB2312" w:eastAsia="仿宋_GB2312"/>
      <w:b/>
      <w:sz w:val="32"/>
      <w:szCs w:val="32"/>
    </w:rPr>
  </w:style>
  <w:style w:type="paragraph" w:customStyle="1" w:styleId="191">
    <w:name w:val="默认段落样式"/>
    <w:basedOn w:val="89"/>
    <w:qFormat/>
    <w:uiPriority w:val="0"/>
    <w:pPr>
      <w:spacing w:before="0"/>
      <w:ind w:firstLine="480"/>
      <w:outlineLvl w:val="2"/>
    </w:pPr>
    <w:rPr>
      <w:rFonts w:ascii="仿宋_GB2312" w:hAnsi="宋体" w:eastAsia="仿宋_GB2312"/>
      <w:color w:val="000000"/>
      <w:szCs w:val="24"/>
    </w:rPr>
  </w:style>
  <w:style w:type="paragraph" w:customStyle="1" w:styleId="192">
    <w:name w:val="图中文字"/>
    <w:basedOn w:val="1"/>
    <w:qFormat/>
    <w:uiPriority w:val="0"/>
    <w:pPr>
      <w:snapToGrid w:val="0"/>
      <w:spacing w:line="0" w:lineRule="atLeast"/>
      <w:ind w:firstLine="200" w:firstLineChars="200"/>
      <w:jc w:val="center"/>
    </w:pPr>
    <w:rPr>
      <w:sz w:val="24"/>
      <w:szCs w:val="20"/>
    </w:rPr>
  </w:style>
  <w:style w:type="paragraph" w:customStyle="1" w:styleId="19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4">
    <w:name w:val="MM Topic 3"/>
    <w:basedOn w:val="4"/>
    <w:qFormat/>
    <w:uiPriority w:val="0"/>
    <w:pPr>
      <w:tabs>
        <w:tab w:val="left" w:pos="1680"/>
        <w:tab w:val="clear" w:pos="900"/>
      </w:tabs>
      <w:adjustRightInd/>
      <w:ind w:left="1680" w:hanging="420"/>
    </w:pPr>
  </w:style>
  <w:style w:type="paragraph" w:customStyle="1" w:styleId="195">
    <w:name w:val="标准小四"/>
    <w:basedOn w:val="1"/>
    <w:qFormat/>
    <w:uiPriority w:val="0"/>
    <w:pPr>
      <w:spacing w:line="360" w:lineRule="auto"/>
      <w:ind w:firstLine="480" w:firstLineChars="200"/>
    </w:pPr>
    <w:rPr>
      <w:rFonts w:ascii="Arial" w:hAnsi="Arial"/>
      <w:sz w:val="24"/>
      <w:szCs w:val="21"/>
    </w:rPr>
  </w:style>
  <w:style w:type="paragraph" w:customStyle="1" w:styleId="19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7">
    <w:name w:val="表格（小）"/>
    <w:basedOn w:val="1"/>
    <w:qFormat/>
    <w:uiPriority w:val="0"/>
    <w:pPr>
      <w:adjustRightInd/>
      <w:snapToGrid w:val="0"/>
      <w:spacing w:line="300" w:lineRule="auto"/>
    </w:pPr>
    <w:rPr>
      <w:rFonts w:eastAsia="仿宋"/>
      <w:szCs w:val="21"/>
    </w:rPr>
  </w:style>
  <w:style w:type="paragraph" w:customStyle="1" w:styleId="19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9">
    <w:name w:val="Char2 Char Char1"/>
    <w:basedOn w:val="1"/>
    <w:qFormat/>
    <w:uiPriority w:val="6"/>
    <w:pPr>
      <w:adjustRightInd/>
    </w:pPr>
    <w:rPr>
      <w:rFonts w:ascii="Tahoma" w:hAnsi="Tahoma"/>
      <w:sz w:val="24"/>
      <w:szCs w:val="20"/>
    </w:rPr>
  </w:style>
  <w:style w:type="paragraph" w:customStyle="1" w:styleId="200">
    <w:name w:val="列出段落5"/>
    <w:basedOn w:val="1"/>
    <w:qFormat/>
    <w:uiPriority w:val="0"/>
    <w:pPr>
      <w:spacing w:line="360" w:lineRule="auto"/>
      <w:ind w:firstLine="200" w:firstLineChars="200"/>
    </w:pPr>
    <w:rPr>
      <w:rFonts w:eastAsia="楷体_GB2312" w:cs="Lucida Sans"/>
      <w:sz w:val="24"/>
    </w:rPr>
  </w:style>
  <w:style w:type="paragraph" w:customStyle="1" w:styleId="20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20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8">
    <w:name w:val="_Style 3"/>
    <w:basedOn w:val="1"/>
    <w:qFormat/>
    <w:uiPriority w:val="0"/>
    <w:pPr>
      <w:adjustRightInd/>
      <w:ind w:firstLine="420" w:firstLineChars="200"/>
    </w:pPr>
    <w:rPr>
      <w:rFonts w:eastAsia="仿宋_GB2312"/>
      <w:sz w:val="28"/>
    </w:rPr>
  </w:style>
  <w:style w:type="paragraph" w:customStyle="1" w:styleId="20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10">
    <w:name w:val="Bulleting First Indent 1"/>
    <w:basedOn w:val="60"/>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1">
    <w:name w:val="左对齐表格文字"/>
    <w:basedOn w:val="1"/>
    <w:qFormat/>
    <w:uiPriority w:val="0"/>
    <w:pPr>
      <w:adjustRightInd/>
      <w:ind w:firstLine="200" w:firstLineChars="200"/>
      <w:jc w:val="right"/>
    </w:pPr>
  </w:style>
  <w:style w:type="paragraph" w:customStyle="1" w:styleId="212">
    <w:name w:val="Char Char11 Char Char Char Char Char Char Char Char Char"/>
    <w:basedOn w:val="1"/>
    <w:qFormat/>
    <w:uiPriority w:val="0"/>
    <w:pPr>
      <w:spacing w:line="360" w:lineRule="auto"/>
    </w:pPr>
    <w:rPr>
      <w:szCs w:val="20"/>
    </w:rPr>
  </w:style>
  <w:style w:type="paragraph" w:customStyle="1" w:styleId="213">
    <w:name w:val="正文1.25"/>
    <w:basedOn w:val="1"/>
    <w:qFormat/>
    <w:uiPriority w:val="0"/>
    <w:pPr>
      <w:adjustRightInd/>
      <w:spacing w:line="300" w:lineRule="auto"/>
      <w:ind w:firstLine="480" w:firstLineChars="200"/>
    </w:pPr>
    <w:rPr>
      <w:sz w:val="24"/>
      <w:szCs w:val="20"/>
    </w:rPr>
  </w:style>
  <w:style w:type="paragraph" w:customStyle="1" w:styleId="21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7">
    <w:name w:val="Char Char1 Char Char Char1"/>
    <w:basedOn w:val="1"/>
    <w:qFormat/>
    <w:uiPriority w:val="6"/>
    <w:rPr>
      <w:rFonts w:ascii="仿宋_GB2312" w:eastAsia="仿宋_GB2312"/>
      <w:b/>
      <w:sz w:val="32"/>
      <w:szCs w:val="20"/>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默认段落字体 Para Char Char Char Char Char Char Char"/>
    <w:basedOn w:val="1"/>
    <w:qFormat/>
    <w:uiPriority w:val="0"/>
    <w:rPr>
      <w:rFonts w:eastAsia="仿宋_GB2312"/>
      <w:sz w:val="28"/>
      <w:szCs w:val="20"/>
    </w:rPr>
  </w:style>
  <w:style w:type="paragraph" w:customStyle="1" w:styleId="22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1">
    <w:name w:val="样式 标题 4PIM 4H4h4bulletblbbH41H42H43H44H45H46H47H48...1"/>
    <w:basedOn w:val="6"/>
    <w:qFormat/>
    <w:uiPriority w:val="0"/>
    <w:pPr>
      <w:widowControl/>
      <w:jc w:val="left"/>
    </w:pPr>
    <w:rPr>
      <w:rFonts w:cs="宋体"/>
      <w:sz w:val="24"/>
      <w:szCs w:val="20"/>
    </w:rPr>
  </w:style>
  <w:style w:type="paragraph" w:customStyle="1" w:styleId="222">
    <w:name w:val="彩色列表 - 强调文字颜色 11"/>
    <w:basedOn w:val="1"/>
    <w:qFormat/>
    <w:uiPriority w:val="0"/>
    <w:pPr>
      <w:adjustRightInd/>
      <w:ind w:firstLine="420" w:firstLineChars="200"/>
    </w:pPr>
    <w:rPr>
      <w:rFonts w:ascii="Calibri" w:hAnsi="Calibri"/>
      <w:szCs w:val="22"/>
    </w:rPr>
  </w:style>
  <w:style w:type="paragraph" w:customStyle="1" w:styleId="22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6">
    <w:name w:val="Char Char Char1 Char1"/>
    <w:basedOn w:val="1"/>
    <w:qFormat/>
    <w:uiPriority w:val="6"/>
    <w:rPr>
      <w:szCs w:val="20"/>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3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2">
    <w:name w:val="CM14"/>
    <w:basedOn w:val="100"/>
    <w:next w:val="100"/>
    <w:qFormat/>
    <w:uiPriority w:val="0"/>
    <w:pPr>
      <w:spacing w:after="68"/>
    </w:pPr>
    <w:rPr>
      <w:rFonts w:ascii="FHLHE E+ Futura Bk" w:eastAsia="FHLHE E+ Futura Bk" w:cs="Times New Roman"/>
      <w:color w:val="auto"/>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6">
    <w:name w:val="正文文字 2"/>
    <w:basedOn w:val="100"/>
    <w:next w:val="100"/>
    <w:qFormat/>
    <w:uiPriority w:val="0"/>
    <w:rPr>
      <w:rFonts w:ascii="宋体" w:eastAsia="宋体" w:cs="Times New Roman"/>
      <w:color w:val="auto"/>
    </w:rPr>
  </w:style>
  <w:style w:type="paragraph" w:customStyle="1" w:styleId="23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8">
    <w:name w:val="Char Char1 Char"/>
    <w:basedOn w:val="1"/>
    <w:qFormat/>
    <w:uiPriority w:val="0"/>
    <w:rPr>
      <w:rFonts w:ascii="仿宋_GB2312" w:eastAsia="仿宋_GB2312"/>
      <w:b/>
      <w:sz w:val="32"/>
      <w:szCs w:val="32"/>
    </w:rPr>
  </w:style>
  <w:style w:type="paragraph" w:customStyle="1" w:styleId="23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4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1">
    <w:name w:val="Char Char111"/>
    <w:basedOn w:val="1"/>
    <w:qFormat/>
    <w:uiPriority w:val="0"/>
    <w:pPr>
      <w:spacing w:line="360" w:lineRule="auto"/>
    </w:pPr>
    <w:rPr>
      <w:szCs w:val="20"/>
    </w:rPr>
  </w:style>
  <w:style w:type="paragraph" w:customStyle="1" w:styleId="242">
    <w:name w:val="Char"/>
    <w:basedOn w:val="1"/>
    <w:qFormat/>
    <w:uiPriority w:val="0"/>
    <w:rPr>
      <w:rFonts w:ascii="仿宋_GB2312" w:eastAsia="仿宋_GB2312"/>
      <w:b/>
      <w:sz w:val="32"/>
      <w:szCs w:val="32"/>
    </w:rPr>
  </w:style>
  <w:style w:type="paragraph" w:customStyle="1" w:styleId="24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5">
    <w:name w:val="Char Char Char1 Char"/>
    <w:basedOn w:val="1"/>
    <w:qFormat/>
    <w:uiPriority w:val="0"/>
    <w:rPr>
      <w:szCs w:val="20"/>
    </w:rPr>
  </w:style>
  <w:style w:type="paragraph" w:customStyle="1" w:styleId="246">
    <w:name w:val="正文标准"/>
    <w:basedOn w:val="1"/>
    <w:qFormat/>
    <w:uiPriority w:val="0"/>
    <w:pPr>
      <w:adjustRightInd/>
      <w:spacing w:line="360" w:lineRule="auto"/>
      <w:ind w:firstLine="200" w:firstLineChars="200"/>
    </w:pPr>
    <w:rPr>
      <w:rFonts w:ascii="宋体" w:hAnsi="Calibri"/>
      <w:sz w:val="24"/>
    </w:rPr>
  </w:style>
  <w:style w:type="paragraph" w:customStyle="1" w:styleId="24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5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8">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9">
    <w:name w:val="Char Char Char Char Char Char Char Char Char Char"/>
    <w:basedOn w:val="1"/>
    <w:qFormat/>
    <w:uiPriority w:val="0"/>
    <w:rPr>
      <w:rFonts w:ascii="仿宋_GB2312" w:eastAsia="仿宋_GB2312"/>
      <w:b/>
      <w:sz w:val="32"/>
      <w:szCs w:val="32"/>
    </w:rPr>
  </w:style>
  <w:style w:type="paragraph" w:customStyle="1" w:styleId="26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1">
    <w:name w:val="_正文段落"/>
    <w:basedOn w:val="1"/>
    <w:qFormat/>
    <w:uiPriority w:val="0"/>
    <w:pPr>
      <w:adjustRightInd/>
      <w:ind w:firstLine="560"/>
    </w:pPr>
    <w:rPr>
      <w:rFonts w:ascii="仿宋_GB2312" w:hAnsi="仿宋" w:eastAsia="仿宋_GB2312"/>
      <w:kern w:val="0"/>
      <w:sz w:val="28"/>
      <w:szCs w:val="28"/>
    </w:rPr>
  </w:style>
  <w:style w:type="paragraph" w:customStyle="1" w:styleId="26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8">
    <w:name w:val="Char Char Char1 Char2"/>
    <w:basedOn w:val="1"/>
    <w:qFormat/>
    <w:uiPriority w:val="0"/>
    <w:rPr>
      <w:szCs w:val="20"/>
    </w:rPr>
  </w:style>
  <w:style w:type="paragraph" w:customStyle="1" w:styleId="26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0">
    <w:name w:val="默认段落字体 Para Char"/>
    <w:basedOn w:val="1"/>
    <w:qFormat/>
    <w:uiPriority w:val="0"/>
    <w:rPr>
      <w:rFonts w:ascii="Tahoma" w:hAnsi="Tahoma"/>
      <w:sz w:val="24"/>
      <w:szCs w:val="20"/>
    </w:rPr>
  </w:style>
  <w:style w:type="paragraph" w:customStyle="1" w:styleId="271">
    <w:name w:val="标题五"/>
    <w:basedOn w:val="1"/>
    <w:qFormat/>
    <w:uiPriority w:val="0"/>
    <w:pPr>
      <w:adjustRightInd/>
      <w:spacing w:before="156" w:beforeLines="50" w:line="360" w:lineRule="auto"/>
    </w:pPr>
    <w:rPr>
      <w:b/>
      <w:sz w:val="24"/>
    </w:rPr>
  </w:style>
  <w:style w:type="paragraph" w:customStyle="1" w:styleId="272">
    <w:name w:val="Char Char1101"/>
    <w:basedOn w:val="1"/>
    <w:qFormat/>
    <w:uiPriority w:val="0"/>
    <w:pPr>
      <w:spacing w:line="360" w:lineRule="auto"/>
    </w:pPr>
    <w:rPr>
      <w:rFonts w:ascii="Tahoma" w:hAnsi="Tahoma"/>
      <w:sz w:val="24"/>
      <w:szCs w:val="20"/>
    </w:rPr>
  </w:style>
  <w:style w:type="paragraph" w:customStyle="1" w:styleId="273">
    <w:name w:val="Char Char Char Char Char Char Char Char1"/>
    <w:basedOn w:val="1"/>
    <w:qFormat/>
    <w:uiPriority w:val="0"/>
    <w:pPr>
      <w:tabs>
        <w:tab w:val="left" w:pos="360"/>
      </w:tabs>
    </w:pPr>
    <w:rPr>
      <w:sz w:val="24"/>
      <w:szCs w:val="20"/>
    </w:rPr>
  </w:style>
  <w:style w:type="paragraph" w:customStyle="1" w:styleId="274">
    <w:name w:val="Char Char Char 字元 字元"/>
    <w:basedOn w:val="1"/>
    <w:qFormat/>
    <w:uiPriority w:val="0"/>
    <w:pPr>
      <w:adjustRightInd/>
      <w:spacing w:line="360" w:lineRule="auto"/>
      <w:ind w:firstLine="200" w:firstLineChars="200"/>
    </w:pPr>
    <w:rPr>
      <w:szCs w:val="20"/>
    </w:rPr>
  </w:style>
  <w:style w:type="paragraph" w:customStyle="1" w:styleId="27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6">
    <w:name w:val="Char Char Char Char Char Char Char"/>
    <w:basedOn w:val="1"/>
    <w:qFormat/>
    <w:uiPriority w:val="0"/>
    <w:rPr>
      <w:rFonts w:ascii="仿宋_GB2312" w:eastAsia="仿宋_GB2312"/>
      <w:b/>
      <w:sz w:val="32"/>
      <w:szCs w:val="32"/>
    </w:rPr>
  </w:style>
  <w:style w:type="paragraph" w:customStyle="1" w:styleId="27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8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81">
    <w:name w:val="批注框文本 Char Char"/>
    <w:basedOn w:val="1"/>
    <w:qFormat/>
    <w:uiPriority w:val="0"/>
    <w:pPr>
      <w:adjustRightInd/>
    </w:pPr>
    <w:rPr>
      <w:sz w:val="18"/>
      <w:szCs w:val="20"/>
    </w:rPr>
  </w:style>
  <w:style w:type="paragraph" w:customStyle="1" w:styleId="28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86">
    <w:name w:val="索引 11"/>
    <w:basedOn w:val="1"/>
    <w:next w:val="1"/>
    <w:qFormat/>
    <w:uiPriority w:val="99"/>
    <w:pPr>
      <w:adjustRightInd/>
      <w:spacing w:line="360" w:lineRule="auto"/>
    </w:pPr>
    <w:rPr>
      <w:rFonts w:ascii="仿宋_GB2312" w:eastAsia="仿宋_GB2312"/>
      <w:sz w:val="24"/>
      <w:szCs w:val="20"/>
    </w:rPr>
  </w:style>
  <w:style w:type="paragraph" w:customStyle="1" w:styleId="28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正文文字表格居中"/>
    <w:basedOn w:val="1"/>
    <w:next w:val="55"/>
    <w:qFormat/>
    <w:uiPriority w:val="0"/>
    <w:pPr>
      <w:snapToGrid w:val="0"/>
      <w:spacing w:line="360" w:lineRule="auto"/>
    </w:pPr>
    <w:rPr>
      <w:rFonts w:ascii="宋体"/>
      <w:b/>
      <w:sz w:val="24"/>
      <w:szCs w:val="20"/>
    </w:rPr>
  </w:style>
  <w:style w:type="paragraph" w:customStyle="1" w:styleId="2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4">
    <w:name w:val="Plain Text1"/>
    <w:basedOn w:val="1"/>
    <w:qFormat/>
    <w:uiPriority w:val="7"/>
    <w:pPr>
      <w:adjustRightInd/>
    </w:pPr>
    <w:rPr>
      <w:rFonts w:ascii="宋体" w:hAnsi="Courier New"/>
    </w:rPr>
  </w:style>
  <w:style w:type="paragraph" w:customStyle="1" w:styleId="295">
    <w:name w:val="Char3"/>
    <w:basedOn w:val="1"/>
    <w:qFormat/>
    <w:uiPriority w:val="0"/>
    <w:pPr>
      <w:adjustRightInd/>
    </w:pPr>
    <w:rPr>
      <w:rFonts w:ascii="仿宋_GB2312" w:eastAsia="仿宋_GB2312"/>
      <w:b/>
      <w:sz w:val="32"/>
      <w:szCs w:val="32"/>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8">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9">
    <w:name w:val="List Paragraph1"/>
    <w:basedOn w:val="1"/>
    <w:qFormat/>
    <w:uiPriority w:val="0"/>
    <w:pPr>
      <w:spacing w:line="360" w:lineRule="auto"/>
      <w:ind w:firstLine="200" w:firstLineChars="200"/>
    </w:pPr>
    <w:rPr>
      <w:rFonts w:eastAsia="楷体_GB2312" w:cs="Lucida Sans"/>
      <w:sz w:val="24"/>
    </w:rPr>
  </w:style>
  <w:style w:type="paragraph" w:customStyle="1" w:styleId="30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3">
    <w:name w:val="Char3 Char Char Char"/>
    <w:basedOn w:val="1"/>
    <w:qFormat/>
    <w:uiPriority w:val="0"/>
    <w:pPr>
      <w:widowControl/>
      <w:adjustRightInd/>
      <w:spacing w:after="160" w:line="240" w:lineRule="exact"/>
      <w:jc w:val="left"/>
    </w:pPr>
    <w:rPr>
      <w:szCs w:val="20"/>
    </w:rPr>
  </w:style>
  <w:style w:type="paragraph" w:customStyle="1" w:styleId="304">
    <w:name w:val="表格标题2"/>
    <w:basedOn w:val="305"/>
    <w:qFormat/>
    <w:uiPriority w:val="0"/>
    <w:rPr>
      <w:b/>
    </w:rPr>
  </w:style>
  <w:style w:type="paragraph" w:customStyle="1" w:styleId="305">
    <w:name w:val="表格内文"/>
    <w:basedOn w:val="1"/>
    <w:qFormat/>
    <w:uiPriority w:val="0"/>
    <w:pPr>
      <w:adjustRightInd/>
      <w:spacing w:line="360" w:lineRule="auto"/>
    </w:pPr>
    <w:rPr>
      <w:rFonts w:ascii="宋体" w:hAnsi="宋体" w:cs="宋体"/>
      <w:color w:val="000000"/>
      <w:szCs w:val="20"/>
    </w:rPr>
  </w:style>
  <w:style w:type="paragraph" w:customStyle="1" w:styleId="306">
    <w:name w:val="Char Char Char Char Char Char Char Char Char Char2"/>
    <w:basedOn w:val="1"/>
    <w:qFormat/>
    <w:uiPriority w:val="0"/>
    <w:rPr>
      <w:rFonts w:ascii="仿宋_GB2312" w:eastAsia="仿宋_GB2312"/>
      <w:b/>
      <w:sz w:val="32"/>
      <w:szCs w:val="32"/>
    </w:rPr>
  </w:style>
  <w:style w:type="paragraph" w:customStyle="1" w:styleId="30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9">
    <w:name w:val="Char Char11 Char Char Char Char Char Char Char Char Char11"/>
    <w:basedOn w:val="1"/>
    <w:qFormat/>
    <w:uiPriority w:val="0"/>
    <w:pPr>
      <w:spacing w:line="360" w:lineRule="auto"/>
    </w:pPr>
    <w:rPr>
      <w:szCs w:val="20"/>
    </w:rPr>
  </w:style>
  <w:style w:type="paragraph" w:customStyle="1" w:styleId="31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2">
    <w:name w:val="MM Topic 1"/>
    <w:basedOn w:val="2"/>
    <w:qFormat/>
    <w:uiPriority w:val="0"/>
    <w:pPr>
      <w:tabs>
        <w:tab w:val="left" w:pos="840"/>
        <w:tab w:val="clear" w:pos="432"/>
      </w:tabs>
      <w:adjustRightInd/>
      <w:ind w:left="840" w:hanging="420"/>
    </w:pPr>
  </w:style>
  <w:style w:type="paragraph" w:customStyle="1" w:styleId="31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14">
    <w:name w:val="文本正文 Char"/>
    <w:basedOn w:val="1"/>
    <w:qFormat/>
    <w:uiPriority w:val="0"/>
    <w:pPr>
      <w:spacing w:line="360" w:lineRule="auto"/>
      <w:ind w:firstLine="200" w:firstLineChars="200"/>
    </w:pPr>
    <w:rPr>
      <w:kern w:val="0"/>
      <w:sz w:val="24"/>
      <w:szCs w:val="20"/>
    </w:rPr>
  </w:style>
  <w:style w:type="paragraph" w:customStyle="1" w:styleId="315">
    <w:name w:val="表格"/>
    <w:basedOn w:val="1"/>
    <w:qFormat/>
    <w:uiPriority w:val="0"/>
    <w:pPr>
      <w:snapToGrid w:val="0"/>
      <w:ind w:firstLine="42" w:firstLineChars="21"/>
    </w:pPr>
    <w:rPr>
      <w:rFonts w:ascii="宋体" w:hAnsi="宋体"/>
      <w:kern w:val="0"/>
      <w:sz w:val="20"/>
      <w:szCs w:val="20"/>
    </w:rPr>
  </w:style>
  <w:style w:type="paragraph" w:customStyle="1" w:styleId="316">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9">
    <w:name w:val="表格项目符号 2"/>
    <w:basedOn w:val="2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0">
    <w:name w:val="EB_表格"/>
    <w:basedOn w:val="1"/>
    <w:qFormat/>
    <w:uiPriority w:val="0"/>
    <w:pPr>
      <w:adjustRightInd/>
      <w:spacing w:line="300" w:lineRule="auto"/>
      <w:jc w:val="center"/>
    </w:pPr>
  </w:style>
  <w:style w:type="paragraph" w:customStyle="1" w:styleId="321">
    <w:name w:val="_Style 6"/>
    <w:basedOn w:val="1"/>
    <w:qFormat/>
    <w:uiPriority w:val="34"/>
    <w:pPr>
      <w:adjustRightInd/>
      <w:ind w:firstLine="420" w:firstLineChars="200"/>
    </w:pPr>
    <w:rPr>
      <w:rFonts w:eastAsia="仿宋_GB2312"/>
      <w:sz w:val="28"/>
    </w:rPr>
  </w:style>
  <w:style w:type="paragraph" w:customStyle="1" w:styleId="32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5">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6">
    <w:name w:val="正文表标题"/>
    <w:next w:val="32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9">
    <w:name w:val="trademark"/>
    <w:qFormat/>
    <w:uiPriority w:val="0"/>
    <w:pPr>
      <w:spacing w:after="60"/>
    </w:pPr>
    <w:rPr>
      <w:rFonts w:ascii="Futura Bk" w:hAnsi="Futura Bk" w:eastAsia="宋体" w:cs="Times New Roman"/>
      <w:sz w:val="15"/>
      <w:lang w:val="en-US" w:eastAsia="en-US" w:bidi="ar-SA"/>
    </w:rPr>
  </w:style>
  <w:style w:type="paragraph" w:customStyle="1" w:styleId="3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1">
    <w:name w:val="Char Char1 Char Char Char Char Char Char1"/>
    <w:basedOn w:val="1"/>
    <w:qFormat/>
    <w:uiPriority w:val="0"/>
    <w:rPr>
      <w:rFonts w:ascii="仿宋_GB2312" w:eastAsia="仿宋_GB2312"/>
      <w:b/>
      <w:sz w:val="32"/>
      <w:szCs w:val="20"/>
    </w:rPr>
  </w:style>
  <w:style w:type="paragraph" w:customStyle="1" w:styleId="33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3">
    <w:name w:val="Char1 Char Char Char1"/>
    <w:basedOn w:val="1"/>
    <w:qFormat/>
    <w:uiPriority w:val="0"/>
    <w:pPr>
      <w:adjustRightInd/>
      <w:ind w:firstLine="200" w:firstLineChars="200"/>
    </w:pPr>
    <w:rPr>
      <w:rFonts w:ascii="Tahoma" w:hAnsi="Tahoma"/>
      <w:sz w:val="24"/>
      <w:szCs w:val="20"/>
    </w:rPr>
  </w:style>
  <w:style w:type="paragraph" w:customStyle="1" w:styleId="334">
    <w:name w:val="a1"/>
    <w:basedOn w:val="1"/>
    <w:qFormat/>
    <w:uiPriority w:val="0"/>
    <w:pPr>
      <w:widowControl/>
      <w:spacing w:line="300" w:lineRule="atLeast"/>
      <w:jc w:val="left"/>
    </w:pPr>
    <w:rPr>
      <w:rFonts w:ascii="宋体" w:hAnsi="宋体"/>
      <w:kern w:val="0"/>
      <w:sz w:val="18"/>
      <w:szCs w:val="20"/>
    </w:rPr>
  </w:style>
  <w:style w:type="paragraph" w:customStyle="1" w:styleId="335">
    <w:name w:val="样式7"/>
    <w:basedOn w:val="336"/>
    <w:next w:val="1"/>
    <w:qFormat/>
    <w:uiPriority w:val="0"/>
    <w:pPr>
      <w:spacing w:after="156" w:afterLines="50"/>
      <w:jc w:val="left"/>
      <w:outlineLvl w:val="3"/>
    </w:pPr>
    <w:rPr>
      <w:sz w:val="24"/>
      <w:szCs w:val="24"/>
    </w:rPr>
  </w:style>
  <w:style w:type="paragraph" w:customStyle="1" w:styleId="33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9">
    <w:name w:val="样式 样式2 + 左侧:  1 字符 右侧:  1 字符"/>
    <w:basedOn w:val="147"/>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0">
    <w:name w:val="Char2 Char Char2"/>
    <w:basedOn w:val="1"/>
    <w:qFormat/>
    <w:uiPriority w:val="0"/>
    <w:pPr>
      <w:adjustRightInd/>
    </w:pPr>
    <w:rPr>
      <w:rFonts w:ascii="Tahoma" w:hAnsi="Tahoma"/>
      <w:sz w:val="24"/>
      <w:szCs w:val="20"/>
    </w:rPr>
  </w:style>
  <w:style w:type="paragraph" w:customStyle="1" w:styleId="34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2">
    <w:name w:val="三级条标题"/>
    <w:basedOn w:val="343"/>
    <w:next w:val="327"/>
    <w:qFormat/>
    <w:uiPriority w:val="0"/>
    <w:pPr>
      <w:tabs>
        <w:tab w:val="left" w:pos="1260"/>
        <w:tab w:val="left" w:pos="1680"/>
        <w:tab w:val="left" w:pos="2100"/>
        <w:tab w:val="left" w:pos="2520"/>
      </w:tabs>
      <w:ind w:left="2520"/>
      <w:outlineLvl w:val="4"/>
    </w:pPr>
  </w:style>
  <w:style w:type="paragraph" w:customStyle="1" w:styleId="343">
    <w:name w:val="二级条标题"/>
    <w:basedOn w:val="344"/>
    <w:next w:val="327"/>
    <w:qFormat/>
    <w:uiPriority w:val="0"/>
    <w:pPr>
      <w:tabs>
        <w:tab w:val="left" w:pos="1260"/>
        <w:tab w:val="left" w:pos="1680"/>
        <w:tab w:val="left" w:pos="2100"/>
      </w:tabs>
      <w:ind w:left="0"/>
      <w:outlineLvl w:val="3"/>
    </w:pPr>
  </w:style>
  <w:style w:type="paragraph" w:customStyle="1" w:styleId="344">
    <w:name w:val="一级条标题"/>
    <w:basedOn w:val="345"/>
    <w:next w:val="327"/>
    <w:qFormat/>
    <w:uiPriority w:val="0"/>
    <w:pPr>
      <w:tabs>
        <w:tab w:val="left" w:pos="1260"/>
        <w:tab w:val="left" w:pos="1680"/>
      </w:tabs>
      <w:spacing w:before="0" w:beforeLines="0" w:after="0" w:afterLines="0"/>
      <w:ind w:left="1680"/>
      <w:outlineLvl w:val="2"/>
    </w:pPr>
  </w:style>
  <w:style w:type="paragraph" w:customStyle="1" w:styleId="345">
    <w:name w:val="章标题"/>
    <w:next w:val="32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6">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0">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2">
    <w:name w:val="正文 项目2"/>
    <w:basedOn w:val="353"/>
    <w:qFormat/>
    <w:uiPriority w:val="0"/>
    <w:pPr>
      <w:tabs>
        <w:tab w:val="left" w:pos="840"/>
      </w:tabs>
      <w:spacing w:after="0"/>
      <w:ind w:left="900"/>
    </w:pPr>
  </w:style>
  <w:style w:type="paragraph" w:customStyle="1" w:styleId="35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4">
    <w:name w:val="Body Text 2*"/>
    <w:basedOn w:val="1"/>
    <w:qFormat/>
    <w:uiPriority w:val="6"/>
    <w:pPr>
      <w:widowControl/>
      <w:adjustRightInd/>
      <w:ind w:left="720" w:hanging="720"/>
    </w:pPr>
    <w:rPr>
      <w:color w:val="000000"/>
      <w:kern w:val="0"/>
      <w:sz w:val="24"/>
      <w:szCs w:val="20"/>
    </w:rPr>
  </w:style>
  <w:style w:type="paragraph" w:customStyle="1" w:styleId="355">
    <w:name w:val="表1"/>
    <w:basedOn w:val="1"/>
    <w:qFormat/>
    <w:uiPriority w:val="0"/>
    <w:pPr>
      <w:tabs>
        <w:tab w:val="left" w:pos="703"/>
      </w:tabs>
      <w:adjustRightInd/>
      <w:spacing w:line="360" w:lineRule="auto"/>
      <w:ind w:left="703"/>
      <w:jc w:val="center"/>
    </w:pPr>
  </w:style>
  <w:style w:type="paragraph" w:customStyle="1" w:styleId="35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9">
    <w:name w:val="2级标题"/>
    <w:basedOn w:val="360"/>
    <w:qFormat/>
    <w:uiPriority w:val="0"/>
    <w:pPr>
      <w:jc w:val="left"/>
      <w:outlineLvl w:val="1"/>
    </w:pPr>
    <w:rPr>
      <w:rFonts w:ascii="Times New Roman" w:hAnsi="Times New Roman" w:eastAsia="仿宋"/>
      <w:sz w:val="30"/>
    </w:rPr>
  </w:style>
  <w:style w:type="paragraph" w:customStyle="1" w:styleId="36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5">
    <w:name w:val="bullet"/>
    <w:basedOn w:val="1"/>
    <w:qFormat/>
    <w:uiPriority w:val="0"/>
    <w:pPr>
      <w:tabs>
        <w:tab w:val="left" w:pos="840"/>
      </w:tabs>
      <w:adjustRightInd/>
      <w:ind w:left="840" w:hanging="420"/>
    </w:pPr>
  </w:style>
  <w:style w:type="paragraph" w:customStyle="1" w:styleId="36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7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3">
    <w:name w:val="MM Topic 4"/>
    <w:basedOn w:val="6"/>
    <w:qFormat/>
    <w:uiPriority w:val="0"/>
    <w:pPr>
      <w:tabs>
        <w:tab w:val="left" w:pos="2100"/>
        <w:tab w:val="clear" w:pos="864"/>
      </w:tabs>
      <w:adjustRightInd/>
      <w:ind w:left="2100" w:hanging="420"/>
    </w:pPr>
    <w:rPr>
      <w:lang w:val="en-US"/>
    </w:rPr>
  </w:style>
  <w:style w:type="paragraph" w:customStyle="1" w:styleId="37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76">
    <w:name w:val="Char Char11 Char Char Char Char Char Char Char Char Char1"/>
    <w:basedOn w:val="1"/>
    <w:qFormat/>
    <w:uiPriority w:val="6"/>
    <w:pPr>
      <w:spacing w:line="360" w:lineRule="auto"/>
    </w:pPr>
    <w:rPr>
      <w:szCs w:val="20"/>
    </w:rPr>
  </w:style>
  <w:style w:type="paragraph" w:customStyle="1" w:styleId="37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9">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6">
    <w:name w:val="单元格居中"/>
    <w:basedOn w:val="1"/>
    <w:qFormat/>
    <w:uiPriority w:val="0"/>
    <w:pPr>
      <w:adjustRightInd/>
      <w:spacing w:line="360" w:lineRule="auto"/>
      <w:jc w:val="center"/>
    </w:pPr>
    <w:rPr>
      <w:sz w:val="24"/>
    </w:rPr>
  </w:style>
  <w:style w:type="paragraph" w:customStyle="1" w:styleId="38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8">
    <w:name w:val="Char Char Char Char Char Char Char1"/>
    <w:basedOn w:val="1"/>
    <w:qFormat/>
    <w:uiPriority w:val="6"/>
    <w:rPr>
      <w:rFonts w:ascii="仿宋_GB2312" w:eastAsia="仿宋_GB2312"/>
      <w:b/>
      <w:sz w:val="32"/>
      <w:szCs w:val="32"/>
    </w:rPr>
  </w:style>
  <w:style w:type="paragraph" w:customStyle="1" w:styleId="389">
    <w:name w:val="正文缩进1"/>
    <w:basedOn w:val="390"/>
    <w:next w:val="24"/>
    <w:qFormat/>
    <w:uiPriority w:val="0"/>
    <w:pPr>
      <w:tabs>
        <w:tab w:val="right" w:leader="dot" w:pos="8268"/>
      </w:tabs>
      <w:autoSpaceDE w:val="0"/>
      <w:autoSpaceDN w:val="0"/>
      <w:snapToGrid w:val="0"/>
      <w:spacing w:after="120" w:line="360" w:lineRule="auto"/>
      <w:ind w:left="420" w:leftChars="200"/>
    </w:pPr>
    <w:rPr>
      <w:szCs w:val="21"/>
    </w:rPr>
  </w:style>
  <w:style w:type="paragraph" w:customStyle="1" w:styleId="390">
    <w:name w:val="正文1"/>
    <w:basedOn w:val="31"/>
    <w:next w:val="391"/>
    <w:qFormat/>
    <w:uiPriority w:val="0"/>
    <w:pPr>
      <w:ind w:left="0" w:leftChars="0" w:firstLine="480" w:firstLineChars="200"/>
    </w:pPr>
    <w:rPr>
      <w:rFonts w:ascii="仿宋_GB2312" w:hAnsi="Courier New" w:eastAsia="仿宋_GB2312"/>
      <w:kern w:val="28"/>
      <w:sz w:val="24"/>
    </w:rPr>
  </w:style>
  <w:style w:type="paragraph" w:customStyle="1" w:styleId="391">
    <w:name w:val="标题 21"/>
    <w:basedOn w:val="390"/>
    <w:next w:val="390"/>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39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3">
    <w:name w:val="Char3 Char Char Char11"/>
    <w:basedOn w:val="1"/>
    <w:qFormat/>
    <w:uiPriority w:val="0"/>
    <w:pPr>
      <w:widowControl/>
      <w:adjustRightInd/>
      <w:spacing w:after="160" w:line="240" w:lineRule="exact"/>
      <w:jc w:val="left"/>
    </w:pPr>
    <w:rPr>
      <w:szCs w:val="20"/>
    </w:rPr>
  </w:style>
  <w:style w:type="paragraph" w:customStyle="1" w:styleId="394">
    <w:name w:val="Char Char1121"/>
    <w:basedOn w:val="1"/>
    <w:qFormat/>
    <w:uiPriority w:val="0"/>
    <w:pPr>
      <w:spacing w:line="360" w:lineRule="auto"/>
    </w:pPr>
    <w:rPr>
      <w:szCs w:val="20"/>
    </w:rPr>
  </w:style>
  <w:style w:type="paragraph" w:customStyle="1" w:styleId="39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397">
    <w:name w:val="Normal0"/>
    <w:qFormat/>
    <w:uiPriority w:val="0"/>
    <w:rPr>
      <w:rFonts w:ascii="Times New Roman" w:hAnsi="Times New Roman" w:eastAsia="宋体" w:cs="Times New Roman"/>
      <w:lang w:val="en-US" w:eastAsia="en-US" w:bidi="ar-SA"/>
    </w:rPr>
  </w:style>
  <w:style w:type="paragraph" w:customStyle="1" w:styleId="398">
    <w:name w:val="带编号样式"/>
    <w:basedOn w:val="314"/>
    <w:qFormat/>
    <w:uiPriority w:val="0"/>
    <w:pPr>
      <w:tabs>
        <w:tab w:val="left" w:pos="840"/>
      </w:tabs>
      <w:snapToGrid w:val="0"/>
      <w:ind w:left="840" w:hanging="420" w:firstLineChars="0"/>
    </w:pPr>
    <w:rPr>
      <w:rFonts w:ascii="仿宋_GB2312" w:eastAsia="仿宋_GB2312"/>
      <w:color w:val="000000"/>
    </w:rPr>
  </w:style>
  <w:style w:type="paragraph" w:customStyle="1" w:styleId="39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1">
    <w:name w:val="封面"/>
    <w:basedOn w:val="1"/>
    <w:qFormat/>
    <w:uiPriority w:val="0"/>
    <w:pPr>
      <w:spacing w:line="360" w:lineRule="atLeast"/>
      <w:jc w:val="right"/>
      <w:textAlignment w:val="baseline"/>
    </w:pPr>
    <w:rPr>
      <w:rFonts w:ascii="Symbol" w:hAnsi="Symbol"/>
      <w:kern w:val="0"/>
      <w:szCs w:val="20"/>
    </w:rPr>
  </w:style>
  <w:style w:type="paragraph" w:customStyle="1" w:styleId="40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4">
    <w:name w:val="默认段落字体 Para Char Char Char1 Char"/>
    <w:basedOn w:val="1"/>
    <w:qFormat/>
    <w:uiPriority w:val="0"/>
    <w:pPr>
      <w:spacing w:line="240" w:lineRule="atLeast"/>
      <w:ind w:left="420" w:firstLine="420"/>
    </w:pPr>
    <w:rPr>
      <w:sz w:val="24"/>
    </w:rPr>
  </w:style>
  <w:style w:type="paragraph" w:customStyle="1" w:styleId="405">
    <w:name w:val="WW-正文文字缩进 2"/>
    <w:basedOn w:val="1"/>
    <w:qFormat/>
    <w:uiPriority w:val="0"/>
    <w:pPr>
      <w:suppressAutoHyphens/>
      <w:adjustRightInd/>
      <w:ind w:firstLine="420"/>
    </w:pPr>
    <w:rPr>
      <w:kern w:val="1"/>
      <w:szCs w:val="20"/>
    </w:rPr>
  </w:style>
  <w:style w:type="paragraph" w:customStyle="1" w:styleId="40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8">
    <w:name w:val="有符号正文"/>
    <w:basedOn w:val="1"/>
    <w:qFormat/>
    <w:uiPriority w:val="0"/>
    <w:pPr>
      <w:adjustRightInd/>
      <w:spacing w:line="400" w:lineRule="exact"/>
      <w:ind w:firstLine="200" w:firstLineChars="200"/>
    </w:pPr>
    <w:rPr>
      <w:rFonts w:ascii="Arial" w:hAnsi="Arial"/>
    </w:rPr>
  </w:style>
  <w:style w:type="paragraph" w:customStyle="1" w:styleId="40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11">
    <w:name w:val="4"/>
    <w:basedOn w:val="1"/>
    <w:next w:val="36"/>
    <w:qFormat/>
    <w:uiPriority w:val="0"/>
    <w:pPr>
      <w:spacing w:after="120" w:line="480" w:lineRule="auto"/>
      <w:ind w:left="420" w:leftChars="200"/>
    </w:pPr>
    <w:rPr>
      <w:sz w:val="24"/>
      <w:szCs w:val="20"/>
    </w:rPr>
  </w:style>
  <w:style w:type="paragraph" w:customStyle="1" w:styleId="41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4">
    <w:name w:val="样式 标题 3H3 + 两端对齐"/>
    <w:basedOn w:val="4"/>
    <w:qFormat/>
    <w:uiPriority w:val="0"/>
    <w:pPr>
      <w:spacing w:before="0" w:after="0" w:line="240" w:lineRule="auto"/>
      <w:jc w:val="left"/>
    </w:pPr>
    <w:rPr>
      <w:rFonts w:cs="宋体"/>
      <w:sz w:val="21"/>
      <w:szCs w:val="20"/>
    </w:rPr>
  </w:style>
  <w:style w:type="paragraph" w:customStyle="1" w:styleId="41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0">
    <w:name w:val="Char Char1 Char Char Char"/>
    <w:basedOn w:val="1"/>
    <w:qFormat/>
    <w:uiPriority w:val="0"/>
    <w:rPr>
      <w:rFonts w:ascii="仿宋_GB2312" w:eastAsia="仿宋_GB2312"/>
      <w:b/>
      <w:sz w:val="32"/>
      <w:szCs w:val="20"/>
    </w:rPr>
  </w:style>
  <w:style w:type="paragraph" w:customStyle="1" w:styleId="42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3">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4">
    <w:name w:val="Char Char1 Char Char Char2"/>
    <w:basedOn w:val="1"/>
    <w:qFormat/>
    <w:uiPriority w:val="0"/>
    <w:rPr>
      <w:rFonts w:ascii="仿宋_GB2312" w:eastAsia="仿宋_GB2312"/>
      <w:b/>
      <w:sz w:val="32"/>
      <w:szCs w:val="32"/>
    </w:rPr>
  </w:style>
  <w:style w:type="paragraph" w:customStyle="1" w:styleId="425">
    <w:name w:val="Char3 Char Char Char1"/>
    <w:basedOn w:val="1"/>
    <w:qFormat/>
    <w:uiPriority w:val="6"/>
    <w:pPr>
      <w:widowControl/>
      <w:adjustRightInd/>
      <w:spacing w:after="160" w:line="240" w:lineRule="exact"/>
      <w:jc w:val="left"/>
    </w:pPr>
    <w:rPr>
      <w:szCs w:val="20"/>
    </w:rPr>
  </w:style>
  <w:style w:type="paragraph" w:customStyle="1" w:styleId="426">
    <w:name w:val="Char1 Char Char Char21"/>
    <w:basedOn w:val="1"/>
    <w:qFormat/>
    <w:uiPriority w:val="0"/>
    <w:rPr>
      <w:rFonts w:ascii="Tahoma" w:hAnsi="Tahoma"/>
      <w:sz w:val="24"/>
      <w:szCs w:val="20"/>
    </w:rPr>
  </w:style>
  <w:style w:type="paragraph" w:customStyle="1" w:styleId="42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8">
    <w:name w:val="正文（标题三）"/>
    <w:basedOn w:val="1"/>
    <w:qFormat/>
    <w:uiPriority w:val="0"/>
    <w:pPr>
      <w:spacing w:line="360" w:lineRule="auto"/>
      <w:ind w:firstLine="200" w:firstLineChars="200"/>
    </w:pPr>
    <w:rPr>
      <w:sz w:val="24"/>
    </w:rPr>
  </w:style>
  <w:style w:type="paragraph" w:customStyle="1" w:styleId="42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3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3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3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4">
    <w:name w:val="Char1 Char Char Char4"/>
    <w:basedOn w:val="1"/>
    <w:qFormat/>
    <w:uiPriority w:val="0"/>
    <w:pPr>
      <w:adjustRightInd/>
      <w:ind w:firstLine="200" w:firstLineChars="200"/>
    </w:pPr>
    <w:rPr>
      <w:rFonts w:ascii="Tahoma" w:hAnsi="Tahoma"/>
      <w:sz w:val="24"/>
      <w:szCs w:val="20"/>
    </w:rPr>
  </w:style>
  <w:style w:type="paragraph" w:customStyle="1" w:styleId="435">
    <w:name w:val="_标题2"/>
    <w:basedOn w:val="402"/>
    <w:next w:val="40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6">
    <w:name w:val="样式1 + (中宋体"/>
    <w:basedOn w:val="41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40">
    <w:name w:val="四号　首行缩进"/>
    <w:basedOn w:val="1"/>
    <w:qFormat/>
    <w:uiPriority w:val="0"/>
    <w:pPr>
      <w:adjustRightInd/>
      <w:spacing w:line="360" w:lineRule="auto"/>
    </w:pPr>
    <w:rPr>
      <w:rFonts w:ascii="宋体" w:hAnsi="宋体"/>
      <w:szCs w:val="20"/>
    </w:rPr>
  </w:style>
  <w:style w:type="paragraph" w:customStyle="1" w:styleId="44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42">
    <w:name w:val="Char Char Char Char Char Char Char Char Char Char Char1 Char"/>
    <w:basedOn w:val="1"/>
    <w:qFormat/>
    <w:uiPriority w:val="0"/>
    <w:pPr>
      <w:adjustRightInd/>
    </w:pPr>
    <w:rPr>
      <w:rFonts w:ascii="Tahoma" w:hAnsi="Tahoma"/>
      <w:sz w:val="24"/>
    </w:rPr>
  </w:style>
  <w:style w:type="paragraph" w:customStyle="1" w:styleId="443">
    <w:name w:val="Char Char Char Char11"/>
    <w:basedOn w:val="1"/>
    <w:qFormat/>
    <w:uiPriority w:val="0"/>
    <w:rPr>
      <w:rFonts w:ascii="Tahoma" w:hAnsi="Tahoma"/>
      <w:sz w:val="24"/>
      <w:szCs w:val="20"/>
    </w:rPr>
  </w:style>
  <w:style w:type="paragraph" w:customStyle="1" w:styleId="44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5">
    <w:name w:val="Char Char Char Char"/>
    <w:basedOn w:val="1"/>
    <w:qFormat/>
    <w:uiPriority w:val="0"/>
    <w:rPr>
      <w:rFonts w:ascii="Tahoma" w:hAnsi="Tahoma"/>
      <w:sz w:val="24"/>
      <w:szCs w:val="20"/>
    </w:rPr>
  </w:style>
  <w:style w:type="paragraph" w:customStyle="1" w:styleId="44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7">
    <w:name w:val="Char19"/>
    <w:basedOn w:val="1"/>
    <w:qFormat/>
    <w:uiPriority w:val="0"/>
    <w:pPr>
      <w:adjustRightInd/>
    </w:pPr>
    <w:rPr>
      <w:szCs w:val="20"/>
    </w:rPr>
  </w:style>
  <w:style w:type="paragraph" w:customStyle="1" w:styleId="44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50">
    <w:name w:val="_Style 5"/>
    <w:basedOn w:val="1"/>
    <w:qFormat/>
    <w:uiPriority w:val="34"/>
    <w:pPr>
      <w:adjustRightInd/>
      <w:ind w:firstLine="420" w:firstLineChars="200"/>
    </w:pPr>
    <w:rPr>
      <w:rFonts w:eastAsia="仿宋_GB2312"/>
      <w:sz w:val="28"/>
    </w:rPr>
  </w:style>
  <w:style w:type="paragraph" w:customStyle="1" w:styleId="45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4">
    <w:name w:val="标书表格字体格式"/>
    <w:next w:val="448"/>
    <w:qFormat/>
    <w:uiPriority w:val="0"/>
    <w:rPr>
      <w:rFonts w:ascii="Times New Roman" w:hAnsi="Times New Roman" w:eastAsia="宋体" w:cs="Times New Roman"/>
      <w:kern w:val="2"/>
      <w:sz w:val="21"/>
      <w:szCs w:val="24"/>
      <w:lang w:val="en-US" w:eastAsia="zh-CN" w:bidi="ar-SA"/>
    </w:rPr>
  </w:style>
  <w:style w:type="paragraph" w:customStyle="1" w:styleId="45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7">
    <w:name w:val="修订3"/>
    <w:qFormat/>
    <w:uiPriority w:val="0"/>
    <w:rPr>
      <w:rFonts w:ascii="Times New Roman" w:hAnsi="Times New Roman" w:eastAsia="宋体" w:cs="Times New Roman"/>
      <w:kern w:val="2"/>
      <w:sz w:val="21"/>
      <w:lang w:val="en-US" w:eastAsia="zh-CN" w:bidi="ar-SA"/>
    </w:rPr>
  </w:style>
  <w:style w:type="paragraph" w:customStyle="1" w:styleId="458">
    <w:name w:val="CSS1级正文 Char"/>
    <w:basedOn w:val="23"/>
    <w:qFormat/>
    <w:uiPriority w:val="0"/>
    <w:pPr>
      <w:snapToGrid w:val="0"/>
      <w:ind w:firstLine="480" w:firstLineChars="200"/>
    </w:pPr>
    <w:rPr>
      <w:rFonts w:ascii="Times New Roman"/>
      <w:szCs w:val="24"/>
      <w:lang w:val="en-US"/>
    </w:rPr>
  </w:style>
  <w:style w:type="paragraph" w:customStyle="1" w:styleId="459">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0">
    <w:name w:val="表文字"/>
    <w:qFormat/>
    <w:uiPriority w:val="0"/>
    <w:rPr>
      <w:rFonts w:ascii="宋体" w:hAnsi="Times New Roman" w:eastAsia="宋体" w:cs="Times New Roman"/>
      <w:kern w:val="2"/>
      <w:lang w:val="en-US" w:eastAsia="zh-CN" w:bidi="ar-SA"/>
    </w:rPr>
  </w:style>
  <w:style w:type="paragraph" w:customStyle="1" w:styleId="461">
    <w:name w:val="MM Title"/>
    <w:basedOn w:val="58"/>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6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4">
    <w:name w:val="Char Char Char Char Char Char Char Char2"/>
    <w:basedOn w:val="1"/>
    <w:qFormat/>
    <w:uiPriority w:val="0"/>
    <w:pPr>
      <w:tabs>
        <w:tab w:val="left" w:pos="360"/>
      </w:tabs>
    </w:pPr>
    <w:rPr>
      <w:sz w:val="24"/>
      <w:szCs w:val="20"/>
    </w:rPr>
  </w:style>
  <w:style w:type="paragraph" w:customStyle="1" w:styleId="46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6">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3">
    <w:name w:val="p0"/>
    <w:basedOn w:val="1"/>
    <w:qFormat/>
    <w:uiPriority w:val="0"/>
    <w:pPr>
      <w:widowControl/>
      <w:adjustRightInd/>
    </w:pPr>
    <w:rPr>
      <w:kern w:val="0"/>
      <w:szCs w:val="21"/>
    </w:rPr>
  </w:style>
  <w:style w:type="paragraph" w:customStyle="1" w:styleId="474">
    <w:name w:val="Char6"/>
    <w:basedOn w:val="1"/>
    <w:qFormat/>
    <w:uiPriority w:val="0"/>
    <w:rPr>
      <w:rFonts w:ascii="仿宋_GB2312" w:eastAsia="仿宋_GB2312"/>
      <w:b/>
      <w:sz w:val="32"/>
      <w:szCs w:val="32"/>
    </w:rPr>
  </w:style>
  <w:style w:type="paragraph" w:customStyle="1" w:styleId="475">
    <w:name w:val="Char111"/>
    <w:basedOn w:val="1"/>
    <w:qFormat/>
    <w:uiPriority w:val="0"/>
    <w:rPr>
      <w:rFonts w:ascii="仿宋_GB2312" w:eastAsia="仿宋_GB2312"/>
      <w:b/>
      <w:sz w:val="32"/>
      <w:szCs w:val="32"/>
    </w:rPr>
  </w:style>
  <w:style w:type="paragraph" w:customStyle="1" w:styleId="476">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47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9">
    <w:name w:val="Char1 Char Char Char2"/>
    <w:basedOn w:val="1"/>
    <w:qFormat/>
    <w:uiPriority w:val="0"/>
    <w:pPr>
      <w:adjustRightInd/>
      <w:ind w:firstLine="200" w:firstLineChars="200"/>
    </w:pPr>
    <w:rPr>
      <w:rFonts w:ascii="Tahoma" w:hAnsi="Tahoma"/>
      <w:sz w:val="24"/>
      <w:szCs w:val="20"/>
    </w:rPr>
  </w:style>
  <w:style w:type="paragraph" w:customStyle="1" w:styleId="48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81">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82">
    <w:name w:val="Char Char Char Char Char Char Char2"/>
    <w:basedOn w:val="1"/>
    <w:qFormat/>
    <w:uiPriority w:val="0"/>
    <w:rPr>
      <w:rFonts w:ascii="仿宋_GB2312" w:eastAsia="仿宋_GB2312"/>
      <w:b/>
      <w:sz w:val="32"/>
      <w:szCs w:val="32"/>
    </w:rPr>
  </w:style>
  <w:style w:type="paragraph" w:customStyle="1" w:styleId="483">
    <w:name w:val="五级条标题"/>
    <w:basedOn w:val="484"/>
    <w:next w:val="327"/>
    <w:qFormat/>
    <w:uiPriority w:val="0"/>
    <w:pPr>
      <w:tabs>
        <w:tab w:val="left" w:pos="1260"/>
        <w:tab w:val="left" w:pos="1680"/>
        <w:tab w:val="left" w:pos="2100"/>
        <w:tab w:val="left" w:pos="2940"/>
        <w:tab w:val="left" w:pos="3360"/>
      </w:tabs>
      <w:ind w:left="3360"/>
      <w:outlineLvl w:val="6"/>
    </w:pPr>
  </w:style>
  <w:style w:type="paragraph" w:customStyle="1" w:styleId="484">
    <w:name w:val="四级条标题"/>
    <w:basedOn w:val="342"/>
    <w:next w:val="327"/>
    <w:qFormat/>
    <w:uiPriority w:val="0"/>
    <w:pPr>
      <w:tabs>
        <w:tab w:val="left" w:pos="2940"/>
        <w:tab w:val="clear" w:pos="1260"/>
        <w:tab w:val="clear" w:pos="1680"/>
        <w:tab w:val="clear" w:pos="2100"/>
        <w:tab w:val="clear" w:pos="2520"/>
      </w:tabs>
      <w:ind w:left="2940"/>
      <w:outlineLvl w:val="5"/>
    </w:pPr>
  </w:style>
  <w:style w:type="paragraph" w:customStyle="1" w:styleId="48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6">
    <w:name w:val="Char23"/>
    <w:basedOn w:val="1"/>
    <w:qFormat/>
    <w:uiPriority w:val="0"/>
    <w:rPr>
      <w:rFonts w:ascii="仿宋_GB2312" w:eastAsia="仿宋_GB2312"/>
      <w:b/>
      <w:sz w:val="32"/>
      <w:szCs w:val="32"/>
    </w:rPr>
  </w:style>
  <w:style w:type="paragraph" w:customStyle="1" w:styleId="48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9">
    <w:name w:val="首行缩进"/>
    <w:basedOn w:val="1"/>
    <w:qFormat/>
    <w:uiPriority w:val="0"/>
    <w:pPr>
      <w:spacing w:line="360" w:lineRule="auto"/>
      <w:ind w:firstLine="480" w:firstLineChars="200"/>
    </w:pPr>
    <w:rPr>
      <w:rFonts w:ascii="宋体"/>
      <w:sz w:val="24"/>
      <w:szCs w:val="20"/>
    </w:rPr>
  </w:style>
  <w:style w:type="paragraph" w:customStyle="1" w:styleId="49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91">
    <w:name w:val="单元格左对齐"/>
    <w:basedOn w:val="1"/>
    <w:qFormat/>
    <w:uiPriority w:val="0"/>
    <w:pPr>
      <w:adjustRightInd/>
      <w:spacing w:line="360" w:lineRule="auto"/>
    </w:pPr>
    <w:rPr>
      <w:sz w:val="24"/>
    </w:rPr>
  </w:style>
  <w:style w:type="paragraph" w:customStyle="1" w:styleId="492">
    <w:name w:val="正文主体"/>
    <w:basedOn w:val="311"/>
    <w:qFormat/>
    <w:uiPriority w:val="0"/>
  </w:style>
  <w:style w:type="paragraph" w:customStyle="1" w:styleId="49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6">
    <w:name w:val="正文（首行缩进2字符）"/>
    <w:basedOn w:val="1"/>
    <w:qFormat/>
    <w:uiPriority w:val="0"/>
    <w:pPr>
      <w:adjustRightInd/>
      <w:spacing w:line="360" w:lineRule="auto"/>
      <w:ind w:firstLine="480" w:firstLineChars="200"/>
    </w:pPr>
    <w:rPr>
      <w:sz w:val="24"/>
      <w:szCs w:val="20"/>
    </w:rPr>
  </w:style>
  <w:style w:type="paragraph" w:customStyle="1" w:styleId="497">
    <w:name w:val="P1"/>
    <w:basedOn w:val="1"/>
    <w:qFormat/>
    <w:uiPriority w:val="0"/>
    <w:pPr>
      <w:adjustRightInd/>
      <w:spacing w:line="288" w:lineRule="auto"/>
      <w:ind w:firstLine="425" w:firstLineChars="200"/>
    </w:pPr>
  </w:style>
  <w:style w:type="paragraph" w:customStyle="1" w:styleId="498">
    <w:name w:val="列表内容"/>
    <w:basedOn w:val="1"/>
    <w:next w:val="1"/>
    <w:qFormat/>
    <w:uiPriority w:val="0"/>
    <w:pPr>
      <w:widowControl/>
      <w:tabs>
        <w:tab w:val="left" w:pos="840"/>
      </w:tabs>
      <w:ind w:left="840" w:hanging="420"/>
      <w:jc w:val="left"/>
    </w:pPr>
    <w:rPr>
      <w:kern w:val="0"/>
      <w:sz w:val="18"/>
    </w:rPr>
  </w:style>
  <w:style w:type="paragraph" w:customStyle="1" w:styleId="499">
    <w:name w:val="Char Char11 Char Char Char1"/>
    <w:basedOn w:val="1"/>
    <w:qFormat/>
    <w:uiPriority w:val="6"/>
    <w:pPr>
      <w:spacing w:line="360" w:lineRule="auto"/>
    </w:pPr>
    <w:rPr>
      <w:szCs w:val="20"/>
    </w:rPr>
  </w:style>
  <w:style w:type="paragraph" w:customStyle="1" w:styleId="50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50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4">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505">
    <w:name w:val="默认段落字体 Para Char Char Char Char"/>
    <w:basedOn w:val="1"/>
    <w:qFormat/>
    <w:uiPriority w:val="0"/>
    <w:pPr>
      <w:spacing w:line="360" w:lineRule="auto"/>
    </w:pPr>
    <w:rPr>
      <w:szCs w:val="20"/>
    </w:rPr>
  </w:style>
  <w:style w:type="paragraph" w:customStyle="1" w:styleId="50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8">
    <w:name w:val="Char2 Char Char Char2"/>
    <w:basedOn w:val="1"/>
    <w:qFormat/>
    <w:uiPriority w:val="0"/>
    <w:rPr>
      <w:rFonts w:ascii="仿宋_GB2312" w:eastAsia="仿宋_GB2312"/>
      <w:b/>
      <w:sz w:val="32"/>
      <w:szCs w:val="32"/>
    </w:rPr>
  </w:style>
  <w:style w:type="paragraph" w:customStyle="1" w:styleId="50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1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11">
    <w:name w:val="正文 首行缩进:  2 字符 Char"/>
    <w:basedOn w:val="1"/>
    <w:qFormat/>
    <w:uiPriority w:val="0"/>
    <w:pPr>
      <w:adjustRightInd/>
      <w:spacing w:line="360" w:lineRule="auto"/>
      <w:ind w:firstLine="480"/>
    </w:pPr>
    <w:rPr>
      <w:rFonts w:cs="宋体"/>
      <w:sz w:val="24"/>
      <w:szCs w:val="20"/>
    </w:rPr>
  </w:style>
  <w:style w:type="paragraph" w:customStyle="1" w:styleId="512">
    <w:name w:val="Char Char4 Char Char"/>
    <w:basedOn w:val="1"/>
    <w:qFormat/>
    <w:uiPriority w:val="0"/>
    <w:pPr>
      <w:widowControl/>
      <w:adjustRightInd/>
      <w:spacing w:after="160" w:line="240" w:lineRule="exact"/>
      <w:jc w:val="left"/>
    </w:pPr>
  </w:style>
  <w:style w:type="paragraph" w:customStyle="1" w:styleId="51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4">
    <w:name w:val="Char Char11 Char Char Char2"/>
    <w:basedOn w:val="1"/>
    <w:qFormat/>
    <w:uiPriority w:val="0"/>
    <w:pPr>
      <w:spacing w:line="360" w:lineRule="auto"/>
    </w:pPr>
    <w:rPr>
      <w:szCs w:val="20"/>
    </w:rPr>
  </w:style>
  <w:style w:type="paragraph" w:customStyle="1" w:styleId="51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2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1">
    <w:name w:val="Char311"/>
    <w:basedOn w:val="1"/>
    <w:qFormat/>
    <w:uiPriority w:val="0"/>
    <w:pPr>
      <w:adjustRightInd/>
      <w:ind w:firstLine="200" w:firstLineChars="200"/>
    </w:pPr>
    <w:rPr>
      <w:rFonts w:ascii="Tahoma" w:hAnsi="Tahoma"/>
      <w:sz w:val="24"/>
      <w:szCs w:val="20"/>
    </w:rPr>
  </w:style>
  <w:style w:type="paragraph" w:customStyle="1" w:styleId="522">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4">
    <w:name w:val="正文 内标"/>
    <w:basedOn w:val="439"/>
    <w:qFormat/>
    <w:uiPriority w:val="0"/>
    <w:pPr>
      <w:tabs>
        <w:tab w:val="left" w:pos="0"/>
      </w:tabs>
      <w:ind w:left="900" w:firstLine="0" w:firstLineChars="0"/>
    </w:pPr>
  </w:style>
  <w:style w:type="paragraph" w:customStyle="1" w:styleId="525">
    <w:name w:val="Bulleted List"/>
    <w:basedOn w:val="1"/>
    <w:qFormat/>
    <w:uiPriority w:val="0"/>
    <w:pPr>
      <w:tabs>
        <w:tab w:val="left" w:pos="1260"/>
      </w:tabs>
      <w:adjustRightInd/>
      <w:ind w:left="1260" w:hanging="420"/>
    </w:pPr>
  </w:style>
  <w:style w:type="paragraph" w:customStyle="1" w:styleId="52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527">
    <w:name w:val="样式 左侧:  0.85 厘米"/>
    <w:basedOn w:val="1"/>
    <w:qFormat/>
    <w:uiPriority w:val="2"/>
    <w:pPr>
      <w:adjustRightInd/>
      <w:spacing w:line="360" w:lineRule="auto"/>
    </w:pPr>
    <w:rPr>
      <w:rFonts w:cs="宋体"/>
      <w:sz w:val="24"/>
      <w:szCs w:val="20"/>
    </w:rPr>
  </w:style>
  <w:style w:type="paragraph" w:customStyle="1" w:styleId="528">
    <w:name w:val="Char Char Char Char Char Char Char Char Char Char Char Char1 Char"/>
    <w:basedOn w:val="1"/>
    <w:qFormat/>
    <w:uiPriority w:val="0"/>
    <w:rPr>
      <w:rFonts w:ascii="Tahoma" w:hAnsi="Tahoma" w:cs="仿宋_GB2312"/>
      <w:sz w:val="24"/>
      <w:szCs w:val="20"/>
    </w:rPr>
  </w:style>
  <w:style w:type="paragraph" w:customStyle="1" w:styleId="52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2">
    <w:name w:val="Char Char1 Char Char Char Char Char Char"/>
    <w:basedOn w:val="1"/>
    <w:qFormat/>
    <w:uiPriority w:val="0"/>
    <w:rPr>
      <w:rFonts w:ascii="仿宋_GB2312" w:eastAsia="仿宋_GB2312"/>
      <w:b/>
      <w:sz w:val="32"/>
      <w:szCs w:val="20"/>
    </w:rPr>
  </w:style>
  <w:style w:type="paragraph" w:customStyle="1" w:styleId="53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4">
    <w:name w:val="Char Char1 Char Char Char Char Char Char2"/>
    <w:basedOn w:val="1"/>
    <w:qFormat/>
    <w:uiPriority w:val="0"/>
    <w:rPr>
      <w:rFonts w:ascii="仿宋_GB2312" w:eastAsia="仿宋_GB2312"/>
      <w:b/>
      <w:sz w:val="32"/>
      <w:szCs w:val="20"/>
    </w:rPr>
  </w:style>
  <w:style w:type="paragraph" w:customStyle="1" w:styleId="53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4">
    <w:name w:val="Char31"/>
    <w:basedOn w:val="1"/>
    <w:qFormat/>
    <w:uiPriority w:val="0"/>
    <w:pPr>
      <w:adjustRightInd/>
    </w:pPr>
    <w:rPr>
      <w:rFonts w:ascii="仿宋_GB2312" w:eastAsia="仿宋_GB2312"/>
      <w:b/>
      <w:sz w:val="32"/>
      <w:szCs w:val="32"/>
    </w:rPr>
  </w:style>
  <w:style w:type="paragraph" w:customStyle="1" w:styleId="54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8">
    <w:name w:val="Char Char1"/>
    <w:basedOn w:val="1"/>
    <w:qFormat/>
    <w:uiPriority w:val="0"/>
    <w:pPr>
      <w:widowControl/>
      <w:spacing w:after="160" w:line="240" w:lineRule="exact"/>
      <w:jc w:val="left"/>
    </w:pPr>
    <w:rPr>
      <w:rFonts w:eastAsia="仿宋_GB2312"/>
      <w:sz w:val="28"/>
    </w:rPr>
  </w:style>
  <w:style w:type="paragraph" w:customStyle="1" w:styleId="549">
    <w:name w:val="Char21"/>
    <w:basedOn w:val="1"/>
    <w:qFormat/>
    <w:uiPriority w:val="0"/>
    <w:pPr>
      <w:adjustRightInd/>
      <w:ind w:firstLine="200" w:firstLineChars="200"/>
    </w:pPr>
    <w:rPr>
      <w:rFonts w:ascii="仿宋_GB2312" w:eastAsia="仿宋_GB2312"/>
      <w:b/>
      <w:sz w:val="32"/>
      <w:szCs w:val="32"/>
    </w:rPr>
  </w:style>
  <w:style w:type="paragraph" w:customStyle="1" w:styleId="550">
    <w:name w:val="列表段落11"/>
    <w:basedOn w:val="1"/>
    <w:qFormat/>
    <w:uiPriority w:val="34"/>
    <w:pPr>
      <w:adjustRightInd/>
      <w:ind w:right="238" w:firstLine="420"/>
    </w:pPr>
    <w:rPr>
      <w:rFonts w:ascii="Calibri" w:hAnsi="Calibri"/>
      <w:sz w:val="24"/>
    </w:rPr>
  </w:style>
  <w:style w:type="paragraph" w:customStyle="1" w:styleId="551">
    <w:name w:val="Char Char110"/>
    <w:basedOn w:val="1"/>
    <w:qFormat/>
    <w:uiPriority w:val="6"/>
    <w:pPr>
      <w:spacing w:line="360" w:lineRule="auto"/>
    </w:pPr>
    <w:rPr>
      <w:rFonts w:ascii="Tahoma" w:hAnsi="Tahoma"/>
      <w:sz w:val="24"/>
      <w:szCs w:val="20"/>
    </w:rPr>
  </w:style>
  <w:style w:type="paragraph" w:customStyle="1" w:styleId="55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6">
    <w:name w:val="Char Char Char Char Char Char Char Char Char Char Char Char1 Char2"/>
    <w:basedOn w:val="1"/>
    <w:qFormat/>
    <w:uiPriority w:val="0"/>
    <w:rPr>
      <w:rFonts w:ascii="Tahoma" w:hAnsi="Tahoma" w:cs="仿宋_GB2312"/>
      <w:sz w:val="24"/>
      <w:szCs w:val="20"/>
    </w:rPr>
  </w:style>
  <w:style w:type="paragraph" w:customStyle="1" w:styleId="55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9">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6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61">
    <w:name w:val="_Style 12"/>
    <w:basedOn w:val="18"/>
    <w:qFormat/>
    <w:uiPriority w:val="0"/>
    <w:pPr>
      <w:snapToGrid w:val="0"/>
      <w:spacing w:line="360" w:lineRule="auto"/>
    </w:pPr>
  </w:style>
  <w:style w:type="paragraph" w:customStyle="1" w:styleId="56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4">
    <w:name w:val="_Style 94"/>
    <w:basedOn w:val="1"/>
    <w:next w:val="104"/>
    <w:qFormat/>
    <w:uiPriority w:val="34"/>
    <w:pPr>
      <w:adjustRightInd/>
      <w:spacing w:line="360" w:lineRule="auto"/>
      <w:ind w:firstLine="200" w:firstLineChars="200"/>
    </w:pPr>
    <w:rPr>
      <w:rFonts w:ascii="Calibri" w:hAnsi="Calibri"/>
      <w:sz w:val="28"/>
      <w:szCs w:val="20"/>
    </w:rPr>
  </w:style>
  <w:style w:type="paragraph" w:customStyle="1" w:styleId="56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8">
    <w:name w:val="3级标题"/>
    <w:basedOn w:val="359"/>
    <w:qFormat/>
    <w:uiPriority w:val="0"/>
    <w:pPr>
      <w:outlineLvl w:val="2"/>
    </w:pPr>
  </w:style>
  <w:style w:type="paragraph" w:customStyle="1" w:styleId="56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0">
    <w:name w:val="Char1 Char Char Char3"/>
    <w:basedOn w:val="1"/>
    <w:qFormat/>
    <w:uiPriority w:val="0"/>
    <w:pPr>
      <w:adjustRightInd/>
      <w:ind w:firstLine="200" w:firstLineChars="200"/>
    </w:pPr>
    <w:rPr>
      <w:rFonts w:ascii="Tahoma" w:hAnsi="Tahoma"/>
      <w:sz w:val="24"/>
      <w:szCs w:val="20"/>
    </w:rPr>
  </w:style>
  <w:style w:type="paragraph" w:customStyle="1" w:styleId="57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2">
    <w:name w:val="MM Empty"/>
    <w:basedOn w:val="1"/>
    <w:qFormat/>
    <w:uiPriority w:val="0"/>
    <w:pPr>
      <w:adjustRightInd/>
    </w:pPr>
  </w:style>
  <w:style w:type="paragraph" w:customStyle="1" w:styleId="573">
    <w:name w:val="Char24"/>
    <w:basedOn w:val="1"/>
    <w:qFormat/>
    <w:uiPriority w:val="0"/>
    <w:rPr>
      <w:rFonts w:ascii="仿宋_GB2312" w:eastAsia="仿宋_GB2312"/>
      <w:b/>
      <w:sz w:val="32"/>
      <w:szCs w:val="32"/>
    </w:rPr>
  </w:style>
  <w:style w:type="paragraph" w:customStyle="1" w:styleId="574">
    <w:name w:val="正文箭头"/>
    <w:basedOn w:val="225"/>
    <w:qFormat/>
    <w:uiPriority w:val="0"/>
  </w:style>
  <w:style w:type="paragraph" w:customStyle="1" w:styleId="575">
    <w:name w:val="U_编号2"/>
    <w:basedOn w:val="1"/>
    <w:qFormat/>
    <w:uiPriority w:val="0"/>
    <w:pPr>
      <w:tabs>
        <w:tab w:val="left" w:pos="785"/>
      </w:tabs>
      <w:adjustRightInd/>
      <w:spacing w:beforeLines="10" w:afterLines="10" w:line="300" w:lineRule="auto"/>
    </w:pPr>
    <w:rPr>
      <w:sz w:val="24"/>
    </w:rPr>
  </w:style>
  <w:style w:type="paragraph" w:customStyle="1" w:styleId="57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8">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80">
    <w:name w:val="_Style 1"/>
    <w:basedOn w:val="1"/>
    <w:qFormat/>
    <w:uiPriority w:val="34"/>
    <w:pPr>
      <w:adjustRightInd/>
      <w:ind w:firstLine="420" w:firstLineChars="200"/>
    </w:pPr>
    <w:rPr>
      <w:rFonts w:eastAsia="仿宋_GB2312"/>
      <w:sz w:val="28"/>
    </w:rPr>
  </w:style>
  <w:style w:type="paragraph" w:customStyle="1" w:styleId="581">
    <w:name w:val="表格 内容"/>
    <w:basedOn w:val="418"/>
    <w:qFormat/>
    <w:uiPriority w:val="0"/>
    <w:rPr>
      <w:b w:val="0"/>
      <w:sz w:val="20"/>
    </w:rPr>
  </w:style>
  <w:style w:type="paragraph" w:customStyle="1" w:styleId="582">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4">
    <w:name w:val="数字标题5"/>
    <w:basedOn w:val="7"/>
    <w:next w:val="1"/>
    <w:qFormat/>
    <w:uiPriority w:val="0"/>
    <w:pPr>
      <w:tabs>
        <w:tab w:val="left" w:pos="1080"/>
        <w:tab w:val="clear" w:pos="1008"/>
      </w:tabs>
      <w:ind w:left="1080" w:hanging="1080"/>
    </w:pPr>
  </w:style>
  <w:style w:type="paragraph" w:customStyle="1" w:styleId="585">
    <w:name w:val="数字标题1"/>
    <w:basedOn w:val="2"/>
    <w:next w:val="1"/>
    <w:qFormat/>
    <w:uiPriority w:val="0"/>
    <w:pPr>
      <w:tabs>
        <w:tab w:val="left" w:pos="480"/>
        <w:tab w:val="clear" w:pos="432"/>
      </w:tabs>
      <w:ind w:left="480" w:hanging="480"/>
    </w:pPr>
  </w:style>
  <w:style w:type="paragraph" w:customStyle="1" w:styleId="58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9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9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2">
    <w:name w:val="0"/>
    <w:basedOn w:val="1"/>
    <w:qFormat/>
    <w:uiPriority w:val="0"/>
    <w:pPr>
      <w:widowControl/>
    </w:pPr>
    <w:rPr>
      <w:kern w:val="0"/>
      <w:sz w:val="24"/>
      <w:szCs w:val="20"/>
    </w:rPr>
  </w:style>
  <w:style w:type="paragraph" w:customStyle="1" w:styleId="593">
    <w:name w:val="Char Char113"/>
    <w:basedOn w:val="1"/>
    <w:qFormat/>
    <w:uiPriority w:val="0"/>
    <w:pPr>
      <w:widowControl/>
      <w:spacing w:after="160" w:line="240" w:lineRule="exact"/>
      <w:jc w:val="left"/>
    </w:pPr>
    <w:rPr>
      <w:rFonts w:eastAsia="仿宋_GB2312"/>
      <w:sz w:val="28"/>
    </w:rPr>
  </w:style>
  <w:style w:type="paragraph" w:customStyle="1" w:styleId="59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5">
    <w:name w:val="_Style 8"/>
    <w:basedOn w:val="1"/>
    <w:qFormat/>
    <w:uiPriority w:val="34"/>
    <w:pPr>
      <w:adjustRightInd/>
      <w:ind w:firstLine="420" w:firstLineChars="200"/>
    </w:pPr>
    <w:rPr>
      <w:rFonts w:eastAsia="仿宋_GB2312"/>
      <w:sz w:val="28"/>
    </w:rPr>
  </w:style>
  <w:style w:type="paragraph" w:customStyle="1" w:styleId="59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60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1">
    <w:name w:val="Char Char112"/>
    <w:basedOn w:val="1"/>
    <w:qFormat/>
    <w:uiPriority w:val="6"/>
    <w:pPr>
      <w:widowControl/>
      <w:spacing w:after="160" w:line="240" w:lineRule="exact"/>
      <w:jc w:val="left"/>
    </w:pPr>
    <w:rPr>
      <w:rFonts w:eastAsia="仿宋_GB2312"/>
      <w:sz w:val="28"/>
    </w:rPr>
  </w:style>
  <w:style w:type="paragraph" w:customStyle="1" w:styleId="602">
    <w:name w:val="正文 图"/>
    <w:basedOn w:val="130"/>
    <w:qFormat/>
    <w:uiPriority w:val="0"/>
    <w:pPr>
      <w:adjustRightInd/>
      <w:spacing w:before="0"/>
      <w:ind w:firstLine="0"/>
      <w:jc w:val="center"/>
    </w:pPr>
    <w:rPr>
      <w:rFonts w:ascii="微软雅黑" w:hAnsi="微软雅黑"/>
    </w:rPr>
  </w:style>
  <w:style w:type="paragraph" w:customStyle="1" w:styleId="60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5">
    <w:name w:val="Thf"/>
    <w:basedOn w:val="249"/>
    <w:qFormat/>
    <w:uiPriority w:val="0"/>
    <w:pPr>
      <w:ind w:left="0"/>
    </w:pPr>
  </w:style>
  <w:style w:type="paragraph" w:customStyle="1" w:styleId="60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8">
    <w:name w:val="注释"/>
    <w:basedOn w:val="1"/>
    <w:qFormat/>
    <w:uiPriority w:val="0"/>
    <w:pPr>
      <w:adjustRightInd/>
      <w:spacing w:line="360" w:lineRule="auto"/>
      <w:ind w:firstLine="480"/>
    </w:pPr>
    <w:rPr>
      <w:sz w:val="24"/>
    </w:rPr>
  </w:style>
  <w:style w:type="paragraph" w:customStyle="1" w:styleId="609">
    <w:name w:val="列出段落111"/>
    <w:basedOn w:val="1"/>
    <w:qFormat/>
    <w:uiPriority w:val="34"/>
    <w:pPr>
      <w:ind w:firstLine="420" w:firstLineChars="200"/>
    </w:pPr>
  </w:style>
  <w:style w:type="paragraph" w:customStyle="1" w:styleId="610">
    <w:name w:val="标准文本"/>
    <w:basedOn w:val="1"/>
    <w:link w:val="946"/>
    <w:qFormat/>
    <w:uiPriority w:val="0"/>
    <w:pPr>
      <w:adjustRightInd/>
      <w:spacing w:line="360" w:lineRule="auto"/>
      <w:ind w:firstLine="480" w:firstLineChars="200"/>
    </w:pPr>
    <w:rPr>
      <w:rFonts w:cs="宋体"/>
      <w:sz w:val="24"/>
      <w:szCs w:val="20"/>
    </w:rPr>
  </w:style>
  <w:style w:type="paragraph" w:customStyle="1" w:styleId="611">
    <w:name w:val="_Style 947"/>
    <w:basedOn w:val="1"/>
    <w:next w:val="104"/>
    <w:qFormat/>
    <w:uiPriority w:val="34"/>
    <w:pPr>
      <w:adjustRightInd/>
      <w:ind w:firstLine="420" w:firstLineChars="200"/>
    </w:pPr>
  </w:style>
  <w:style w:type="paragraph" w:customStyle="1" w:styleId="61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3">
    <w:name w:val="纯文本2"/>
    <w:basedOn w:val="1"/>
    <w:qFormat/>
    <w:uiPriority w:val="0"/>
    <w:pPr>
      <w:adjustRightInd/>
      <w:snapToGrid w:val="0"/>
      <w:jc w:val="left"/>
    </w:pPr>
    <w:rPr>
      <w:rFonts w:ascii="Century Gothic" w:hAnsi="楷体_GB2312" w:eastAsia="Century Gothic"/>
      <w:szCs w:val="20"/>
    </w:rPr>
  </w:style>
  <w:style w:type="paragraph" w:customStyle="1" w:styleId="61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6">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7">
    <w:name w:val="Blockquote"/>
    <w:basedOn w:val="1"/>
    <w:qFormat/>
    <w:uiPriority w:val="0"/>
    <w:pPr>
      <w:autoSpaceDE w:val="0"/>
      <w:autoSpaceDN w:val="0"/>
      <w:spacing w:before="100" w:after="100"/>
      <w:ind w:left="360" w:right="360"/>
      <w:jc w:val="left"/>
    </w:pPr>
    <w:rPr>
      <w:kern w:val="0"/>
      <w:sz w:val="24"/>
      <w:szCs w:val="20"/>
    </w:rPr>
  </w:style>
  <w:style w:type="paragraph" w:customStyle="1" w:styleId="618">
    <w:name w:val="p1"/>
    <w:basedOn w:val="1"/>
    <w:qFormat/>
    <w:uiPriority w:val="0"/>
    <w:pPr>
      <w:widowControl/>
      <w:adjustRightInd/>
      <w:jc w:val="left"/>
    </w:pPr>
    <w:rPr>
      <w:rFonts w:ascii=".PingFang SC" w:eastAsia=".PingFang SC"/>
      <w:color w:val="454545"/>
      <w:kern w:val="0"/>
      <w:sz w:val="18"/>
      <w:szCs w:val="18"/>
    </w:rPr>
  </w:style>
  <w:style w:type="paragraph" w:customStyle="1" w:styleId="619">
    <w:name w:val="Table Paragraph"/>
    <w:basedOn w:val="1"/>
    <w:qFormat/>
    <w:uiPriority w:val="0"/>
    <w:pPr>
      <w:adjustRightInd/>
      <w:jc w:val="left"/>
    </w:pPr>
    <w:rPr>
      <w:rFonts w:ascii="Calibri" w:hAnsi="Calibri"/>
      <w:kern w:val="0"/>
      <w:sz w:val="22"/>
      <w:szCs w:val="22"/>
      <w:lang w:eastAsia="en-US"/>
    </w:rPr>
  </w:style>
  <w:style w:type="paragraph" w:customStyle="1" w:styleId="62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4">
    <w:name w:val="纯文本3"/>
    <w:basedOn w:val="1"/>
    <w:qFormat/>
    <w:uiPriority w:val="0"/>
    <w:pPr>
      <w:spacing w:before="156" w:beforeLines="50" w:after="156" w:afterLines="50" w:line="400" w:lineRule="exact"/>
    </w:pPr>
    <w:rPr>
      <w:rFonts w:ascii="宋体" w:hAnsi="Courier New"/>
      <w:sz w:val="24"/>
    </w:rPr>
  </w:style>
  <w:style w:type="paragraph" w:customStyle="1" w:styleId="625">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626">
    <w:name w:val="表格非标题文字 Char"/>
    <w:link w:val="84"/>
    <w:qFormat/>
    <w:uiPriority w:val="0"/>
    <w:rPr>
      <w:rFonts w:ascii="Futura Bk" w:hAnsi="Futura Bk"/>
      <w:kern w:val="2"/>
      <w:sz w:val="18"/>
      <w:szCs w:val="21"/>
      <w:lang w:val="en-US" w:eastAsia="zh-CN" w:bidi="ar-SA"/>
    </w:rPr>
  </w:style>
  <w:style w:type="character" w:customStyle="1" w:styleId="627">
    <w:name w:val="*正文 Char"/>
    <w:link w:val="85"/>
    <w:qFormat/>
    <w:locked/>
    <w:uiPriority w:val="0"/>
    <w:rPr>
      <w:rFonts w:ascii="宋体" w:hAnsi="宋体"/>
      <w:sz w:val="24"/>
    </w:rPr>
  </w:style>
  <w:style w:type="character" w:customStyle="1" w:styleId="628">
    <w:name w:val="Char Char71"/>
    <w:semiHidden/>
    <w:qFormat/>
    <w:uiPriority w:val="0"/>
    <w:rPr>
      <w:rFonts w:eastAsia="宋体"/>
      <w:kern w:val="2"/>
      <w:sz w:val="21"/>
      <w:szCs w:val="24"/>
      <w:lang w:val="en-US" w:eastAsia="zh-CN" w:bidi="ar-SA"/>
    </w:rPr>
  </w:style>
  <w:style w:type="character" w:customStyle="1" w:styleId="629">
    <w:name w:val="Char Char6"/>
    <w:qFormat/>
    <w:uiPriority w:val="0"/>
    <w:rPr>
      <w:rFonts w:eastAsia="宋体"/>
      <w:kern w:val="2"/>
      <w:sz w:val="21"/>
      <w:szCs w:val="24"/>
      <w:lang w:val="en-US" w:eastAsia="zh-CN" w:bidi="ar-SA"/>
    </w:rPr>
  </w:style>
  <w:style w:type="character" w:customStyle="1" w:styleId="630">
    <w:name w:val="正文缩进 Char"/>
    <w:qFormat/>
    <w:uiPriority w:val="0"/>
    <w:rPr>
      <w:rFonts w:eastAsia="宋体"/>
      <w:kern w:val="2"/>
      <w:sz w:val="21"/>
      <w:lang w:val="en-US" w:eastAsia="zh-CN"/>
    </w:rPr>
  </w:style>
  <w:style w:type="character" w:customStyle="1" w:styleId="631">
    <w:name w:val="正文首行缩进 Char1"/>
    <w:qFormat/>
    <w:uiPriority w:val="0"/>
    <w:rPr>
      <w:rFonts w:ascii="宋体" w:hAnsi="Times New Roman" w:eastAsia="宋体" w:cs="Times New Roman"/>
      <w:snapToGrid w:val="0"/>
      <w:kern w:val="2"/>
      <w:sz w:val="24"/>
      <w:szCs w:val="21"/>
      <w:lang w:val="zh-CN"/>
    </w:rPr>
  </w:style>
  <w:style w:type="character" w:customStyle="1" w:styleId="632">
    <w:name w:val="Char Char28"/>
    <w:qFormat/>
    <w:uiPriority w:val="6"/>
    <w:rPr>
      <w:rFonts w:ascii="仿宋_GB2312" w:hAnsi="仿宋_GB2312" w:eastAsia="仿宋_GB2312"/>
      <w:kern w:val="1"/>
      <w:sz w:val="28"/>
    </w:rPr>
  </w:style>
  <w:style w:type="character" w:customStyle="1" w:styleId="63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4">
    <w:name w:val="Heading 1 Char"/>
    <w:qFormat/>
    <w:uiPriority w:val="6"/>
    <w:rPr>
      <w:rFonts w:ascii="Times New Roman" w:hAnsi="Times New Roman" w:eastAsia="黑体" w:cs="Times New Roman"/>
      <w:b/>
      <w:kern w:val="0"/>
      <w:sz w:val="24"/>
      <w:szCs w:val="24"/>
    </w:rPr>
  </w:style>
  <w:style w:type="character" w:customStyle="1" w:styleId="635">
    <w:name w:val="U_正文 Char"/>
    <w:link w:val="86"/>
    <w:qFormat/>
    <w:uiPriority w:val="0"/>
    <w:rPr>
      <w:sz w:val="24"/>
      <w:szCs w:val="24"/>
    </w:rPr>
  </w:style>
  <w:style w:type="character" w:customStyle="1" w:styleId="636">
    <w:name w:val="HTML 地址 Char1"/>
    <w:qFormat/>
    <w:uiPriority w:val="0"/>
    <w:rPr>
      <w:rFonts w:ascii="Times New Roman" w:hAnsi="Times New Roman" w:eastAsia="宋体" w:cs="Times New Roman"/>
      <w:i/>
      <w:iCs/>
      <w:szCs w:val="24"/>
    </w:rPr>
  </w:style>
  <w:style w:type="character" w:customStyle="1" w:styleId="637">
    <w:name w:val="批注主题 字符"/>
    <w:link w:val="59"/>
    <w:qFormat/>
    <w:uiPriority w:val="0"/>
    <w:rPr>
      <w:b/>
      <w:bCs/>
      <w:kern w:val="2"/>
      <w:sz w:val="21"/>
      <w:szCs w:val="24"/>
    </w:rPr>
  </w:style>
  <w:style w:type="character" w:customStyle="1" w:styleId="638">
    <w:name w:val="Char Char51"/>
    <w:qFormat/>
    <w:uiPriority w:val="0"/>
    <w:rPr>
      <w:rFonts w:ascii="宋体" w:hAnsi="Courier New" w:eastAsia="宋体"/>
      <w:kern w:val="2"/>
      <w:sz w:val="21"/>
      <w:lang w:val="en-US" w:eastAsia="zh-CN"/>
    </w:rPr>
  </w:style>
  <w:style w:type="character" w:customStyle="1" w:styleId="639">
    <w:name w:val="表正文 Char"/>
    <w:qFormat/>
    <w:uiPriority w:val="0"/>
    <w:rPr>
      <w:rFonts w:ascii="宋体" w:eastAsia="宋体"/>
      <w:snapToGrid w:val="0"/>
      <w:color w:val="000000"/>
      <w:kern w:val="28"/>
      <w:sz w:val="28"/>
      <w:lang w:val="en-US" w:eastAsia="zh-CN" w:bidi="ar-SA"/>
    </w:rPr>
  </w:style>
  <w:style w:type="character" w:customStyle="1" w:styleId="640">
    <w:name w:val="Char Char34"/>
    <w:qFormat/>
    <w:uiPriority w:val="6"/>
    <w:rPr>
      <w:b/>
      <w:kern w:val="1"/>
      <w:sz w:val="28"/>
      <w:szCs w:val="28"/>
    </w:rPr>
  </w:style>
  <w:style w:type="character" w:customStyle="1" w:styleId="64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2">
    <w:name w:val="哈哈正文 Char"/>
    <w:link w:val="87"/>
    <w:qFormat/>
    <w:uiPriority w:val="0"/>
    <w:rPr>
      <w:rFonts w:ascii="宋体" w:hAnsi="宋体" w:eastAsia="宋体"/>
      <w:kern w:val="2"/>
      <w:sz w:val="24"/>
      <w:lang w:bidi="ar-SA"/>
    </w:rPr>
  </w:style>
  <w:style w:type="character" w:customStyle="1" w:styleId="643">
    <w:name w:val="未处理的提及1"/>
    <w:qFormat/>
    <w:uiPriority w:val="0"/>
    <w:rPr>
      <w:color w:val="808080"/>
      <w:shd w:val="clear" w:color="auto" w:fill="E6E6E6"/>
    </w:rPr>
  </w:style>
  <w:style w:type="character" w:customStyle="1" w:styleId="644">
    <w:name w:val="txt"/>
    <w:qFormat/>
    <w:uiPriority w:val="0"/>
    <w:rPr>
      <w:rFonts w:ascii="仿宋_GB2312" w:eastAsia="微软雅黑"/>
      <w:b/>
      <w:kern w:val="2"/>
      <w:sz w:val="32"/>
      <w:szCs w:val="32"/>
      <w:lang w:val="en-US" w:eastAsia="zh-CN" w:bidi="ar-SA"/>
    </w:rPr>
  </w:style>
  <w:style w:type="character" w:customStyle="1" w:styleId="645">
    <w:name w:val="二级标题 Char Char"/>
    <w:qFormat/>
    <w:uiPriority w:val="0"/>
    <w:rPr>
      <w:rFonts w:ascii="宋体" w:hAnsi="宋体" w:eastAsia="宋体"/>
      <w:b/>
      <w:snapToGrid w:val="0"/>
      <w:kern w:val="2"/>
      <w:sz w:val="24"/>
      <w:szCs w:val="24"/>
      <w:lang w:val="en-US" w:eastAsia="zh-CN" w:bidi="ar-SA"/>
    </w:rPr>
  </w:style>
  <w:style w:type="character" w:customStyle="1" w:styleId="646">
    <w:name w:val="Char Char32"/>
    <w:qFormat/>
    <w:uiPriority w:val="6"/>
    <w:rPr>
      <w:b/>
      <w:kern w:val="1"/>
      <w:sz w:val="24"/>
      <w:szCs w:val="24"/>
    </w:rPr>
  </w:style>
  <w:style w:type="character" w:customStyle="1" w:styleId="647">
    <w:name w:val="PI Char1"/>
    <w:qFormat/>
    <w:uiPriority w:val="0"/>
    <w:rPr>
      <w:rFonts w:ascii="宋体" w:hAnsi="宋体"/>
      <w:kern w:val="2"/>
      <w:sz w:val="24"/>
      <w:szCs w:val="24"/>
    </w:rPr>
  </w:style>
  <w:style w:type="character" w:customStyle="1" w:styleId="648">
    <w:name w:val="tw4winTerm"/>
    <w:qFormat/>
    <w:uiPriority w:val="0"/>
    <w:rPr>
      <w:color w:val="0000FF"/>
    </w:rPr>
  </w:style>
  <w:style w:type="character" w:customStyle="1" w:styleId="649">
    <w:name w:val="Footer Char"/>
    <w:qFormat/>
    <w:locked/>
    <w:uiPriority w:val="0"/>
    <w:rPr>
      <w:rFonts w:eastAsia="宋体"/>
      <w:kern w:val="2"/>
      <w:sz w:val="18"/>
      <w:lang w:val="en-US" w:eastAsia="zh-CN" w:bidi="ar-SA"/>
    </w:rPr>
  </w:style>
  <w:style w:type="character" w:customStyle="1" w:styleId="650">
    <w:name w:val="普通文字 Char Char1"/>
    <w:qFormat/>
    <w:uiPriority w:val="0"/>
    <w:rPr>
      <w:rFonts w:ascii="宋体" w:hAnsi="Courier New"/>
      <w:kern w:val="2"/>
      <w:sz w:val="21"/>
    </w:rPr>
  </w:style>
  <w:style w:type="character" w:customStyle="1" w:styleId="651">
    <w:name w:val="Char Char101"/>
    <w:qFormat/>
    <w:uiPriority w:val="6"/>
    <w:rPr>
      <w:rFonts w:ascii="宋体" w:hAnsi="宋体"/>
      <w:kern w:val="2"/>
      <w:sz w:val="21"/>
      <w:szCs w:val="24"/>
      <w:lang w:val="en-US" w:eastAsia="zh-CN"/>
    </w:rPr>
  </w:style>
  <w:style w:type="character" w:customStyle="1" w:styleId="652">
    <w:name w:val="标题 4 Char"/>
    <w:qFormat/>
    <w:uiPriority w:val="0"/>
    <w:rPr>
      <w:rFonts w:ascii="Arial" w:hAnsi="Arial" w:eastAsia="黑体"/>
      <w:b/>
      <w:kern w:val="2"/>
      <w:sz w:val="28"/>
    </w:rPr>
  </w:style>
  <w:style w:type="character" w:customStyle="1" w:styleId="653">
    <w:name w:val="链接"/>
    <w:qFormat/>
    <w:uiPriority w:val="0"/>
    <w:rPr>
      <w:color w:val="0000FF"/>
      <w:sz w:val="21"/>
      <w:szCs w:val="21"/>
      <w:u w:val="single"/>
    </w:rPr>
  </w:style>
  <w:style w:type="character" w:customStyle="1" w:styleId="654">
    <w:name w:val="h4 Char"/>
    <w:qFormat/>
    <w:uiPriority w:val="0"/>
    <w:rPr>
      <w:rFonts w:ascii="Arial" w:hAnsi="Arial" w:eastAsia="黑体"/>
      <w:b/>
      <w:bCs/>
      <w:kern w:val="2"/>
      <w:sz w:val="28"/>
      <w:szCs w:val="28"/>
      <w:lang w:val="zh-CN" w:eastAsia="zh-CN" w:bidi="ar-SA"/>
    </w:rPr>
  </w:style>
  <w:style w:type="character" w:customStyle="1" w:styleId="655">
    <w:name w:val="5正文 Char"/>
    <w:link w:val="88"/>
    <w:qFormat/>
    <w:uiPriority w:val="0"/>
    <w:rPr>
      <w:rFonts w:ascii="仿宋_GB2312" w:hAnsi="微软雅黑" w:eastAsia="仿宋_GB2312"/>
      <w:sz w:val="28"/>
      <w:szCs w:val="21"/>
    </w:rPr>
  </w:style>
  <w:style w:type="character" w:customStyle="1" w:styleId="656">
    <w:name w:val="标题 3 字符"/>
    <w:qFormat/>
    <w:uiPriority w:val="9"/>
    <w:rPr>
      <w:b/>
      <w:bCs/>
      <w:kern w:val="2"/>
      <w:sz w:val="32"/>
      <w:szCs w:val="32"/>
    </w:rPr>
  </w:style>
  <w:style w:type="character" w:customStyle="1" w:styleId="657">
    <w:name w:val="样式6 Char"/>
    <w:qFormat/>
    <w:uiPriority w:val="0"/>
    <w:rPr>
      <w:rFonts w:ascii="仿宋_GB2312" w:hAnsi="宋体" w:eastAsia="仿宋_GB2312"/>
      <w:b/>
      <w:bCs/>
      <w:kern w:val="2"/>
      <w:sz w:val="24"/>
      <w:szCs w:val="24"/>
      <w:lang w:val="en-US" w:eastAsia="zh-CN" w:bidi="ar-SA"/>
    </w:rPr>
  </w:style>
  <w:style w:type="character" w:customStyle="1" w:styleId="658">
    <w:name w:val="Char Char14"/>
    <w:qFormat/>
    <w:uiPriority w:val="6"/>
    <w:rPr>
      <w:rFonts w:ascii="黑体" w:hAnsi="黑体" w:eastAsia="黑体"/>
    </w:rPr>
  </w:style>
  <w:style w:type="character" w:customStyle="1" w:styleId="659">
    <w:name w:val="Heading 2 Hidden Char"/>
    <w:qFormat/>
    <w:uiPriority w:val="0"/>
    <w:rPr>
      <w:rFonts w:ascii="仿宋_GB2312" w:eastAsia="仿宋_GB2312"/>
      <w:b/>
      <w:bCs/>
      <w:kern w:val="2"/>
      <w:sz w:val="24"/>
      <w:szCs w:val="24"/>
      <w:lang w:val="zh-CN" w:eastAsia="zh-CN" w:bidi="ar-SA"/>
    </w:rPr>
  </w:style>
  <w:style w:type="character" w:customStyle="1" w:styleId="660">
    <w:name w:val="正文文本首行缩进 2 字符"/>
    <w:link w:val="61"/>
    <w:qFormat/>
    <w:uiPriority w:val="0"/>
    <w:rPr>
      <w:rFonts w:ascii="宋体" w:hAnsi="宋体"/>
      <w:kern w:val="2"/>
      <w:sz w:val="21"/>
      <w:szCs w:val="24"/>
    </w:rPr>
  </w:style>
  <w:style w:type="character" w:customStyle="1" w:styleId="661">
    <w:name w:val="font11"/>
    <w:qFormat/>
    <w:uiPriority w:val="0"/>
    <w:rPr>
      <w:rFonts w:hint="default" w:ascii="Times New Roman" w:hAnsi="Times New Roman" w:cs="Times New Roman"/>
      <w:color w:val="000000"/>
      <w:sz w:val="22"/>
      <w:szCs w:val="22"/>
      <w:u w:val="none"/>
    </w:rPr>
  </w:style>
  <w:style w:type="character" w:customStyle="1" w:styleId="662">
    <w:name w:val="表正文 Char1"/>
    <w:qFormat/>
    <w:uiPriority w:val="0"/>
    <w:rPr>
      <w:rFonts w:ascii="宋体" w:eastAsia="宋体"/>
      <w:snapToGrid w:val="0"/>
      <w:color w:val="000000"/>
      <w:kern w:val="28"/>
      <w:sz w:val="28"/>
    </w:rPr>
  </w:style>
  <w:style w:type="character" w:customStyle="1" w:styleId="663">
    <w:name w:val="blue1"/>
    <w:basedOn w:val="69"/>
    <w:qFormat/>
    <w:uiPriority w:val="0"/>
    <w:rPr>
      <w:rFonts w:ascii="Arial" w:hAnsi="Arial" w:eastAsia="黑体" w:cs="Arial"/>
      <w:snapToGrid w:val="0"/>
      <w:kern w:val="0"/>
      <w:szCs w:val="21"/>
    </w:rPr>
  </w:style>
  <w:style w:type="character" w:customStyle="1" w:styleId="664">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665">
    <w:name w:val="标书1 Char"/>
    <w:qFormat/>
    <w:uiPriority w:val="0"/>
    <w:rPr>
      <w:rFonts w:eastAsia="宋体"/>
      <w:b/>
      <w:bCs/>
      <w:kern w:val="44"/>
      <w:sz w:val="44"/>
      <w:szCs w:val="44"/>
      <w:lang w:val="en-US" w:eastAsia="zh-CN" w:bidi="ar-SA"/>
    </w:rPr>
  </w:style>
  <w:style w:type="character" w:customStyle="1" w:styleId="666">
    <w:name w:val="样式5 Char"/>
    <w:qFormat/>
    <w:uiPriority w:val="0"/>
    <w:rPr>
      <w:rFonts w:ascii="仿宋_GB2312" w:hAnsi="仿宋" w:eastAsia="仿宋_GB2312"/>
      <w:kern w:val="2"/>
      <w:sz w:val="24"/>
      <w:szCs w:val="24"/>
    </w:rPr>
  </w:style>
  <w:style w:type="character" w:customStyle="1" w:styleId="667">
    <w:name w:val="样式4 Char"/>
    <w:qFormat/>
    <w:uiPriority w:val="0"/>
    <w:rPr>
      <w:rFonts w:ascii="仿宋_GB2312" w:hAnsi="仿宋" w:eastAsia="仿宋_GB2312"/>
      <w:b/>
      <w:kern w:val="2"/>
      <w:sz w:val="32"/>
      <w:szCs w:val="32"/>
      <w:lang w:bidi="ar-SA"/>
    </w:rPr>
  </w:style>
  <w:style w:type="character" w:customStyle="1" w:styleId="668">
    <w:name w:val="插图说明 Char"/>
    <w:qFormat/>
    <w:uiPriority w:val="0"/>
    <w:rPr>
      <w:rFonts w:eastAsia="黑体"/>
      <w:sz w:val="24"/>
      <w:lang w:val="en-US" w:eastAsia="zh-CN"/>
    </w:rPr>
  </w:style>
  <w:style w:type="character" w:customStyle="1" w:styleId="669">
    <w:name w:val="正文2 Char Char"/>
    <w:link w:val="89"/>
    <w:qFormat/>
    <w:uiPriority w:val="0"/>
    <w:rPr>
      <w:rFonts w:eastAsia="宋体"/>
      <w:kern w:val="2"/>
      <w:sz w:val="24"/>
      <w:lang w:val="en-US" w:eastAsia="zh-CN" w:bidi="ar-SA"/>
    </w:rPr>
  </w:style>
  <w:style w:type="character" w:customStyle="1" w:styleId="670">
    <w:name w:val="Char Char24"/>
    <w:qFormat/>
    <w:uiPriority w:val="6"/>
    <w:rPr>
      <w:kern w:val="1"/>
      <w:sz w:val="21"/>
    </w:rPr>
  </w:style>
  <w:style w:type="character" w:customStyle="1" w:styleId="671">
    <w:name w:val="副标题 字符"/>
    <w:link w:val="46"/>
    <w:qFormat/>
    <w:uiPriority w:val="0"/>
    <w:rPr>
      <w:rFonts w:ascii="Arial" w:hAnsi="Arial" w:eastAsia="隶书"/>
      <w:b/>
      <w:bCs/>
      <w:kern w:val="28"/>
      <w:sz w:val="44"/>
      <w:szCs w:val="32"/>
      <w:lang w:val="en-US" w:eastAsia="zh-CN" w:bidi="ar-SA"/>
    </w:rPr>
  </w:style>
  <w:style w:type="character" w:customStyle="1" w:styleId="672">
    <w:name w:val="普通文字 Char1 Char"/>
    <w:qFormat/>
    <w:uiPriority w:val="0"/>
    <w:rPr>
      <w:rFonts w:ascii="宋体" w:hAnsi="Courier New" w:eastAsia="宋体"/>
      <w:kern w:val="2"/>
      <w:sz w:val="21"/>
      <w:szCs w:val="24"/>
      <w:lang w:val="en-US" w:eastAsia="zh-CN" w:bidi="ar-SA"/>
    </w:rPr>
  </w:style>
  <w:style w:type="character" w:customStyle="1" w:styleId="673">
    <w:name w:val="h3 Char1"/>
    <w:qFormat/>
    <w:uiPriority w:val="0"/>
    <w:rPr>
      <w:rFonts w:eastAsia="宋体"/>
      <w:b/>
      <w:bCs/>
      <w:kern w:val="2"/>
      <w:sz w:val="32"/>
      <w:szCs w:val="32"/>
      <w:lang w:bidi="ar-SA"/>
    </w:rPr>
  </w:style>
  <w:style w:type="character" w:customStyle="1" w:styleId="674">
    <w:name w:val="标题 Char1"/>
    <w:qFormat/>
    <w:uiPriority w:val="0"/>
    <w:rPr>
      <w:rFonts w:ascii="Cambria" w:hAnsi="Cambria" w:eastAsia="宋体" w:cs="Times New Roman"/>
      <w:b/>
      <w:bCs/>
      <w:sz w:val="32"/>
      <w:szCs w:val="32"/>
      <w:lang w:bidi="ar-SA"/>
    </w:rPr>
  </w:style>
  <w:style w:type="character" w:customStyle="1" w:styleId="675">
    <w:name w:val="gf正文1 Char"/>
    <w:qFormat/>
    <w:uiPriority w:val="0"/>
    <w:rPr>
      <w:rFonts w:ascii="宋体" w:hAnsi="宋体" w:eastAsia="宋体" w:cs="宋体"/>
      <w:kern w:val="2"/>
      <w:sz w:val="24"/>
      <w:szCs w:val="24"/>
      <w:lang w:val="en-US" w:eastAsia="zh-CN" w:bidi="ar-SA"/>
    </w:rPr>
  </w:style>
  <w:style w:type="character" w:customStyle="1" w:styleId="676">
    <w:name w:val="正文文本缩进 Char1"/>
    <w:qFormat/>
    <w:uiPriority w:val="0"/>
    <w:rPr>
      <w:rFonts w:ascii="Calibri" w:hAnsi="Calibri"/>
      <w:sz w:val="28"/>
    </w:rPr>
  </w:style>
  <w:style w:type="character" w:customStyle="1" w:styleId="677">
    <w:name w:val="No Spacing Char"/>
    <w:link w:val="90"/>
    <w:qFormat/>
    <w:uiPriority w:val="1"/>
    <w:rPr>
      <w:sz w:val="22"/>
      <w:szCs w:val="22"/>
      <w:lang w:val="en-US" w:eastAsia="zh-CN" w:bidi="ar-SA"/>
    </w:rPr>
  </w:style>
  <w:style w:type="character" w:customStyle="1" w:styleId="678">
    <w:name w:val="样式7 Char"/>
    <w:qFormat/>
    <w:uiPriority w:val="0"/>
    <w:rPr>
      <w:rFonts w:ascii="仿宋_GB2312" w:hAnsi="仿宋" w:eastAsia="仿宋_GB2312"/>
      <w:b/>
      <w:kern w:val="2"/>
      <w:sz w:val="24"/>
      <w:szCs w:val="24"/>
    </w:rPr>
  </w:style>
  <w:style w:type="character" w:customStyle="1" w:styleId="679">
    <w:name w:val="font12gray1"/>
    <w:qFormat/>
    <w:uiPriority w:val="0"/>
    <w:rPr>
      <w:rFonts w:ascii="仿宋_GB2312" w:eastAsia="微软雅黑"/>
      <w:b/>
      <w:spacing w:val="300"/>
      <w:kern w:val="2"/>
      <w:sz w:val="18"/>
      <w:szCs w:val="18"/>
      <w:lang w:val="en-US" w:eastAsia="zh-CN" w:bidi="ar-SA"/>
    </w:rPr>
  </w:style>
  <w:style w:type="character" w:customStyle="1" w:styleId="680">
    <w:name w:val="Char Char7"/>
    <w:semiHidden/>
    <w:qFormat/>
    <w:uiPriority w:val="0"/>
    <w:rPr>
      <w:rFonts w:eastAsia="宋体"/>
      <w:kern w:val="2"/>
      <w:sz w:val="21"/>
      <w:szCs w:val="24"/>
      <w:lang w:val="en-US" w:eastAsia="zh-CN" w:bidi="ar-SA"/>
    </w:rPr>
  </w:style>
  <w:style w:type="character" w:customStyle="1" w:styleId="681">
    <w:name w:val="表名 Char"/>
    <w:qFormat/>
    <w:uiPriority w:val="0"/>
    <w:rPr>
      <w:rFonts w:eastAsia="宋体"/>
      <w:b/>
      <w:bCs/>
      <w:kern w:val="2"/>
      <w:sz w:val="24"/>
      <w:szCs w:val="24"/>
      <w:lang w:val="en-US" w:eastAsia="zh-CN" w:bidi="ar-SA"/>
    </w:rPr>
  </w:style>
  <w:style w:type="character" w:customStyle="1" w:styleId="682">
    <w:name w:val="Document Map Char"/>
    <w:qFormat/>
    <w:locked/>
    <w:uiPriority w:val="0"/>
    <w:rPr>
      <w:rFonts w:eastAsia="宋体"/>
      <w:kern w:val="2"/>
      <w:sz w:val="21"/>
      <w:szCs w:val="24"/>
      <w:lang w:val="en-US" w:eastAsia="zh-CN" w:bidi="ar-SA"/>
    </w:rPr>
  </w:style>
  <w:style w:type="character" w:customStyle="1" w:styleId="683">
    <w:name w:val="font41"/>
    <w:basedOn w:val="69"/>
    <w:qFormat/>
    <w:uiPriority w:val="0"/>
    <w:rPr>
      <w:rFonts w:hint="eastAsia" w:ascii="仿宋_GB2312" w:eastAsia="仿宋_GB2312" w:cs="仿宋_GB2312"/>
      <w:color w:val="000000"/>
      <w:sz w:val="22"/>
      <w:szCs w:val="22"/>
      <w:u w:val="none"/>
    </w:rPr>
  </w:style>
  <w:style w:type="character" w:customStyle="1" w:styleId="684">
    <w:name w:val="标题 6 字符"/>
    <w:link w:val="8"/>
    <w:qFormat/>
    <w:uiPriority w:val="0"/>
    <w:rPr>
      <w:rFonts w:ascii="Arial" w:hAnsi="Arial" w:eastAsia="黑体"/>
      <w:b/>
      <w:bCs/>
      <w:kern w:val="2"/>
      <w:sz w:val="24"/>
      <w:szCs w:val="24"/>
    </w:rPr>
  </w:style>
  <w:style w:type="character" w:customStyle="1" w:styleId="685">
    <w:name w:val="纯文本 Char_0"/>
    <w:link w:val="91"/>
    <w:qFormat/>
    <w:uiPriority w:val="0"/>
    <w:rPr>
      <w:rFonts w:ascii="宋体" w:hAnsi="Courier New"/>
      <w:kern w:val="2"/>
      <w:sz w:val="21"/>
      <w:szCs w:val="21"/>
      <w:lang w:val="en-US" w:eastAsia="zh-CN"/>
    </w:rPr>
  </w:style>
  <w:style w:type="character" w:customStyle="1" w:styleId="686">
    <w:name w:val="Balloon Text Char"/>
    <w:qFormat/>
    <w:locked/>
    <w:uiPriority w:val="0"/>
    <w:rPr>
      <w:rFonts w:eastAsia="宋体"/>
      <w:kern w:val="2"/>
      <w:sz w:val="18"/>
      <w:szCs w:val="18"/>
      <w:lang w:val="en-US" w:eastAsia="zh-CN" w:bidi="ar-SA"/>
    </w:rPr>
  </w:style>
  <w:style w:type="character" w:customStyle="1" w:styleId="687">
    <w:name w:val="正文 项目2 Char"/>
    <w:basedOn w:val="688"/>
    <w:qFormat/>
    <w:uiPriority w:val="0"/>
    <w:rPr>
      <w:rFonts w:ascii="仿宋_GB2312" w:hAnsi="仿宋_GB2312" w:eastAsia="仿宋_GB2312"/>
      <w:kern w:val="2"/>
      <w:sz w:val="24"/>
      <w:lang w:bidi="ar-SA"/>
    </w:rPr>
  </w:style>
  <w:style w:type="character" w:customStyle="1" w:styleId="688">
    <w:name w:val="正文 项目 Char"/>
    <w:qFormat/>
    <w:uiPriority w:val="0"/>
    <w:rPr>
      <w:rFonts w:ascii="仿宋_GB2312" w:hAnsi="仿宋_GB2312" w:eastAsia="仿宋_GB2312"/>
      <w:kern w:val="2"/>
      <w:sz w:val="24"/>
      <w:lang w:bidi="ar-SA"/>
    </w:rPr>
  </w:style>
  <w:style w:type="character" w:customStyle="1" w:styleId="689">
    <w:name w:val="h Char Char1"/>
    <w:qFormat/>
    <w:uiPriority w:val="0"/>
    <w:rPr>
      <w:rFonts w:eastAsia="宋体"/>
      <w:kern w:val="2"/>
      <w:sz w:val="18"/>
      <w:szCs w:val="18"/>
      <w:lang w:val="en-US" w:eastAsia="zh-CN" w:bidi="ar-SA"/>
    </w:rPr>
  </w:style>
  <w:style w:type="character" w:customStyle="1" w:styleId="690">
    <w:name w:val="Char Char27"/>
    <w:qFormat/>
    <w:uiPriority w:val="6"/>
    <w:rPr>
      <w:rFonts w:ascii="宋体" w:hAnsi="宋体" w:eastAsia="宋体"/>
      <w:color w:val="000000"/>
      <w:kern w:val="1"/>
      <w:sz w:val="28"/>
      <w:lang w:val="en-US" w:eastAsia="zh-CN" w:bidi="ar-SA"/>
    </w:rPr>
  </w:style>
  <w:style w:type="character" w:customStyle="1" w:styleId="691">
    <w:name w:val="px14"/>
    <w:qFormat/>
    <w:uiPriority w:val="0"/>
    <w:rPr>
      <w:rFonts w:ascii="仿宋_GB2312" w:eastAsia="微软雅黑" w:cs="Times New Roman"/>
      <w:b/>
      <w:kern w:val="2"/>
      <w:sz w:val="32"/>
      <w:szCs w:val="32"/>
      <w:lang w:val="en-US" w:eastAsia="zh-CN" w:bidi="ar-SA"/>
    </w:rPr>
  </w:style>
  <w:style w:type="character" w:customStyle="1" w:styleId="692">
    <w:name w:val="HTML 预设格式 Char1"/>
    <w:qFormat/>
    <w:uiPriority w:val="0"/>
    <w:rPr>
      <w:rFonts w:ascii="Courier New" w:hAnsi="Courier New" w:eastAsia="宋体" w:cs="Courier New"/>
      <w:sz w:val="20"/>
      <w:szCs w:val="20"/>
    </w:rPr>
  </w:style>
  <w:style w:type="character" w:customStyle="1" w:styleId="693">
    <w:name w:val="普通文字 Char1"/>
    <w:qFormat/>
    <w:uiPriority w:val="0"/>
    <w:rPr>
      <w:rFonts w:ascii="宋体" w:hAnsi="Courier New" w:eastAsia="宋体"/>
      <w:kern w:val="2"/>
      <w:sz w:val="21"/>
      <w:lang w:val="en-US" w:eastAsia="zh-CN"/>
    </w:rPr>
  </w:style>
  <w:style w:type="character" w:customStyle="1" w:styleId="694">
    <w:name w:val="hei16b1"/>
    <w:qFormat/>
    <w:uiPriority w:val="0"/>
    <w:rPr>
      <w:rFonts w:hint="default" w:ascii="Arial" w:hAnsi="Arial" w:cs="Arial"/>
      <w:b/>
      <w:bCs/>
      <w:color w:val="000000"/>
      <w:sz w:val="24"/>
      <w:szCs w:val="24"/>
    </w:rPr>
  </w:style>
  <w:style w:type="character" w:customStyle="1" w:styleId="695">
    <w:name w:val="正文（绿盟科技） Char"/>
    <w:link w:val="93"/>
    <w:qFormat/>
    <w:uiPriority w:val="0"/>
    <w:rPr>
      <w:rFonts w:ascii="Arial" w:hAnsi="Arial"/>
      <w:sz w:val="21"/>
      <w:szCs w:val="21"/>
    </w:rPr>
  </w:style>
  <w:style w:type="character" w:customStyle="1" w:styleId="696">
    <w:name w:val="Char Char19"/>
    <w:qFormat/>
    <w:uiPriority w:val="6"/>
    <w:rPr>
      <w:rFonts w:ascii="宋体" w:hAnsi="宋体"/>
      <w:i/>
      <w:sz w:val="24"/>
      <w:szCs w:val="24"/>
    </w:rPr>
  </w:style>
  <w:style w:type="character" w:customStyle="1" w:styleId="697">
    <w:name w:val="页脚 Char"/>
    <w:qFormat/>
    <w:uiPriority w:val="0"/>
    <w:rPr>
      <w:rFonts w:eastAsia="仿宋_GB2312"/>
      <w:kern w:val="2"/>
      <w:sz w:val="18"/>
      <w:lang w:val="en-US" w:eastAsia="zh-CN"/>
    </w:rPr>
  </w:style>
  <w:style w:type="character" w:customStyle="1" w:styleId="698">
    <w:name w:val="批注主题 Char"/>
    <w:qFormat/>
    <w:uiPriority w:val="0"/>
    <w:rPr>
      <w:rFonts w:eastAsia="宋体"/>
      <w:b/>
      <w:bCs/>
      <w:kern w:val="2"/>
      <w:sz w:val="21"/>
      <w:szCs w:val="24"/>
      <w:lang w:val="en-US" w:eastAsia="zh-CN" w:bidi="ar-SA"/>
    </w:rPr>
  </w:style>
  <w:style w:type="character" w:customStyle="1" w:styleId="699">
    <w:name w:val="Comment Text Char"/>
    <w:qFormat/>
    <w:locked/>
    <w:uiPriority w:val="0"/>
    <w:rPr>
      <w:rFonts w:ascii="宋体" w:hAnsi="宋体" w:eastAsia="宋体"/>
      <w:kern w:val="2"/>
      <w:sz w:val="24"/>
      <w:lang w:val="en-US" w:eastAsia="zh-CN" w:bidi="ar-SA"/>
    </w:rPr>
  </w:style>
  <w:style w:type="character" w:customStyle="1" w:styleId="700">
    <w:name w:val="标题 2 字符"/>
    <w:qFormat/>
    <w:uiPriority w:val="1"/>
    <w:rPr>
      <w:rFonts w:ascii="仿宋_GB2312" w:hAnsi="Times New Roman" w:eastAsia="仿宋_GB2312" w:cs="Times New Roman"/>
      <w:b/>
      <w:kern w:val="2"/>
      <w:sz w:val="24"/>
      <w:lang w:val="zh-CN"/>
    </w:rPr>
  </w:style>
  <w:style w:type="character" w:customStyle="1" w:styleId="701">
    <w:name w:val="Char Char72"/>
    <w:qFormat/>
    <w:uiPriority w:val="0"/>
    <w:rPr>
      <w:rFonts w:eastAsia="宋体"/>
      <w:kern w:val="2"/>
      <w:sz w:val="21"/>
      <w:szCs w:val="24"/>
      <w:lang w:val="en-US" w:eastAsia="zh-CN" w:bidi="ar-SA"/>
    </w:rPr>
  </w:style>
  <w:style w:type="character" w:customStyle="1" w:styleId="702">
    <w:name w:val="正文文本缩进 Char2"/>
    <w:qFormat/>
    <w:uiPriority w:val="0"/>
    <w:rPr>
      <w:rFonts w:ascii="Times New Roman" w:hAnsi="Times New Roman" w:eastAsia="宋体" w:cs="Times New Roman"/>
      <w:snapToGrid w:val="0"/>
      <w:kern w:val="0"/>
      <w:szCs w:val="24"/>
    </w:rPr>
  </w:style>
  <w:style w:type="character" w:customStyle="1" w:styleId="703">
    <w:name w:val="样式2 Char"/>
    <w:qFormat/>
    <w:uiPriority w:val="0"/>
    <w:rPr>
      <w:rFonts w:ascii="仿宋_GB2312" w:hAnsi="仿宋" w:eastAsia="仿宋_GB2312" w:cs="仿宋_GB2312"/>
      <w:b/>
      <w:bCs/>
      <w:sz w:val="32"/>
      <w:szCs w:val="30"/>
      <w:lang w:val="zh-CN"/>
    </w:rPr>
  </w:style>
  <w:style w:type="character" w:customStyle="1" w:styleId="704">
    <w:name w:val="表格名称[858D7CFB-ED40-4347-BF05-701D383B685F]"/>
    <w:link w:val="94"/>
    <w:qFormat/>
    <w:uiPriority w:val="0"/>
    <w:rPr>
      <w:sz w:val="32"/>
    </w:rPr>
  </w:style>
  <w:style w:type="character" w:customStyle="1" w:styleId="705">
    <w:name w:val="Char Char4"/>
    <w:qFormat/>
    <w:uiPriority w:val="0"/>
    <w:rPr>
      <w:rFonts w:eastAsia="宋体"/>
      <w:b/>
      <w:sz w:val="24"/>
      <w:lang w:eastAsia="zh-CN" w:bidi="ar-SA"/>
    </w:rPr>
  </w:style>
  <w:style w:type="character" w:customStyle="1" w:styleId="706">
    <w:name w:val="c7 style3"/>
    <w:qFormat/>
    <w:uiPriority w:val="0"/>
  </w:style>
  <w:style w:type="character" w:customStyle="1" w:styleId="707">
    <w:name w:val="正文文本 3 Char1"/>
    <w:semiHidden/>
    <w:qFormat/>
    <w:uiPriority w:val="99"/>
    <w:rPr>
      <w:rFonts w:ascii="Times New Roman" w:hAnsi="Times New Roman" w:eastAsia="宋体" w:cs="Times New Roman"/>
      <w:sz w:val="16"/>
      <w:szCs w:val="16"/>
    </w:rPr>
  </w:style>
  <w:style w:type="character" w:customStyle="1" w:styleId="708">
    <w:name w:val="tw4winInternal"/>
    <w:qFormat/>
    <w:uiPriority w:val="0"/>
    <w:rPr>
      <w:rFonts w:ascii="Courier New" w:hAnsi="Courier New" w:cs="Courier New"/>
      <w:color w:val="FF0000"/>
      <w:lang w:val="en-US" w:eastAsia="zh-CN"/>
    </w:rPr>
  </w:style>
  <w:style w:type="character" w:customStyle="1" w:styleId="709">
    <w:name w:val="Char Char10"/>
    <w:semiHidden/>
    <w:qFormat/>
    <w:uiPriority w:val="0"/>
    <w:rPr>
      <w:rFonts w:ascii="宋体" w:hAnsi="宋体"/>
      <w:kern w:val="2"/>
      <w:sz w:val="21"/>
      <w:szCs w:val="24"/>
      <w:lang w:val="en-US" w:eastAsia="zh-CN"/>
    </w:rPr>
  </w:style>
  <w:style w:type="character" w:customStyle="1" w:styleId="710">
    <w:name w:val="shadow11"/>
    <w:qFormat/>
    <w:uiPriority w:val="0"/>
    <w:rPr>
      <w:color w:val="000000"/>
      <w:sz w:val="21"/>
    </w:rPr>
  </w:style>
  <w:style w:type="character" w:customStyle="1" w:styleId="711">
    <w:name w:val="正文非缩进 Char3"/>
    <w:qFormat/>
    <w:uiPriority w:val="0"/>
    <w:rPr>
      <w:rFonts w:ascii="宋体" w:eastAsia="宋体"/>
      <w:snapToGrid w:val="0"/>
      <w:color w:val="000000"/>
      <w:kern w:val="28"/>
      <w:sz w:val="28"/>
      <w:lang w:val="en-US" w:eastAsia="zh-CN" w:bidi="ar-SA"/>
    </w:rPr>
  </w:style>
  <w:style w:type="character" w:customStyle="1" w:styleId="712">
    <w:name w:val="Char Char"/>
    <w:qFormat/>
    <w:uiPriority w:val="0"/>
    <w:rPr>
      <w:rFonts w:ascii="宋体" w:hAnsi="Courier New" w:eastAsia="宋体"/>
      <w:kern w:val="2"/>
      <w:sz w:val="21"/>
      <w:lang w:val="en-US" w:eastAsia="zh-CN" w:bidi="ar-SA"/>
    </w:rPr>
  </w:style>
  <w:style w:type="character" w:customStyle="1" w:styleId="713">
    <w:name w:val="签名 Char1"/>
    <w:qFormat/>
    <w:uiPriority w:val="0"/>
    <w:rPr>
      <w:rFonts w:ascii="Times New Roman" w:hAnsi="Times New Roman" w:eastAsia="宋体" w:cs="Times New Roman"/>
      <w:szCs w:val="24"/>
    </w:rPr>
  </w:style>
  <w:style w:type="character" w:customStyle="1" w:styleId="714">
    <w:name w:val="日期 字符"/>
    <w:link w:val="35"/>
    <w:qFormat/>
    <w:uiPriority w:val="0"/>
    <w:rPr>
      <w:rFonts w:ascii="宋体"/>
      <w:kern w:val="2"/>
      <w:sz w:val="24"/>
      <w:szCs w:val="21"/>
      <w:lang w:val="zh-CN"/>
    </w:rPr>
  </w:style>
  <w:style w:type="character" w:customStyle="1" w:styleId="715">
    <w:name w:val="标题 9 字符"/>
    <w:link w:val="11"/>
    <w:qFormat/>
    <w:uiPriority w:val="0"/>
    <w:rPr>
      <w:rFonts w:ascii="Arial" w:hAnsi="Arial" w:eastAsia="黑体"/>
      <w:kern w:val="2"/>
      <w:sz w:val="21"/>
      <w:szCs w:val="21"/>
    </w:rPr>
  </w:style>
  <w:style w:type="character" w:customStyle="1" w:styleId="716">
    <w:name w:val="Char Char18"/>
    <w:qFormat/>
    <w:uiPriority w:val="6"/>
    <w:rPr>
      <w:rFonts w:ascii="宋体" w:hAnsi="宋体"/>
      <w:sz w:val="28"/>
    </w:rPr>
  </w:style>
  <w:style w:type="character" w:customStyle="1" w:styleId="717">
    <w:name w:val="批注文字 Char"/>
    <w:qFormat/>
    <w:uiPriority w:val="99"/>
    <w:rPr>
      <w:kern w:val="2"/>
      <w:sz w:val="21"/>
      <w:szCs w:val="24"/>
    </w:rPr>
  </w:style>
  <w:style w:type="character" w:customStyle="1" w:styleId="718">
    <w:name w:val="Char Char22"/>
    <w:qFormat/>
    <w:uiPriority w:val="6"/>
    <w:rPr>
      <w:rFonts w:ascii="宋体" w:hAnsi="宋体"/>
      <w:kern w:val="1"/>
      <w:sz w:val="24"/>
      <w:szCs w:val="24"/>
    </w:rPr>
  </w:style>
  <w:style w:type="character" w:customStyle="1" w:styleId="719">
    <w:name w:val="pt141"/>
    <w:qFormat/>
    <w:uiPriority w:val="0"/>
    <w:rPr>
      <w:color w:val="330066"/>
      <w:sz w:val="22"/>
      <w:szCs w:val="22"/>
    </w:rPr>
  </w:style>
  <w:style w:type="character" w:customStyle="1" w:styleId="720">
    <w:name w:val="正文文本缩进 2 Char1"/>
    <w:semiHidden/>
    <w:qFormat/>
    <w:uiPriority w:val="99"/>
    <w:rPr>
      <w:rFonts w:ascii="Times New Roman" w:hAnsi="Times New Roman" w:eastAsia="宋体" w:cs="Times New Roman"/>
      <w:szCs w:val="24"/>
    </w:rPr>
  </w:style>
  <w:style w:type="character" w:customStyle="1" w:styleId="721">
    <w:name w:val="批注框文本 字符1"/>
    <w:link w:val="38"/>
    <w:qFormat/>
    <w:uiPriority w:val="0"/>
    <w:rPr>
      <w:kern w:val="2"/>
      <w:sz w:val="18"/>
      <w:szCs w:val="18"/>
    </w:rPr>
  </w:style>
  <w:style w:type="character" w:customStyle="1" w:styleId="722">
    <w:name w:val="Char Char611"/>
    <w:qFormat/>
    <w:uiPriority w:val="0"/>
    <w:rPr>
      <w:rFonts w:eastAsia="宋体"/>
      <w:kern w:val="2"/>
      <w:sz w:val="21"/>
      <w:szCs w:val="24"/>
      <w:lang w:val="en-US" w:eastAsia="zh-CN" w:bidi="ar-SA"/>
    </w:rPr>
  </w:style>
  <w:style w:type="character" w:customStyle="1" w:styleId="723">
    <w:name w:val="highlight1"/>
    <w:qFormat/>
    <w:uiPriority w:val="0"/>
    <w:rPr>
      <w:rFonts w:ascii="仿宋_GB2312" w:eastAsia="微软雅黑"/>
      <w:b/>
      <w:kern w:val="2"/>
      <w:sz w:val="23"/>
      <w:szCs w:val="23"/>
      <w:lang w:val="en-US" w:eastAsia="zh-CN" w:bidi="ar-SA"/>
    </w:rPr>
  </w:style>
  <w:style w:type="character" w:customStyle="1" w:styleId="724">
    <w:name w:val="my正文 Char"/>
    <w:link w:val="95"/>
    <w:qFormat/>
    <w:locked/>
    <w:uiPriority w:val="0"/>
    <w:rPr>
      <w:rFonts w:ascii="Tahoma" w:hAnsi="Tahoma"/>
      <w:sz w:val="24"/>
      <w:szCs w:val="24"/>
    </w:rPr>
  </w:style>
  <w:style w:type="character" w:customStyle="1" w:styleId="725">
    <w:name w:val="正文缩进 字符2"/>
    <w:link w:val="5"/>
    <w:qFormat/>
    <w:uiPriority w:val="0"/>
    <w:rPr>
      <w:rFonts w:ascii="宋体" w:eastAsia="宋体"/>
      <w:snapToGrid w:val="0"/>
      <w:color w:val="000000"/>
      <w:kern w:val="28"/>
      <w:sz w:val="28"/>
      <w:lang w:val="en-US" w:eastAsia="zh-CN" w:bidi="ar-SA"/>
    </w:rPr>
  </w:style>
  <w:style w:type="character" w:customStyle="1" w:styleId="726">
    <w:name w:val="Used by Word for text of Help footnotes Char Char1"/>
    <w:qFormat/>
    <w:uiPriority w:val="0"/>
    <w:rPr>
      <w:color w:val="0000FF"/>
      <w:sz w:val="21"/>
    </w:rPr>
  </w:style>
  <w:style w:type="character" w:customStyle="1" w:styleId="727">
    <w:name w:val="页眉 Char"/>
    <w:qFormat/>
    <w:uiPriority w:val="0"/>
    <w:rPr>
      <w:rFonts w:eastAsia="仿宋_GB2312"/>
      <w:kern w:val="2"/>
      <w:sz w:val="18"/>
      <w:lang w:val="en-US" w:eastAsia="zh-CN"/>
    </w:rPr>
  </w:style>
  <w:style w:type="character" w:customStyle="1" w:styleId="728">
    <w:name w:val="FA正文 Char Char"/>
    <w:qFormat/>
    <w:uiPriority w:val="0"/>
    <w:rPr>
      <w:rFonts w:hAnsi="宋体"/>
      <w:kern w:val="2"/>
      <w:sz w:val="24"/>
      <w:lang w:bidi="ar-SA"/>
    </w:rPr>
  </w:style>
  <w:style w:type="character" w:customStyle="1" w:styleId="729">
    <w:name w:val="纯文本 字符"/>
    <w:qFormat/>
    <w:uiPriority w:val="0"/>
    <w:rPr>
      <w:rFonts w:ascii="宋体" w:hAnsi="Courier New" w:eastAsia="宋体" w:cs="Arial"/>
      <w:snapToGrid w:val="0"/>
      <w:kern w:val="2"/>
      <w:sz w:val="21"/>
      <w:szCs w:val="21"/>
      <w:lang w:val="en-US" w:eastAsia="zh-CN" w:bidi="ar-SA"/>
    </w:rPr>
  </w:style>
  <w:style w:type="character" w:customStyle="1" w:styleId="730">
    <w:name w:val="3级 Char"/>
    <w:link w:val="96"/>
    <w:qFormat/>
    <w:uiPriority w:val="0"/>
    <w:rPr>
      <w:rFonts w:ascii="宋体" w:hAnsi="宋体"/>
      <w:b/>
      <w:bCs/>
      <w:sz w:val="28"/>
    </w:rPr>
  </w:style>
  <w:style w:type="character" w:customStyle="1" w:styleId="731">
    <w:name w:val="myp11"/>
    <w:qFormat/>
    <w:uiPriority w:val="0"/>
    <w:rPr>
      <w:rFonts w:ascii="仿宋_GB2312" w:eastAsia="微软雅黑"/>
      <w:b/>
      <w:kern w:val="2"/>
      <w:sz w:val="32"/>
      <w:szCs w:val="32"/>
      <w:lang w:val="en-US" w:eastAsia="zh-CN" w:bidi="ar-SA"/>
    </w:rPr>
  </w:style>
  <w:style w:type="character" w:customStyle="1" w:styleId="732">
    <w:name w:val="文档结构图 字符"/>
    <w:link w:val="18"/>
    <w:qFormat/>
    <w:uiPriority w:val="0"/>
    <w:rPr>
      <w:kern w:val="2"/>
      <w:sz w:val="21"/>
      <w:szCs w:val="24"/>
      <w:shd w:val="clear" w:color="auto" w:fill="000080"/>
    </w:rPr>
  </w:style>
  <w:style w:type="character" w:customStyle="1" w:styleId="733">
    <w:name w:val="H6 Char"/>
    <w:qFormat/>
    <w:uiPriority w:val="0"/>
    <w:rPr>
      <w:rFonts w:ascii="Arial" w:hAnsi="Arial" w:eastAsia="黑体"/>
      <w:b/>
      <w:bCs/>
      <w:kern w:val="2"/>
      <w:sz w:val="24"/>
      <w:szCs w:val="24"/>
    </w:rPr>
  </w:style>
  <w:style w:type="character" w:customStyle="1" w:styleId="734">
    <w:name w:val="Char Char91"/>
    <w:qFormat/>
    <w:uiPriority w:val="0"/>
    <w:rPr>
      <w:rFonts w:eastAsia="宋体"/>
      <w:kern w:val="2"/>
      <w:sz w:val="18"/>
      <w:szCs w:val="18"/>
      <w:lang w:val="en-US" w:eastAsia="zh-CN" w:bidi="ar-SA"/>
    </w:rPr>
  </w:style>
  <w:style w:type="character" w:customStyle="1" w:styleId="735">
    <w:name w:val="副标题 Char1"/>
    <w:qFormat/>
    <w:uiPriority w:val="0"/>
    <w:rPr>
      <w:rFonts w:ascii="Cambria" w:hAnsi="Cambria" w:eastAsia="宋体" w:cs="Times New Roman"/>
      <w:b/>
      <w:bCs/>
      <w:snapToGrid w:val="0"/>
      <w:kern w:val="28"/>
      <w:sz w:val="32"/>
      <w:szCs w:val="32"/>
    </w:rPr>
  </w:style>
  <w:style w:type="character" w:customStyle="1" w:styleId="736">
    <w:name w:val="font61"/>
    <w:qFormat/>
    <w:uiPriority w:val="0"/>
    <w:rPr>
      <w:rFonts w:hint="eastAsia" w:ascii="仿宋" w:hAnsi="仿宋" w:eastAsia="仿宋" w:cs="仿宋"/>
      <w:color w:val="000000"/>
      <w:sz w:val="20"/>
      <w:szCs w:val="20"/>
      <w:u w:val="none"/>
    </w:rPr>
  </w:style>
  <w:style w:type="character" w:customStyle="1" w:styleId="73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8">
    <w:name w:val="Char Char211"/>
    <w:qFormat/>
    <w:uiPriority w:val="0"/>
    <w:rPr>
      <w:rFonts w:eastAsia="宋体"/>
      <w:b/>
      <w:bCs/>
      <w:kern w:val="2"/>
      <w:sz w:val="21"/>
      <w:szCs w:val="24"/>
      <w:lang w:val="en-US" w:eastAsia="zh-CN" w:bidi="ar-SA"/>
    </w:rPr>
  </w:style>
  <w:style w:type="character" w:customStyle="1" w:styleId="739">
    <w:name w:val="maywed421"/>
    <w:qFormat/>
    <w:uiPriority w:val="0"/>
    <w:rPr>
      <w:color w:val="366FB6"/>
      <w:u w:val="none"/>
    </w:rPr>
  </w:style>
  <w:style w:type="character" w:customStyle="1" w:styleId="740">
    <w:name w:val="正文文本缩进 Char"/>
    <w:qFormat/>
    <w:uiPriority w:val="0"/>
    <w:rPr>
      <w:rFonts w:ascii="宋体" w:hAnsi="宋体"/>
      <w:kern w:val="2"/>
      <w:sz w:val="24"/>
      <w:szCs w:val="24"/>
    </w:rPr>
  </w:style>
  <w:style w:type="character" w:customStyle="1" w:styleId="741">
    <w:name w:val="Char Char102"/>
    <w:semiHidden/>
    <w:qFormat/>
    <w:uiPriority w:val="0"/>
    <w:rPr>
      <w:rFonts w:ascii="宋体" w:hAnsi="宋体"/>
      <w:kern w:val="2"/>
      <w:sz w:val="21"/>
      <w:szCs w:val="24"/>
      <w:lang w:val="en-US" w:eastAsia="zh-CN"/>
    </w:rPr>
  </w:style>
  <w:style w:type="character" w:customStyle="1" w:styleId="742">
    <w:name w:val="页眉 Char1"/>
    <w:qFormat/>
    <w:uiPriority w:val="0"/>
    <w:rPr>
      <w:rFonts w:eastAsia="宋体"/>
      <w:kern w:val="2"/>
      <w:sz w:val="18"/>
      <w:szCs w:val="18"/>
      <w:lang w:val="en-US" w:eastAsia="zh-CN" w:bidi="ar-SA"/>
    </w:rPr>
  </w:style>
  <w:style w:type="character" w:customStyle="1" w:styleId="743">
    <w:name w:val="md"/>
    <w:basedOn w:val="69"/>
    <w:qFormat/>
    <w:uiPriority w:val="0"/>
    <w:rPr>
      <w:rFonts w:ascii="Arial" w:hAnsi="Arial" w:eastAsia="黑体" w:cs="Arial"/>
      <w:snapToGrid w:val="0"/>
      <w:kern w:val="0"/>
      <w:szCs w:val="21"/>
    </w:rPr>
  </w:style>
  <w:style w:type="character" w:customStyle="1" w:styleId="744">
    <w:name w:val="big1"/>
    <w:qFormat/>
    <w:uiPriority w:val="0"/>
    <w:rPr>
      <w:rFonts w:hint="eastAsia" w:ascii="宋体" w:hAnsi="宋体" w:eastAsia="宋体"/>
      <w:color w:val="333333"/>
      <w:sz w:val="22"/>
      <w:szCs w:val="22"/>
    </w:rPr>
  </w:style>
  <w:style w:type="character" w:customStyle="1" w:styleId="745">
    <w:name w:val="Char Char311"/>
    <w:qFormat/>
    <w:uiPriority w:val="0"/>
    <w:rPr>
      <w:rFonts w:eastAsia="宋体"/>
      <w:kern w:val="2"/>
      <w:sz w:val="21"/>
      <w:szCs w:val="24"/>
      <w:lang w:val="en-US" w:eastAsia="zh-CN" w:bidi="ar-SA"/>
    </w:rPr>
  </w:style>
  <w:style w:type="character" w:customStyle="1" w:styleId="746">
    <w:name w:val="Char Char81"/>
    <w:qFormat/>
    <w:uiPriority w:val="6"/>
    <w:rPr>
      <w:rFonts w:eastAsia="宋体"/>
      <w:b/>
      <w:sz w:val="24"/>
      <w:lang w:eastAsia="zh-CN"/>
    </w:rPr>
  </w:style>
  <w:style w:type="character" w:customStyle="1" w:styleId="747">
    <w:name w:val="样式3 Char"/>
    <w:basedOn w:val="703"/>
    <w:qFormat/>
    <w:uiPriority w:val="0"/>
    <w:rPr>
      <w:rFonts w:ascii="仿宋_GB2312" w:hAnsi="仿宋" w:eastAsia="仿宋_GB2312" w:cs="仿宋_GB2312"/>
      <w:sz w:val="32"/>
      <w:szCs w:val="30"/>
      <w:lang w:val="zh-CN"/>
    </w:rPr>
  </w:style>
  <w:style w:type="character" w:customStyle="1" w:styleId="748">
    <w:name w:val="HTML 地址 字符"/>
    <w:link w:val="29"/>
    <w:qFormat/>
    <w:uiPriority w:val="0"/>
    <w:rPr>
      <w:rFonts w:ascii="宋体" w:hAnsi="宋体"/>
      <w:i/>
      <w:iCs/>
      <w:sz w:val="24"/>
      <w:szCs w:val="24"/>
    </w:rPr>
  </w:style>
  <w:style w:type="character" w:customStyle="1" w:styleId="749">
    <w:name w:val="正文首行缩进 2 Char1"/>
    <w:qFormat/>
    <w:uiPriority w:val="0"/>
    <w:rPr>
      <w:rFonts w:ascii="Times New Roman" w:hAnsi="Times New Roman" w:eastAsia="宋体" w:cs="Times New Roman"/>
      <w:kern w:val="2"/>
      <w:sz w:val="24"/>
      <w:szCs w:val="24"/>
    </w:rPr>
  </w:style>
  <w:style w:type="character" w:customStyle="1" w:styleId="750">
    <w:name w:val="副标题 Char2"/>
    <w:qFormat/>
    <w:uiPriority w:val="0"/>
    <w:rPr>
      <w:rFonts w:ascii="Cambria" w:hAnsi="Cambria" w:eastAsia="宋体" w:cs="Times New Roman"/>
      <w:b/>
      <w:bCs/>
      <w:snapToGrid w:val="0"/>
      <w:kern w:val="28"/>
      <w:sz w:val="32"/>
      <w:szCs w:val="32"/>
    </w:rPr>
  </w:style>
  <w:style w:type="character" w:customStyle="1" w:styleId="751">
    <w:name w:val="标题4-dyf Char"/>
    <w:link w:val="98"/>
    <w:qFormat/>
    <w:uiPriority w:val="0"/>
    <w:rPr>
      <w:rFonts w:ascii="Cambria" w:hAnsi="Cambria"/>
      <w:b/>
      <w:bCs/>
      <w:color w:val="000000"/>
      <w:kern w:val="2"/>
      <w:sz w:val="21"/>
      <w:szCs w:val="21"/>
    </w:rPr>
  </w:style>
  <w:style w:type="character" w:customStyle="1" w:styleId="752">
    <w:name w:val="dectext1"/>
    <w:qFormat/>
    <w:uiPriority w:val="0"/>
    <w:rPr>
      <w:rFonts w:ascii="宋体" w:hAnsi="宋体" w:eastAsia="宋体"/>
      <w:color w:val="333333"/>
      <w:sz w:val="21"/>
      <w:szCs w:val="21"/>
      <w:u w:val="none"/>
    </w:rPr>
  </w:style>
  <w:style w:type="character" w:customStyle="1" w:styleId="753">
    <w:name w:val="冯 Char"/>
    <w:link w:val="99"/>
    <w:qFormat/>
    <w:uiPriority w:val="0"/>
    <w:rPr>
      <w:rFonts w:ascii="宋体" w:hAnsi="宋体"/>
      <w:color w:val="000000"/>
      <w:sz w:val="24"/>
      <w:szCs w:val="24"/>
    </w:rPr>
  </w:style>
  <w:style w:type="character" w:customStyle="1" w:styleId="754">
    <w:name w:val="Header Char"/>
    <w:qFormat/>
    <w:locked/>
    <w:uiPriority w:val="0"/>
    <w:rPr>
      <w:rFonts w:eastAsia="宋体"/>
      <w:kern w:val="2"/>
      <w:sz w:val="18"/>
      <w:szCs w:val="18"/>
      <w:lang w:val="en-US" w:eastAsia="zh-CN" w:bidi="ar-SA"/>
    </w:rPr>
  </w:style>
  <w:style w:type="character" w:customStyle="1" w:styleId="755">
    <w:name w:val="Char Char12"/>
    <w:qFormat/>
    <w:uiPriority w:val="0"/>
    <w:rPr>
      <w:rFonts w:ascii="仿宋_GB2312" w:eastAsia="仿宋_GB2312"/>
      <w:b/>
      <w:bCs/>
      <w:kern w:val="2"/>
      <w:sz w:val="24"/>
      <w:szCs w:val="24"/>
      <w:lang w:val="zh-CN" w:eastAsia="zh-CN" w:bidi="ar-SA"/>
    </w:rPr>
  </w:style>
  <w:style w:type="character" w:customStyle="1" w:styleId="756">
    <w:name w:val="题注 字符"/>
    <w:link w:val="16"/>
    <w:qFormat/>
    <w:uiPriority w:val="0"/>
    <w:rPr>
      <w:b/>
      <w:kern w:val="2"/>
      <w:sz w:val="28"/>
    </w:rPr>
  </w:style>
  <w:style w:type="character" w:customStyle="1" w:styleId="757">
    <w:name w:val="普通文字 Char3"/>
    <w:qFormat/>
    <w:uiPriority w:val="0"/>
    <w:rPr>
      <w:rFonts w:ascii="宋体" w:hAnsi="Courier New" w:eastAsia="宋体"/>
      <w:kern w:val="2"/>
      <w:sz w:val="21"/>
      <w:lang w:val="en-US" w:eastAsia="zh-CN" w:bidi="ar-SA"/>
    </w:rPr>
  </w:style>
  <w:style w:type="character" w:customStyle="1" w:styleId="758">
    <w:name w:val="公文正文 Char"/>
    <w:qFormat/>
    <w:uiPriority w:val="0"/>
    <w:rPr>
      <w:rFonts w:ascii="仿宋_GB2312" w:eastAsia="仿宋_GB2312"/>
      <w:kern w:val="2"/>
      <w:sz w:val="24"/>
      <w:szCs w:val="24"/>
      <w:lang w:val="en-US" w:eastAsia="zh-CN" w:bidi="ar-SA"/>
    </w:rPr>
  </w:style>
  <w:style w:type="character" w:customStyle="1" w:styleId="759">
    <w:name w:val="正文首行缩进 Char Char Char Char Char"/>
    <w:qFormat/>
    <w:uiPriority w:val="0"/>
    <w:rPr>
      <w:rFonts w:ascii="宋体"/>
      <w:kern w:val="2"/>
      <w:sz w:val="24"/>
      <w:lang w:val="zh-CN"/>
    </w:rPr>
  </w:style>
  <w:style w:type="character" w:customStyle="1" w:styleId="760">
    <w:name w:val="PI Char"/>
    <w:qFormat/>
    <w:uiPriority w:val="0"/>
    <w:rPr>
      <w:rFonts w:ascii="宋体" w:hAnsi="宋体" w:eastAsia="宋体"/>
      <w:kern w:val="2"/>
      <w:sz w:val="24"/>
      <w:szCs w:val="24"/>
      <w:lang w:val="en-US" w:eastAsia="zh-CN" w:bidi="ar-SA"/>
    </w:rPr>
  </w:style>
  <w:style w:type="character" w:customStyle="1" w:styleId="761">
    <w:name w:val="Default Char"/>
    <w:link w:val="100"/>
    <w:qFormat/>
    <w:uiPriority w:val="0"/>
    <w:rPr>
      <w:rFonts w:ascii="仿宋_GB2312" w:eastAsia="仿宋_GB2312" w:cs="仿宋_GB2312"/>
      <w:color w:val="000000"/>
      <w:sz w:val="24"/>
      <w:szCs w:val="24"/>
      <w:lang w:val="en-US" w:eastAsia="zh-CN" w:bidi="ar-SA"/>
    </w:rPr>
  </w:style>
  <w:style w:type="character" w:customStyle="1" w:styleId="762">
    <w:name w:val="style91"/>
    <w:qFormat/>
    <w:uiPriority w:val="0"/>
    <w:rPr>
      <w:color w:val="333333"/>
    </w:rPr>
  </w:style>
  <w:style w:type="character" w:customStyle="1" w:styleId="763">
    <w:name w:val="列出段落 Char2"/>
    <w:qFormat/>
    <w:uiPriority w:val="34"/>
    <w:rPr>
      <w:rFonts w:ascii="Calibri" w:hAnsi="Calibri"/>
      <w:kern w:val="2"/>
      <w:sz w:val="28"/>
    </w:rPr>
  </w:style>
  <w:style w:type="character" w:customStyle="1" w:styleId="764">
    <w:name w:val="mdeck"/>
    <w:qFormat/>
    <w:uiPriority w:val="0"/>
    <w:rPr>
      <w:rFonts w:ascii="仿宋_GB2312" w:eastAsia="微软雅黑"/>
      <w:b/>
      <w:kern w:val="2"/>
      <w:sz w:val="32"/>
      <w:szCs w:val="32"/>
      <w:lang w:val="en-US" w:eastAsia="zh-CN" w:bidi="ar-SA"/>
    </w:rPr>
  </w:style>
  <w:style w:type="character" w:customStyle="1" w:styleId="765">
    <w:name w:val="unnamed11"/>
    <w:qFormat/>
    <w:uiPriority w:val="0"/>
    <w:rPr>
      <w:sz w:val="20"/>
      <w:szCs w:val="20"/>
    </w:rPr>
  </w:style>
  <w:style w:type="character" w:customStyle="1" w:styleId="766">
    <w:name w:val="正文文本 Char2"/>
    <w:semiHidden/>
    <w:qFormat/>
    <w:uiPriority w:val="99"/>
    <w:rPr>
      <w:rFonts w:ascii="Times New Roman" w:hAnsi="Times New Roman" w:eastAsia="宋体" w:cs="Times New Roman"/>
      <w:snapToGrid w:val="0"/>
      <w:kern w:val="0"/>
      <w:szCs w:val="24"/>
    </w:rPr>
  </w:style>
  <w:style w:type="character" w:customStyle="1" w:styleId="767">
    <w:name w:val="标书正文格式 Char"/>
    <w:qFormat/>
    <w:uiPriority w:val="0"/>
    <w:rPr>
      <w:rFonts w:eastAsia="楷体_GB2312"/>
      <w:kern w:val="2"/>
      <w:sz w:val="24"/>
      <w:szCs w:val="24"/>
      <w:lang w:bidi="ar-SA"/>
    </w:rPr>
  </w:style>
  <w:style w:type="character" w:customStyle="1" w:styleId="768">
    <w:name w:val="Char Char11"/>
    <w:qFormat/>
    <w:locked/>
    <w:uiPriority w:val="0"/>
    <w:rPr>
      <w:rFonts w:ascii="宋体" w:hAnsi="宋体" w:eastAsia="宋体"/>
      <w:b/>
      <w:kern w:val="2"/>
      <w:sz w:val="24"/>
      <w:szCs w:val="24"/>
      <w:lang w:val="en-US" w:eastAsia="zh-CN" w:bidi="ar-SA"/>
    </w:rPr>
  </w:style>
  <w:style w:type="character" w:customStyle="1" w:styleId="769">
    <w:name w:val="ca-131"/>
    <w:qFormat/>
    <w:uiPriority w:val="0"/>
    <w:rPr>
      <w:rFonts w:hint="eastAsia" w:ascii="仿宋_GB2312" w:eastAsia="仿宋_GB2312"/>
      <w:b/>
      <w:bCs/>
      <w:color w:val="000000"/>
      <w:spacing w:val="-20"/>
      <w:sz w:val="24"/>
      <w:szCs w:val="24"/>
    </w:rPr>
  </w:style>
  <w:style w:type="character" w:customStyle="1" w:styleId="770">
    <w:name w:val="tw4winMark"/>
    <w:qFormat/>
    <w:uiPriority w:val="0"/>
    <w:rPr>
      <w:rFonts w:ascii="Courier New" w:hAnsi="Courier New" w:cs="Courier New"/>
      <w:vanish/>
      <w:color w:val="800080"/>
      <w:sz w:val="24"/>
      <w:szCs w:val="24"/>
      <w:vertAlign w:val="subscript"/>
    </w:rPr>
  </w:style>
  <w:style w:type="character" w:customStyle="1" w:styleId="771">
    <w:name w:val="正文样式 Char"/>
    <w:link w:val="101"/>
    <w:qFormat/>
    <w:uiPriority w:val="0"/>
    <w:rPr>
      <w:rFonts w:ascii="Calibri" w:hAnsi="Calibri"/>
      <w:sz w:val="24"/>
      <w:szCs w:val="24"/>
    </w:rPr>
  </w:style>
  <w:style w:type="character" w:customStyle="1" w:styleId="772">
    <w:name w:val="表正文 Char3"/>
    <w:qFormat/>
    <w:uiPriority w:val="0"/>
    <w:rPr>
      <w:rFonts w:eastAsia="宋体"/>
    </w:rPr>
  </w:style>
  <w:style w:type="character" w:customStyle="1" w:styleId="773">
    <w:name w:val="H5 Char"/>
    <w:qFormat/>
    <w:uiPriority w:val="0"/>
    <w:rPr>
      <w:b/>
      <w:bCs/>
      <w:kern w:val="2"/>
      <w:sz w:val="28"/>
      <w:szCs w:val="28"/>
    </w:rPr>
  </w:style>
  <w:style w:type="character" w:customStyle="1" w:styleId="774">
    <w:name w:val="Char Char3"/>
    <w:qFormat/>
    <w:uiPriority w:val="0"/>
    <w:rPr>
      <w:rFonts w:eastAsia="宋体"/>
      <w:kern w:val="2"/>
      <w:sz w:val="21"/>
      <w:szCs w:val="24"/>
      <w:lang w:val="en-US" w:eastAsia="zh-CN" w:bidi="ar-SA"/>
    </w:rPr>
  </w:style>
  <w:style w:type="character" w:customStyle="1" w:styleId="775">
    <w:name w:val="正文 编号 Char"/>
    <w:qFormat/>
    <w:uiPriority w:val="0"/>
    <w:rPr>
      <w:rFonts w:ascii="仿宋_GB2312" w:hAnsi="仿宋_GB2312" w:eastAsia="仿宋_GB2312"/>
      <w:kern w:val="2"/>
      <w:sz w:val="24"/>
      <w:lang w:bidi="ar-SA"/>
    </w:rPr>
  </w:style>
  <w:style w:type="character" w:customStyle="1" w:styleId="776">
    <w:name w:val="question-title2"/>
    <w:qFormat/>
    <w:uiPriority w:val="6"/>
    <w:rPr>
      <w:rFonts w:ascii="Arial" w:hAnsi="Arial" w:eastAsia="黑体" w:cs="Arial"/>
      <w:snapToGrid w:val="0"/>
      <w:kern w:val="0"/>
      <w:szCs w:val="21"/>
    </w:rPr>
  </w:style>
  <w:style w:type="character" w:customStyle="1" w:styleId="777">
    <w:name w:val="gf正文1 Char Char"/>
    <w:link w:val="102"/>
    <w:qFormat/>
    <w:uiPriority w:val="0"/>
    <w:rPr>
      <w:rFonts w:ascii="宋体" w:hAnsi="宋体" w:cs="宋体"/>
      <w:kern w:val="2"/>
      <w:sz w:val="24"/>
      <w:szCs w:val="24"/>
    </w:rPr>
  </w:style>
  <w:style w:type="character" w:customStyle="1" w:styleId="778">
    <w:name w:val="Char Char15"/>
    <w:qFormat/>
    <w:uiPriority w:val="6"/>
    <w:rPr>
      <w:rFonts w:ascii="宋体" w:hAnsi="宋体"/>
      <w:kern w:val="1"/>
      <w:sz w:val="21"/>
    </w:rPr>
  </w:style>
  <w:style w:type="character" w:customStyle="1" w:styleId="779">
    <w:name w:val="正文缩进 Char3"/>
    <w:qFormat/>
    <w:uiPriority w:val="0"/>
    <w:rPr>
      <w:rFonts w:ascii="宋体" w:eastAsia="宋体"/>
      <w:snapToGrid w:val="0"/>
      <w:color w:val="000000"/>
      <w:kern w:val="28"/>
      <w:sz w:val="28"/>
      <w:lang w:val="en-US" w:eastAsia="zh-CN" w:bidi="ar-SA"/>
    </w:rPr>
  </w:style>
  <w:style w:type="character" w:customStyle="1" w:styleId="780">
    <w:name w:val="列出段落 Char1"/>
    <w:link w:val="103"/>
    <w:qFormat/>
    <w:uiPriority w:val="0"/>
    <w:rPr>
      <w:rFonts w:ascii="Calibri" w:hAnsi="Calibri"/>
      <w:sz w:val="24"/>
      <w:lang w:eastAsia="en-US"/>
    </w:rPr>
  </w:style>
  <w:style w:type="character" w:customStyle="1" w:styleId="781">
    <w:name w:val="Char Char8"/>
    <w:qFormat/>
    <w:uiPriority w:val="0"/>
    <w:rPr>
      <w:rFonts w:eastAsia="宋体"/>
      <w:b/>
      <w:sz w:val="24"/>
      <w:lang w:eastAsia="zh-CN"/>
    </w:rPr>
  </w:style>
  <w:style w:type="character" w:customStyle="1" w:styleId="782">
    <w:name w:val="Normal Indent Char Char"/>
    <w:qFormat/>
    <w:uiPriority w:val="0"/>
    <w:rPr>
      <w:rFonts w:eastAsia="宋体"/>
      <w:kern w:val="2"/>
      <w:sz w:val="21"/>
      <w:lang w:val="en-US" w:eastAsia="zh-CN" w:bidi="ar-SA"/>
    </w:rPr>
  </w:style>
  <w:style w:type="character" w:customStyle="1" w:styleId="783">
    <w:name w:val="列表段落 字符"/>
    <w:qFormat/>
    <w:uiPriority w:val="99"/>
  </w:style>
  <w:style w:type="character" w:customStyle="1" w:styleId="784">
    <w:name w:val="Ò³Ã¼ Char Char1"/>
    <w:qFormat/>
    <w:uiPriority w:val="0"/>
    <w:rPr>
      <w:rFonts w:eastAsia="宋体"/>
      <w:kern w:val="2"/>
      <w:sz w:val="18"/>
      <w:szCs w:val="18"/>
      <w:lang w:val="en-US" w:eastAsia="zh-CN" w:bidi="ar-SA"/>
    </w:rPr>
  </w:style>
  <w:style w:type="character" w:customStyle="1" w:styleId="785">
    <w:name w:val="方案正文 Char"/>
    <w:qFormat/>
    <w:uiPriority w:val="0"/>
    <w:rPr>
      <w:rFonts w:ascii="仿宋_GB2312" w:eastAsia="仿宋_GB2312"/>
      <w:b/>
      <w:color w:val="000000"/>
      <w:kern w:val="2"/>
      <w:sz w:val="24"/>
      <w:lang w:val="en-US" w:eastAsia="zh-CN" w:bidi="ar-SA"/>
    </w:rPr>
  </w:style>
  <w:style w:type="character" w:customStyle="1" w:styleId="786">
    <w:name w:val="Char Char30"/>
    <w:qFormat/>
    <w:uiPriority w:val="6"/>
    <w:rPr>
      <w:rFonts w:ascii="Arial" w:hAnsi="Arial" w:eastAsia="黑体"/>
      <w:kern w:val="1"/>
      <w:sz w:val="21"/>
      <w:szCs w:val="21"/>
    </w:rPr>
  </w:style>
  <w:style w:type="character" w:customStyle="1" w:styleId="787">
    <w:name w:val="正文文本缩进 字符1"/>
    <w:link w:val="24"/>
    <w:qFormat/>
    <w:uiPriority w:val="0"/>
    <w:rPr>
      <w:rFonts w:ascii="宋体" w:hAnsi="宋体"/>
      <w:kern w:val="2"/>
      <w:sz w:val="24"/>
      <w:szCs w:val="24"/>
    </w:rPr>
  </w:style>
  <w:style w:type="character" w:customStyle="1" w:styleId="788">
    <w:name w:val="font01"/>
    <w:qFormat/>
    <w:uiPriority w:val="0"/>
    <w:rPr>
      <w:rFonts w:hint="eastAsia" w:ascii="微软雅黑" w:hAnsi="微软雅黑" w:eastAsia="微软雅黑" w:cs="微软雅黑"/>
      <w:color w:val="000000"/>
      <w:sz w:val="20"/>
      <w:szCs w:val="20"/>
      <w:u w:val="none"/>
    </w:rPr>
  </w:style>
  <w:style w:type="character" w:customStyle="1" w:styleId="789">
    <w:name w:val="Char Char20"/>
    <w:qFormat/>
    <w:uiPriority w:val="6"/>
    <w:rPr>
      <w:kern w:val="1"/>
      <w:sz w:val="24"/>
    </w:rPr>
  </w:style>
  <w:style w:type="character" w:customStyle="1" w:styleId="790">
    <w:name w:val="tw4winExternal"/>
    <w:qFormat/>
    <w:uiPriority w:val="0"/>
    <w:rPr>
      <w:rFonts w:ascii="Courier New" w:hAnsi="Courier New" w:cs="Courier New"/>
      <w:color w:val="808080"/>
      <w:lang w:val="en-US" w:eastAsia="zh-CN"/>
    </w:rPr>
  </w:style>
  <w:style w:type="character" w:customStyle="1" w:styleId="791">
    <w:name w:val="标题 4 Char1"/>
    <w:qFormat/>
    <w:uiPriority w:val="9"/>
    <w:rPr>
      <w:rFonts w:ascii="Cambria" w:hAnsi="Cambria" w:eastAsia="宋体" w:cs="Times New Roman"/>
      <w:b/>
      <w:bCs/>
      <w:kern w:val="2"/>
      <w:sz w:val="28"/>
      <w:szCs w:val="28"/>
    </w:rPr>
  </w:style>
  <w:style w:type="character" w:customStyle="1" w:styleId="792">
    <w:name w:val="批注文字 Char2"/>
    <w:qFormat/>
    <w:uiPriority w:val="99"/>
    <w:rPr>
      <w:rFonts w:ascii="Times New Roman" w:hAnsi="Times New Roman" w:eastAsia="宋体" w:cs="Times New Roman"/>
      <w:snapToGrid w:val="0"/>
      <w:kern w:val="0"/>
      <w:szCs w:val="24"/>
    </w:rPr>
  </w:style>
  <w:style w:type="character" w:customStyle="1" w:styleId="793">
    <w:name w:val="正文文本 2 Char"/>
    <w:qFormat/>
    <w:uiPriority w:val="0"/>
    <w:rPr>
      <w:rFonts w:eastAsia="宋体"/>
      <w:kern w:val="2"/>
      <w:sz w:val="21"/>
      <w:szCs w:val="24"/>
      <w:lang w:val="en-US" w:eastAsia="zh-CN" w:bidi="ar-SA"/>
    </w:rPr>
  </w:style>
  <w:style w:type="character" w:customStyle="1" w:styleId="794">
    <w:name w:val="Ò³Ã¼ Char Char"/>
    <w:qFormat/>
    <w:uiPriority w:val="0"/>
    <w:rPr>
      <w:rFonts w:eastAsia="宋体"/>
      <w:kern w:val="2"/>
      <w:sz w:val="18"/>
      <w:lang w:val="en-US" w:eastAsia="zh-CN" w:bidi="ar-SA"/>
    </w:rPr>
  </w:style>
  <w:style w:type="character" w:customStyle="1" w:styleId="795">
    <w:name w:val="message1"/>
    <w:qFormat/>
    <w:uiPriority w:val="0"/>
    <w:rPr>
      <w:rFonts w:hint="default" w:ascii="Tahoma" w:hAnsi="Tahoma" w:cs="Tahoma"/>
      <w:sz w:val="18"/>
      <w:szCs w:val="18"/>
    </w:rPr>
  </w:style>
  <w:style w:type="character" w:customStyle="1" w:styleId="796">
    <w:name w:val="Char Char23"/>
    <w:qFormat/>
    <w:uiPriority w:val="6"/>
    <w:rPr>
      <w:color w:val="0000FF"/>
      <w:sz w:val="21"/>
    </w:rPr>
  </w:style>
  <w:style w:type="character" w:customStyle="1" w:styleId="797">
    <w:name w:val="批注框文本 字符"/>
    <w:qFormat/>
    <w:uiPriority w:val="0"/>
    <w:rPr>
      <w:rFonts w:ascii="Arial" w:hAnsi="Arial" w:eastAsia="黑体" w:cs="Arial"/>
      <w:snapToGrid w:val="0"/>
      <w:kern w:val="0"/>
      <w:sz w:val="18"/>
      <w:szCs w:val="18"/>
    </w:rPr>
  </w:style>
  <w:style w:type="character" w:customStyle="1" w:styleId="798">
    <w:name w:val="纯文本 Char2"/>
    <w:semiHidden/>
    <w:qFormat/>
    <w:uiPriority w:val="99"/>
    <w:rPr>
      <w:rFonts w:ascii="宋体" w:hAnsi="Courier New" w:eastAsia="宋体" w:cs="Courier New"/>
    </w:rPr>
  </w:style>
  <w:style w:type="character" w:customStyle="1" w:styleId="799">
    <w:name w:val="Char Char25"/>
    <w:qFormat/>
    <w:uiPriority w:val="6"/>
    <w:rPr>
      <w:rFonts w:ascii="宋体" w:hAnsi="宋体"/>
      <w:kern w:val="1"/>
      <w:sz w:val="24"/>
      <w:lang w:val="zh-CN"/>
    </w:rPr>
  </w:style>
  <w:style w:type="character" w:customStyle="1" w:styleId="800">
    <w:name w:val="Char Char411"/>
    <w:qFormat/>
    <w:uiPriority w:val="0"/>
    <w:rPr>
      <w:rFonts w:eastAsia="宋体"/>
      <w:b/>
      <w:sz w:val="24"/>
      <w:lang w:eastAsia="zh-CN" w:bidi="ar-SA"/>
    </w:rPr>
  </w:style>
  <w:style w:type="character" w:customStyle="1" w:styleId="801">
    <w:name w:val="Heading 7 Char"/>
    <w:qFormat/>
    <w:locked/>
    <w:uiPriority w:val="0"/>
    <w:rPr>
      <w:rFonts w:ascii="宋体" w:hAnsi="宋体" w:eastAsia="宋体"/>
      <w:b/>
      <w:bCs/>
      <w:kern w:val="2"/>
      <w:sz w:val="24"/>
      <w:szCs w:val="24"/>
      <w:lang w:val="en-US" w:eastAsia="zh-CN" w:bidi="ar-SA"/>
    </w:rPr>
  </w:style>
  <w:style w:type="character" w:customStyle="1" w:styleId="802">
    <w:name w:val="此正文 Char"/>
    <w:link w:val="105"/>
    <w:qFormat/>
    <w:uiPriority w:val="0"/>
    <w:rPr>
      <w:kern w:val="2"/>
      <w:sz w:val="24"/>
      <w:szCs w:val="24"/>
    </w:rPr>
  </w:style>
  <w:style w:type="character" w:customStyle="1" w:styleId="803">
    <w:name w:val="Char Char2"/>
    <w:qFormat/>
    <w:uiPriority w:val="0"/>
    <w:rPr>
      <w:rFonts w:eastAsia="宋体"/>
      <w:b/>
      <w:bCs/>
      <w:kern w:val="2"/>
      <w:sz w:val="21"/>
      <w:szCs w:val="24"/>
      <w:lang w:val="en-US" w:eastAsia="zh-CN" w:bidi="ar-SA"/>
    </w:rPr>
  </w:style>
  <w:style w:type="character" w:customStyle="1" w:styleId="804">
    <w:name w:val="标题 1 字符1"/>
    <w:link w:val="2"/>
    <w:qFormat/>
    <w:uiPriority w:val="9"/>
    <w:rPr>
      <w:b/>
      <w:bCs/>
      <w:kern w:val="44"/>
      <w:sz w:val="44"/>
      <w:szCs w:val="44"/>
    </w:rPr>
  </w:style>
  <w:style w:type="character" w:customStyle="1" w:styleId="805">
    <w:name w:val="Footer-Even Char1"/>
    <w:qFormat/>
    <w:uiPriority w:val="0"/>
    <w:rPr>
      <w:rFonts w:eastAsia="宋体"/>
      <w:kern w:val="2"/>
      <w:sz w:val="18"/>
      <w:szCs w:val="18"/>
      <w:lang w:val="en-US" w:eastAsia="zh-CN" w:bidi="ar-SA"/>
    </w:rPr>
  </w:style>
  <w:style w:type="character" w:customStyle="1" w:styleId="806">
    <w:name w:val="Char Char29"/>
    <w:qFormat/>
    <w:uiPriority w:val="6"/>
    <w:rPr>
      <w:rFonts w:ascii="Arial" w:hAnsi="Arial" w:eastAsia="微软雅黑"/>
      <w:b/>
      <w:kern w:val="1"/>
      <w:sz w:val="44"/>
      <w:szCs w:val="32"/>
      <w:lang w:val="en-US" w:eastAsia="zh-CN" w:bidi="ar-SA"/>
    </w:rPr>
  </w:style>
  <w:style w:type="character" w:customStyle="1" w:styleId="807">
    <w:name w:val="标题 字符"/>
    <w:link w:val="58"/>
    <w:qFormat/>
    <w:uiPriority w:val="10"/>
    <w:rPr>
      <w:b/>
      <w:sz w:val="24"/>
    </w:rPr>
  </w:style>
  <w:style w:type="character" w:customStyle="1" w:styleId="808">
    <w:name w:val="font81"/>
    <w:qFormat/>
    <w:uiPriority w:val="0"/>
    <w:rPr>
      <w:rFonts w:ascii="微软雅黑" w:hAnsi="微软雅黑" w:eastAsia="微软雅黑" w:cs="微软雅黑"/>
      <w:color w:val="000000"/>
      <w:sz w:val="20"/>
      <w:szCs w:val="20"/>
      <w:u w:val="none"/>
    </w:rPr>
  </w:style>
  <w:style w:type="character" w:customStyle="1" w:styleId="809">
    <w:name w:val="Char Char312"/>
    <w:qFormat/>
    <w:uiPriority w:val="0"/>
    <w:rPr>
      <w:rFonts w:ascii="Times New Roman" w:hAnsi="Times New Roman" w:eastAsia="宋体" w:cs="Times New Roman"/>
      <w:b/>
      <w:kern w:val="2"/>
      <w:sz w:val="32"/>
      <w:szCs w:val="24"/>
      <w:lang w:val="en-US" w:eastAsia="zh-CN" w:bidi="ar-SA"/>
    </w:rPr>
  </w:style>
  <w:style w:type="character" w:customStyle="1" w:styleId="810">
    <w:name w:val="t21"/>
    <w:qFormat/>
    <w:uiPriority w:val="0"/>
    <w:rPr>
      <w:rFonts w:ascii="仿宋_GB2312" w:eastAsia="微软雅黑"/>
      <w:b/>
      <w:kern w:val="2"/>
      <w:sz w:val="23"/>
      <w:szCs w:val="23"/>
      <w:lang w:val="en-US" w:eastAsia="zh-CN" w:bidi="ar-SA"/>
    </w:rPr>
  </w:style>
  <w:style w:type="character" w:customStyle="1" w:styleId="811">
    <w:name w:val="样式8 Char"/>
    <w:qFormat/>
    <w:uiPriority w:val="0"/>
    <w:rPr>
      <w:rFonts w:ascii="仿宋_GB2312" w:hAnsi="宋体" w:eastAsia="仿宋_GB2312"/>
      <w:b/>
      <w:bCs/>
      <w:kern w:val="2"/>
      <w:sz w:val="24"/>
      <w:szCs w:val="24"/>
    </w:rPr>
  </w:style>
  <w:style w:type="character" w:customStyle="1" w:styleId="812">
    <w:name w:val="表格 Char Char"/>
    <w:qFormat/>
    <w:uiPriority w:val="0"/>
    <w:rPr>
      <w:rFonts w:ascii="宋体" w:hAnsi="宋体" w:eastAsia="宋体"/>
      <w:lang w:bidi="ar-SA"/>
    </w:rPr>
  </w:style>
  <w:style w:type="character" w:customStyle="1" w:styleId="813">
    <w:name w:val="正文文本 字符1"/>
    <w:qFormat/>
    <w:uiPriority w:val="0"/>
    <w:rPr>
      <w:rFonts w:ascii="Calibri" w:hAnsi="Calibri" w:eastAsia="黑体" w:cs="Arial"/>
      <w:snapToGrid w:val="0"/>
      <w:kern w:val="2"/>
      <w:sz w:val="28"/>
      <w:szCs w:val="21"/>
    </w:rPr>
  </w:style>
  <w:style w:type="character" w:customStyle="1" w:styleId="814">
    <w:name w:val="标题 5 字符"/>
    <w:link w:val="7"/>
    <w:qFormat/>
    <w:uiPriority w:val="9"/>
    <w:rPr>
      <w:b/>
      <w:bCs/>
      <w:kern w:val="2"/>
      <w:sz w:val="28"/>
      <w:szCs w:val="28"/>
    </w:rPr>
  </w:style>
  <w:style w:type="character" w:customStyle="1" w:styleId="815">
    <w:name w:val="标题 6 Char1"/>
    <w:qFormat/>
    <w:uiPriority w:val="0"/>
    <w:rPr>
      <w:rFonts w:ascii="Arial" w:hAnsi="Arial" w:eastAsia="黑体" w:cs="Times New Roman"/>
      <w:b/>
      <w:sz w:val="24"/>
      <w:szCs w:val="20"/>
      <w:lang w:bidi="ar-SA"/>
    </w:rPr>
  </w:style>
  <w:style w:type="character" w:customStyle="1" w:styleId="816">
    <w:name w:val="带编号样式 Char"/>
    <w:qFormat/>
    <w:uiPriority w:val="0"/>
    <w:rPr>
      <w:rFonts w:ascii="仿宋_GB2312" w:eastAsia="仿宋_GB2312"/>
      <w:color w:val="000000"/>
      <w:sz w:val="24"/>
      <w:lang w:bidi="ar-SA"/>
    </w:rPr>
  </w:style>
  <w:style w:type="character" w:customStyle="1" w:styleId="817">
    <w:name w:val="unnamed31"/>
    <w:qFormat/>
    <w:uiPriority w:val="0"/>
    <w:rPr>
      <w:rFonts w:ascii="Tahoma" w:hAnsi="Tahoma" w:eastAsia="宋体"/>
      <w:b/>
      <w:kern w:val="2"/>
      <w:sz w:val="24"/>
      <w:szCs w:val="32"/>
      <w:u w:val="none"/>
      <w:lang w:val="en-US" w:eastAsia="zh-CN" w:bidi="ar-SA"/>
    </w:rPr>
  </w:style>
  <w:style w:type="character" w:customStyle="1" w:styleId="818">
    <w:name w:val="正文首行缩进 Char Char Char Char Char Char1"/>
    <w:qFormat/>
    <w:uiPriority w:val="0"/>
    <w:rPr>
      <w:rFonts w:ascii="宋体" w:eastAsia="宋体"/>
      <w:kern w:val="2"/>
      <w:sz w:val="24"/>
      <w:szCs w:val="24"/>
      <w:lang w:val="zh-CN" w:bidi="ar-SA"/>
    </w:rPr>
  </w:style>
  <w:style w:type="character" w:customStyle="1" w:styleId="819">
    <w:name w:val="称呼 字符"/>
    <w:link w:val="20"/>
    <w:qFormat/>
    <w:uiPriority w:val="0"/>
    <w:rPr>
      <w:rFonts w:ascii="仿宋_GB2312" w:eastAsia="仿宋_GB2312"/>
      <w:kern w:val="2"/>
      <w:sz w:val="28"/>
    </w:rPr>
  </w:style>
  <w:style w:type="character" w:customStyle="1" w:styleId="820">
    <w:name w:val="文本正文 Char Char"/>
    <w:qFormat/>
    <w:locked/>
    <w:uiPriority w:val="0"/>
    <w:rPr>
      <w:sz w:val="24"/>
      <w:lang w:bidi="ar-SA"/>
    </w:rPr>
  </w:style>
  <w:style w:type="character" w:customStyle="1" w:styleId="821">
    <w:name w:val="正文缩进 字符"/>
    <w:qFormat/>
    <w:uiPriority w:val="0"/>
    <w:rPr>
      <w:rFonts w:ascii="宋体" w:eastAsia="宋体"/>
      <w:snapToGrid w:val="0"/>
      <w:color w:val="000000"/>
      <w:kern w:val="28"/>
      <w:sz w:val="28"/>
      <w:lang w:val="en-US" w:eastAsia="zh-CN" w:bidi="ar-SA"/>
    </w:rPr>
  </w:style>
  <w:style w:type="character" w:customStyle="1" w:styleId="822">
    <w:name w:val="HTML 预设格式 字符"/>
    <w:link w:val="56"/>
    <w:qFormat/>
    <w:uiPriority w:val="0"/>
    <w:rPr>
      <w:rFonts w:ascii="黑体" w:hAnsi="Courier New" w:eastAsia="黑体"/>
    </w:rPr>
  </w:style>
  <w:style w:type="character" w:customStyle="1" w:styleId="823">
    <w:name w:val="正文文本 2 字符1"/>
    <w:link w:val="55"/>
    <w:qFormat/>
    <w:uiPriority w:val="0"/>
    <w:rPr>
      <w:kern w:val="2"/>
      <w:sz w:val="21"/>
      <w:szCs w:val="24"/>
    </w:rPr>
  </w:style>
  <w:style w:type="character" w:customStyle="1" w:styleId="824">
    <w:name w:val="样式 样式 标题 4h4H4Fab-4T5Ref Heading 1rh1Heading sqlsect 1.2.3.... +... Char"/>
    <w:link w:val="106"/>
    <w:qFormat/>
    <w:uiPriority w:val="0"/>
    <w:rPr>
      <w:rFonts w:ascii="微软雅黑" w:hAnsi="微软雅黑" w:eastAsia="微软雅黑"/>
      <w:b/>
      <w:bCs/>
      <w:kern w:val="2"/>
      <w:sz w:val="24"/>
      <w:szCs w:val="28"/>
    </w:rPr>
  </w:style>
  <w:style w:type="character" w:customStyle="1" w:styleId="825">
    <w:name w:val="正文非缩进 Char"/>
    <w:qFormat/>
    <w:uiPriority w:val="0"/>
    <w:rPr>
      <w:rFonts w:ascii="宋体" w:eastAsia="宋体"/>
      <w:snapToGrid w:val="0"/>
      <w:color w:val="000000"/>
      <w:kern w:val="28"/>
      <w:sz w:val="28"/>
      <w:lang w:val="en-US" w:eastAsia="zh-CN" w:bidi="ar-SA"/>
    </w:rPr>
  </w:style>
  <w:style w:type="character" w:customStyle="1" w:styleId="826">
    <w:name w:val="标题 7 字符"/>
    <w:link w:val="9"/>
    <w:qFormat/>
    <w:uiPriority w:val="0"/>
    <w:rPr>
      <w:b/>
      <w:bCs/>
      <w:kern w:val="2"/>
      <w:sz w:val="24"/>
      <w:szCs w:val="24"/>
    </w:rPr>
  </w:style>
  <w:style w:type="character" w:customStyle="1" w:styleId="827">
    <w:name w:val="正文文本缩进 2 字符"/>
    <w:link w:val="36"/>
    <w:qFormat/>
    <w:uiPriority w:val="0"/>
    <w:rPr>
      <w:rFonts w:ascii="宋体"/>
      <w:sz w:val="28"/>
    </w:rPr>
  </w:style>
  <w:style w:type="character" w:customStyle="1" w:styleId="828">
    <w:name w:val="Char Char5"/>
    <w:qFormat/>
    <w:uiPriority w:val="0"/>
    <w:rPr>
      <w:rFonts w:ascii="宋体" w:hAnsi="Courier New" w:eastAsia="宋体"/>
      <w:kern w:val="2"/>
      <w:sz w:val="21"/>
      <w:lang w:val="en-US" w:eastAsia="zh-CN"/>
    </w:rPr>
  </w:style>
  <w:style w:type="character" w:customStyle="1" w:styleId="829">
    <w:name w:val="脚注文本 字符"/>
    <w:link w:val="49"/>
    <w:qFormat/>
    <w:uiPriority w:val="0"/>
    <w:rPr>
      <w:color w:val="0000FF"/>
      <w:sz w:val="21"/>
    </w:rPr>
  </w:style>
  <w:style w:type="character" w:customStyle="1" w:styleId="830">
    <w:name w:val="称呼 Char1"/>
    <w:qFormat/>
    <w:uiPriority w:val="0"/>
    <w:rPr>
      <w:rFonts w:ascii="Times New Roman" w:hAnsi="Times New Roman" w:eastAsia="宋体" w:cs="Times New Roman"/>
      <w:szCs w:val="24"/>
    </w:rPr>
  </w:style>
  <w:style w:type="character" w:customStyle="1" w:styleId="831">
    <w:name w:val="正文1 Char"/>
    <w:qFormat/>
    <w:uiPriority w:val="0"/>
    <w:rPr>
      <w:rFonts w:ascii="宋体" w:eastAsia="宋体"/>
      <w:snapToGrid w:val="0"/>
      <w:color w:val="000000"/>
      <w:kern w:val="28"/>
      <w:sz w:val="28"/>
      <w:lang w:val="en-US" w:eastAsia="zh-CN" w:bidi="ar-SA"/>
    </w:rPr>
  </w:style>
  <w:style w:type="character" w:customStyle="1" w:styleId="832">
    <w:name w:val="正文缩进 Char1"/>
    <w:qFormat/>
    <w:uiPriority w:val="0"/>
    <w:rPr>
      <w:rFonts w:ascii="宋体" w:eastAsia="宋体"/>
      <w:snapToGrid w:val="0"/>
      <w:color w:val="000000"/>
      <w:kern w:val="28"/>
      <w:sz w:val="28"/>
      <w:lang w:val="en-US" w:eastAsia="zh-CN" w:bidi="ar-SA"/>
    </w:rPr>
  </w:style>
  <w:style w:type="character" w:customStyle="1" w:styleId="833">
    <w:name w:val="font21"/>
    <w:qFormat/>
    <w:uiPriority w:val="0"/>
    <w:rPr>
      <w:rFonts w:hint="eastAsia" w:ascii="宋体" w:hAnsi="宋体" w:eastAsia="宋体"/>
      <w:kern w:val="2"/>
      <w:sz w:val="28"/>
      <w:szCs w:val="28"/>
      <w:lang w:val="en-US" w:eastAsia="zh-CN" w:bidi="ar-SA"/>
    </w:rPr>
  </w:style>
  <w:style w:type="character" w:customStyle="1" w:styleId="834">
    <w:name w:val="Char Char26"/>
    <w:qFormat/>
    <w:uiPriority w:val="6"/>
    <w:rPr>
      <w:kern w:val="1"/>
      <w:sz w:val="21"/>
      <w:szCs w:val="24"/>
    </w:rPr>
  </w:style>
  <w:style w:type="character" w:customStyle="1" w:styleId="835">
    <w:name w:val="Item List Char"/>
    <w:link w:val="108"/>
    <w:qFormat/>
    <w:uiPriority w:val="0"/>
    <w:rPr>
      <w:rFonts w:ascii="Arial"/>
      <w:bCs/>
      <w:sz w:val="21"/>
      <w:szCs w:val="21"/>
      <w:lang w:val="en-US" w:eastAsia="zh-CN" w:bidi="ar-SA"/>
    </w:rPr>
  </w:style>
  <w:style w:type="character" w:customStyle="1" w:styleId="836">
    <w:name w:val="批注框文本 Char1"/>
    <w:qFormat/>
    <w:uiPriority w:val="0"/>
    <w:rPr>
      <w:rFonts w:ascii="Times New Roman" w:hAnsi="Times New Roman" w:eastAsia="宋体" w:cs="Times New Roman"/>
      <w:sz w:val="18"/>
      <w:szCs w:val="18"/>
    </w:rPr>
  </w:style>
  <w:style w:type="character" w:customStyle="1" w:styleId="837">
    <w:name w:val="纯文本 Char1"/>
    <w:link w:val="109"/>
    <w:qFormat/>
    <w:uiPriority w:val="0"/>
    <w:rPr>
      <w:rFonts w:ascii="宋体" w:hAnsi="Courier New"/>
    </w:rPr>
  </w:style>
  <w:style w:type="character" w:customStyle="1" w:styleId="838">
    <w:name w:val="正文文本首行缩进 字符"/>
    <w:link w:val="60"/>
    <w:qFormat/>
    <w:uiPriority w:val="0"/>
    <w:rPr>
      <w:rFonts w:ascii="宋体"/>
      <w:kern w:val="2"/>
      <w:sz w:val="24"/>
      <w:lang w:val="zh-CN"/>
    </w:rPr>
  </w:style>
  <w:style w:type="character" w:customStyle="1" w:styleId="839">
    <w:name w:val="h3 Char"/>
    <w:qFormat/>
    <w:uiPriority w:val="0"/>
    <w:rPr>
      <w:rFonts w:eastAsia="宋体"/>
      <w:b/>
      <w:kern w:val="2"/>
      <w:sz w:val="32"/>
      <w:lang w:val="en-US" w:eastAsia="zh-CN" w:bidi="ar-SA"/>
    </w:rPr>
  </w:style>
  <w:style w:type="character" w:customStyle="1" w:styleId="840">
    <w:name w:val="dandyren_title1"/>
    <w:qFormat/>
    <w:uiPriority w:val="0"/>
    <w:rPr>
      <w:b/>
      <w:bCs/>
      <w:color w:val="FF6633"/>
      <w:sz w:val="18"/>
      <w:szCs w:val="18"/>
    </w:rPr>
  </w:style>
  <w:style w:type="character" w:customStyle="1" w:styleId="841">
    <w:name w:val="Char Char31"/>
    <w:qFormat/>
    <w:uiPriority w:val="6"/>
    <w:rPr>
      <w:rFonts w:ascii="Arial" w:hAnsi="Arial" w:eastAsia="黑体"/>
      <w:kern w:val="1"/>
      <w:sz w:val="24"/>
      <w:szCs w:val="24"/>
    </w:rPr>
  </w:style>
  <w:style w:type="character" w:customStyle="1" w:styleId="842">
    <w:name w:val="h Char1"/>
    <w:qFormat/>
    <w:uiPriority w:val="0"/>
    <w:rPr>
      <w:sz w:val="18"/>
      <w:szCs w:val="18"/>
    </w:rPr>
  </w:style>
  <w:style w:type="character" w:customStyle="1" w:styleId="843">
    <w:name w:val="solutionfonts"/>
    <w:qFormat/>
    <w:uiPriority w:val="0"/>
  </w:style>
  <w:style w:type="character" w:customStyle="1" w:styleId="844">
    <w:name w:val="标题 4 字符1"/>
    <w:link w:val="6"/>
    <w:qFormat/>
    <w:uiPriority w:val="9"/>
    <w:rPr>
      <w:rFonts w:ascii="Arial" w:hAnsi="Arial" w:eastAsia="黑体"/>
      <w:b/>
      <w:bCs/>
      <w:kern w:val="2"/>
      <w:sz w:val="28"/>
      <w:szCs w:val="28"/>
      <w:lang w:val="zh-CN"/>
    </w:rPr>
  </w:style>
  <w:style w:type="character" w:customStyle="1" w:styleId="845">
    <w:name w:val="首行缩进 Char"/>
    <w:qFormat/>
    <w:uiPriority w:val="0"/>
    <w:rPr>
      <w:rFonts w:ascii="宋体" w:eastAsia="宋体"/>
      <w:kern w:val="2"/>
      <w:sz w:val="24"/>
      <w:lang w:val="en-US" w:eastAsia="zh-CN" w:bidi="ar-SA"/>
    </w:rPr>
  </w:style>
  <w:style w:type="character" w:customStyle="1" w:styleId="846">
    <w:name w:val="Char Char52"/>
    <w:qFormat/>
    <w:uiPriority w:val="0"/>
    <w:rPr>
      <w:rFonts w:ascii="宋体" w:hAnsi="Courier New" w:eastAsia="宋体"/>
      <w:kern w:val="2"/>
      <w:sz w:val="21"/>
      <w:lang w:val="en-US" w:eastAsia="zh-CN"/>
    </w:rPr>
  </w:style>
  <w:style w:type="character" w:customStyle="1" w:styleId="847">
    <w:name w:val="正文文本 3 字符"/>
    <w:link w:val="21"/>
    <w:qFormat/>
    <w:uiPriority w:val="0"/>
    <w:rPr>
      <w:kern w:val="2"/>
      <w:sz w:val="21"/>
    </w:rPr>
  </w:style>
  <w:style w:type="character" w:customStyle="1" w:styleId="848">
    <w:name w:val="font31"/>
    <w:basedOn w:val="69"/>
    <w:qFormat/>
    <w:uiPriority w:val="0"/>
    <w:rPr>
      <w:rFonts w:hint="eastAsia" w:ascii="仿宋" w:hAnsi="仿宋" w:eastAsia="仿宋" w:cs="仿宋"/>
      <w:color w:val="000000"/>
      <w:sz w:val="20"/>
      <w:szCs w:val="20"/>
      <w:u w:val="none"/>
    </w:rPr>
  </w:style>
  <w:style w:type="character" w:customStyle="1" w:styleId="849">
    <w:name w:val="正文说明 Char"/>
    <w:link w:val="110"/>
    <w:qFormat/>
    <w:uiPriority w:val="0"/>
    <w:rPr>
      <w:sz w:val="24"/>
      <w:szCs w:val="24"/>
    </w:rPr>
  </w:style>
  <w:style w:type="character" w:customStyle="1" w:styleId="850">
    <w:name w:val="脚注文本 Char1"/>
    <w:qFormat/>
    <w:uiPriority w:val="0"/>
    <w:rPr>
      <w:rFonts w:ascii="Times New Roman" w:hAnsi="Times New Roman" w:eastAsia="宋体" w:cs="Times New Roman"/>
      <w:sz w:val="18"/>
      <w:szCs w:val="18"/>
    </w:rPr>
  </w:style>
  <w:style w:type="character" w:customStyle="1" w:styleId="851">
    <w:name w:val="Char Char1211"/>
    <w:qFormat/>
    <w:uiPriority w:val="0"/>
    <w:rPr>
      <w:rFonts w:ascii="仿宋_GB2312" w:eastAsia="仿宋_GB2312"/>
      <w:b/>
      <w:bCs/>
      <w:kern w:val="2"/>
      <w:sz w:val="24"/>
      <w:szCs w:val="24"/>
      <w:lang w:val="zh-CN" w:eastAsia="zh-CN" w:bidi="ar-SA"/>
    </w:rPr>
  </w:style>
  <w:style w:type="character" w:customStyle="1" w:styleId="852">
    <w:name w:val="标题 Char"/>
    <w:qFormat/>
    <w:uiPriority w:val="0"/>
    <w:rPr>
      <w:rFonts w:eastAsia="宋体"/>
      <w:b/>
      <w:sz w:val="24"/>
      <w:lang w:eastAsia="zh-CN" w:bidi="ar-SA"/>
    </w:rPr>
  </w:style>
  <w:style w:type="character" w:customStyle="1" w:styleId="853">
    <w:name w:val="Char Char35"/>
    <w:qFormat/>
    <w:uiPriority w:val="6"/>
    <w:rPr>
      <w:rFonts w:ascii="Arial" w:hAnsi="Arial" w:eastAsia="黑体"/>
      <w:b/>
      <w:kern w:val="1"/>
      <w:sz w:val="28"/>
      <w:szCs w:val="28"/>
      <w:lang w:val="zh-CN"/>
    </w:rPr>
  </w:style>
  <w:style w:type="character" w:customStyle="1" w:styleId="854">
    <w:name w:val="纯文本 Char Char Char"/>
    <w:qFormat/>
    <w:uiPriority w:val="0"/>
    <w:rPr>
      <w:rFonts w:ascii="宋体" w:hAnsi="Courier New" w:eastAsia="宋体"/>
      <w:kern w:val="2"/>
      <w:sz w:val="21"/>
      <w:lang w:val="en-US" w:eastAsia="zh-CN" w:bidi="ar-SA"/>
    </w:rPr>
  </w:style>
  <w:style w:type="character" w:customStyle="1" w:styleId="855">
    <w:name w:val="Table Text Char"/>
    <w:link w:val="111"/>
    <w:qFormat/>
    <w:uiPriority w:val="0"/>
    <w:rPr>
      <w:sz w:val="24"/>
      <w:szCs w:val="24"/>
    </w:rPr>
  </w:style>
  <w:style w:type="character" w:customStyle="1" w:styleId="856">
    <w:name w:val="正文1 Char1"/>
    <w:qFormat/>
    <w:uiPriority w:val="0"/>
    <w:rPr>
      <w:rFonts w:ascii="仿宋_GB2312" w:hAnsi="Courier New" w:eastAsia="仿宋_GB2312"/>
      <w:kern w:val="28"/>
      <w:sz w:val="24"/>
      <w:szCs w:val="24"/>
      <w:lang w:val="en-US" w:eastAsia="zh-CN"/>
    </w:rPr>
  </w:style>
  <w:style w:type="character" w:customStyle="1" w:styleId="857">
    <w:name w:val="页脚 Char1"/>
    <w:qFormat/>
    <w:uiPriority w:val="0"/>
    <w:rPr>
      <w:rFonts w:eastAsia="宋体"/>
      <w:kern w:val="2"/>
      <w:sz w:val="18"/>
      <w:szCs w:val="18"/>
      <w:lang w:val="en-US" w:eastAsia="zh-CN" w:bidi="ar-SA"/>
    </w:rPr>
  </w:style>
  <w:style w:type="character" w:customStyle="1" w:styleId="858">
    <w:name w:val="Bold"/>
    <w:qFormat/>
    <w:uiPriority w:val="0"/>
    <w:rPr>
      <w:rFonts w:ascii="Arial" w:hAnsi="Arial" w:eastAsia="黑体" w:cs="Times New Roman"/>
      <w:b/>
      <w:kern w:val="2"/>
      <w:sz w:val="32"/>
      <w:szCs w:val="32"/>
      <w:lang w:val="en-US" w:eastAsia="zh-CN" w:bidi="ar-SA"/>
    </w:rPr>
  </w:style>
  <w:style w:type="character" w:customStyle="1" w:styleId="859">
    <w:name w:val="批注文字 字符1"/>
    <w:link w:val="19"/>
    <w:qFormat/>
    <w:uiPriority w:val="99"/>
    <w:rPr>
      <w:kern w:val="2"/>
      <w:sz w:val="21"/>
      <w:szCs w:val="24"/>
    </w:rPr>
  </w:style>
  <w:style w:type="character" w:customStyle="1" w:styleId="860">
    <w:name w:val="签名 字符"/>
    <w:link w:val="41"/>
    <w:qFormat/>
    <w:uiPriority w:val="0"/>
    <w:rPr>
      <w:rFonts w:eastAsia="仿宋_GB2312"/>
      <w:sz w:val="24"/>
    </w:rPr>
  </w:style>
  <w:style w:type="character" w:customStyle="1" w:styleId="861">
    <w:name w:val="hui3"/>
    <w:qFormat/>
    <w:uiPriority w:val="0"/>
    <w:rPr>
      <w:color w:val="333333"/>
    </w:rPr>
  </w:style>
  <w:style w:type="character" w:customStyle="1" w:styleId="862">
    <w:name w:val="Char Char17"/>
    <w:qFormat/>
    <w:uiPriority w:val="6"/>
    <w:rPr>
      <w:rFonts w:eastAsia="仿宋_GB2312"/>
      <w:sz w:val="24"/>
    </w:rPr>
  </w:style>
  <w:style w:type="character" w:customStyle="1" w:styleId="863">
    <w:name w:val="标题 4 字符"/>
    <w:qFormat/>
    <w:uiPriority w:val="9"/>
    <w:rPr>
      <w:rFonts w:ascii="等线 Light" w:hAnsi="等线 Light" w:eastAsia="等线 Light" w:cs="Times New Roman"/>
      <w:b/>
      <w:bCs/>
      <w:snapToGrid w:val="0"/>
      <w:kern w:val="0"/>
      <w:sz w:val="28"/>
      <w:szCs w:val="28"/>
    </w:rPr>
  </w:style>
  <w:style w:type="character" w:customStyle="1" w:styleId="864">
    <w:name w:val="Char Char37"/>
    <w:qFormat/>
    <w:uiPriority w:val="6"/>
    <w:rPr>
      <w:b/>
      <w:kern w:val="1"/>
      <w:sz w:val="44"/>
      <w:szCs w:val="44"/>
    </w:rPr>
  </w:style>
  <w:style w:type="character" w:customStyle="1" w:styleId="865">
    <w:name w:val="列出段落 Char"/>
    <w:qFormat/>
    <w:uiPriority w:val="0"/>
    <w:rPr>
      <w:rFonts w:eastAsia="楷体_GB2312" w:cs="Lucida Sans"/>
      <w:kern w:val="2"/>
      <w:sz w:val="24"/>
      <w:szCs w:val="24"/>
      <w:lang w:val="en-US" w:eastAsia="zh-CN" w:bidi="ar-SA"/>
    </w:rPr>
  </w:style>
  <w:style w:type="character" w:customStyle="1" w:styleId="866">
    <w:name w:val="正文文本缩进 3 Char1"/>
    <w:semiHidden/>
    <w:qFormat/>
    <w:uiPriority w:val="99"/>
    <w:rPr>
      <w:rFonts w:ascii="Times New Roman" w:hAnsi="Times New Roman" w:eastAsia="宋体" w:cs="Times New Roman"/>
      <w:sz w:val="16"/>
      <w:szCs w:val="16"/>
    </w:rPr>
  </w:style>
  <w:style w:type="character" w:customStyle="1" w:styleId="867">
    <w:name w:val="公文正文 Char Char"/>
    <w:link w:val="112"/>
    <w:qFormat/>
    <w:uiPriority w:val="0"/>
    <w:rPr>
      <w:rFonts w:ascii="仿宋_GB2312" w:eastAsia="仿宋_GB2312"/>
      <w:kern w:val="2"/>
      <w:sz w:val="24"/>
      <w:szCs w:val="24"/>
    </w:rPr>
  </w:style>
  <w:style w:type="character" w:customStyle="1" w:styleId="868">
    <w:name w:val="Table Text Char1"/>
    <w:qFormat/>
    <w:uiPriority w:val="0"/>
    <w:rPr>
      <w:rFonts w:eastAsia="宋体"/>
      <w:sz w:val="24"/>
      <w:szCs w:val="24"/>
      <w:lang w:val="en-US" w:eastAsia="zh-CN" w:bidi="ar-SA"/>
    </w:rPr>
  </w:style>
  <w:style w:type="character" w:customStyle="1" w:styleId="869">
    <w:name w:val="标题 1 Char Char"/>
    <w:qFormat/>
    <w:uiPriority w:val="0"/>
    <w:rPr>
      <w:rFonts w:hint="eastAsia" w:ascii="宋体" w:hAnsi="宋体" w:eastAsia="宋体"/>
      <w:b/>
      <w:spacing w:val="-2"/>
      <w:sz w:val="24"/>
      <w:lang w:val="en-US" w:eastAsia="zh-CN" w:bidi="ar-SA"/>
    </w:rPr>
  </w:style>
  <w:style w:type="character" w:customStyle="1" w:styleId="870">
    <w:name w:val="正文（缩进2汉字） Char"/>
    <w:link w:val="113"/>
    <w:qFormat/>
    <w:uiPriority w:val="0"/>
    <w:rPr>
      <w:rFonts w:ascii="宋体"/>
    </w:rPr>
  </w:style>
  <w:style w:type="character" w:customStyle="1" w:styleId="871">
    <w:name w:val="标题 8 字符"/>
    <w:link w:val="10"/>
    <w:qFormat/>
    <w:uiPriority w:val="0"/>
    <w:rPr>
      <w:rFonts w:ascii="Arial" w:hAnsi="Arial" w:eastAsia="黑体"/>
      <w:kern w:val="2"/>
      <w:sz w:val="24"/>
      <w:szCs w:val="24"/>
    </w:rPr>
  </w:style>
  <w:style w:type="character" w:customStyle="1" w:styleId="872">
    <w:name w:val="标书表格字体格式 Char"/>
    <w:qFormat/>
    <w:uiPriority w:val="0"/>
    <w:rPr>
      <w:kern w:val="2"/>
      <w:sz w:val="21"/>
      <w:szCs w:val="24"/>
      <w:lang w:bidi="ar-SA"/>
    </w:rPr>
  </w:style>
  <w:style w:type="character" w:customStyle="1" w:styleId="873">
    <w:name w:val="tw4winError"/>
    <w:qFormat/>
    <w:uiPriority w:val="0"/>
    <w:rPr>
      <w:rFonts w:ascii="Courier New" w:hAnsi="Courier New" w:cs="Courier New"/>
      <w:color w:val="00FF00"/>
      <w:sz w:val="40"/>
      <w:szCs w:val="40"/>
    </w:rPr>
  </w:style>
  <w:style w:type="character" w:customStyle="1" w:styleId="874">
    <w:name w:val="Body Text(ch) Char Char"/>
    <w:qFormat/>
    <w:uiPriority w:val="0"/>
    <w:rPr>
      <w:rFonts w:ascii="宋体"/>
      <w:kern w:val="2"/>
      <w:sz w:val="24"/>
      <w:szCs w:val="21"/>
      <w:lang w:val="zh-CN"/>
    </w:rPr>
  </w:style>
  <w:style w:type="character" w:customStyle="1" w:styleId="875">
    <w:name w:val="正文首行缩进两字 Char"/>
    <w:qFormat/>
    <w:uiPriority w:val="0"/>
    <w:rPr>
      <w:sz w:val="24"/>
      <w:szCs w:val="24"/>
      <w:lang w:val="en-US" w:eastAsia="zh-CN" w:bidi="ar-SA"/>
    </w:rPr>
  </w:style>
  <w:style w:type="character" w:customStyle="1" w:styleId="876">
    <w:name w:val="正文文本 Char"/>
    <w:qFormat/>
    <w:uiPriority w:val="0"/>
    <w:rPr>
      <w:rFonts w:eastAsia="宋体"/>
      <w:kern w:val="2"/>
      <w:sz w:val="24"/>
      <w:szCs w:val="24"/>
      <w:lang w:val="en-US" w:eastAsia="zh-CN" w:bidi="ar-SA"/>
    </w:rPr>
  </w:style>
  <w:style w:type="character" w:customStyle="1" w:styleId="877">
    <w:name w:val="文档结构图 字符1"/>
    <w:qFormat/>
    <w:uiPriority w:val="0"/>
    <w:rPr>
      <w:rFonts w:ascii="宋体" w:hAnsi="Calibri" w:eastAsia="黑体" w:cs="Arial"/>
      <w:snapToGrid w:val="0"/>
      <w:kern w:val="2"/>
      <w:sz w:val="18"/>
      <w:szCs w:val="18"/>
    </w:rPr>
  </w:style>
  <w:style w:type="character" w:customStyle="1" w:styleId="878">
    <w:name w:val="content"/>
    <w:qFormat/>
    <w:uiPriority w:val="0"/>
  </w:style>
  <w:style w:type="character" w:customStyle="1" w:styleId="879">
    <w:name w:val="tw4winPopup"/>
    <w:qFormat/>
    <w:uiPriority w:val="0"/>
    <w:rPr>
      <w:rFonts w:ascii="Courier New" w:hAnsi="Courier New" w:cs="Courier New"/>
      <w:color w:val="008000"/>
      <w:lang w:val="en-US" w:eastAsia="zh-CN"/>
    </w:rPr>
  </w:style>
  <w:style w:type="character" w:customStyle="1" w:styleId="880">
    <w:name w:val="param-name"/>
    <w:qFormat/>
    <w:uiPriority w:val="99"/>
    <w:rPr>
      <w:rFonts w:ascii="Arial" w:hAnsi="Arial" w:eastAsia="黑体" w:cs="Arial"/>
      <w:snapToGrid w:val="0"/>
      <w:kern w:val="0"/>
      <w:szCs w:val="21"/>
    </w:rPr>
  </w:style>
  <w:style w:type="character" w:customStyle="1" w:styleId="881">
    <w:name w:val="标准正文格式 Char"/>
    <w:qFormat/>
    <w:uiPriority w:val="0"/>
    <w:rPr>
      <w:rFonts w:ascii="宋体" w:eastAsia="仿宋_GB2312" w:cs="宋体"/>
      <w:color w:val="000000"/>
      <w:sz w:val="24"/>
      <w:lang w:val="en-US" w:eastAsia="zh-CN" w:bidi="ar-SA"/>
    </w:rPr>
  </w:style>
  <w:style w:type="character" w:customStyle="1" w:styleId="882">
    <w:name w:val="Char Char212"/>
    <w:qFormat/>
    <w:uiPriority w:val="0"/>
    <w:rPr>
      <w:rFonts w:eastAsia="宋体"/>
      <w:b/>
      <w:bCs/>
      <w:kern w:val="2"/>
      <w:sz w:val="21"/>
      <w:szCs w:val="24"/>
      <w:lang w:val="en-US" w:eastAsia="zh-CN" w:bidi="ar-SA"/>
    </w:rPr>
  </w:style>
  <w:style w:type="character" w:customStyle="1" w:styleId="883">
    <w:name w:val="文档结构图 Char"/>
    <w:qFormat/>
    <w:uiPriority w:val="0"/>
    <w:rPr>
      <w:rFonts w:eastAsia="宋体"/>
      <w:kern w:val="2"/>
      <w:sz w:val="21"/>
      <w:szCs w:val="24"/>
      <w:lang w:val="en-US" w:eastAsia="zh-CN" w:bidi="ar-SA"/>
    </w:rPr>
  </w:style>
  <w:style w:type="character" w:customStyle="1" w:styleId="884">
    <w:name w:val="zbggmain style9"/>
    <w:qFormat/>
    <w:uiPriority w:val="0"/>
  </w:style>
  <w:style w:type="character" w:customStyle="1" w:styleId="885">
    <w:name w:val="Char Char16"/>
    <w:qFormat/>
    <w:uiPriority w:val="6"/>
    <w:rPr>
      <w:kern w:val="1"/>
      <w:sz w:val="18"/>
      <w:szCs w:val="18"/>
    </w:rPr>
  </w:style>
  <w:style w:type="character" w:customStyle="1" w:styleId="886">
    <w:name w:val="font51"/>
    <w:basedOn w:val="69"/>
    <w:qFormat/>
    <w:uiPriority w:val="0"/>
    <w:rPr>
      <w:rFonts w:hint="eastAsia" w:ascii="仿宋" w:hAnsi="仿宋" w:eastAsia="仿宋" w:cs="仿宋"/>
      <w:color w:val="000000"/>
      <w:sz w:val="20"/>
      <w:szCs w:val="20"/>
      <w:u w:val="none"/>
    </w:rPr>
  </w:style>
  <w:style w:type="character" w:customStyle="1" w:styleId="887">
    <w:name w:val="Char Char82"/>
    <w:qFormat/>
    <w:uiPriority w:val="0"/>
    <w:rPr>
      <w:rFonts w:eastAsia="宋体"/>
      <w:b/>
      <w:sz w:val="24"/>
      <w:lang w:eastAsia="zh-CN"/>
    </w:rPr>
  </w:style>
  <w:style w:type="character" w:customStyle="1" w:styleId="888">
    <w:name w:val="正文文本缩进 3 字符"/>
    <w:link w:val="52"/>
    <w:qFormat/>
    <w:uiPriority w:val="0"/>
    <w:rPr>
      <w:kern w:val="2"/>
      <w:sz w:val="24"/>
    </w:rPr>
  </w:style>
  <w:style w:type="character" w:customStyle="1" w:styleId="889">
    <w:name w:val="日期 Char1"/>
    <w:semiHidden/>
    <w:qFormat/>
    <w:uiPriority w:val="99"/>
    <w:rPr>
      <w:rFonts w:ascii="Times New Roman" w:hAnsi="Times New Roman" w:eastAsia="宋体" w:cs="Times New Roman"/>
      <w:szCs w:val="24"/>
    </w:rPr>
  </w:style>
  <w:style w:type="character" w:customStyle="1" w:styleId="890">
    <w:name w:val="页眉 字符"/>
    <w:qFormat/>
    <w:uiPriority w:val="99"/>
    <w:rPr>
      <w:kern w:val="2"/>
      <w:sz w:val="18"/>
      <w:szCs w:val="18"/>
    </w:rPr>
  </w:style>
  <w:style w:type="character" w:customStyle="1" w:styleId="891">
    <w:name w:val="Char Char33"/>
    <w:qFormat/>
    <w:uiPriority w:val="6"/>
    <w:rPr>
      <w:rFonts w:ascii="Arial" w:hAnsi="Arial" w:eastAsia="黑体"/>
      <w:b/>
      <w:kern w:val="1"/>
      <w:sz w:val="24"/>
      <w:szCs w:val="24"/>
    </w:rPr>
  </w:style>
  <w:style w:type="character" w:customStyle="1" w:styleId="892">
    <w:name w:val="b11_01b Char"/>
    <w:link w:val="114"/>
    <w:qFormat/>
    <w:uiPriority w:val="0"/>
    <w:rPr>
      <w:rFonts w:ascii="Verdana" w:hAnsi="Verdana"/>
      <w:b/>
      <w:bCs/>
      <w:color w:val="4A82CA"/>
      <w:sz w:val="17"/>
      <w:szCs w:val="17"/>
    </w:rPr>
  </w:style>
  <w:style w:type="character" w:customStyle="1" w:styleId="893">
    <w:name w:val="Char Char121"/>
    <w:qFormat/>
    <w:uiPriority w:val="6"/>
    <w:rPr>
      <w:rFonts w:ascii="仿宋_GB2312" w:eastAsia="仿宋_GB2312"/>
      <w:b/>
      <w:bCs/>
      <w:kern w:val="2"/>
      <w:sz w:val="24"/>
      <w:szCs w:val="24"/>
      <w:lang w:val="zh-CN" w:eastAsia="zh-CN" w:bidi="ar-SA"/>
    </w:rPr>
  </w:style>
  <w:style w:type="character" w:customStyle="1" w:styleId="894">
    <w:name w:val="Footer-Even Char"/>
    <w:qFormat/>
    <w:uiPriority w:val="0"/>
    <w:rPr>
      <w:rFonts w:eastAsia="宋体"/>
      <w:kern w:val="2"/>
      <w:sz w:val="18"/>
      <w:lang w:val="en-US" w:eastAsia="zh-CN" w:bidi="ar-SA"/>
    </w:rPr>
  </w:style>
  <w:style w:type="character" w:customStyle="1" w:styleId="895">
    <w:name w:val="页脚 字符2"/>
    <w:link w:val="39"/>
    <w:qFormat/>
    <w:locked/>
    <w:uiPriority w:val="99"/>
    <w:rPr>
      <w:kern w:val="2"/>
      <w:sz w:val="18"/>
      <w:szCs w:val="18"/>
    </w:rPr>
  </w:style>
  <w:style w:type="character" w:customStyle="1" w:styleId="896">
    <w:name w:val="Char Char36"/>
    <w:qFormat/>
    <w:uiPriority w:val="6"/>
    <w:rPr>
      <w:rFonts w:ascii="仿宋_GB2312" w:hAnsi="仿宋_GB2312" w:eastAsia="仿宋_GB2312" w:cs="Arial"/>
      <w:b/>
      <w:kern w:val="1"/>
      <w:sz w:val="32"/>
      <w:szCs w:val="32"/>
      <w:lang w:val="zh-CN" w:eastAsia="zh-CN" w:bidi="ar-SA"/>
    </w:rPr>
  </w:style>
  <w:style w:type="character" w:customStyle="1" w:styleId="897">
    <w:name w:val="Char Char61"/>
    <w:qFormat/>
    <w:uiPriority w:val="6"/>
    <w:rPr>
      <w:rFonts w:eastAsia="宋体"/>
      <w:kern w:val="2"/>
      <w:sz w:val="21"/>
      <w:szCs w:val="24"/>
      <w:lang w:val="en-US" w:eastAsia="zh-CN" w:bidi="ar-SA"/>
    </w:rPr>
  </w:style>
  <w:style w:type="character" w:customStyle="1" w:styleId="898">
    <w:name w:val="正文文字缩进 2 Char Char"/>
    <w:qFormat/>
    <w:uiPriority w:val="0"/>
    <w:rPr>
      <w:rFonts w:ascii="宋体"/>
      <w:sz w:val="28"/>
    </w:rPr>
  </w:style>
  <w:style w:type="character" w:customStyle="1" w:styleId="899">
    <w:name w:val="f141"/>
    <w:qFormat/>
    <w:uiPriority w:val="0"/>
    <w:rPr>
      <w:rFonts w:ascii="Tahoma" w:hAnsi="Tahoma" w:eastAsia="宋体"/>
      <w:b/>
      <w:kern w:val="2"/>
      <w:sz w:val="21"/>
      <w:szCs w:val="21"/>
      <w:lang w:val="en-US" w:eastAsia="zh-CN" w:bidi="ar-SA"/>
    </w:rPr>
  </w:style>
  <w:style w:type="character" w:customStyle="1" w:styleId="900">
    <w:name w:val="段落 Char Char"/>
    <w:link w:val="115"/>
    <w:qFormat/>
    <w:uiPriority w:val="0"/>
    <w:rPr>
      <w:rFonts w:ascii="宋体" w:hAnsi="宋体"/>
      <w:sz w:val="24"/>
    </w:rPr>
  </w:style>
  <w:style w:type="character" w:customStyle="1" w:styleId="901">
    <w:name w:val="标题 3 Char2"/>
    <w:qFormat/>
    <w:uiPriority w:val="0"/>
    <w:rPr>
      <w:rFonts w:eastAsia="宋体"/>
      <w:b/>
      <w:bCs/>
      <w:kern w:val="2"/>
      <w:sz w:val="32"/>
      <w:szCs w:val="32"/>
      <w:lang w:val="en-US" w:eastAsia="zh-CN" w:bidi="ar-SA"/>
    </w:rPr>
  </w:style>
  <w:style w:type="character" w:customStyle="1" w:styleId="902">
    <w:name w:val="apple-converted-space"/>
    <w:qFormat/>
    <w:uiPriority w:val="0"/>
  </w:style>
  <w:style w:type="character" w:customStyle="1" w:styleId="903">
    <w:name w:val="页眉 字符2"/>
    <w:link w:val="40"/>
    <w:qFormat/>
    <w:uiPriority w:val="99"/>
    <w:rPr>
      <w:kern w:val="2"/>
      <w:sz w:val="18"/>
      <w:szCs w:val="18"/>
    </w:rPr>
  </w:style>
  <w:style w:type="character" w:customStyle="1" w:styleId="904">
    <w:name w:val="Char Char9"/>
    <w:qFormat/>
    <w:uiPriority w:val="0"/>
    <w:rPr>
      <w:rFonts w:eastAsia="宋体"/>
      <w:kern w:val="2"/>
      <w:sz w:val="18"/>
      <w:szCs w:val="18"/>
      <w:lang w:val="en-US" w:eastAsia="zh-CN" w:bidi="ar-SA"/>
    </w:rPr>
  </w:style>
  <w:style w:type="character" w:customStyle="1" w:styleId="905">
    <w:name w:val="Char Char41"/>
    <w:qFormat/>
    <w:uiPriority w:val="0"/>
    <w:rPr>
      <w:rFonts w:eastAsia="宋体"/>
      <w:b/>
      <w:sz w:val="24"/>
      <w:lang w:eastAsia="zh-CN" w:bidi="ar-SA"/>
    </w:rPr>
  </w:style>
  <w:style w:type="character" w:customStyle="1" w:styleId="906">
    <w:name w:val="large1"/>
    <w:qFormat/>
    <w:uiPriority w:val="0"/>
    <w:rPr>
      <w:rFonts w:hint="eastAsia" w:ascii="宋体" w:hAnsi="宋体" w:eastAsia="宋体"/>
      <w:sz w:val="21"/>
      <w:szCs w:val="21"/>
    </w:rPr>
  </w:style>
  <w:style w:type="character" w:customStyle="1" w:styleId="907">
    <w:name w:val="正文段 Char"/>
    <w:link w:val="116"/>
    <w:qFormat/>
    <w:uiPriority w:val="0"/>
    <w:rPr>
      <w:sz w:val="24"/>
    </w:rPr>
  </w:style>
  <w:style w:type="character" w:customStyle="1" w:styleId="908">
    <w:name w:val="Char Char13"/>
    <w:qFormat/>
    <w:uiPriority w:val="6"/>
    <w:rPr>
      <w:rFonts w:ascii="宋体" w:hAnsi="宋体"/>
      <w:kern w:val="1"/>
      <w:sz w:val="21"/>
      <w:szCs w:val="24"/>
    </w:rPr>
  </w:style>
  <w:style w:type="character" w:customStyle="1" w:styleId="90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0">
    <w:name w:val="冯广丽 Char"/>
    <w:link w:val="117"/>
    <w:qFormat/>
    <w:uiPriority w:val="0"/>
    <w:rPr>
      <w:rFonts w:ascii="宋体" w:hAnsi="宋体"/>
      <w:kern w:val="2"/>
      <w:sz w:val="24"/>
      <w:szCs w:val="22"/>
    </w:rPr>
  </w:style>
  <w:style w:type="character" w:customStyle="1" w:styleId="911">
    <w:name w:val="批注文字 字符"/>
    <w:qFormat/>
    <w:uiPriority w:val="0"/>
    <w:rPr>
      <w:rFonts w:ascii="Arial" w:hAnsi="Arial" w:eastAsia="黑体" w:cs="Arial"/>
      <w:snapToGrid w:val="0"/>
      <w:kern w:val="0"/>
      <w:szCs w:val="21"/>
    </w:rPr>
  </w:style>
  <w:style w:type="character" w:customStyle="1" w:styleId="912">
    <w:name w:val="Char Char161"/>
    <w:qFormat/>
    <w:uiPriority w:val="0"/>
    <w:rPr>
      <w:rFonts w:eastAsia="宋体"/>
      <w:b/>
      <w:kern w:val="2"/>
      <w:sz w:val="32"/>
      <w:lang w:val="en-US" w:eastAsia="zh-CN"/>
    </w:rPr>
  </w:style>
  <w:style w:type="character" w:customStyle="1" w:styleId="913">
    <w:name w:val="javascript"/>
    <w:qFormat/>
    <w:uiPriority w:val="0"/>
  </w:style>
  <w:style w:type="character" w:customStyle="1" w:styleId="914">
    <w:name w:val="图名 Char"/>
    <w:qFormat/>
    <w:uiPriority w:val="0"/>
    <w:rPr>
      <w:rFonts w:ascii="Arial" w:hAnsi="Arial" w:eastAsia="黑体"/>
      <w:kern w:val="2"/>
      <w:sz w:val="24"/>
      <w:szCs w:val="24"/>
      <w:lang w:val="en-US" w:eastAsia="zh-CN" w:bidi="ar-SA"/>
    </w:rPr>
  </w:style>
  <w:style w:type="character" w:customStyle="1" w:styleId="915">
    <w:name w:val="Used by Word for text of Help footnotes Char Char"/>
    <w:qFormat/>
    <w:uiPriority w:val="0"/>
    <w:rPr>
      <w:rFonts w:ascii="Times New Roman" w:hAnsi="Times New Roman" w:eastAsia="宋体" w:cs="Times New Roman"/>
      <w:sz w:val="20"/>
      <w:szCs w:val="20"/>
    </w:rPr>
  </w:style>
  <w:style w:type="character" w:customStyle="1" w:styleId="916">
    <w:name w:val="编号，小四 Char"/>
    <w:link w:val="118"/>
    <w:qFormat/>
    <w:uiPriority w:val="0"/>
    <w:rPr>
      <w:rFonts w:ascii="Arial" w:hAnsi="Arial"/>
      <w:sz w:val="24"/>
    </w:rPr>
  </w:style>
  <w:style w:type="character" w:customStyle="1" w:styleId="917">
    <w:name w:val="Font Style82"/>
    <w:qFormat/>
    <w:uiPriority w:val="99"/>
    <w:rPr>
      <w:rFonts w:ascii="宋体" w:eastAsia="宋体" w:cs="宋体"/>
      <w:color w:val="000000"/>
      <w:sz w:val="14"/>
      <w:szCs w:val="14"/>
    </w:rPr>
  </w:style>
  <w:style w:type="character" w:customStyle="1" w:styleId="918">
    <w:name w:val="标题 2 Char Char"/>
    <w:qFormat/>
    <w:uiPriority w:val="0"/>
    <w:rPr>
      <w:rFonts w:ascii="楷体_GB2312" w:hAnsi="Arial" w:eastAsia="楷体_GB2312"/>
      <w:b/>
      <w:bCs/>
      <w:kern w:val="2"/>
      <w:sz w:val="24"/>
      <w:szCs w:val="32"/>
      <w:lang w:val="en-US" w:eastAsia="zh-CN" w:bidi="ar-SA"/>
    </w:rPr>
  </w:style>
  <w:style w:type="character" w:customStyle="1" w:styleId="919">
    <w:name w:val="未用 Char"/>
    <w:qFormat/>
    <w:uiPriority w:val="0"/>
    <w:rPr>
      <w:rFonts w:ascii="Arial" w:hAnsi="Arial" w:eastAsia="黑体"/>
      <w:kern w:val="2"/>
      <w:sz w:val="21"/>
      <w:szCs w:val="21"/>
      <w:lang w:val="en-US" w:eastAsia="zh-CN" w:bidi="ar-SA"/>
    </w:rPr>
  </w:style>
  <w:style w:type="character" w:customStyle="1" w:styleId="920">
    <w:name w:val="myp1111"/>
    <w:qFormat/>
    <w:uiPriority w:val="0"/>
    <w:rPr>
      <w:rFonts w:hint="default" w:ascii="ˎ̥" w:hAnsi="ˎ̥"/>
      <w:color w:val="000000"/>
      <w:sz w:val="20"/>
      <w:szCs w:val="20"/>
      <w:u w:val="none"/>
    </w:rPr>
  </w:style>
  <w:style w:type="character" w:customStyle="1" w:styleId="921">
    <w:name w:val="样式 标题 4h4H4Fab-4T5Ref Heading 1rh1Heading sqlsect 1.2.3.... Char"/>
    <w:link w:val="107"/>
    <w:qFormat/>
    <w:uiPriority w:val="0"/>
    <w:rPr>
      <w:rFonts w:ascii="微软雅黑" w:hAnsi="微软雅黑" w:eastAsia="微软雅黑"/>
      <w:b/>
      <w:bCs/>
      <w:kern w:val="2"/>
      <w:sz w:val="24"/>
      <w:szCs w:val="28"/>
    </w:rPr>
  </w:style>
  <w:style w:type="character" w:customStyle="1" w:styleId="922">
    <w:name w:val="h Char Char"/>
    <w:qFormat/>
    <w:uiPriority w:val="0"/>
    <w:rPr>
      <w:rFonts w:eastAsia="宋体"/>
      <w:kern w:val="2"/>
      <w:sz w:val="18"/>
      <w:lang w:val="en-US" w:eastAsia="zh-CN" w:bidi="ar-SA"/>
    </w:rPr>
  </w:style>
  <w:style w:type="character" w:customStyle="1" w:styleId="923">
    <w:name w:val="仿宋正文 Char"/>
    <w:link w:val="119"/>
    <w:qFormat/>
    <w:uiPriority w:val="0"/>
    <w:rPr>
      <w:rFonts w:ascii="仿宋_GB2312" w:eastAsia="仿宋_GB2312"/>
      <w:kern w:val="2"/>
      <w:sz w:val="24"/>
      <w:lang w:val="en-US" w:eastAsia="zh-CN" w:bidi="ar-SA"/>
    </w:rPr>
  </w:style>
  <w:style w:type="character" w:customStyle="1" w:styleId="924">
    <w:name w:val="正文首行缩进 Char Char Char Char Char Char"/>
    <w:qFormat/>
    <w:uiPriority w:val="0"/>
    <w:rPr>
      <w:rFonts w:ascii="宋体" w:eastAsia="宋体"/>
      <w:kern w:val="2"/>
      <w:sz w:val="24"/>
      <w:lang w:val="zh-CN" w:bidi="ar-SA"/>
    </w:rPr>
  </w:style>
  <w:style w:type="character" w:customStyle="1" w:styleId="925">
    <w:name w:val="样式 宋体"/>
    <w:qFormat/>
    <w:uiPriority w:val="0"/>
    <w:rPr>
      <w:rFonts w:ascii="宋体" w:hAnsi="宋体"/>
      <w:sz w:val="24"/>
    </w:rPr>
  </w:style>
  <w:style w:type="character" w:customStyle="1" w:styleId="926">
    <w:name w:val="tw4winJump"/>
    <w:qFormat/>
    <w:uiPriority w:val="0"/>
    <w:rPr>
      <w:rFonts w:ascii="Courier New" w:hAnsi="Courier New" w:cs="Courier New"/>
      <w:color w:val="008080"/>
      <w:lang w:val="en-US" w:eastAsia="zh-CN"/>
    </w:rPr>
  </w:style>
  <w:style w:type="character" w:customStyle="1" w:styleId="927">
    <w:name w:val="标题 1 字符"/>
    <w:qFormat/>
    <w:uiPriority w:val="9"/>
    <w:rPr>
      <w:rFonts w:ascii="Arial" w:hAnsi="Arial" w:eastAsia="黑体" w:cs="Arial"/>
      <w:b/>
      <w:bCs/>
      <w:snapToGrid w:val="0"/>
      <w:kern w:val="44"/>
      <w:sz w:val="44"/>
      <w:szCs w:val="44"/>
    </w:rPr>
  </w:style>
  <w:style w:type="character" w:customStyle="1" w:styleId="928">
    <w:name w:val="style36"/>
    <w:basedOn w:val="69"/>
    <w:qFormat/>
    <w:uiPriority w:val="0"/>
    <w:rPr>
      <w:rFonts w:ascii="Arial" w:hAnsi="Arial" w:eastAsia="黑体" w:cs="Arial"/>
      <w:snapToGrid w:val="0"/>
      <w:kern w:val="0"/>
      <w:szCs w:val="21"/>
    </w:rPr>
  </w:style>
  <w:style w:type="character" w:customStyle="1" w:styleId="929">
    <w:name w:val="pt9"/>
    <w:qFormat/>
    <w:uiPriority w:val="0"/>
    <w:rPr>
      <w:rFonts w:ascii="仿宋_GB2312" w:eastAsia="微软雅黑"/>
      <w:b/>
      <w:kern w:val="2"/>
      <w:sz w:val="32"/>
      <w:szCs w:val="32"/>
      <w:lang w:val="en-US" w:eastAsia="zh-CN" w:bidi="ar-SA"/>
    </w:rPr>
  </w:style>
  <w:style w:type="character" w:customStyle="1" w:styleId="930">
    <w:name w:val="DO_NOT_TRANSLATE"/>
    <w:qFormat/>
    <w:uiPriority w:val="0"/>
    <w:rPr>
      <w:rFonts w:ascii="Courier New" w:hAnsi="Courier New" w:cs="Courier New"/>
      <w:color w:val="800000"/>
      <w:lang w:val="en-US" w:eastAsia="zh-CN"/>
    </w:rPr>
  </w:style>
  <w:style w:type="character" w:customStyle="1" w:styleId="931">
    <w:name w:val="标书1 Char1"/>
    <w:qFormat/>
    <w:uiPriority w:val="0"/>
    <w:rPr>
      <w:rFonts w:eastAsia="宋体"/>
      <w:b/>
      <w:bCs/>
      <w:kern w:val="44"/>
      <w:sz w:val="44"/>
      <w:szCs w:val="44"/>
      <w:lang w:val="en-US" w:eastAsia="zh-CN" w:bidi="ar-SA"/>
    </w:rPr>
  </w:style>
  <w:style w:type="character" w:customStyle="1" w:styleId="932">
    <w:name w:val="页脚 字符"/>
    <w:qFormat/>
    <w:uiPriority w:val="99"/>
    <w:rPr>
      <w:kern w:val="2"/>
      <w:sz w:val="18"/>
      <w:szCs w:val="18"/>
    </w:rPr>
  </w:style>
  <w:style w:type="character" w:customStyle="1" w:styleId="933">
    <w:name w:val="正文2 Char"/>
    <w:qFormat/>
    <w:uiPriority w:val="0"/>
    <w:rPr>
      <w:rFonts w:eastAsia="宋体"/>
      <w:kern w:val="2"/>
      <w:sz w:val="24"/>
      <w:lang w:val="en-US" w:eastAsia="zh-CN" w:bidi="ar-SA"/>
    </w:rPr>
  </w:style>
  <w:style w:type="character" w:customStyle="1" w:styleId="934">
    <w:name w:val="Char Char21"/>
    <w:qFormat/>
    <w:uiPriority w:val="6"/>
    <w:rPr>
      <w:rFonts w:ascii="宋体" w:hAnsi="宋体"/>
      <w:kern w:val="1"/>
      <w:sz w:val="24"/>
      <w:szCs w:val="21"/>
      <w:lang w:val="zh-CN"/>
    </w:rPr>
  </w:style>
  <w:style w:type="character" w:customStyle="1" w:styleId="935">
    <w:name w:val="样式 正文缩进 + 首行缩进:  2 字符 Char Char"/>
    <w:link w:val="120"/>
    <w:qFormat/>
    <w:uiPriority w:val="0"/>
    <w:rPr>
      <w:rFonts w:cs="宋体"/>
      <w:kern w:val="2"/>
      <w:sz w:val="24"/>
    </w:rPr>
  </w:style>
  <w:style w:type="character" w:customStyle="1" w:styleId="936">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937">
    <w:name w:val="gray6"/>
    <w:basedOn w:val="69"/>
    <w:qFormat/>
    <w:uiPriority w:val="0"/>
    <w:rPr>
      <w:rFonts w:ascii="Arial" w:hAnsi="Arial" w:eastAsia="黑体" w:cs="Arial"/>
      <w:snapToGrid w:val="0"/>
      <w:kern w:val="0"/>
      <w:szCs w:val="21"/>
    </w:rPr>
  </w:style>
  <w:style w:type="character" w:customStyle="1" w:styleId="938">
    <w:name w:val="hui"/>
    <w:basedOn w:val="69"/>
    <w:qFormat/>
    <w:uiPriority w:val="0"/>
    <w:rPr>
      <w:rFonts w:ascii="Arial" w:hAnsi="Arial" w:eastAsia="黑体" w:cs="Arial"/>
      <w:snapToGrid w:val="0"/>
      <w:kern w:val="0"/>
      <w:szCs w:val="21"/>
    </w:rPr>
  </w:style>
  <w:style w:type="character" w:customStyle="1" w:styleId="939">
    <w:name w:val="哈哈正文 Char Char"/>
    <w:qFormat/>
    <w:uiPriority w:val="0"/>
    <w:rPr>
      <w:rFonts w:ascii="宋体" w:hAnsi="宋体" w:eastAsia="宋体" w:cs="宋体"/>
      <w:kern w:val="2"/>
      <w:sz w:val="24"/>
      <w:lang w:val="en-US" w:eastAsia="zh-CN" w:bidi="ar-SA"/>
    </w:rPr>
  </w:style>
  <w:style w:type="character" w:customStyle="1" w:styleId="940">
    <w:name w:val="交叉引用"/>
    <w:qFormat/>
    <w:uiPriority w:val="1"/>
    <w:rPr>
      <w:rFonts w:ascii="Arial" w:hAnsi="Arial" w:eastAsia="黑体"/>
      <w:snapToGrid w:val="0"/>
      <w:color w:val="0000FF"/>
      <w:kern w:val="0"/>
      <w:sz w:val="20"/>
      <w:szCs w:val="21"/>
      <w:u w:val="single"/>
      <w:lang w:val="en-US" w:eastAsia="zh-CN"/>
    </w:rPr>
  </w:style>
  <w:style w:type="character" w:customStyle="1" w:styleId="941">
    <w:name w:val="正文缩进 字符1"/>
    <w:qFormat/>
    <w:uiPriority w:val="0"/>
    <w:rPr>
      <w:rFonts w:ascii="宋体" w:eastAsia="宋体"/>
      <w:snapToGrid w:val="0"/>
      <w:color w:val="000000"/>
      <w:kern w:val="28"/>
      <w:sz w:val="28"/>
      <w:lang w:val="en-US" w:eastAsia="zh-CN" w:bidi="ar-SA"/>
    </w:rPr>
  </w:style>
  <w:style w:type="character" w:customStyle="1" w:styleId="942">
    <w:name w:val="页脚 字符1"/>
    <w:qFormat/>
    <w:locked/>
    <w:uiPriority w:val="99"/>
    <w:rPr>
      <w:kern w:val="2"/>
      <w:sz w:val="18"/>
      <w:szCs w:val="18"/>
    </w:rPr>
  </w:style>
  <w:style w:type="character" w:customStyle="1" w:styleId="943">
    <w:name w:val="页眉 字符1"/>
    <w:qFormat/>
    <w:uiPriority w:val="99"/>
    <w:rPr>
      <w:kern w:val="2"/>
      <w:sz w:val="18"/>
      <w:szCs w:val="18"/>
    </w:rPr>
  </w:style>
  <w:style w:type="character" w:customStyle="1" w:styleId="944">
    <w:name w:val="尾注文本 字符"/>
    <w:link w:val="37"/>
    <w:qFormat/>
    <w:uiPriority w:val="0"/>
    <w:rPr>
      <w:kern w:val="2"/>
      <w:sz w:val="21"/>
      <w:szCs w:val="24"/>
      <w:lang w:val="zh-CN"/>
    </w:rPr>
  </w:style>
  <w:style w:type="character" w:customStyle="1" w:styleId="945">
    <w:name w:val="无间隔 Char"/>
    <w:link w:val="170"/>
    <w:qFormat/>
    <w:uiPriority w:val="99"/>
    <w:rPr>
      <w:kern w:val="2"/>
      <w:sz w:val="21"/>
      <w:szCs w:val="22"/>
    </w:rPr>
  </w:style>
  <w:style w:type="character" w:customStyle="1" w:styleId="946">
    <w:name w:val="标准文本 Char Char"/>
    <w:link w:val="610"/>
    <w:qFormat/>
    <w:uiPriority w:val="0"/>
    <w:rPr>
      <w:rFonts w:cs="宋体"/>
      <w:kern w:val="2"/>
      <w:sz w:val="24"/>
    </w:rPr>
  </w:style>
  <w:style w:type="character" w:customStyle="1" w:styleId="947">
    <w:name w:val="Char Char213"/>
    <w:qFormat/>
    <w:uiPriority w:val="0"/>
    <w:rPr>
      <w:rFonts w:eastAsia="Century Gothic"/>
      <w:b/>
      <w:bCs/>
      <w:kern w:val="44"/>
      <w:sz w:val="32"/>
      <w:szCs w:val="44"/>
      <w:lang w:val="en-US" w:eastAsia="zh-CN" w:bidi="ar-SA"/>
    </w:rPr>
  </w:style>
  <w:style w:type="character" w:customStyle="1" w:styleId="948">
    <w:name w:val="apple-style-span"/>
    <w:qFormat/>
    <w:uiPriority w:val="0"/>
    <w:rPr>
      <w:rFonts w:ascii="Arial" w:hAnsi="Arial" w:eastAsia="黑体" w:cs="Arial"/>
      <w:snapToGrid w:val="0"/>
      <w:kern w:val="0"/>
      <w:szCs w:val="21"/>
    </w:rPr>
  </w:style>
  <w:style w:type="character" w:customStyle="1" w:styleId="949">
    <w:name w:val="15"/>
    <w:qFormat/>
    <w:uiPriority w:val="0"/>
    <w:rPr>
      <w:rFonts w:hint="default" w:ascii="Calibri" w:hAnsi="Calibri"/>
      <w:color w:val="0000FF"/>
      <w:u w:val="single"/>
    </w:rPr>
  </w:style>
  <w:style w:type="character" w:customStyle="1" w:styleId="950">
    <w:name w:val="16"/>
    <w:qFormat/>
    <w:uiPriority w:val="0"/>
    <w:rPr>
      <w:rFonts w:hint="eastAsia" w:ascii="宋体" w:hAnsi="宋体" w:eastAsia="宋体"/>
      <w:color w:val="000000"/>
      <w:sz w:val="20"/>
      <w:szCs w:val="20"/>
    </w:rPr>
  </w:style>
  <w:style w:type="character" w:customStyle="1" w:styleId="951">
    <w:name w:val="edui-unclickable"/>
    <w:qFormat/>
    <w:uiPriority w:val="0"/>
    <w:rPr>
      <w:color w:val="808080"/>
    </w:rPr>
  </w:style>
  <w:style w:type="character" w:customStyle="1" w:styleId="952">
    <w:name w:val="tpc_content1"/>
    <w:qFormat/>
    <w:uiPriority w:val="0"/>
    <w:rPr>
      <w:sz w:val="20"/>
      <w:szCs w:val="20"/>
    </w:rPr>
  </w:style>
  <w:style w:type="character" w:customStyle="1" w:styleId="953">
    <w:name w:val="正文文本缩进 字符"/>
    <w:qFormat/>
    <w:uiPriority w:val="0"/>
    <w:rPr>
      <w:rFonts w:ascii="Century Gothic" w:hAnsi="Century Gothic" w:eastAsia="Century Gothic"/>
      <w:kern w:val="2"/>
      <w:sz w:val="24"/>
      <w:lang w:val="en-US" w:eastAsia="zh-CN" w:bidi="ar-SA"/>
    </w:rPr>
  </w:style>
  <w:style w:type="character" w:customStyle="1" w:styleId="954">
    <w:name w:val="正文文本 2 字符"/>
    <w:qFormat/>
    <w:uiPriority w:val="0"/>
    <w:rPr>
      <w:rFonts w:ascii="Arial" w:hAnsi="Arial" w:eastAsia="宋体"/>
      <w:kern w:val="2"/>
      <w:sz w:val="24"/>
      <w:szCs w:val="24"/>
      <w:lang w:val="en-US" w:eastAsia="zh-CN" w:bidi="ar-SA"/>
    </w:rPr>
  </w:style>
  <w:style w:type="character" w:customStyle="1" w:styleId="955">
    <w:name w:val="edui-clickable2"/>
    <w:qFormat/>
    <w:uiPriority w:val="0"/>
    <w:rPr>
      <w:color w:val="0000FF"/>
      <w:u w:val="single"/>
    </w:rPr>
  </w:style>
  <w:style w:type="character" w:customStyle="1" w:styleId="956">
    <w:name w:val="style1"/>
    <w:qFormat/>
    <w:uiPriority w:val="0"/>
    <w:rPr>
      <w:rFonts w:ascii="Arial" w:hAnsi="Arial" w:eastAsia="黑体" w:cs="Arial"/>
      <w:snapToGrid w:val="0"/>
      <w:kern w:val="0"/>
      <w:szCs w:val="21"/>
    </w:rPr>
  </w:style>
  <w:style w:type="character" w:customStyle="1" w:styleId="957">
    <w:name w:val="zbggtop11 style5"/>
    <w:qFormat/>
    <w:uiPriority w:val="0"/>
    <w:rPr>
      <w:rFonts w:ascii="Arial" w:hAnsi="Arial" w:eastAsia="黑体" w:cs="Arial"/>
      <w:snapToGrid w:val="0"/>
      <w:kern w:val="0"/>
      <w:szCs w:val="21"/>
    </w:rPr>
  </w:style>
  <w:style w:type="character" w:customStyle="1" w:styleId="95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9">
    <w:name w:val="bulletintext1"/>
    <w:qFormat/>
    <w:uiPriority w:val="0"/>
    <w:rPr>
      <w:color w:val="000000"/>
      <w:sz w:val="18"/>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table" w:customStyle="1" w:styleId="963">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9">
    <w:name w:val="[Normal]"/>
    <w:qFormat/>
    <w:uiPriority w:val="0"/>
    <w:rPr>
      <w:rFonts w:ascii="宋体" w:hAnsi="宋体" w:eastAsia="宋体" w:cs="Times New Roman"/>
      <w:sz w:val="24"/>
      <w:szCs w:val="22"/>
      <w:lang w:val="zh-CN" w:eastAsia="zh-CN" w:bidi="ar-SA"/>
    </w:rPr>
  </w:style>
  <w:style w:type="paragraph" w:customStyle="1" w:styleId="970">
    <w:name w:val="列出段落"/>
    <w:basedOn w:val="1"/>
    <w:qFormat/>
    <w:uiPriority w:val="0"/>
    <w:pPr>
      <w:ind w:firstLine="420" w:firstLineChars="200"/>
    </w:pPr>
    <w:rPr>
      <w:rFonts w:ascii="Calibri" w:hAnsi="Calibri"/>
    </w:rPr>
  </w:style>
  <w:style w:type="paragraph" w:customStyle="1" w:styleId="971">
    <w:name w:val="Fließtext"/>
    <w:basedOn w:val="1"/>
    <w:autoRedefine/>
    <w:qFormat/>
    <w:uiPriority w:val="0"/>
    <w:pPr>
      <w:overflowPunct w:val="0"/>
      <w:autoSpaceDE w:val="0"/>
      <w:autoSpaceDN w:val="0"/>
      <w:textAlignment w:val="baseline"/>
    </w:pPr>
    <w:rPr>
      <w:kern w:val="28"/>
      <w:szCs w:val="20"/>
    </w:rPr>
  </w:style>
  <w:style w:type="paragraph" w:customStyle="1" w:styleId="972">
    <w:name w:val="正文文本首行缩进 22"/>
    <w:basedOn w:val="389"/>
    <w:qFormat/>
    <w:uiPriority w:val="99"/>
    <w:pPr>
      <w:spacing w:line="200" w:lineRule="atLeast"/>
      <w:ind w:firstLine="420"/>
    </w:pPr>
    <w:rPr>
      <w:rFonts w:ascii="宋体"/>
      <w:spacing w:val="-4"/>
      <w:sz w:val="18"/>
    </w:rPr>
  </w:style>
  <w:style w:type="paragraph" w:customStyle="1" w:styleId="97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7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75">
    <w:name w:val="null3"/>
    <w:qFormat/>
    <w:uiPriority w:val="0"/>
    <w:rPr>
      <w:rFonts w:hint="eastAsia" w:ascii="Calibri" w:hAnsi="Calibri" w:eastAsia="宋体" w:cs="Times New Roman"/>
      <w:lang w:val="en-US" w:eastAsia="zh-Hans" w:bidi="ar-SA"/>
    </w:rPr>
  </w:style>
  <w:style w:type="paragraph" w:styleId="976">
    <w:name w:val="List Paragraph"/>
    <w:basedOn w:val="1"/>
    <w:unhideWhenUsed/>
    <w:qFormat/>
    <w:uiPriority w:val="99"/>
    <w:pPr>
      <w:ind w:firstLine="420" w:firstLineChars="200"/>
    </w:pPr>
  </w:style>
  <w:style w:type="character" w:customStyle="1" w:styleId="977">
    <w:name w:val="标题 2 Char1"/>
    <w:link w:val="3"/>
    <w:qFormat/>
    <w:uiPriority w:val="0"/>
    <w:rPr>
      <w:rFonts w:ascii="仿宋_GB2312" w:hAnsi="仿宋" w:eastAsia="仿宋_GB2312"/>
      <w:b/>
      <w:bCs/>
      <w:sz w:val="32"/>
      <w:szCs w:val="32"/>
      <w:lang w:val="zh-CN"/>
    </w:rPr>
  </w:style>
  <w:style w:type="paragraph" w:customStyle="1" w:styleId="97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149</Pages>
  <Words>8128</Words>
  <Characters>8783</Characters>
  <Lines>379</Lines>
  <Paragraphs>106</Paragraphs>
  <TotalTime>58</TotalTime>
  <ScaleCrop>false</ScaleCrop>
  <LinksUpToDate>false</LinksUpToDate>
  <CharactersWithSpaces>9197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春花叫你跳舞</cp:lastModifiedBy>
  <cp:lastPrinted>2025-08-12T12:54:00Z</cp:lastPrinted>
  <dcterms:modified xsi:type="dcterms:W3CDTF">2026-05-11T04:59:30Z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565B01426B434E6499B737ADADF7010E_13</vt:lpwstr>
  </property>
  <property fmtid="{D5CDD505-2E9C-101B-9397-08002B2CF9AE}" pid="5" name="KSOTemplateDocerSaveRecord">
    <vt:lpwstr>eyJoZGlkIjoiOTJjMmVjNThjZjcwOWQ1NWQ2YTkwNTgyZThkYWU4ZGMiLCJ1c2VySWQiOiIzMjI3MTU0NzAifQ==</vt:lpwstr>
  </property>
</Properties>
</file>