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1C4AD">
      <w:pPr>
        <w:pStyle w:val="30"/>
        <w:spacing w:line="760" w:lineRule="exact"/>
        <w:jc w:val="center"/>
        <w:rPr>
          <w:rFonts w:hint="eastAsia" w:ascii="仿宋" w:hAnsi="仿宋" w:eastAsia="仿宋" w:cs="仿宋"/>
          <w:b/>
          <w:bCs/>
          <w:color w:val="auto"/>
          <w:sz w:val="32"/>
          <w:szCs w:val="32"/>
        </w:rPr>
      </w:pPr>
      <w:r>
        <w:rPr>
          <w:rFonts w:hint="eastAsia" w:ascii="仿宋" w:hAnsi="仿宋" w:eastAsia="仿宋" w:cs="仿宋"/>
          <w:b/>
          <w:bCs/>
          <w:color w:val="auto"/>
          <w:sz w:val="52"/>
          <w:szCs w:val="52"/>
        </w:rPr>
        <w:t>检验检测综合能力提升项目</w:t>
      </w:r>
    </w:p>
    <w:p w14:paraId="44BAA854">
      <w:pPr>
        <w:pStyle w:val="30"/>
        <w:spacing w:line="760" w:lineRule="exact"/>
        <w:jc w:val="center"/>
        <w:rPr>
          <w:rFonts w:hint="eastAsia" w:ascii="仿宋" w:hAnsi="仿宋" w:eastAsia="仿宋" w:cs="仿宋"/>
          <w:b/>
          <w:bCs/>
          <w:color w:val="auto"/>
          <w:sz w:val="40"/>
          <w:szCs w:val="40"/>
        </w:rPr>
      </w:pPr>
    </w:p>
    <w:p w14:paraId="71A3CA30">
      <w:pPr>
        <w:pStyle w:val="30"/>
        <w:spacing w:line="760" w:lineRule="exact"/>
        <w:jc w:val="center"/>
        <w:rPr>
          <w:rFonts w:hint="default" w:ascii="仿宋" w:hAnsi="仿宋" w:eastAsia="仿宋" w:cs="仿宋"/>
          <w:b/>
          <w:color w:val="auto"/>
          <w:sz w:val="40"/>
          <w:szCs w:val="40"/>
          <w:lang w:val="en-US" w:eastAsia="zh-CN"/>
        </w:rPr>
      </w:pPr>
      <w:r>
        <w:rPr>
          <w:rFonts w:hint="eastAsia" w:ascii="仿宋" w:hAnsi="仿宋" w:eastAsia="仿宋" w:cs="仿宋"/>
          <w:b/>
          <w:bCs/>
          <w:color w:val="auto"/>
          <w:sz w:val="40"/>
          <w:szCs w:val="40"/>
        </w:rPr>
        <w:t>项目编号：KZZB-202</w:t>
      </w:r>
      <w:r>
        <w:rPr>
          <w:rFonts w:hint="eastAsia" w:ascii="仿宋" w:hAnsi="仿宋" w:eastAsia="仿宋" w:cs="仿宋"/>
          <w:b/>
          <w:bCs/>
          <w:color w:val="auto"/>
          <w:sz w:val="40"/>
          <w:szCs w:val="40"/>
          <w:lang w:val="en-US" w:eastAsia="zh-CN"/>
        </w:rPr>
        <w:t>6069</w:t>
      </w:r>
    </w:p>
    <w:p w14:paraId="172B7760">
      <w:pPr>
        <w:pStyle w:val="30"/>
        <w:spacing w:line="760" w:lineRule="exact"/>
        <w:rPr>
          <w:rFonts w:ascii="仿宋" w:hAnsi="仿宋" w:eastAsia="仿宋" w:cs="仿宋"/>
          <w:color w:val="auto"/>
        </w:rPr>
      </w:pPr>
    </w:p>
    <w:p w14:paraId="1BC05169">
      <w:pPr>
        <w:pStyle w:val="30"/>
        <w:rPr>
          <w:rFonts w:ascii="仿宋" w:hAnsi="仿宋" w:eastAsia="仿宋" w:cs="仿宋"/>
          <w:color w:val="auto"/>
        </w:rPr>
      </w:pPr>
    </w:p>
    <w:p w14:paraId="3F3798B5">
      <w:pPr>
        <w:pStyle w:val="30"/>
        <w:jc w:val="center"/>
        <w:rPr>
          <w:rFonts w:hint="eastAsia" w:ascii="仿宋" w:hAnsi="仿宋" w:eastAsia="仿宋" w:cs="仿宋"/>
          <w:b/>
          <w:bCs/>
          <w:color w:val="auto"/>
          <w:sz w:val="96"/>
          <w:szCs w:val="96"/>
          <w:lang w:eastAsia="zh-CN"/>
        </w:rPr>
      </w:pPr>
      <w:r>
        <w:rPr>
          <w:rFonts w:hint="eastAsia" w:ascii="仿宋" w:hAnsi="仿宋" w:eastAsia="仿宋" w:cs="仿宋"/>
          <w:b/>
          <w:color w:val="auto"/>
          <w:sz w:val="96"/>
          <w:szCs w:val="96"/>
          <w:lang w:eastAsia="zh-CN"/>
        </w:rPr>
        <w:t>谈</w:t>
      </w:r>
    </w:p>
    <w:p w14:paraId="108AFC79">
      <w:pPr>
        <w:pStyle w:val="30"/>
        <w:jc w:val="center"/>
        <w:rPr>
          <w:rFonts w:hint="eastAsia" w:ascii="仿宋" w:hAnsi="仿宋" w:eastAsia="仿宋" w:cs="仿宋"/>
          <w:b/>
          <w:bCs/>
          <w:color w:val="auto"/>
          <w:sz w:val="96"/>
          <w:szCs w:val="96"/>
          <w:lang w:eastAsia="zh-CN"/>
        </w:rPr>
      </w:pPr>
      <w:r>
        <w:rPr>
          <w:rFonts w:hint="eastAsia" w:ascii="仿宋" w:hAnsi="仿宋" w:eastAsia="仿宋" w:cs="仿宋"/>
          <w:b/>
          <w:bCs/>
          <w:color w:val="auto"/>
          <w:sz w:val="96"/>
          <w:szCs w:val="96"/>
          <w:lang w:eastAsia="zh-CN"/>
        </w:rPr>
        <w:t>判</w:t>
      </w:r>
    </w:p>
    <w:p w14:paraId="25322556">
      <w:pPr>
        <w:pStyle w:val="30"/>
        <w:jc w:val="center"/>
        <w:rPr>
          <w:rFonts w:ascii="仿宋" w:hAnsi="仿宋" w:eastAsia="仿宋" w:cs="仿宋"/>
          <w:b/>
          <w:bCs/>
          <w:color w:val="auto"/>
          <w:sz w:val="96"/>
          <w:szCs w:val="96"/>
        </w:rPr>
      </w:pPr>
      <w:r>
        <w:rPr>
          <w:rFonts w:hint="eastAsia" w:ascii="仿宋" w:hAnsi="仿宋" w:eastAsia="仿宋" w:cs="仿宋"/>
          <w:b/>
          <w:bCs/>
          <w:color w:val="auto"/>
          <w:sz w:val="96"/>
          <w:szCs w:val="96"/>
        </w:rPr>
        <w:t>文</w:t>
      </w:r>
    </w:p>
    <w:p w14:paraId="5F367E76">
      <w:pPr>
        <w:pStyle w:val="30"/>
        <w:jc w:val="center"/>
        <w:rPr>
          <w:rFonts w:ascii="仿宋" w:hAnsi="仿宋" w:eastAsia="仿宋" w:cs="仿宋"/>
          <w:color w:val="auto"/>
          <w:sz w:val="84"/>
          <w:szCs w:val="84"/>
        </w:rPr>
      </w:pPr>
      <w:r>
        <w:rPr>
          <w:rFonts w:hint="eastAsia" w:ascii="仿宋" w:hAnsi="仿宋" w:eastAsia="仿宋" w:cs="仿宋"/>
          <w:b/>
          <w:bCs/>
          <w:color w:val="auto"/>
          <w:sz w:val="96"/>
          <w:szCs w:val="96"/>
        </w:rPr>
        <w:t>件</w:t>
      </w:r>
    </w:p>
    <w:p w14:paraId="160EA89D">
      <w:pPr>
        <w:pStyle w:val="30"/>
        <w:rPr>
          <w:rFonts w:ascii="仿宋" w:hAnsi="仿宋" w:eastAsia="仿宋" w:cs="仿宋"/>
          <w:color w:val="auto"/>
        </w:rPr>
      </w:pPr>
    </w:p>
    <w:p w14:paraId="64CE491E">
      <w:pPr>
        <w:pStyle w:val="30"/>
        <w:rPr>
          <w:rFonts w:ascii="仿宋" w:hAnsi="仿宋" w:eastAsia="仿宋" w:cs="仿宋"/>
          <w:color w:val="auto"/>
        </w:rPr>
      </w:pPr>
    </w:p>
    <w:p w14:paraId="2A7726DE">
      <w:pPr>
        <w:spacing w:line="600" w:lineRule="auto"/>
        <w:rPr>
          <w:rFonts w:hint="eastAsia" w:ascii="仿宋" w:hAnsi="仿宋" w:eastAsia="仿宋" w:cs="仿宋"/>
          <w:color w:val="auto"/>
          <w:sz w:val="32"/>
          <w:szCs w:val="32"/>
        </w:rPr>
      </w:pPr>
      <w:r>
        <w:rPr>
          <w:rFonts w:hint="eastAsia" w:ascii="仿宋" w:hAnsi="仿宋" w:eastAsia="仿宋" w:cs="仿宋"/>
          <w:color w:val="auto"/>
          <w:sz w:val="32"/>
          <w:szCs w:val="32"/>
        </w:rPr>
        <w:t>采购单位：克孜勒苏柯尔克孜自治州质量与计量检验检测中心</w:t>
      </w:r>
    </w:p>
    <w:p w14:paraId="0CC7C8AB">
      <w:pPr>
        <w:spacing w:line="600" w:lineRule="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联 系 人：鲁先生</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联系电话：</w:t>
      </w:r>
      <w:r>
        <w:rPr>
          <w:rFonts w:hint="eastAsia" w:ascii="仿宋" w:hAnsi="仿宋" w:eastAsia="仿宋" w:cs="仿宋"/>
          <w:color w:val="auto"/>
          <w:sz w:val="32"/>
          <w:szCs w:val="32"/>
          <w:lang w:val="en-US" w:eastAsia="zh-CN"/>
        </w:rPr>
        <w:t>15709081001</w:t>
      </w:r>
    </w:p>
    <w:p w14:paraId="69F012AC">
      <w:pPr>
        <w:spacing w:line="600" w:lineRule="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代理机构：</w:t>
      </w:r>
      <w:r>
        <w:rPr>
          <w:rFonts w:hint="eastAsia" w:ascii="仿宋" w:hAnsi="仿宋" w:eastAsia="仿宋" w:cs="仿宋"/>
          <w:color w:val="auto"/>
          <w:sz w:val="32"/>
          <w:szCs w:val="32"/>
          <w:lang w:val="en-US" w:eastAsia="zh-CN"/>
        </w:rPr>
        <w:t>新疆鑫润华工程项目管理有限公司</w:t>
      </w:r>
    </w:p>
    <w:p w14:paraId="19F5544F">
      <w:pPr>
        <w:spacing w:line="600" w:lineRule="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联 系 人：</w:t>
      </w:r>
      <w:r>
        <w:rPr>
          <w:rFonts w:hint="eastAsia" w:ascii="仿宋" w:hAnsi="仿宋" w:eastAsia="仿宋" w:cs="仿宋"/>
          <w:color w:val="auto"/>
          <w:sz w:val="32"/>
          <w:szCs w:val="32"/>
          <w:lang w:val="en-US" w:eastAsia="zh-CN"/>
        </w:rPr>
        <w:t xml:space="preserve">魏女士         </w:t>
      </w:r>
      <w:r>
        <w:rPr>
          <w:rFonts w:hint="eastAsia" w:ascii="仿宋" w:hAnsi="仿宋" w:eastAsia="仿宋" w:cs="仿宋"/>
          <w:color w:val="auto"/>
          <w:sz w:val="32"/>
          <w:szCs w:val="32"/>
          <w:lang w:eastAsia="zh-CN"/>
        </w:rPr>
        <w:t xml:space="preserve">联系电话: </w:t>
      </w:r>
      <w:r>
        <w:rPr>
          <w:rFonts w:hint="eastAsia" w:ascii="仿宋" w:hAnsi="仿宋" w:eastAsia="仿宋" w:cs="仿宋"/>
          <w:color w:val="auto"/>
          <w:sz w:val="32"/>
          <w:szCs w:val="32"/>
          <w:lang w:val="en-US" w:eastAsia="zh-CN"/>
        </w:rPr>
        <w:t>17799081359</w:t>
      </w:r>
    </w:p>
    <w:p w14:paraId="7E9BBB07">
      <w:pPr>
        <w:ind w:firstLine="3267" w:firstLineChars="900"/>
        <w:jc w:val="both"/>
        <w:rPr>
          <w:rFonts w:hint="eastAsia" w:ascii="仿宋" w:hAnsi="仿宋" w:eastAsia="仿宋" w:cs="仿宋"/>
          <w:b/>
          <w:color w:val="auto"/>
          <w:sz w:val="36"/>
          <w:szCs w:val="36"/>
          <w:lang w:val="en-US" w:eastAsia="zh-CN"/>
        </w:rPr>
      </w:pPr>
    </w:p>
    <w:p w14:paraId="50C0EB77">
      <w:pPr>
        <w:ind w:firstLine="3267" w:firstLineChars="900"/>
        <w:jc w:val="both"/>
        <w:rPr>
          <w:rFonts w:hint="default" w:ascii="仿宋" w:hAnsi="仿宋" w:eastAsia="仿宋" w:cs="仿宋"/>
          <w:b/>
          <w:color w:val="auto"/>
          <w:sz w:val="36"/>
          <w:szCs w:val="36"/>
          <w:lang w:val="en-US" w:eastAsia="zh-CN"/>
        </w:rPr>
      </w:pPr>
      <w:r>
        <w:rPr>
          <w:rFonts w:hint="eastAsia" w:ascii="仿宋" w:hAnsi="仿宋" w:eastAsia="仿宋" w:cs="仿宋"/>
          <w:b/>
          <w:color w:val="auto"/>
          <w:sz w:val="36"/>
          <w:szCs w:val="36"/>
          <w:lang w:val="en-US" w:eastAsia="zh-CN"/>
        </w:rPr>
        <w:t>2026年5月</w:t>
      </w:r>
    </w:p>
    <w:p w14:paraId="11A645FE">
      <w:pPr>
        <w:jc w:val="center"/>
        <w:rPr>
          <w:rFonts w:hint="eastAsia" w:ascii="仿宋" w:hAnsi="仿宋" w:eastAsia="仿宋" w:cs="仿宋"/>
          <w:b/>
          <w:color w:val="auto"/>
          <w:sz w:val="36"/>
          <w:szCs w:val="36"/>
        </w:rPr>
      </w:pPr>
    </w:p>
    <w:p w14:paraId="0F2D0FB8">
      <w:pPr>
        <w:jc w:val="center"/>
        <w:rPr>
          <w:rFonts w:ascii="仿宋" w:hAnsi="仿宋" w:eastAsia="仿宋" w:cs="仿宋"/>
          <w:b/>
          <w:color w:val="auto"/>
          <w:sz w:val="36"/>
          <w:szCs w:val="36"/>
        </w:rPr>
      </w:pPr>
      <w:r>
        <w:rPr>
          <w:rFonts w:hint="eastAsia" w:ascii="仿宋" w:hAnsi="仿宋" w:eastAsia="仿宋" w:cs="仿宋"/>
          <w:b/>
          <w:color w:val="auto"/>
          <w:sz w:val="36"/>
          <w:szCs w:val="36"/>
        </w:rPr>
        <w:t>招投标监督管理机构备案登记栏</w:t>
      </w:r>
    </w:p>
    <w:tbl>
      <w:tblPr>
        <w:tblStyle w:val="22"/>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6"/>
      </w:tblGrid>
      <w:tr w14:paraId="2589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8826" w:type="dxa"/>
          </w:tcPr>
          <w:p w14:paraId="12A411DD">
            <w:pPr>
              <w:spacing w:line="500" w:lineRule="exact"/>
              <w:jc w:val="both"/>
              <w:rPr>
                <w:rFonts w:ascii="仿宋" w:hAnsi="仿宋" w:eastAsia="仿宋" w:cs="仿宋"/>
                <w:color w:val="auto"/>
              </w:rPr>
            </w:pPr>
          </w:p>
          <w:p w14:paraId="5B4FC860">
            <w:pPr>
              <w:spacing w:line="500" w:lineRule="exact"/>
              <w:jc w:val="both"/>
              <w:rPr>
                <w:rFonts w:ascii="仿宋" w:hAnsi="仿宋" w:eastAsia="仿宋" w:cs="仿宋"/>
                <w:color w:val="auto"/>
              </w:rPr>
            </w:pPr>
          </w:p>
          <w:p w14:paraId="39DF5E5A">
            <w:pPr>
              <w:spacing w:line="500" w:lineRule="exact"/>
              <w:jc w:val="both"/>
              <w:rPr>
                <w:rFonts w:ascii="仿宋" w:hAnsi="仿宋" w:eastAsia="仿宋" w:cs="仿宋"/>
                <w:color w:val="auto"/>
                <w:w w:val="95"/>
                <w:sz w:val="28"/>
                <w:szCs w:val="28"/>
                <w:lang w:eastAsia="zh-CN"/>
              </w:rPr>
            </w:pPr>
            <w:r>
              <w:rPr>
                <w:rFonts w:hint="eastAsia" w:ascii="仿宋" w:hAnsi="仿宋" w:eastAsia="仿宋" w:cs="仿宋"/>
                <w:color w:val="auto"/>
                <w:sz w:val="28"/>
                <w:szCs w:val="28"/>
              </w:rPr>
              <w:t>采购单位：克孜勒苏柯尔克孜自治州质量与计量检验检测中心 </w:t>
            </w:r>
            <w:r>
              <w:rPr>
                <w:rFonts w:hint="eastAsia" w:ascii="仿宋" w:hAnsi="仿宋" w:eastAsia="仿宋" w:cs="仿宋"/>
                <w:color w:val="auto"/>
                <w:w w:val="95"/>
                <w:sz w:val="28"/>
                <w:szCs w:val="28"/>
                <w:lang w:eastAsia="zh-CN"/>
              </w:rPr>
              <w:t>（盖章）</w:t>
            </w:r>
          </w:p>
          <w:p w14:paraId="5D067BDE">
            <w:pPr>
              <w:spacing w:line="5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p>
          <w:p w14:paraId="6044D530">
            <w:pPr>
              <w:spacing w:line="500" w:lineRule="exact"/>
              <w:jc w:val="both"/>
              <w:rPr>
                <w:rFonts w:ascii="仿宋" w:hAnsi="仿宋" w:eastAsia="仿宋" w:cs="仿宋"/>
                <w:color w:val="auto"/>
                <w:sz w:val="32"/>
                <w:szCs w:val="32"/>
              </w:rPr>
            </w:pPr>
          </w:p>
          <w:p w14:paraId="153FBAEF">
            <w:pPr>
              <w:spacing w:line="500" w:lineRule="exact"/>
              <w:jc w:val="both"/>
              <w:rPr>
                <w:rFonts w:ascii="仿宋" w:hAnsi="仿宋" w:eastAsia="仿宋" w:cs="仿宋"/>
                <w:color w:val="auto"/>
                <w:sz w:val="32"/>
                <w:szCs w:val="32"/>
              </w:rPr>
            </w:pPr>
          </w:p>
          <w:p w14:paraId="54F63466">
            <w:pPr>
              <w:spacing w:line="500" w:lineRule="exact"/>
              <w:ind w:left="3554" w:hanging="3553" w:hangingChars="1100"/>
              <w:jc w:val="both"/>
              <w:rPr>
                <w:rFonts w:ascii="仿宋" w:hAnsi="仿宋" w:eastAsia="仿宋" w:cs="仿宋"/>
                <w:color w:val="auto"/>
                <w:sz w:val="32"/>
                <w:szCs w:val="32"/>
              </w:rPr>
            </w:pPr>
          </w:p>
          <w:p w14:paraId="7BC3EC44">
            <w:pPr>
              <w:spacing w:line="500" w:lineRule="exact"/>
              <w:ind w:left="3554" w:hanging="3113" w:hangingChars="11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采购项目名称：检验检测综合能力提升项目</w:t>
            </w:r>
          </w:p>
          <w:p w14:paraId="47FA82CE">
            <w:pPr>
              <w:spacing w:line="500" w:lineRule="exact"/>
              <w:ind w:left="3554" w:hanging="3553" w:hangingChars="1100"/>
              <w:jc w:val="both"/>
              <w:rPr>
                <w:rFonts w:ascii="仿宋" w:hAnsi="仿宋" w:eastAsia="仿宋" w:cs="仿宋"/>
                <w:color w:val="auto"/>
                <w:sz w:val="32"/>
                <w:szCs w:val="32"/>
                <w:lang w:eastAsia="zh-CN"/>
              </w:rPr>
            </w:pPr>
          </w:p>
          <w:p w14:paraId="2F62A725">
            <w:pPr>
              <w:pStyle w:val="4"/>
              <w:spacing w:line="500" w:lineRule="exact"/>
              <w:jc w:val="both"/>
              <w:outlineLvl w:val="2"/>
              <w:rPr>
                <w:rFonts w:ascii="仿宋" w:hAnsi="仿宋" w:eastAsia="仿宋" w:cs="仿宋"/>
                <w:color w:val="auto"/>
              </w:rPr>
            </w:pPr>
          </w:p>
          <w:p w14:paraId="116B29A0">
            <w:pPr>
              <w:spacing w:line="500" w:lineRule="exact"/>
              <w:jc w:val="both"/>
              <w:rPr>
                <w:rFonts w:ascii="仿宋" w:hAnsi="仿宋" w:eastAsia="仿宋" w:cs="仿宋"/>
                <w:color w:val="auto"/>
                <w:sz w:val="32"/>
                <w:szCs w:val="32"/>
              </w:rPr>
            </w:pPr>
          </w:p>
          <w:p w14:paraId="5A5AEF9C">
            <w:pPr>
              <w:spacing w:line="500" w:lineRule="exact"/>
              <w:jc w:val="both"/>
              <w:rPr>
                <w:rFonts w:ascii="仿宋" w:hAnsi="仿宋" w:eastAsia="仿宋" w:cs="仿宋"/>
                <w:color w:val="auto"/>
                <w:sz w:val="32"/>
                <w:szCs w:val="32"/>
              </w:rPr>
            </w:pPr>
          </w:p>
          <w:p w14:paraId="5707AAA4">
            <w:pPr>
              <w:spacing w:line="500" w:lineRule="exact"/>
              <w:jc w:val="both"/>
              <w:rPr>
                <w:rFonts w:ascii="仿宋" w:hAnsi="仿宋" w:eastAsia="仿宋" w:cs="仿宋"/>
                <w:color w:val="auto"/>
                <w:sz w:val="32"/>
                <w:szCs w:val="32"/>
              </w:rPr>
            </w:pPr>
          </w:p>
          <w:p w14:paraId="052C4616">
            <w:pPr>
              <w:shd w:val="clear" w:color="040000" w:fill="auto"/>
              <w:spacing w:line="5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rPr>
              <w:t>代理机构：</w:t>
            </w:r>
            <w:r>
              <w:rPr>
                <w:rFonts w:hint="eastAsia" w:ascii="仿宋" w:hAnsi="仿宋" w:eastAsia="仿宋" w:cs="仿宋"/>
                <w:color w:val="auto"/>
                <w:sz w:val="32"/>
                <w:szCs w:val="32"/>
                <w:lang w:val="en-US" w:eastAsia="zh-CN"/>
              </w:rPr>
              <w:t>新疆鑫润华工程项目管理有限公司</w:t>
            </w:r>
            <w:r>
              <w:rPr>
                <w:rFonts w:hint="eastAsia" w:ascii="仿宋" w:hAnsi="仿宋" w:eastAsia="仿宋" w:cs="仿宋"/>
                <w:color w:val="auto"/>
                <w:sz w:val="32"/>
                <w:szCs w:val="32"/>
                <w:lang w:eastAsia="zh-CN"/>
              </w:rPr>
              <w:t>（盖章）</w:t>
            </w:r>
          </w:p>
          <w:p w14:paraId="74C966B3">
            <w:pPr>
              <w:pStyle w:val="4"/>
              <w:jc w:val="center"/>
              <w:outlineLvl w:val="2"/>
              <w:rPr>
                <w:rFonts w:ascii="仿宋" w:hAnsi="仿宋" w:eastAsia="仿宋" w:cs="仿宋"/>
                <w:color w:val="auto"/>
              </w:rPr>
            </w:pPr>
          </w:p>
          <w:p w14:paraId="544F00D9">
            <w:pPr>
              <w:pStyle w:val="4"/>
              <w:jc w:val="center"/>
              <w:outlineLvl w:val="2"/>
              <w:rPr>
                <w:rFonts w:ascii="仿宋" w:hAnsi="仿宋" w:eastAsia="仿宋" w:cs="仿宋"/>
                <w:color w:val="auto"/>
              </w:rPr>
            </w:pPr>
          </w:p>
          <w:p w14:paraId="776FA4AD">
            <w:pPr>
              <w:autoSpaceDE w:val="0"/>
              <w:autoSpaceDN w:val="0"/>
              <w:adjustRightInd w:val="0"/>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本采购</w:t>
            </w:r>
            <w:r>
              <w:rPr>
                <w:rFonts w:hint="eastAsia" w:ascii="仿宋" w:hAnsi="仿宋" w:eastAsia="仿宋" w:cs="仿宋"/>
                <w:b/>
                <w:color w:val="auto"/>
                <w:kern w:val="0"/>
                <w:sz w:val="32"/>
                <w:szCs w:val="32"/>
                <w:lang w:val="en-US" w:eastAsia="zh-CN"/>
              </w:rPr>
              <w:t>谈判文件</w:t>
            </w:r>
            <w:r>
              <w:rPr>
                <w:rFonts w:hint="eastAsia" w:ascii="仿宋" w:hAnsi="仿宋" w:eastAsia="仿宋" w:cs="仿宋"/>
                <w:b/>
                <w:color w:val="auto"/>
                <w:kern w:val="0"/>
                <w:sz w:val="32"/>
                <w:szCs w:val="32"/>
              </w:rPr>
              <w:t>已报备</w:t>
            </w:r>
          </w:p>
          <w:p w14:paraId="03506531">
            <w:pPr>
              <w:pStyle w:val="4"/>
              <w:jc w:val="both"/>
              <w:outlineLvl w:val="2"/>
              <w:rPr>
                <w:rFonts w:ascii="仿宋" w:hAnsi="仿宋" w:eastAsia="仿宋" w:cs="仿宋"/>
                <w:color w:val="auto"/>
              </w:rPr>
            </w:pPr>
          </w:p>
        </w:tc>
      </w:tr>
    </w:tbl>
    <w:p w14:paraId="59FE9B0C">
      <w:pPr>
        <w:spacing w:line="240" w:lineRule="exact"/>
        <w:rPr>
          <w:rFonts w:ascii="仿宋" w:hAnsi="仿宋" w:eastAsia="仿宋" w:cs="仿宋"/>
          <w:color w:val="auto"/>
          <w:sz w:val="44"/>
          <w:szCs w:val="44"/>
        </w:rPr>
      </w:pPr>
    </w:p>
    <w:p w14:paraId="0890BCD2">
      <w:pPr>
        <w:spacing w:line="240" w:lineRule="exact"/>
        <w:rPr>
          <w:rFonts w:ascii="仿宋" w:hAnsi="仿宋" w:eastAsia="仿宋" w:cs="仿宋"/>
          <w:color w:val="auto"/>
          <w:sz w:val="44"/>
          <w:szCs w:val="44"/>
        </w:rPr>
      </w:pPr>
    </w:p>
    <w:p w14:paraId="2B1FD544">
      <w:pPr>
        <w:pStyle w:val="31"/>
        <w:spacing w:before="0" w:line="360" w:lineRule="auto"/>
        <w:jc w:val="center"/>
        <w:rPr>
          <w:rFonts w:ascii="仿宋" w:hAnsi="仿宋" w:eastAsia="仿宋" w:cs="仿宋"/>
          <w:color w:val="auto"/>
          <w:sz w:val="44"/>
          <w:szCs w:val="44"/>
          <w:lang w:val="zh-CN"/>
        </w:rPr>
        <w:sectPr>
          <w:footerReference r:id="rId3" w:type="default"/>
          <w:pgSz w:w="11905" w:h="16838"/>
          <w:pgMar w:top="1440" w:right="1417" w:bottom="1440" w:left="1417" w:header="850" w:footer="992" w:gutter="0"/>
          <w:cols w:space="720" w:num="1"/>
          <w:docGrid w:type="linesAndChars" w:linePitch="325" w:charSpace="635"/>
        </w:sectPr>
      </w:pPr>
    </w:p>
    <w:p w14:paraId="172F12CE">
      <w:pPr>
        <w:rPr>
          <w:rFonts w:ascii="仿宋" w:hAnsi="仿宋" w:eastAsia="仿宋" w:cs="仿宋"/>
          <w:color w:val="auto"/>
          <w:lang w:val="zh-CN"/>
        </w:rPr>
      </w:pPr>
    </w:p>
    <w:p w14:paraId="5BDCF1A6">
      <w:pPr>
        <w:pStyle w:val="31"/>
        <w:spacing w:before="0" w:line="360" w:lineRule="auto"/>
        <w:jc w:val="center"/>
        <w:rPr>
          <w:rFonts w:ascii="仿宋" w:hAnsi="仿宋" w:eastAsia="仿宋" w:cs="仿宋"/>
          <w:color w:val="auto"/>
          <w:sz w:val="44"/>
          <w:szCs w:val="44"/>
          <w:lang w:val="zh-CN"/>
        </w:rPr>
      </w:pPr>
    </w:p>
    <w:p w14:paraId="3F7067CD">
      <w:pPr>
        <w:pStyle w:val="31"/>
        <w:spacing w:before="0" w:line="360" w:lineRule="auto"/>
        <w:jc w:val="center"/>
        <w:rPr>
          <w:rFonts w:ascii="仿宋" w:hAnsi="仿宋" w:eastAsia="仿宋" w:cs="仿宋"/>
          <w:color w:val="auto"/>
          <w:sz w:val="44"/>
          <w:szCs w:val="44"/>
          <w:lang w:val="zh-CN"/>
        </w:rPr>
      </w:pPr>
      <w:r>
        <w:rPr>
          <w:rFonts w:hint="eastAsia" w:ascii="仿宋" w:hAnsi="仿宋" w:eastAsia="仿宋" w:cs="仿宋"/>
          <w:color w:val="auto"/>
          <w:sz w:val="44"/>
          <w:szCs w:val="44"/>
          <w:lang w:val="zh-CN"/>
        </w:rPr>
        <w:t>目    录</w:t>
      </w:r>
    </w:p>
    <w:p w14:paraId="0B1E7A17">
      <w:pPr>
        <w:rPr>
          <w:rFonts w:ascii="仿宋" w:hAnsi="仿宋" w:eastAsia="仿宋" w:cs="仿宋"/>
          <w:color w:val="auto"/>
          <w:sz w:val="30"/>
          <w:szCs w:val="30"/>
          <w:lang w:val="zh-CN"/>
        </w:rPr>
      </w:pPr>
    </w:p>
    <w:p w14:paraId="5F19352E">
      <w:pPr>
        <w:spacing w:line="360" w:lineRule="auto"/>
        <w:rPr>
          <w:rFonts w:ascii="仿宋" w:hAnsi="仿宋" w:eastAsia="仿宋" w:cs="仿宋"/>
          <w:color w:val="auto"/>
          <w:sz w:val="30"/>
          <w:szCs w:val="30"/>
        </w:rPr>
      </w:pPr>
    </w:p>
    <w:p w14:paraId="3EEA5B08">
      <w:pPr>
        <w:widowControl/>
        <w:rPr>
          <w:rFonts w:ascii="仿宋" w:hAnsi="仿宋" w:eastAsia="仿宋" w:cs="仿宋"/>
          <w:color w:val="auto"/>
          <w:sz w:val="30"/>
          <w:szCs w:val="30"/>
        </w:rPr>
      </w:pPr>
    </w:p>
    <w:p w14:paraId="3D71AC61">
      <w:pPr>
        <w:spacing w:line="360" w:lineRule="auto"/>
        <w:ind w:firstLine="1830" w:firstLineChars="600"/>
        <w:rPr>
          <w:rFonts w:ascii="仿宋" w:hAnsi="仿宋" w:eastAsia="仿宋" w:cs="仿宋"/>
          <w:b/>
          <w:color w:val="auto"/>
          <w:sz w:val="30"/>
          <w:szCs w:val="30"/>
        </w:rPr>
      </w:pPr>
      <w:r>
        <w:rPr>
          <w:rFonts w:hint="eastAsia" w:ascii="仿宋" w:hAnsi="仿宋" w:eastAsia="仿宋" w:cs="仿宋"/>
          <w:b/>
          <w:color w:val="auto"/>
          <w:sz w:val="30"/>
          <w:szCs w:val="30"/>
        </w:rPr>
        <w:t>第一部分      竞争性</w:t>
      </w:r>
      <w:r>
        <w:rPr>
          <w:rFonts w:hint="eastAsia" w:ascii="仿宋" w:hAnsi="仿宋" w:eastAsia="仿宋" w:cs="仿宋"/>
          <w:b/>
          <w:color w:val="auto"/>
          <w:sz w:val="30"/>
          <w:szCs w:val="30"/>
          <w:lang w:eastAsia="zh-CN"/>
        </w:rPr>
        <w:t>谈判</w:t>
      </w:r>
      <w:r>
        <w:rPr>
          <w:rFonts w:hint="eastAsia" w:ascii="仿宋" w:hAnsi="仿宋" w:eastAsia="仿宋" w:cs="仿宋"/>
          <w:b/>
          <w:color w:val="auto"/>
          <w:sz w:val="30"/>
          <w:szCs w:val="30"/>
        </w:rPr>
        <w:t>公告</w:t>
      </w:r>
    </w:p>
    <w:p w14:paraId="4834BAB9">
      <w:pPr>
        <w:spacing w:line="360" w:lineRule="auto"/>
        <w:ind w:firstLine="1830" w:firstLineChars="600"/>
        <w:rPr>
          <w:rFonts w:ascii="仿宋" w:hAnsi="仿宋" w:eastAsia="仿宋" w:cs="仿宋"/>
          <w:b/>
          <w:color w:val="auto"/>
          <w:sz w:val="30"/>
          <w:szCs w:val="30"/>
        </w:rPr>
      </w:pPr>
      <w:r>
        <w:rPr>
          <w:rFonts w:hint="eastAsia" w:ascii="仿宋" w:hAnsi="仿宋" w:eastAsia="仿宋" w:cs="仿宋"/>
          <w:b/>
          <w:color w:val="auto"/>
          <w:sz w:val="30"/>
          <w:szCs w:val="30"/>
        </w:rPr>
        <w:t>第二部分      供应商须知</w:t>
      </w:r>
    </w:p>
    <w:p w14:paraId="37945D8F">
      <w:pPr>
        <w:spacing w:line="360" w:lineRule="auto"/>
        <w:ind w:firstLine="1830" w:firstLineChars="600"/>
        <w:rPr>
          <w:rFonts w:ascii="仿宋" w:hAnsi="仿宋" w:eastAsia="仿宋" w:cs="仿宋"/>
          <w:b/>
          <w:color w:val="auto"/>
          <w:sz w:val="30"/>
          <w:szCs w:val="30"/>
        </w:rPr>
      </w:pPr>
      <w:r>
        <w:rPr>
          <w:rFonts w:hint="eastAsia" w:ascii="仿宋" w:hAnsi="仿宋" w:eastAsia="仿宋" w:cs="仿宋"/>
          <w:b/>
          <w:color w:val="auto"/>
          <w:sz w:val="30"/>
          <w:szCs w:val="30"/>
        </w:rPr>
        <w:t xml:space="preserve">第三部分      </w:t>
      </w:r>
      <w:r>
        <w:rPr>
          <w:rFonts w:hint="eastAsia" w:ascii="仿宋" w:hAnsi="仿宋" w:eastAsia="仿宋" w:cs="仿宋"/>
          <w:b/>
          <w:color w:val="auto"/>
          <w:sz w:val="30"/>
          <w:szCs w:val="30"/>
          <w:lang w:eastAsia="zh-CN"/>
        </w:rPr>
        <w:t>技术要</w:t>
      </w:r>
      <w:r>
        <w:rPr>
          <w:rFonts w:hint="eastAsia" w:ascii="仿宋" w:hAnsi="仿宋" w:eastAsia="仿宋" w:cs="仿宋"/>
          <w:b/>
          <w:color w:val="auto"/>
          <w:sz w:val="30"/>
          <w:szCs w:val="30"/>
        </w:rPr>
        <w:t>求</w:t>
      </w:r>
    </w:p>
    <w:p w14:paraId="6D20101C">
      <w:pPr>
        <w:spacing w:line="360" w:lineRule="auto"/>
        <w:ind w:firstLine="1830" w:firstLineChars="600"/>
        <w:rPr>
          <w:rFonts w:ascii="仿宋" w:hAnsi="仿宋" w:eastAsia="仿宋" w:cs="仿宋"/>
          <w:b/>
          <w:color w:val="auto"/>
          <w:sz w:val="30"/>
          <w:szCs w:val="30"/>
        </w:rPr>
      </w:pPr>
      <w:r>
        <w:rPr>
          <w:rFonts w:hint="eastAsia" w:ascii="仿宋" w:hAnsi="仿宋" w:eastAsia="仿宋" w:cs="仿宋"/>
          <w:b/>
          <w:color w:val="auto"/>
          <w:sz w:val="30"/>
          <w:szCs w:val="30"/>
        </w:rPr>
        <w:t>第四部分      合同文本（参考）</w:t>
      </w:r>
    </w:p>
    <w:p w14:paraId="10509908">
      <w:pPr>
        <w:spacing w:line="360" w:lineRule="auto"/>
        <w:ind w:firstLine="1830" w:firstLineChars="600"/>
        <w:rPr>
          <w:rFonts w:ascii="仿宋" w:hAnsi="仿宋" w:eastAsia="仿宋" w:cs="仿宋"/>
          <w:b/>
          <w:color w:val="auto"/>
          <w:sz w:val="30"/>
          <w:szCs w:val="30"/>
        </w:rPr>
      </w:pPr>
      <w:r>
        <w:rPr>
          <w:rFonts w:hint="eastAsia" w:ascii="仿宋" w:hAnsi="仿宋" w:eastAsia="仿宋" w:cs="仿宋"/>
          <w:b/>
          <w:color w:val="auto"/>
          <w:sz w:val="30"/>
          <w:szCs w:val="30"/>
        </w:rPr>
        <w:t>第五部分      响应文件格式</w:t>
      </w:r>
    </w:p>
    <w:p w14:paraId="2F911598">
      <w:pPr>
        <w:pStyle w:val="7"/>
        <w:numPr>
          <w:ilvl w:val="0"/>
          <w:numId w:val="0"/>
        </w:numPr>
        <w:tabs>
          <w:tab w:val="clear" w:pos="780"/>
        </w:tabs>
        <w:rPr>
          <w:rFonts w:ascii="仿宋" w:hAnsi="仿宋" w:eastAsia="仿宋" w:cs="仿宋"/>
          <w:color w:val="auto"/>
        </w:rPr>
      </w:pPr>
    </w:p>
    <w:p w14:paraId="64B596C4">
      <w:pPr>
        <w:rPr>
          <w:rFonts w:ascii="仿宋" w:hAnsi="仿宋" w:eastAsia="仿宋" w:cs="仿宋"/>
          <w:color w:val="auto"/>
        </w:rPr>
      </w:pPr>
    </w:p>
    <w:p w14:paraId="0A88400C">
      <w:pPr>
        <w:pStyle w:val="4"/>
        <w:rPr>
          <w:rFonts w:ascii="仿宋" w:hAnsi="仿宋" w:eastAsia="仿宋" w:cs="仿宋"/>
          <w:color w:val="auto"/>
          <w:lang w:eastAsia="zh-CN"/>
        </w:rPr>
      </w:pPr>
    </w:p>
    <w:p w14:paraId="6E1EC26B">
      <w:pPr>
        <w:rPr>
          <w:rFonts w:ascii="仿宋" w:hAnsi="仿宋" w:eastAsia="仿宋" w:cs="仿宋"/>
          <w:color w:val="auto"/>
        </w:rPr>
      </w:pPr>
    </w:p>
    <w:p w14:paraId="72171BC4">
      <w:pPr>
        <w:rPr>
          <w:rFonts w:ascii="仿宋" w:hAnsi="仿宋" w:eastAsia="仿宋" w:cs="仿宋"/>
          <w:color w:val="auto"/>
        </w:rPr>
      </w:pPr>
    </w:p>
    <w:p w14:paraId="56F4A7C9">
      <w:pPr>
        <w:pStyle w:val="4"/>
        <w:rPr>
          <w:rFonts w:ascii="仿宋" w:hAnsi="仿宋" w:eastAsia="仿宋" w:cs="仿宋"/>
          <w:color w:val="auto"/>
        </w:rPr>
      </w:pPr>
    </w:p>
    <w:p w14:paraId="68816A09">
      <w:pPr>
        <w:rPr>
          <w:rFonts w:ascii="仿宋" w:hAnsi="仿宋" w:eastAsia="仿宋" w:cs="仿宋"/>
          <w:color w:val="auto"/>
        </w:rPr>
      </w:pPr>
    </w:p>
    <w:p w14:paraId="1390B3D8">
      <w:pPr>
        <w:pStyle w:val="4"/>
        <w:rPr>
          <w:rFonts w:ascii="仿宋" w:hAnsi="仿宋" w:eastAsia="仿宋" w:cs="仿宋"/>
          <w:color w:val="auto"/>
        </w:rPr>
      </w:pPr>
    </w:p>
    <w:p w14:paraId="20E0A7C9">
      <w:pPr>
        <w:rPr>
          <w:rFonts w:ascii="仿宋" w:hAnsi="仿宋" w:eastAsia="仿宋" w:cs="仿宋"/>
          <w:color w:val="auto"/>
        </w:rPr>
      </w:pPr>
    </w:p>
    <w:p w14:paraId="2F87244B">
      <w:pPr>
        <w:pStyle w:val="32"/>
        <w:keepNext/>
        <w:keepLines/>
        <w:pageBreakBefore w:val="0"/>
        <w:widowControl w:val="0"/>
        <w:numPr>
          <w:ilvl w:val="0"/>
          <w:numId w:val="0"/>
        </w:numPr>
        <w:kinsoku/>
        <w:wordWrap/>
        <w:overflowPunct/>
        <w:topLinePunct w:val="0"/>
        <w:autoSpaceDE/>
        <w:autoSpaceDN/>
        <w:bidi w:val="0"/>
        <w:adjustRightInd/>
        <w:snapToGrid/>
        <w:spacing w:before="120" w:after="300" w:line="440" w:lineRule="exact"/>
        <w:jc w:val="center"/>
        <w:textAlignment w:val="auto"/>
        <w:rPr>
          <w:rFonts w:hint="eastAsia" w:ascii="仿宋" w:hAnsi="仿宋" w:eastAsia="仿宋" w:cs="仿宋"/>
          <w:b/>
          <w:bCs/>
          <w:color w:val="auto"/>
          <w:lang w:eastAsia="zh-CN"/>
        </w:rPr>
      </w:pPr>
    </w:p>
    <w:p w14:paraId="1F187E7F">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4330D4DD">
      <w:pPr>
        <w:pStyle w:val="32"/>
        <w:keepNext/>
        <w:keepLines/>
        <w:pageBreakBefore w:val="0"/>
        <w:widowControl w:val="0"/>
        <w:numPr>
          <w:ilvl w:val="0"/>
          <w:numId w:val="0"/>
        </w:numPr>
        <w:kinsoku/>
        <w:wordWrap/>
        <w:overflowPunct/>
        <w:topLinePunct w:val="0"/>
        <w:autoSpaceDE/>
        <w:autoSpaceDN/>
        <w:bidi w:val="0"/>
        <w:adjustRightInd/>
        <w:snapToGrid/>
        <w:spacing w:before="120" w:after="300" w:line="440" w:lineRule="exact"/>
        <w:jc w:val="center"/>
        <w:textAlignment w:val="auto"/>
        <w:rPr>
          <w:rFonts w:hint="eastAsia" w:ascii="仿宋" w:hAnsi="仿宋" w:eastAsia="仿宋" w:cs="仿宋"/>
          <w:b/>
          <w:bCs/>
          <w:color w:val="auto"/>
          <w:lang w:eastAsia="zh-CN"/>
        </w:rPr>
      </w:pPr>
      <w:r>
        <w:rPr>
          <w:rFonts w:hint="eastAsia" w:ascii="仿宋" w:hAnsi="仿宋" w:eastAsia="仿宋" w:cs="仿宋"/>
          <w:b/>
          <w:bCs/>
          <w:color w:val="auto"/>
          <w:lang w:eastAsia="zh-CN"/>
        </w:rPr>
        <w:t>第一部分</w:t>
      </w:r>
      <w:r>
        <w:rPr>
          <w:rFonts w:hint="eastAsia" w:ascii="仿宋" w:hAnsi="仿宋" w:eastAsia="仿宋" w:cs="仿宋"/>
          <w:b/>
          <w:bCs/>
          <w:color w:val="auto"/>
          <w:lang w:val="en-US" w:eastAsia="zh-CN"/>
        </w:rPr>
        <w:t xml:space="preserve"> </w:t>
      </w:r>
      <w:r>
        <w:rPr>
          <w:rFonts w:hint="eastAsia" w:ascii="仿宋" w:hAnsi="仿宋" w:eastAsia="仿宋" w:cs="仿宋"/>
          <w:b/>
          <w:bCs/>
          <w:color w:val="auto"/>
          <w:lang w:eastAsia="zh-CN"/>
        </w:rPr>
        <w:t>竞争性谈判公告</w:t>
      </w:r>
      <w:bookmarkStart w:id="0" w:name="_Toc28359001"/>
      <w:bookmarkStart w:id="1" w:name="_Toc35393789"/>
    </w:p>
    <w:bookmarkEnd w:id="0"/>
    <w:bookmarkEnd w:id="1"/>
    <w:p w14:paraId="632256F4">
      <w:pPr>
        <w:keepNext w:val="0"/>
        <w:keepLines w:val="0"/>
        <w:pageBreakBefore w:val="0"/>
        <w:shd w:val="clear" w:color="auto" w:fill="auto"/>
        <w:kinsoku/>
        <w:wordWrap/>
        <w:overflowPunct/>
        <w:topLinePunct w:val="0"/>
        <w:autoSpaceDE/>
        <w:autoSpaceDN/>
        <w:bidi w:val="0"/>
        <w:adjustRightInd w:val="0"/>
        <w:snapToGrid/>
        <w:spacing w:line="288" w:lineRule="auto"/>
        <w:jc w:val="center"/>
        <w:textAlignment w:val="auto"/>
        <w:rPr>
          <w:rFonts w:hint="eastAsia" w:ascii="仿宋" w:hAnsi="仿宋" w:eastAsia="仿宋" w:cs="仿宋"/>
          <w:b/>
          <w:bCs/>
          <w:color w:val="auto"/>
          <w:kern w:val="0"/>
          <w:sz w:val="24"/>
          <w:szCs w:val="24"/>
          <w:highlight w:val="none"/>
          <w:u w:val="none"/>
          <w:lang w:val="en-US" w:eastAsia="zh-CN" w:bidi="ar"/>
        </w:rPr>
      </w:pPr>
      <w:r>
        <w:rPr>
          <w:rFonts w:hint="eastAsia" w:ascii="仿宋" w:hAnsi="仿宋" w:eastAsia="仿宋" w:cs="仿宋"/>
          <w:b/>
          <w:color w:val="auto"/>
          <w:sz w:val="32"/>
          <w:szCs w:val="32"/>
          <w:highlight w:val="none"/>
          <w:shd w:val="clear" w:color="auto" w:fill="FFFFFF"/>
          <w:lang w:val="en-US" w:eastAsia="zh-CN"/>
        </w:rPr>
        <w:t>检验检测综合能力提升项目的竞争性谈判公告</w:t>
      </w:r>
    </w:p>
    <w:tbl>
      <w:tblPr>
        <w:tblStyle w:val="22"/>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4"/>
      </w:tblGrid>
      <w:tr w14:paraId="2726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9234" w:type="dxa"/>
            <w:noWrap w:val="0"/>
            <w:vAlign w:val="top"/>
          </w:tcPr>
          <w:p w14:paraId="1D4E3896">
            <w:pPr>
              <w:pStyle w:val="18"/>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项目概况</w:t>
            </w:r>
          </w:p>
          <w:p w14:paraId="621E3E8E">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jc w:val="both"/>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检验检测综合能力提升项目的潜在供应商应在登陆政采云平台http://www.zcygov.cn/，在线申请（登录政府采购云平台 → 项目采购 → 获取竞争性谈判文件→申请，审核通过后可下载竞争性谈判文件，如有操作性问题，可与政采云在线客服进行咨询，咨询电话：95763） 获取采购文件，并于2026年6月1日 10:30（北京时间）前提交响应文件。</w:t>
            </w:r>
          </w:p>
        </w:tc>
      </w:tr>
    </w:tbl>
    <w:p w14:paraId="281B4FD1">
      <w:pPr>
        <w:pStyle w:val="18"/>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ascii="仿宋" w:hAnsi="仿宋" w:eastAsia="仿宋" w:cs="仿宋"/>
          <w:b/>
          <w:bCs/>
          <w:spacing w:val="-6"/>
          <w:sz w:val="24"/>
          <w:szCs w:val="24"/>
          <w:lang w:val="en-US" w:eastAsia="zh-CN"/>
        </w:rPr>
      </w:pPr>
      <w:r>
        <w:rPr>
          <w:rFonts w:hint="eastAsia" w:ascii="仿宋" w:hAnsi="仿宋" w:eastAsia="仿宋" w:cs="仿宋"/>
          <w:b/>
          <w:bCs/>
          <w:spacing w:val="-6"/>
          <w:sz w:val="24"/>
          <w:szCs w:val="24"/>
          <w:lang w:val="en-US" w:eastAsia="zh-CN"/>
        </w:rPr>
        <w:t>一、项目基本情况</w:t>
      </w:r>
    </w:p>
    <w:p w14:paraId="520A2993">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default"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项目编号：</w:t>
      </w:r>
      <w:r>
        <w:rPr>
          <w:rFonts w:hint="eastAsia" w:ascii="仿宋" w:hAnsi="仿宋" w:eastAsia="仿宋" w:cs="仿宋"/>
          <w:color w:val="auto"/>
          <w:sz w:val="24"/>
          <w:szCs w:val="24"/>
        </w:rPr>
        <w:t>KZZB-202</w:t>
      </w:r>
      <w:r>
        <w:rPr>
          <w:rFonts w:hint="eastAsia" w:ascii="仿宋" w:hAnsi="仿宋" w:eastAsia="仿宋" w:cs="仿宋"/>
          <w:color w:val="auto"/>
          <w:sz w:val="24"/>
          <w:szCs w:val="24"/>
          <w:lang w:val="en-US" w:eastAsia="zh-CN"/>
        </w:rPr>
        <w:t>6069</w:t>
      </w:r>
    </w:p>
    <w:p w14:paraId="7ED41EEA">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项目名称：检验检测综合能力提升项目</w:t>
      </w:r>
    </w:p>
    <w:p w14:paraId="2C529AED">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default"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采购方式：竞争性谈判</w:t>
      </w:r>
    </w:p>
    <w:p w14:paraId="3F77DA47">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default"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预算金额（元）：657800</w:t>
      </w:r>
    </w:p>
    <w:p w14:paraId="2E65AABF">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default"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最高限价（元）：657800</w:t>
      </w:r>
    </w:p>
    <w:p w14:paraId="311EA864">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采购需求：</w:t>
      </w:r>
    </w:p>
    <w:p w14:paraId="1CC9B94B">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标项名称：检验检测综合能力提升项目</w:t>
      </w:r>
    </w:p>
    <w:p w14:paraId="6C723F13">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数量: 1 </w:t>
      </w:r>
    </w:p>
    <w:p w14:paraId="2125E1C4">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default"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预算金额（元）:657800</w:t>
      </w:r>
    </w:p>
    <w:p w14:paraId="5B085129">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单位：批</w:t>
      </w:r>
    </w:p>
    <w:p w14:paraId="4DF600F8">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简要规格描述：设备1批</w:t>
      </w:r>
    </w:p>
    <w:p w14:paraId="00895E4C">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备注：具体内容详见竞争性谈判文件</w:t>
      </w:r>
    </w:p>
    <w:p w14:paraId="53C2C052">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合同履行期限：以签订合同内容为准</w:t>
      </w:r>
    </w:p>
    <w:p w14:paraId="6590D616">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 xml:space="preserve">本项目（否）接受联合体投标。 </w:t>
      </w:r>
    </w:p>
    <w:p w14:paraId="0AC6B22A">
      <w:pPr>
        <w:pStyle w:val="18"/>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ascii="仿宋" w:hAnsi="仿宋" w:eastAsia="仿宋" w:cs="仿宋"/>
          <w:b/>
          <w:bCs/>
          <w:spacing w:val="-6"/>
          <w:sz w:val="24"/>
          <w:szCs w:val="24"/>
          <w:lang w:val="en-US" w:eastAsia="zh-CN"/>
        </w:rPr>
      </w:pPr>
      <w:r>
        <w:rPr>
          <w:rFonts w:hint="eastAsia" w:ascii="仿宋" w:hAnsi="仿宋" w:eastAsia="仿宋" w:cs="仿宋"/>
          <w:b/>
          <w:bCs/>
          <w:spacing w:val="-6"/>
          <w:sz w:val="24"/>
          <w:szCs w:val="24"/>
          <w:lang w:val="en-US" w:eastAsia="zh-CN"/>
        </w:rPr>
        <w:t>二、申请人的资格要求：</w:t>
      </w:r>
    </w:p>
    <w:p w14:paraId="3AE10D35">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1.满足《中华人民共和国政府采购法》第二十二条规定；</w:t>
      </w:r>
    </w:p>
    <w:p w14:paraId="22018A86">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2.落实政府采购政策需满足的资格要求：</w:t>
      </w:r>
      <w:r>
        <w:rPr>
          <w:rFonts w:hint="eastAsia" w:ascii="仿宋" w:hAnsi="仿宋" w:eastAsia="仿宋" w:cs="仿宋"/>
          <w:color w:val="auto"/>
          <w:sz w:val="22"/>
          <w:szCs w:val="22"/>
          <w:highlight w:val="none"/>
          <w:lang w:val="en-US" w:eastAsia="zh-CN" w:bidi="ar"/>
        </w:rPr>
        <w:t>供应商为中小企业</w:t>
      </w:r>
    </w:p>
    <w:p w14:paraId="72A6FED6">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default"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3.本项目的特定资格要求：/</w:t>
      </w:r>
    </w:p>
    <w:p w14:paraId="471CE457">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b w:val="0"/>
          <w:bCs w:val="0"/>
          <w:color w:val="auto"/>
          <w:kern w:val="0"/>
          <w:sz w:val="22"/>
          <w:szCs w:val="22"/>
          <w:highlight w:val="none"/>
          <w:u w:val="none"/>
          <w:lang w:val="en-US" w:eastAsia="zh-CN" w:bidi="ar"/>
        </w:rPr>
      </w:pPr>
      <w:r>
        <w:rPr>
          <w:rFonts w:hint="eastAsia" w:ascii="仿宋" w:hAnsi="仿宋" w:eastAsia="仿宋" w:cs="仿宋"/>
          <w:b w:val="0"/>
          <w:bCs w:val="0"/>
          <w:color w:val="auto"/>
          <w:kern w:val="0"/>
          <w:sz w:val="22"/>
          <w:szCs w:val="22"/>
          <w:highlight w:val="none"/>
          <w:u w:val="none"/>
          <w:lang w:val="en-US" w:eastAsia="zh-CN" w:bidi="ar"/>
        </w:rPr>
        <w:t>三、获取采购文件</w:t>
      </w:r>
    </w:p>
    <w:p w14:paraId="103B2CA8">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0" w:rightChars="0" w:firstLine="49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时间：2026年5月22日至2026年5月26日，每天上午10:00至14:00，下午16:00至20：00（北京时间，法定节假日除外）</w:t>
      </w:r>
    </w:p>
    <w:p w14:paraId="52F6B960">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0" w:rightChars="0" w:firstLine="49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地点：登陆政采云平台http://www.zcygov.cn/，在线申请（登录政府采购云平台 → 项目采购 → 获取竞争性谈判文件→申请，审核通过后可下载竞争性谈判文件，如有操作性问题，可与政采云在线客服进行咨询，咨询电话：95763）   </w:t>
      </w:r>
    </w:p>
    <w:p w14:paraId="1041E2FB">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0" w:rightChars="0" w:firstLine="49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方式：供应商登录政采云平台https://www.zcygov.cn/在线申请获取竞争性谈判文件（进入“项目采购”应用，在获取竞争性谈判文件菜单中选择项目，申请获取竞争性谈判文件）。  </w:t>
      </w:r>
    </w:p>
    <w:p w14:paraId="0AEA9179">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0" w:rightChars="0" w:firstLine="49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售价（元）：0 </w:t>
      </w:r>
    </w:p>
    <w:p w14:paraId="192313DF">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b/>
          <w:bCs/>
          <w:color w:val="auto"/>
          <w:kern w:val="0"/>
          <w:sz w:val="22"/>
          <w:szCs w:val="22"/>
          <w:highlight w:val="none"/>
          <w:u w:val="none"/>
          <w:lang w:val="en-US" w:eastAsia="zh-CN" w:bidi="ar"/>
        </w:rPr>
      </w:pPr>
      <w:r>
        <w:rPr>
          <w:rFonts w:hint="eastAsia" w:ascii="仿宋" w:hAnsi="仿宋" w:eastAsia="仿宋" w:cs="仿宋"/>
          <w:b/>
          <w:bCs/>
          <w:color w:val="auto"/>
          <w:kern w:val="0"/>
          <w:sz w:val="22"/>
          <w:szCs w:val="22"/>
          <w:highlight w:val="none"/>
          <w:u w:val="none"/>
          <w:lang w:val="en-US" w:eastAsia="zh-CN" w:bidi="ar"/>
        </w:rPr>
        <w:t>四、响应文件提交</w:t>
      </w:r>
    </w:p>
    <w:p w14:paraId="79D13F30">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left="0" w:right="0" w:firstLine="450" w:firstLineChars="200"/>
        <w:jc w:val="left"/>
        <w:textAlignment w:val="auto"/>
        <w:rPr>
          <w:rFonts w:hint="eastAsia" w:ascii="仿宋" w:hAnsi="仿宋" w:eastAsia="仿宋" w:cs="仿宋"/>
          <w:color w:val="auto"/>
          <w:kern w:val="0"/>
          <w:sz w:val="22"/>
          <w:szCs w:val="22"/>
          <w:highlight w:val="none"/>
          <w:u w:val="none"/>
          <w:lang w:val="en-US" w:eastAsia="zh-CN" w:bidi="ar"/>
        </w:rPr>
      </w:pPr>
      <w:r>
        <w:rPr>
          <w:rFonts w:hint="eastAsia" w:ascii="仿宋" w:hAnsi="仿宋" w:eastAsia="仿宋" w:cs="仿宋"/>
          <w:color w:val="auto"/>
          <w:kern w:val="0"/>
          <w:sz w:val="22"/>
          <w:szCs w:val="22"/>
          <w:highlight w:val="none"/>
          <w:u w:val="none"/>
          <w:lang w:val="en-US" w:eastAsia="zh-CN" w:bidi="ar"/>
        </w:rPr>
        <w:t>截止时间：2026年6月1日10:30 （北京时间）</w:t>
      </w:r>
    </w:p>
    <w:p w14:paraId="053D0C8F">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left="0" w:right="0" w:firstLine="450" w:firstLineChars="200"/>
        <w:jc w:val="left"/>
        <w:textAlignment w:val="auto"/>
        <w:rPr>
          <w:rFonts w:hint="eastAsia" w:ascii="仿宋" w:hAnsi="仿宋" w:eastAsia="仿宋" w:cs="仿宋"/>
          <w:color w:val="auto"/>
          <w:kern w:val="0"/>
          <w:sz w:val="22"/>
          <w:szCs w:val="22"/>
          <w:highlight w:val="none"/>
          <w:u w:val="none"/>
          <w:lang w:val="en-US" w:eastAsia="zh-CN" w:bidi="ar"/>
        </w:rPr>
      </w:pPr>
      <w:r>
        <w:rPr>
          <w:rFonts w:hint="eastAsia" w:ascii="仿宋" w:hAnsi="仿宋" w:eastAsia="仿宋" w:cs="仿宋"/>
          <w:color w:val="auto"/>
          <w:kern w:val="0"/>
          <w:sz w:val="22"/>
          <w:szCs w:val="22"/>
          <w:highlight w:val="none"/>
          <w:u w:val="none"/>
          <w:lang w:val="en-US" w:eastAsia="zh-CN" w:bidi="ar"/>
        </w:rPr>
        <w:t>地点：请登录政采云投标客户端投标</w:t>
      </w:r>
    </w:p>
    <w:p w14:paraId="08A06E1A">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b/>
          <w:bCs/>
          <w:color w:val="auto"/>
          <w:kern w:val="0"/>
          <w:sz w:val="22"/>
          <w:szCs w:val="22"/>
          <w:highlight w:val="none"/>
          <w:u w:val="none"/>
          <w:lang w:val="en-US" w:eastAsia="zh-CN" w:bidi="ar"/>
        </w:rPr>
      </w:pPr>
      <w:r>
        <w:rPr>
          <w:rFonts w:hint="eastAsia" w:ascii="仿宋" w:hAnsi="仿宋" w:eastAsia="仿宋" w:cs="仿宋"/>
          <w:b/>
          <w:bCs/>
          <w:color w:val="auto"/>
          <w:kern w:val="0"/>
          <w:sz w:val="22"/>
          <w:szCs w:val="22"/>
          <w:highlight w:val="none"/>
          <w:u w:val="none"/>
          <w:lang w:val="en-US" w:eastAsia="zh-CN" w:bidi="ar"/>
        </w:rPr>
        <w:t>五、响应文件开启</w:t>
      </w:r>
    </w:p>
    <w:p w14:paraId="1575212C">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left="0" w:right="0" w:firstLine="450" w:firstLineChars="200"/>
        <w:jc w:val="left"/>
        <w:textAlignment w:val="auto"/>
        <w:rPr>
          <w:rFonts w:hint="eastAsia" w:ascii="仿宋" w:hAnsi="仿宋" w:eastAsia="仿宋" w:cs="仿宋"/>
          <w:color w:val="auto"/>
          <w:kern w:val="0"/>
          <w:sz w:val="22"/>
          <w:szCs w:val="22"/>
          <w:highlight w:val="none"/>
          <w:u w:val="none"/>
          <w:lang w:val="en-US" w:eastAsia="zh-CN" w:bidi="ar"/>
        </w:rPr>
      </w:pPr>
      <w:r>
        <w:rPr>
          <w:rFonts w:hint="eastAsia" w:ascii="仿宋" w:hAnsi="仿宋" w:eastAsia="仿宋" w:cs="仿宋"/>
          <w:color w:val="auto"/>
          <w:kern w:val="0"/>
          <w:sz w:val="22"/>
          <w:szCs w:val="22"/>
          <w:highlight w:val="none"/>
          <w:u w:val="none"/>
          <w:lang w:val="en-US" w:eastAsia="zh-CN" w:bidi="ar"/>
        </w:rPr>
        <w:t>开启时间：2026年6月1 日10:30 （北京时间）</w:t>
      </w:r>
    </w:p>
    <w:p w14:paraId="1FC81814">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left="0" w:right="0" w:firstLine="450" w:firstLineChars="200"/>
        <w:jc w:val="left"/>
        <w:textAlignment w:val="auto"/>
        <w:rPr>
          <w:rFonts w:hint="eastAsia" w:ascii="仿宋" w:hAnsi="仿宋" w:eastAsia="仿宋" w:cs="仿宋"/>
          <w:i w:val="0"/>
          <w:caps w:val="0"/>
          <w:color w:val="auto"/>
          <w:spacing w:val="0"/>
          <w:kern w:val="0"/>
          <w:sz w:val="22"/>
          <w:szCs w:val="22"/>
          <w:highlight w:val="none"/>
        </w:rPr>
      </w:pPr>
      <w:r>
        <w:rPr>
          <w:rFonts w:hint="eastAsia" w:ascii="仿宋" w:hAnsi="仿宋" w:eastAsia="仿宋" w:cs="仿宋"/>
          <w:i w:val="0"/>
          <w:caps w:val="0"/>
          <w:color w:val="auto"/>
          <w:spacing w:val="0"/>
          <w:kern w:val="0"/>
          <w:sz w:val="22"/>
          <w:szCs w:val="22"/>
          <w:highlight w:val="none"/>
        </w:rPr>
        <w:t>地点：</w:t>
      </w:r>
      <w:r>
        <w:rPr>
          <w:rFonts w:hint="eastAsia" w:ascii="仿宋" w:hAnsi="仿宋" w:eastAsia="仿宋" w:cs="仿宋"/>
          <w:i w:val="0"/>
          <w:caps w:val="0"/>
          <w:color w:val="auto"/>
          <w:spacing w:val="0"/>
          <w:kern w:val="0"/>
          <w:sz w:val="22"/>
          <w:szCs w:val="22"/>
          <w:highlight w:val="none"/>
          <w:lang w:val="en-US" w:eastAsia="zh-CN"/>
        </w:rPr>
        <w:t>投标人登录政采云平台https://www.zcygov.cn/，进入“项目采购-开标评标-右边选择对应项目点击“进入项目”进入开标大厅</w:t>
      </w:r>
    </w:p>
    <w:p w14:paraId="56740A9D">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b/>
          <w:bCs/>
          <w:color w:val="auto"/>
          <w:kern w:val="0"/>
          <w:sz w:val="22"/>
          <w:szCs w:val="22"/>
          <w:highlight w:val="none"/>
          <w:u w:val="none"/>
          <w:lang w:val="en-US" w:eastAsia="zh-CN" w:bidi="ar"/>
        </w:rPr>
      </w:pPr>
      <w:r>
        <w:rPr>
          <w:rFonts w:hint="eastAsia" w:ascii="仿宋" w:hAnsi="仿宋" w:eastAsia="仿宋" w:cs="仿宋"/>
          <w:b/>
          <w:bCs/>
          <w:color w:val="auto"/>
          <w:kern w:val="0"/>
          <w:sz w:val="22"/>
          <w:szCs w:val="22"/>
          <w:highlight w:val="none"/>
          <w:u w:val="none"/>
          <w:lang w:val="en-US" w:eastAsia="zh-CN" w:bidi="ar"/>
        </w:rPr>
        <w:t>六、公告期限</w:t>
      </w:r>
    </w:p>
    <w:p w14:paraId="067F87E4">
      <w:pPr>
        <w:pStyle w:val="18"/>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left="0" w:right="0" w:firstLine="450" w:firstLineChars="200"/>
        <w:jc w:val="left"/>
        <w:textAlignment w:val="auto"/>
        <w:rPr>
          <w:rFonts w:hint="eastAsia" w:ascii="仿宋" w:hAnsi="仿宋" w:eastAsia="仿宋" w:cs="仿宋"/>
          <w:color w:val="auto"/>
          <w:kern w:val="0"/>
          <w:sz w:val="22"/>
          <w:szCs w:val="22"/>
          <w:highlight w:val="none"/>
          <w:u w:val="none"/>
          <w:lang w:val="en-US" w:eastAsia="zh-CN" w:bidi="ar"/>
        </w:rPr>
      </w:pPr>
      <w:r>
        <w:rPr>
          <w:rFonts w:hint="eastAsia" w:ascii="仿宋" w:hAnsi="仿宋" w:eastAsia="仿宋" w:cs="仿宋"/>
          <w:color w:val="auto"/>
          <w:kern w:val="0"/>
          <w:sz w:val="22"/>
          <w:szCs w:val="22"/>
          <w:highlight w:val="none"/>
          <w:u w:val="none"/>
          <w:lang w:val="en-US" w:eastAsia="zh-CN" w:bidi="ar"/>
        </w:rPr>
        <w:t>自本公告发布之日起3个工作日</w:t>
      </w:r>
    </w:p>
    <w:p w14:paraId="57042751">
      <w:pPr>
        <w:pStyle w:val="18"/>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textAlignment w:val="auto"/>
        <w:rPr>
          <w:rStyle w:val="24"/>
          <w:rFonts w:hint="eastAsia" w:ascii="仿宋" w:hAnsi="仿宋" w:eastAsia="仿宋" w:cs="仿宋"/>
          <w:spacing w:val="-6"/>
          <w:sz w:val="24"/>
          <w:szCs w:val="24"/>
        </w:rPr>
      </w:pPr>
      <w:r>
        <w:rPr>
          <w:rStyle w:val="24"/>
          <w:rFonts w:hint="eastAsia" w:ascii="仿宋" w:hAnsi="仿宋" w:eastAsia="仿宋" w:cs="仿宋"/>
          <w:spacing w:val="-6"/>
          <w:sz w:val="24"/>
          <w:szCs w:val="24"/>
        </w:rPr>
        <w:t>其他补充事宜</w:t>
      </w:r>
    </w:p>
    <w:p w14:paraId="41CA5E27">
      <w:pPr>
        <w:pStyle w:val="18"/>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本项目实行网上投标，采用电子投标文件。</w:t>
      </w:r>
    </w:p>
    <w:p w14:paraId="325718B8">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24"/>
          <w:szCs w:val="24"/>
        </w:rPr>
      </w:pPr>
      <w:r>
        <w:rPr>
          <w:rFonts w:hint="eastAsia" w:ascii="仿宋" w:hAnsi="仿宋" w:eastAsia="仿宋" w:cs="仿宋"/>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701FA610">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3、供应商将政采云电子交易客户端下载、安装完成后，可通过账号密码或CA登录客户端进行投标文件的制作。在使用政采云投标客户端时，建议使用WIN7及以上操作系统。 </w:t>
      </w:r>
    </w:p>
    <w:p w14:paraId="3BF51E08">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4、其他事项：/ </w:t>
      </w:r>
    </w:p>
    <w:p w14:paraId="11C4049B">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textAlignment w:val="auto"/>
        <w:rPr>
          <w:rStyle w:val="24"/>
          <w:rFonts w:hint="eastAsia" w:ascii="仿宋" w:hAnsi="仿宋" w:eastAsia="仿宋" w:cs="仿宋"/>
          <w:b w:val="0"/>
          <w:bCs w:val="0"/>
          <w:sz w:val="24"/>
          <w:szCs w:val="24"/>
        </w:rPr>
      </w:pPr>
      <w:r>
        <w:rPr>
          <w:rFonts w:hint="eastAsia" w:ascii="仿宋" w:hAnsi="仿宋" w:eastAsia="仿宋" w:cs="仿宋"/>
          <w:sz w:val="24"/>
          <w:szCs w:val="24"/>
        </w:rPr>
        <w:t>特别提示：</w:t>
      </w:r>
    </w:p>
    <w:p w14:paraId="5474101C">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1、采购限额标准以上，200万元以下的货物和服务采购项目、400万元以下的工程采购项目，适宜由中小企业提供的，采购人应当专门面向中小企业采购。</w:t>
      </w:r>
    </w:p>
    <w:p w14:paraId="2C8DE2FE">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2、超过200万元的货物和服务采购项目，预留该部分采购项目预算总额的30%以上专门面向中小企业采购，其中预留给小微企业的比例不低于60%。</w:t>
      </w:r>
    </w:p>
    <w:p w14:paraId="4562766D">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3、超过400万元的工程采购项目中适宜由中小企业提供的，预留该部分采购项目预算总额的40%以上专门面向中小企业采购，其中预留给小微企业的比例不低于60%。</w:t>
      </w:r>
    </w:p>
    <w:p w14:paraId="2D9A8A77">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sz w:val="24"/>
          <w:szCs w:val="24"/>
          <w:lang w:eastAsia="zh-CN"/>
        </w:rPr>
      </w:pPr>
      <w:r>
        <w:rPr>
          <w:rFonts w:hint="eastAsia" w:ascii="仿宋" w:hAnsi="仿宋" w:eastAsia="仿宋" w:cs="仿宋"/>
          <w:spacing w:val="-6"/>
          <w:sz w:val="24"/>
          <w:szCs w:val="24"/>
          <w:lang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9E521A9">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1028E74">
      <w:pPr>
        <w:pStyle w:val="18"/>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ascii="仿宋" w:hAnsi="仿宋" w:eastAsia="仿宋" w:cs="仿宋"/>
          <w:b/>
          <w:bCs/>
          <w:sz w:val="24"/>
          <w:szCs w:val="24"/>
        </w:rPr>
      </w:pPr>
      <w:r>
        <w:rPr>
          <w:rStyle w:val="24"/>
          <w:rFonts w:hint="eastAsia" w:ascii="仿宋" w:hAnsi="仿宋" w:eastAsia="仿宋" w:cs="仿宋"/>
          <w:b/>
          <w:bCs/>
          <w:sz w:val="24"/>
          <w:szCs w:val="24"/>
        </w:rPr>
        <w:t>七、对本次采购提出询问，请按以下方式联系</w:t>
      </w:r>
    </w:p>
    <w:p w14:paraId="2624F1A8">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1.采购人信息</w:t>
      </w:r>
    </w:p>
    <w:p w14:paraId="3F304EB5">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sz w:val="24"/>
          <w:szCs w:val="24"/>
          <w:lang w:eastAsia="zh-CN"/>
        </w:rPr>
      </w:pPr>
      <w:r>
        <w:rPr>
          <w:rFonts w:hint="eastAsia" w:ascii="仿宋" w:hAnsi="仿宋" w:eastAsia="仿宋" w:cs="仿宋"/>
          <w:sz w:val="24"/>
          <w:szCs w:val="24"/>
        </w:rPr>
        <w:t>名 称：克孜勒苏柯尔克孜自治州质量与计量检验检测中心</w:t>
      </w:r>
    </w:p>
    <w:p w14:paraId="3F3201AA">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地 址：阿图什市</w:t>
      </w:r>
      <w:r>
        <w:rPr>
          <w:rFonts w:hint="eastAsia" w:ascii="仿宋" w:hAnsi="仿宋" w:eastAsia="仿宋" w:cs="仿宋"/>
          <w:sz w:val="24"/>
          <w:szCs w:val="24"/>
          <w:lang w:val="en-US" w:eastAsia="zh-CN"/>
        </w:rPr>
        <w:t>友谊北路16号院</w:t>
      </w:r>
    </w:p>
    <w:p w14:paraId="7BDE5974">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15709081001</w:t>
      </w:r>
    </w:p>
    <w:p w14:paraId="134A8E70">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sz w:val="24"/>
          <w:szCs w:val="24"/>
        </w:rPr>
      </w:pPr>
      <w:r>
        <w:rPr>
          <w:rFonts w:hint="eastAsia" w:ascii="仿宋" w:hAnsi="仿宋" w:eastAsia="仿宋" w:cs="仿宋"/>
          <w:sz w:val="24"/>
          <w:szCs w:val="24"/>
        </w:rPr>
        <w:t>2.采购代理机构信息</w:t>
      </w:r>
    </w:p>
    <w:p w14:paraId="19921B2E">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sz w:val="24"/>
          <w:szCs w:val="24"/>
        </w:rPr>
      </w:pPr>
      <w:r>
        <w:rPr>
          <w:rFonts w:hint="eastAsia" w:ascii="仿宋" w:hAnsi="仿宋" w:eastAsia="仿宋" w:cs="仿宋"/>
          <w:sz w:val="24"/>
          <w:szCs w:val="24"/>
        </w:rPr>
        <w:t>名 称：新疆鑫润华工程项目管理有限公司</w:t>
      </w:r>
    </w:p>
    <w:p w14:paraId="23E0849B">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地 址：</w:t>
      </w:r>
      <w:r>
        <w:rPr>
          <w:rFonts w:hint="eastAsia" w:ascii="仿宋" w:hAnsi="仿宋" w:eastAsia="仿宋" w:cs="仿宋"/>
          <w:sz w:val="24"/>
          <w:szCs w:val="24"/>
          <w:lang w:eastAsia="zh-CN"/>
        </w:rPr>
        <w:t>新疆克州阿图什市</w:t>
      </w:r>
      <w:r>
        <w:rPr>
          <w:rFonts w:hint="eastAsia" w:ascii="仿宋" w:hAnsi="仿宋" w:eastAsia="仿宋" w:cs="仿宋"/>
          <w:sz w:val="24"/>
          <w:szCs w:val="24"/>
          <w:lang w:val="en-US" w:eastAsia="zh-CN"/>
        </w:rPr>
        <w:t>友谊南路20号</w:t>
      </w:r>
    </w:p>
    <w:p w14:paraId="2FC6E70D">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17799081359</w:t>
      </w:r>
    </w:p>
    <w:p w14:paraId="39C5B662">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sz w:val="24"/>
          <w:szCs w:val="24"/>
        </w:rPr>
      </w:pPr>
      <w:r>
        <w:rPr>
          <w:rFonts w:hint="eastAsia" w:ascii="仿宋" w:hAnsi="仿宋" w:eastAsia="仿宋" w:cs="仿宋"/>
          <w:sz w:val="24"/>
          <w:szCs w:val="24"/>
        </w:rPr>
        <w:t>3.项目联系方式</w:t>
      </w:r>
    </w:p>
    <w:p w14:paraId="6B06C5B4">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sz w:val="24"/>
          <w:szCs w:val="24"/>
        </w:rPr>
      </w:pPr>
      <w:r>
        <w:rPr>
          <w:rFonts w:hint="eastAsia" w:ascii="仿宋" w:hAnsi="仿宋" w:eastAsia="仿宋" w:cs="仿宋"/>
          <w:sz w:val="24"/>
          <w:szCs w:val="24"/>
        </w:rPr>
        <w:t>项目联系人：</w:t>
      </w:r>
      <w:r>
        <w:rPr>
          <w:rFonts w:hint="eastAsia" w:ascii="仿宋" w:hAnsi="仿宋" w:eastAsia="仿宋" w:cs="仿宋"/>
          <w:sz w:val="24"/>
          <w:szCs w:val="24"/>
          <w:lang w:eastAsia="zh-CN"/>
        </w:rPr>
        <w:t>魏女士</w:t>
      </w:r>
    </w:p>
    <w:p w14:paraId="54AA554A">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电 话：</w:t>
      </w:r>
      <w:r>
        <w:rPr>
          <w:rStyle w:val="26"/>
          <w:rFonts w:hint="eastAsia" w:ascii="仿宋" w:hAnsi="仿宋" w:eastAsia="仿宋" w:cs="仿宋"/>
          <w:sz w:val="24"/>
          <w:szCs w:val="24"/>
          <w:lang w:val="en-US" w:eastAsia="zh-CN"/>
        </w:rPr>
        <w:t>17799081359</w:t>
      </w:r>
    </w:p>
    <w:p w14:paraId="2F05E847">
      <w:pPr>
        <w:keepNext w:val="0"/>
        <w:keepLines w:val="0"/>
        <w:pageBreakBefore w:val="0"/>
        <w:kinsoku/>
        <w:wordWrap/>
        <w:overflowPunct/>
        <w:topLinePunct w:val="0"/>
        <w:autoSpaceDN/>
        <w:bidi w:val="0"/>
        <w:adjustRightInd/>
        <w:snapToGrid/>
        <w:spacing w:line="288" w:lineRule="auto"/>
        <w:textAlignment w:val="auto"/>
        <w:rPr>
          <w:lang w:val="en-US" w:eastAsia="zh-CN"/>
        </w:rPr>
      </w:pPr>
    </w:p>
    <w:p w14:paraId="0863CF85">
      <w:pPr>
        <w:keepNext w:val="0"/>
        <w:keepLines w:val="0"/>
        <w:pageBreakBefore w:val="0"/>
        <w:kinsoku/>
        <w:wordWrap/>
        <w:overflowPunct/>
        <w:topLinePunct w:val="0"/>
        <w:autoSpaceDE/>
        <w:autoSpaceDN/>
        <w:bidi w:val="0"/>
        <w:adjustRightInd/>
        <w:snapToGrid/>
        <w:spacing w:line="288" w:lineRule="auto"/>
        <w:ind w:firstLine="365" w:firstLineChars="100"/>
        <w:jc w:val="center"/>
        <w:textAlignment w:val="auto"/>
        <w:rPr>
          <w:rFonts w:hint="eastAsia" w:ascii="仿宋" w:hAnsi="仿宋" w:eastAsia="仿宋" w:cs="仿宋"/>
          <w:b/>
          <w:bCs/>
          <w:color w:val="auto"/>
          <w:sz w:val="36"/>
          <w:szCs w:val="36"/>
        </w:rPr>
      </w:pPr>
    </w:p>
    <w:p w14:paraId="7974181F">
      <w:pPr>
        <w:keepNext w:val="0"/>
        <w:keepLines w:val="0"/>
        <w:pageBreakBefore w:val="0"/>
        <w:kinsoku/>
        <w:wordWrap/>
        <w:overflowPunct/>
        <w:topLinePunct w:val="0"/>
        <w:autoSpaceDE/>
        <w:autoSpaceDN/>
        <w:bidi w:val="0"/>
        <w:adjustRightInd/>
        <w:snapToGrid/>
        <w:spacing w:line="288" w:lineRule="auto"/>
        <w:ind w:firstLine="365" w:firstLineChars="100"/>
        <w:jc w:val="center"/>
        <w:textAlignment w:val="auto"/>
        <w:rPr>
          <w:rFonts w:hint="eastAsia" w:ascii="仿宋" w:hAnsi="仿宋" w:eastAsia="仿宋" w:cs="仿宋"/>
          <w:b/>
          <w:bCs/>
          <w:color w:val="auto"/>
          <w:sz w:val="36"/>
          <w:szCs w:val="36"/>
        </w:rPr>
      </w:pPr>
    </w:p>
    <w:p w14:paraId="09D8681C">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71F66394">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192BA5FE">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4651C78D">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4C06A5CC">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37547B0B">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00EA5079">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330DB277">
      <w:pPr>
        <w:pStyle w:val="11"/>
        <w:rPr>
          <w:rFonts w:hint="eastAsia" w:ascii="仿宋" w:hAnsi="仿宋" w:eastAsia="仿宋" w:cs="仿宋"/>
          <w:b/>
          <w:bCs/>
          <w:color w:val="auto"/>
          <w:sz w:val="36"/>
          <w:szCs w:val="36"/>
        </w:rPr>
      </w:pPr>
    </w:p>
    <w:p w14:paraId="38798464">
      <w:pPr>
        <w:pStyle w:val="11"/>
        <w:rPr>
          <w:rFonts w:hint="eastAsia" w:ascii="仿宋" w:hAnsi="仿宋" w:eastAsia="仿宋" w:cs="仿宋"/>
          <w:b/>
          <w:bCs/>
          <w:color w:val="auto"/>
          <w:sz w:val="36"/>
          <w:szCs w:val="36"/>
        </w:rPr>
      </w:pPr>
    </w:p>
    <w:p w14:paraId="1C090CF9">
      <w:pPr>
        <w:pStyle w:val="11"/>
        <w:rPr>
          <w:rFonts w:hint="eastAsia" w:ascii="仿宋" w:hAnsi="仿宋" w:eastAsia="仿宋" w:cs="仿宋"/>
          <w:b/>
          <w:bCs/>
          <w:color w:val="auto"/>
          <w:sz w:val="36"/>
          <w:szCs w:val="36"/>
        </w:rPr>
      </w:pPr>
    </w:p>
    <w:p w14:paraId="7584F0C2">
      <w:pPr>
        <w:pStyle w:val="11"/>
        <w:rPr>
          <w:rFonts w:hint="eastAsia" w:ascii="仿宋" w:hAnsi="仿宋" w:eastAsia="仿宋" w:cs="仿宋"/>
          <w:b/>
          <w:bCs/>
          <w:color w:val="auto"/>
          <w:sz w:val="36"/>
          <w:szCs w:val="36"/>
        </w:rPr>
      </w:pPr>
    </w:p>
    <w:p w14:paraId="461D27A9">
      <w:pPr>
        <w:pStyle w:val="11"/>
        <w:rPr>
          <w:rFonts w:hint="eastAsia" w:ascii="仿宋" w:hAnsi="仿宋" w:eastAsia="仿宋" w:cs="仿宋"/>
          <w:b/>
          <w:bCs/>
          <w:color w:val="auto"/>
          <w:sz w:val="36"/>
          <w:szCs w:val="36"/>
        </w:rPr>
      </w:pPr>
    </w:p>
    <w:p w14:paraId="69EAB9F0">
      <w:pPr>
        <w:pStyle w:val="11"/>
        <w:rPr>
          <w:rFonts w:hint="eastAsia" w:ascii="仿宋" w:hAnsi="仿宋" w:eastAsia="仿宋" w:cs="仿宋"/>
          <w:b/>
          <w:bCs/>
          <w:color w:val="auto"/>
          <w:sz w:val="36"/>
          <w:szCs w:val="36"/>
        </w:rPr>
      </w:pPr>
    </w:p>
    <w:p w14:paraId="665C6913">
      <w:pPr>
        <w:pStyle w:val="11"/>
        <w:rPr>
          <w:rFonts w:hint="eastAsia" w:ascii="仿宋" w:hAnsi="仿宋" w:eastAsia="仿宋" w:cs="仿宋"/>
          <w:b/>
          <w:bCs/>
          <w:color w:val="auto"/>
          <w:sz w:val="36"/>
          <w:szCs w:val="36"/>
        </w:rPr>
      </w:pPr>
    </w:p>
    <w:p w14:paraId="32F24E62">
      <w:pPr>
        <w:pStyle w:val="11"/>
        <w:rPr>
          <w:rFonts w:hint="eastAsia" w:ascii="仿宋" w:hAnsi="仿宋" w:eastAsia="仿宋" w:cs="仿宋"/>
          <w:b/>
          <w:bCs/>
          <w:color w:val="auto"/>
          <w:sz w:val="36"/>
          <w:szCs w:val="36"/>
        </w:rPr>
      </w:pPr>
    </w:p>
    <w:p w14:paraId="28C9F2AC">
      <w:pPr>
        <w:pStyle w:val="11"/>
        <w:rPr>
          <w:rFonts w:hint="eastAsia" w:ascii="仿宋" w:hAnsi="仿宋" w:eastAsia="仿宋" w:cs="仿宋"/>
          <w:b/>
          <w:bCs/>
          <w:color w:val="auto"/>
          <w:sz w:val="36"/>
          <w:szCs w:val="36"/>
        </w:rPr>
      </w:pPr>
    </w:p>
    <w:p w14:paraId="4EC285CD">
      <w:pPr>
        <w:pageBreakBefore w:val="0"/>
        <w:kinsoku/>
        <w:wordWrap/>
        <w:overflowPunct/>
        <w:topLinePunct w:val="0"/>
        <w:autoSpaceDE/>
        <w:autoSpaceDN/>
        <w:bidi w:val="0"/>
        <w:spacing w:line="440" w:lineRule="exact"/>
        <w:jc w:val="both"/>
        <w:rPr>
          <w:rFonts w:hint="eastAsia" w:ascii="仿宋" w:hAnsi="仿宋" w:eastAsia="仿宋" w:cs="仿宋"/>
          <w:b/>
          <w:bCs/>
          <w:color w:val="auto"/>
          <w:sz w:val="36"/>
          <w:szCs w:val="36"/>
        </w:rPr>
      </w:pPr>
    </w:p>
    <w:p w14:paraId="48E2A3AB">
      <w:pPr>
        <w:pStyle w:val="11"/>
        <w:rPr>
          <w:rFonts w:hint="eastAsia"/>
        </w:rPr>
      </w:pPr>
    </w:p>
    <w:p w14:paraId="5039283C">
      <w:pPr>
        <w:pageBreakBefore w:val="0"/>
        <w:kinsoku/>
        <w:wordWrap/>
        <w:overflowPunct/>
        <w:topLinePunct w:val="0"/>
        <w:autoSpaceDE/>
        <w:autoSpaceDN/>
        <w:bidi w:val="0"/>
        <w:spacing w:line="440" w:lineRule="exact"/>
        <w:ind w:firstLine="365" w:firstLineChars="100"/>
        <w:jc w:val="center"/>
        <w:rPr>
          <w:rFonts w:ascii="仿宋" w:hAnsi="仿宋" w:eastAsia="仿宋" w:cs="仿宋"/>
          <w:color w:val="auto"/>
          <w:sz w:val="36"/>
          <w:szCs w:val="36"/>
        </w:rPr>
      </w:pPr>
      <w:r>
        <w:rPr>
          <w:rFonts w:hint="eastAsia" w:ascii="仿宋" w:hAnsi="仿宋" w:eastAsia="仿宋" w:cs="仿宋"/>
          <w:b/>
          <w:bCs/>
          <w:color w:val="auto"/>
          <w:sz w:val="36"/>
          <w:szCs w:val="36"/>
        </w:rPr>
        <w:t>第二部分供应商须知</w:t>
      </w:r>
    </w:p>
    <w:p w14:paraId="1ADD8BEE">
      <w:pPr>
        <w:pStyle w:val="33"/>
        <w:spacing w:after="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须知前附表</w:t>
      </w:r>
    </w:p>
    <w:tbl>
      <w:tblPr>
        <w:tblStyle w:val="21"/>
        <w:tblW w:w="9830" w:type="dxa"/>
        <w:jc w:val="center"/>
        <w:tblLayout w:type="fixed"/>
        <w:tblCellMar>
          <w:top w:w="0" w:type="dxa"/>
          <w:left w:w="108" w:type="dxa"/>
          <w:bottom w:w="0" w:type="dxa"/>
          <w:right w:w="108" w:type="dxa"/>
        </w:tblCellMar>
      </w:tblPr>
      <w:tblGrid>
        <w:gridCol w:w="959"/>
        <w:gridCol w:w="1586"/>
        <w:gridCol w:w="7285"/>
      </w:tblGrid>
      <w:tr w14:paraId="391DA7D9">
        <w:tblPrEx>
          <w:tblCellMar>
            <w:top w:w="0" w:type="dxa"/>
            <w:left w:w="108" w:type="dxa"/>
            <w:bottom w:w="0" w:type="dxa"/>
            <w:right w:w="108" w:type="dxa"/>
          </w:tblCellMar>
        </w:tblPrEx>
        <w:trPr>
          <w:trHeight w:val="545"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0B7C95FE">
            <w:pPr>
              <w:widowControl/>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序 号</w:t>
            </w:r>
          </w:p>
        </w:tc>
        <w:tc>
          <w:tcPr>
            <w:tcW w:w="1586" w:type="dxa"/>
            <w:tcBorders>
              <w:top w:val="single" w:color="auto" w:sz="4" w:space="0"/>
              <w:left w:val="single" w:color="auto" w:sz="4" w:space="0"/>
              <w:bottom w:val="single" w:color="auto" w:sz="4" w:space="0"/>
              <w:right w:val="single" w:color="auto" w:sz="4" w:space="0"/>
            </w:tcBorders>
            <w:vAlign w:val="center"/>
          </w:tcPr>
          <w:p w14:paraId="19413A65">
            <w:pPr>
              <w:widowControl/>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名  称</w:t>
            </w:r>
          </w:p>
        </w:tc>
        <w:tc>
          <w:tcPr>
            <w:tcW w:w="7285" w:type="dxa"/>
            <w:tcBorders>
              <w:top w:val="single" w:color="auto" w:sz="4" w:space="0"/>
              <w:left w:val="single" w:color="auto" w:sz="4" w:space="0"/>
              <w:bottom w:val="single" w:color="auto" w:sz="4" w:space="0"/>
              <w:right w:val="single" w:color="auto" w:sz="4" w:space="0"/>
            </w:tcBorders>
            <w:vAlign w:val="center"/>
          </w:tcPr>
          <w:p w14:paraId="6115D9BF">
            <w:pPr>
              <w:widowControl/>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编  列  内  容</w:t>
            </w:r>
          </w:p>
        </w:tc>
      </w:tr>
      <w:tr w14:paraId="7CFB865E">
        <w:tblPrEx>
          <w:tblCellMar>
            <w:top w:w="0" w:type="dxa"/>
            <w:left w:w="108" w:type="dxa"/>
            <w:bottom w:w="0" w:type="dxa"/>
            <w:right w:w="108" w:type="dxa"/>
          </w:tblCellMar>
        </w:tblPrEx>
        <w:trPr>
          <w:trHeight w:val="124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238321BB">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p>
        </w:tc>
        <w:tc>
          <w:tcPr>
            <w:tcW w:w="1586" w:type="dxa"/>
            <w:tcBorders>
              <w:top w:val="single" w:color="auto" w:sz="4" w:space="0"/>
              <w:left w:val="single" w:color="auto" w:sz="4" w:space="0"/>
              <w:bottom w:val="single" w:color="auto" w:sz="4" w:space="0"/>
              <w:right w:val="single" w:color="auto" w:sz="4" w:space="0"/>
            </w:tcBorders>
            <w:vAlign w:val="center"/>
          </w:tcPr>
          <w:p w14:paraId="60F51637">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项目名称</w:t>
            </w:r>
          </w:p>
          <w:p w14:paraId="14042863">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项目编号</w:t>
            </w:r>
          </w:p>
          <w:p w14:paraId="277081AD">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采购内容</w:t>
            </w:r>
          </w:p>
        </w:tc>
        <w:tc>
          <w:tcPr>
            <w:tcW w:w="7285" w:type="dxa"/>
            <w:tcBorders>
              <w:top w:val="single" w:color="auto" w:sz="4" w:space="0"/>
              <w:left w:val="single" w:color="auto" w:sz="4" w:space="0"/>
              <w:bottom w:val="single" w:color="auto" w:sz="4" w:space="0"/>
              <w:right w:val="single" w:color="auto" w:sz="4" w:space="0"/>
            </w:tcBorders>
            <w:vAlign w:val="center"/>
          </w:tcPr>
          <w:p w14:paraId="3AD470CB">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项目名称：检验检测综合能力提升项目</w:t>
            </w:r>
          </w:p>
          <w:p w14:paraId="6A6D23F3">
            <w:pPr>
              <w:spacing w:line="360"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项目编号：KZZB-202</w:t>
            </w:r>
            <w:r>
              <w:rPr>
                <w:rFonts w:hint="eastAsia" w:ascii="仿宋" w:hAnsi="仿宋" w:eastAsia="仿宋" w:cs="仿宋"/>
                <w:color w:val="auto"/>
                <w:sz w:val="24"/>
                <w:szCs w:val="24"/>
                <w:lang w:val="en-US" w:eastAsia="zh-CN"/>
              </w:rPr>
              <w:t>6069</w:t>
            </w:r>
          </w:p>
          <w:p w14:paraId="7B3D18C3">
            <w:pPr>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采购内容：采购设备1批（具体内容详见谈判文件)</w:t>
            </w:r>
          </w:p>
        </w:tc>
      </w:tr>
      <w:tr w14:paraId="39182581">
        <w:tblPrEx>
          <w:tblCellMar>
            <w:top w:w="0" w:type="dxa"/>
            <w:left w:w="108" w:type="dxa"/>
            <w:bottom w:w="0" w:type="dxa"/>
            <w:right w:w="108" w:type="dxa"/>
          </w:tblCellMar>
        </w:tblPrEx>
        <w:trPr>
          <w:trHeight w:val="9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16539594">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p>
        </w:tc>
        <w:tc>
          <w:tcPr>
            <w:tcW w:w="1586" w:type="dxa"/>
            <w:tcBorders>
              <w:top w:val="single" w:color="auto" w:sz="4" w:space="0"/>
              <w:left w:val="single" w:color="auto" w:sz="4" w:space="0"/>
              <w:bottom w:val="single" w:color="auto" w:sz="4" w:space="0"/>
              <w:right w:val="single" w:color="auto" w:sz="4" w:space="0"/>
            </w:tcBorders>
            <w:vAlign w:val="center"/>
          </w:tcPr>
          <w:p w14:paraId="41A2C899">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采购人信息</w:t>
            </w:r>
          </w:p>
        </w:tc>
        <w:tc>
          <w:tcPr>
            <w:tcW w:w="7285" w:type="dxa"/>
            <w:tcBorders>
              <w:top w:val="single" w:color="auto" w:sz="4" w:space="0"/>
              <w:left w:val="single" w:color="auto" w:sz="4" w:space="0"/>
              <w:bottom w:val="single" w:color="auto" w:sz="4" w:space="0"/>
              <w:right w:val="single" w:color="auto" w:sz="4" w:space="0"/>
            </w:tcBorders>
            <w:vAlign w:val="center"/>
          </w:tcPr>
          <w:p w14:paraId="116D8E58">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名  称：</w:t>
            </w:r>
            <w:r>
              <w:rPr>
                <w:rFonts w:hint="eastAsia" w:ascii="仿宋" w:hAnsi="仿宋" w:eastAsia="仿宋" w:cs="仿宋"/>
                <w:sz w:val="24"/>
                <w:szCs w:val="24"/>
              </w:rPr>
              <w:t>克孜勒苏柯尔克孜自治州质量与计量检验检测中心</w:t>
            </w:r>
          </w:p>
          <w:p w14:paraId="3712523A">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联系人：鲁先生     电  话：15709081001</w:t>
            </w:r>
          </w:p>
        </w:tc>
      </w:tr>
      <w:tr w14:paraId="15841001">
        <w:tblPrEx>
          <w:tblCellMar>
            <w:top w:w="0" w:type="dxa"/>
            <w:left w:w="108" w:type="dxa"/>
            <w:bottom w:w="0" w:type="dxa"/>
            <w:right w:w="108" w:type="dxa"/>
          </w:tblCellMar>
        </w:tblPrEx>
        <w:trPr>
          <w:trHeight w:val="873"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4049D3CC">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w:t>
            </w:r>
          </w:p>
        </w:tc>
        <w:tc>
          <w:tcPr>
            <w:tcW w:w="1586" w:type="dxa"/>
            <w:tcBorders>
              <w:top w:val="single" w:color="auto" w:sz="4" w:space="0"/>
              <w:left w:val="single" w:color="auto" w:sz="4" w:space="0"/>
              <w:bottom w:val="single" w:color="auto" w:sz="4" w:space="0"/>
              <w:right w:val="single" w:color="auto" w:sz="4" w:space="0"/>
            </w:tcBorders>
            <w:vAlign w:val="center"/>
          </w:tcPr>
          <w:p w14:paraId="088981A8">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采购代理</w:t>
            </w:r>
          </w:p>
          <w:p w14:paraId="5764A031">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机构</w:t>
            </w:r>
          </w:p>
        </w:tc>
        <w:tc>
          <w:tcPr>
            <w:tcW w:w="7285" w:type="dxa"/>
            <w:tcBorders>
              <w:top w:val="single" w:color="auto" w:sz="4" w:space="0"/>
              <w:left w:val="single" w:color="auto" w:sz="4" w:space="0"/>
              <w:bottom w:val="single" w:color="auto" w:sz="4" w:space="0"/>
              <w:right w:val="single" w:color="auto" w:sz="4" w:space="0"/>
            </w:tcBorders>
            <w:vAlign w:val="center"/>
          </w:tcPr>
          <w:p w14:paraId="014611B7">
            <w:pPr>
              <w:spacing w:line="360"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名  称：</w:t>
            </w:r>
            <w:r>
              <w:rPr>
                <w:rFonts w:hint="eastAsia" w:ascii="仿宋" w:hAnsi="仿宋" w:eastAsia="仿宋" w:cs="仿宋"/>
                <w:color w:val="auto"/>
                <w:sz w:val="24"/>
                <w:szCs w:val="24"/>
                <w:lang w:val="en-US" w:eastAsia="zh-CN"/>
              </w:rPr>
              <w:t>新疆鑫润华工程项目管理有限公司</w:t>
            </w:r>
          </w:p>
          <w:p w14:paraId="4EB3F5F8">
            <w:pPr>
              <w:spacing w:line="360"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地  址：</w:t>
            </w:r>
            <w:r>
              <w:rPr>
                <w:rFonts w:hint="eastAsia" w:ascii="仿宋" w:hAnsi="仿宋" w:eastAsia="仿宋" w:cs="仿宋"/>
                <w:color w:val="auto"/>
                <w:sz w:val="24"/>
                <w:szCs w:val="24"/>
                <w:lang w:val="en-US" w:eastAsia="zh-CN"/>
              </w:rPr>
              <w:t>阿图什市友谊南路20号</w:t>
            </w:r>
          </w:p>
          <w:p w14:paraId="72B64347">
            <w:pPr>
              <w:spacing w:line="360"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联系人：</w:t>
            </w:r>
            <w:r>
              <w:rPr>
                <w:rFonts w:hint="eastAsia" w:ascii="仿宋" w:hAnsi="仿宋" w:eastAsia="仿宋" w:cs="仿宋"/>
                <w:color w:val="auto"/>
                <w:sz w:val="24"/>
                <w:szCs w:val="24"/>
                <w:lang w:val="en-US" w:eastAsia="zh-CN"/>
              </w:rPr>
              <w:t>魏女士</w:t>
            </w:r>
            <w:r>
              <w:rPr>
                <w:rFonts w:hint="eastAsia" w:ascii="仿宋" w:hAnsi="仿宋" w:eastAsia="仿宋" w:cs="仿宋"/>
                <w:color w:val="auto"/>
                <w:sz w:val="24"/>
                <w:szCs w:val="24"/>
                <w:lang w:eastAsia="zh-CN"/>
              </w:rPr>
              <w:t xml:space="preserve">       电  话：</w:t>
            </w:r>
            <w:r>
              <w:rPr>
                <w:rFonts w:hint="eastAsia" w:ascii="仿宋" w:hAnsi="仿宋" w:eastAsia="仿宋" w:cs="仿宋"/>
                <w:color w:val="auto"/>
                <w:sz w:val="24"/>
                <w:szCs w:val="24"/>
                <w:lang w:val="en-US" w:eastAsia="zh-CN"/>
              </w:rPr>
              <w:t>17799081359</w:t>
            </w:r>
          </w:p>
        </w:tc>
      </w:tr>
      <w:tr w14:paraId="461BA075">
        <w:tblPrEx>
          <w:tblCellMar>
            <w:top w:w="0" w:type="dxa"/>
            <w:left w:w="108" w:type="dxa"/>
            <w:bottom w:w="0" w:type="dxa"/>
            <w:right w:w="108" w:type="dxa"/>
          </w:tblCellMar>
        </w:tblPrEx>
        <w:trPr>
          <w:trHeight w:val="1895"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0D7AC3DC">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w:t>
            </w:r>
          </w:p>
        </w:tc>
        <w:tc>
          <w:tcPr>
            <w:tcW w:w="1586" w:type="dxa"/>
            <w:tcBorders>
              <w:top w:val="single" w:color="auto" w:sz="4" w:space="0"/>
              <w:left w:val="single" w:color="auto" w:sz="4" w:space="0"/>
              <w:bottom w:val="single" w:color="auto" w:sz="4" w:space="0"/>
              <w:right w:val="single" w:color="auto" w:sz="4" w:space="0"/>
            </w:tcBorders>
            <w:vAlign w:val="center"/>
          </w:tcPr>
          <w:p w14:paraId="5741B93A">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供货</w:t>
            </w:r>
            <w:r>
              <w:rPr>
                <w:rFonts w:hint="eastAsia" w:ascii="仿宋" w:hAnsi="仿宋" w:eastAsia="仿宋" w:cs="仿宋"/>
                <w:color w:val="auto"/>
                <w:sz w:val="24"/>
                <w:szCs w:val="24"/>
                <w:lang w:eastAsia="zh-CN"/>
              </w:rPr>
              <w:t>期</w:t>
            </w:r>
          </w:p>
          <w:p w14:paraId="0448DD33">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质保期</w:t>
            </w:r>
          </w:p>
        </w:tc>
        <w:tc>
          <w:tcPr>
            <w:tcW w:w="7285" w:type="dxa"/>
            <w:tcBorders>
              <w:top w:val="single" w:color="auto" w:sz="4" w:space="0"/>
              <w:left w:val="single" w:color="auto" w:sz="4" w:space="0"/>
              <w:bottom w:val="single" w:color="auto" w:sz="4" w:space="0"/>
              <w:right w:val="single" w:color="auto" w:sz="4" w:space="0"/>
            </w:tcBorders>
            <w:vAlign w:val="center"/>
          </w:tcPr>
          <w:p w14:paraId="7A04F182">
            <w:pPr>
              <w:spacing w:line="360" w:lineRule="auto"/>
              <w:rPr>
                <w:rFonts w:hint="eastAsia" w:ascii="仿宋" w:hAnsi="仿宋" w:eastAsia="仿宋" w:cs="仿宋"/>
                <w:b/>
                <w:bCs/>
                <w:color w:val="FF0000"/>
                <w:highlight w:val="none"/>
                <w:lang w:val="en-US" w:eastAsia="zh-CN"/>
              </w:rPr>
            </w:pPr>
            <w:r>
              <w:rPr>
                <w:rFonts w:hint="eastAsia" w:ascii="仿宋" w:hAnsi="仿宋" w:eastAsia="仿宋" w:cs="仿宋"/>
                <w:b/>
                <w:bCs/>
                <w:color w:val="FF0000"/>
                <w:highlight w:val="none"/>
                <w:lang w:val="en-US" w:eastAsia="zh-CN"/>
              </w:rPr>
              <w:t>中标方应在合同签订后30个日历日内交货并安装调试完成交予采购人正常使用。（具体以甲乙双方签订采购合同为准，严格按照采购单位的时间及要求按时供货）。</w:t>
            </w:r>
          </w:p>
          <w:p w14:paraId="05300620">
            <w:pPr>
              <w:spacing w:line="360" w:lineRule="auto"/>
              <w:rPr>
                <w:rFonts w:hint="default" w:ascii="仿宋" w:hAnsi="仿宋" w:eastAsia="仿宋" w:cs="仿宋"/>
                <w:b/>
                <w:bCs/>
                <w:color w:val="FF0000"/>
                <w:highlight w:val="none"/>
                <w:lang w:val="en-US" w:eastAsia="zh-CN"/>
              </w:rPr>
            </w:pPr>
            <w:r>
              <w:rPr>
                <w:rFonts w:hint="eastAsia" w:ascii="仿宋" w:hAnsi="仿宋" w:eastAsia="仿宋" w:cs="仿宋"/>
                <w:b/>
                <w:bCs/>
                <w:color w:val="FF0000"/>
                <w:lang w:val="en-US" w:eastAsia="zh-CN"/>
              </w:rPr>
              <w:t>自本项目验收合格之日起，供应商提供2年的免费质保期。</w:t>
            </w:r>
          </w:p>
        </w:tc>
      </w:tr>
      <w:tr w14:paraId="25CC989D">
        <w:tblPrEx>
          <w:tblCellMar>
            <w:top w:w="0" w:type="dxa"/>
            <w:left w:w="108" w:type="dxa"/>
            <w:bottom w:w="0" w:type="dxa"/>
            <w:right w:w="108" w:type="dxa"/>
          </w:tblCellMar>
        </w:tblPrEx>
        <w:trPr>
          <w:trHeight w:val="9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627F4795">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w:t>
            </w:r>
          </w:p>
        </w:tc>
        <w:tc>
          <w:tcPr>
            <w:tcW w:w="1586" w:type="dxa"/>
            <w:tcBorders>
              <w:top w:val="single" w:color="auto" w:sz="4" w:space="0"/>
              <w:left w:val="single" w:color="auto" w:sz="4" w:space="0"/>
              <w:bottom w:val="single" w:color="auto" w:sz="4" w:space="0"/>
              <w:right w:val="single" w:color="auto" w:sz="4" w:space="0"/>
            </w:tcBorders>
            <w:vAlign w:val="center"/>
          </w:tcPr>
          <w:p w14:paraId="4BF20BEB">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资格要求</w:t>
            </w:r>
          </w:p>
        </w:tc>
        <w:tc>
          <w:tcPr>
            <w:tcW w:w="7285" w:type="dxa"/>
            <w:tcBorders>
              <w:top w:val="single" w:color="auto" w:sz="4" w:space="0"/>
              <w:left w:val="single" w:color="auto" w:sz="4" w:space="0"/>
              <w:bottom w:val="single" w:color="auto" w:sz="4" w:space="0"/>
              <w:right w:val="single" w:color="auto" w:sz="4" w:space="0"/>
            </w:tcBorders>
            <w:vAlign w:val="center"/>
          </w:tcPr>
          <w:p w14:paraId="45327F2E">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1.满足《中华人民共和国政府采购法》第二十二条规定；</w:t>
            </w:r>
          </w:p>
          <w:p w14:paraId="27216EE6">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eastAsia="zh-CN"/>
              </w:rPr>
              <w:t>2.落实政府采购政策需满足的资格要求：供应商为中小企业</w:t>
            </w:r>
            <w:r>
              <w:rPr>
                <w:rFonts w:hint="eastAsia" w:ascii="仿宋" w:hAnsi="仿宋" w:eastAsia="仿宋" w:cs="仿宋"/>
                <w:color w:val="auto"/>
                <w:sz w:val="24"/>
                <w:szCs w:val="24"/>
                <w:highlight w:val="none"/>
                <w:lang w:val="en-US" w:eastAsia="zh-CN"/>
              </w:rPr>
              <w:t>。 </w:t>
            </w:r>
          </w:p>
          <w:p w14:paraId="1CE971A0">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3.本项目的特定资格要求：</w:t>
            </w:r>
          </w:p>
          <w:p w14:paraId="28ED42DB">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（1）具备三证合一营业执照副本；</w:t>
            </w:r>
            <w:r>
              <w:rPr>
                <w:rFonts w:hint="eastAsia" w:ascii="仿宋" w:hAnsi="仿宋" w:eastAsia="仿宋" w:cs="仿宋"/>
                <w:color w:val="auto"/>
                <w:sz w:val="24"/>
                <w:szCs w:val="24"/>
                <w:lang w:val="en-US" w:eastAsia="zh-CN"/>
              </w:rPr>
              <w:tab/>
            </w:r>
          </w:p>
          <w:p w14:paraId="61BE435C">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（2）法定代表人投标需提供法定代表人资格证明书，委托代理人投标需提供法定代表人授权委托书；</w:t>
            </w:r>
          </w:p>
          <w:p w14:paraId="7CACA778">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）投标企业须提供投标人（被授权在职人员）近6个月内任意一个月有效的社保证明；</w:t>
            </w:r>
          </w:p>
          <w:p w14:paraId="79C5AF7C">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p>
          <w:p w14:paraId="09C0D77C">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具有良好的商业信誉和健全的财务会计制度（由具备资质的中介机构出具2024年或2025年的财务审计报告（报告中须包括资产负债表、利润表、现金流量表及财务报表附注）复印件加盖公章或近一年内银行提供的资信证明（新公司从成立之日起算）；成立不满一年企业提供财务报表（复印件加盖公章）；</w:t>
            </w:r>
          </w:p>
          <w:p w14:paraId="2EB87927">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4.本项目不接受联合体投标。</w:t>
            </w:r>
          </w:p>
        </w:tc>
      </w:tr>
      <w:tr w14:paraId="004FBEEF">
        <w:tblPrEx>
          <w:tblCellMar>
            <w:top w:w="0" w:type="dxa"/>
            <w:left w:w="108" w:type="dxa"/>
            <w:bottom w:w="0" w:type="dxa"/>
            <w:right w:w="108" w:type="dxa"/>
          </w:tblCellMar>
        </w:tblPrEx>
        <w:trPr>
          <w:trHeight w:val="9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64CA4A65">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6</w:t>
            </w:r>
          </w:p>
        </w:tc>
        <w:tc>
          <w:tcPr>
            <w:tcW w:w="1586" w:type="dxa"/>
            <w:tcBorders>
              <w:top w:val="single" w:color="auto" w:sz="4" w:space="0"/>
              <w:left w:val="single" w:color="auto" w:sz="4" w:space="0"/>
              <w:bottom w:val="single" w:color="auto" w:sz="4" w:space="0"/>
              <w:right w:val="single" w:color="auto" w:sz="4" w:space="0"/>
            </w:tcBorders>
            <w:vAlign w:val="center"/>
          </w:tcPr>
          <w:p w14:paraId="587A57E4">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资金来源</w:t>
            </w:r>
          </w:p>
        </w:tc>
        <w:tc>
          <w:tcPr>
            <w:tcW w:w="7285" w:type="dxa"/>
            <w:tcBorders>
              <w:top w:val="single" w:color="auto" w:sz="4" w:space="0"/>
              <w:left w:val="single" w:color="auto" w:sz="4" w:space="0"/>
              <w:bottom w:val="single" w:color="auto" w:sz="4" w:space="0"/>
              <w:right w:val="single" w:color="auto" w:sz="4" w:space="0"/>
            </w:tcBorders>
            <w:vAlign w:val="center"/>
          </w:tcPr>
          <w:p w14:paraId="63E0E4EB">
            <w:pPr>
              <w:spacing w:line="360"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财政预算资金</w:t>
            </w:r>
          </w:p>
        </w:tc>
      </w:tr>
      <w:tr w14:paraId="0B6BCBF5">
        <w:tblPrEx>
          <w:tblCellMar>
            <w:top w:w="0" w:type="dxa"/>
            <w:left w:w="108" w:type="dxa"/>
            <w:bottom w:w="0" w:type="dxa"/>
            <w:right w:w="108" w:type="dxa"/>
          </w:tblCellMar>
        </w:tblPrEx>
        <w:trPr>
          <w:trHeight w:val="9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06316A2F">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7</w:t>
            </w:r>
          </w:p>
        </w:tc>
        <w:tc>
          <w:tcPr>
            <w:tcW w:w="1586" w:type="dxa"/>
            <w:tcBorders>
              <w:top w:val="single" w:color="auto" w:sz="4" w:space="0"/>
              <w:left w:val="single" w:color="auto" w:sz="4" w:space="0"/>
              <w:bottom w:val="single" w:color="auto" w:sz="4" w:space="0"/>
              <w:right w:val="single" w:color="auto" w:sz="4" w:space="0"/>
            </w:tcBorders>
            <w:vAlign w:val="center"/>
          </w:tcPr>
          <w:p w14:paraId="217352B4">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招标方式</w:t>
            </w:r>
          </w:p>
        </w:tc>
        <w:tc>
          <w:tcPr>
            <w:tcW w:w="7285" w:type="dxa"/>
            <w:tcBorders>
              <w:top w:val="single" w:color="auto" w:sz="4" w:space="0"/>
              <w:left w:val="single" w:color="auto" w:sz="4" w:space="0"/>
              <w:bottom w:val="single" w:color="auto" w:sz="4" w:space="0"/>
              <w:right w:val="single" w:color="auto" w:sz="4" w:space="0"/>
            </w:tcBorders>
            <w:vAlign w:val="center"/>
          </w:tcPr>
          <w:p w14:paraId="5524F90D">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竞争性谈判(本项目采用网上电子招投标)  </w:t>
            </w:r>
          </w:p>
        </w:tc>
      </w:tr>
      <w:tr w14:paraId="67298688">
        <w:tblPrEx>
          <w:tblCellMar>
            <w:top w:w="0" w:type="dxa"/>
            <w:left w:w="108" w:type="dxa"/>
            <w:bottom w:w="0" w:type="dxa"/>
            <w:right w:w="108" w:type="dxa"/>
          </w:tblCellMar>
        </w:tblPrEx>
        <w:trPr>
          <w:trHeight w:val="9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1B2A2A03">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8</w:t>
            </w:r>
          </w:p>
        </w:tc>
        <w:tc>
          <w:tcPr>
            <w:tcW w:w="1586" w:type="dxa"/>
            <w:tcBorders>
              <w:top w:val="single" w:color="auto" w:sz="4" w:space="0"/>
              <w:left w:val="single" w:color="auto" w:sz="4" w:space="0"/>
              <w:bottom w:val="single" w:color="auto" w:sz="4" w:space="0"/>
              <w:right w:val="single" w:color="auto" w:sz="4" w:space="0"/>
            </w:tcBorders>
            <w:vAlign w:val="center"/>
          </w:tcPr>
          <w:p w14:paraId="70ADF897">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供应商信用查询</w:t>
            </w:r>
          </w:p>
        </w:tc>
        <w:tc>
          <w:tcPr>
            <w:tcW w:w="7285" w:type="dxa"/>
            <w:tcBorders>
              <w:top w:val="single" w:color="auto" w:sz="4" w:space="0"/>
              <w:left w:val="single" w:color="auto" w:sz="4" w:space="0"/>
              <w:bottom w:val="single" w:color="auto" w:sz="4" w:space="0"/>
              <w:right w:val="single" w:color="auto" w:sz="4" w:space="0"/>
            </w:tcBorders>
            <w:vAlign w:val="center"/>
          </w:tcPr>
          <w:p w14:paraId="575BC6F8">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1、查询渠道：信用中国（网址：http://www.creditchina.gov.cn）、中国政府采购网(网址：http://www.ccgp.gov.cn）。</w:t>
            </w:r>
          </w:p>
          <w:p w14:paraId="5BF06EF8">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2、截止时点：开标后评标前。</w:t>
            </w:r>
          </w:p>
          <w:p w14:paraId="7FBBF497">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3、信用信息查询记录和证据留存的具体方式：由采购组织机构在规定查询时间内打印信用信息查询记录并归入项目档案。</w:t>
            </w:r>
          </w:p>
          <w:p w14:paraId="6AA7A968">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54361A4B">
        <w:tblPrEx>
          <w:tblCellMar>
            <w:top w:w="0" w:type="dxa"/>
            <w:left w:w="108" w:type="dxa"/>
            <w:bottom w:w="0" w:type="dxa"/>
            <w:right w:w="108" w:type="dxa"/>
          </w:tblCellMar>
        </w:tblPrEx>
        <w:trPr>
          <w:trHeight w:val="69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63619696">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9</w:t>
            </w:r>
          </w:p>
        </w:tc>
        <w:tc>
          <w:tcPr>
            <w:tcW w:w="1586" w:type="dxa"/>
            <w:tcBorders>
              <w:top w:val="single" w:color="auto" w:sz="4" w:space="0"/>
              <w:left w:val="single" w:color="auto" w:sz="4" w:space="0"/>
              <w:bottom w:val="single" w:color="auto" w:sz="4" w:space="0"/>
              <w:right w:val="single" w:color="auto" w:sz="4" w:space="0"/>
            </w:tcBorders>
            <w:vAlign w:val="center"/>
          </w:tcPr>
          <w:p w14:paraId="747308CD">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是否接受联合体投标</w:t>
            </w:r>
          </w:p>
        </w:tc>
        <w:tc>
          <w:tcPr>
            <w:tcW w:w="7285" w:type="dxa"/>
            <w:tcBorders>
              <w:top w:val="single" w:color="auto" w:sz="4" w:space="0"/>
              <w:left w:val="single" w:color="auto" w:sz="4" w:space="0"/>
              <w:bottom w:val="single" w:color="auto" w:sz="4" w:space="0"/>
              <w:right w:val="single" w:color="auto" w:sz="4" w:space="0"/>
            </w:tcBorders>
            <w:vAlign w:val="center"/>
          </w:tcPr>
          <w:p w14:paraId="5E4499A9">
            <w:pPr>
              <w:spacing w:line="360" w:lineRule="auto"/>
              <w:rPr>
                <w:rFonts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w:t>
            </w:r>
            <w:r>
              <w:rPr>
                <w:rFonts w:hint="eastAsia" w:ascii="仿宋" w:hAnsi="仿宋" w:eastAsia="仿宋" w:cs="仿宋"/>
                <w:color w:val="auto"/>
                <w:sz w:val="24"/>
                <w:szCs w:val="24"/>
                <w:lang w:eastAsia="zh-CN"/>
              </w:rPr>
              <w:t>不接受</w:t>
            </w:r>
          </w:p>
          <w:p w14:paraId="567F05A8">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□接  受</w:t>
            </w:r>
          </w:p>
        </w:tc>
      </w:tr>
      <w:tr w14:paraId="5B6DD9EB">
        <w:tblPrEx>
          <w:tblCellMar>
            <w:top w:w="0" w:type="dxa"/>
            <w:left w:w="108" w:type="dxa"/>
            <w:bottom w:w="0" w:type="dxa"/>
            <w:right w:w="108" w:type="dxa"/>
          </w:tblCellMar>
        </w:tblPrEx>
        <w:trPr>
          <w:trHeight w:val="665"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2E1BCA29">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1586" w:type="dxa"/>
            <w:tcBorders>
              <w:top w:val="single" w:color="auto" w:sz="4" w:space="0"/>
              <w:left w:val="single" w:color="auto" w:sz="4" w:space="0"/>
              <w:bottom w:val="single" w:color="auto" w:sz="4" w:space="0"/>
              <w:right w:val="single" w:color="auto" w:sz="4" w:space="0"/>
            </w:tcBorders>
            <w:vAlign w:val="center"/>
          </w:tcPr>
          <w:p w14:paraId="33539B7F">
            <w:pPr>
              <w:spacing w:line="360" w:lineRule="auto"/>
              <w:jc w:val="center"/>
              <w:rPr>
                <w:rFonts w:hint="eastAsia" w:ascii="仿宋" w:hAnsi="仿宋" w:eastAsia="仿宋" w:cs="仿宋"/>
                <w:b/>
                <w:bCs/>
                <w:color w:val="auto"/>
                <w:sz w:val="24"/>
                <w:szCs w:val="24"/>
                <w:lang w:eastAsia="zh-CN"/>
              </w:rPr>
            </w:pPr>
            <w:r>
              <w:rPr>
                <w:rFonts w:hint="eastAsia" w:ascii="仿宋" w:hAnsi="仿宋" w:eastAsia="仿宋" w:cs="仿宋"/>
                <w:b w:val="0"/>
                <w:bCs w:val="0"/>
                <w:color w:val="auto"/>
                <w:sz w:val="24"/>
                <w:szCs w:val="24"/>
                <w:highlight w:val="none"/>
                <w:lang w:eastAsia="zh-CN"/>
              </w:rPr>
              <w:t>踏勘现场</w:t>
            </w:r>
          </w:p>
        </w:tc>
        <w:tc>
          <w:tcPr>
            <w:tcW w:w="7285" w:type="dxa"/>
            <w:tcBorders>
              <w:top w:val="single" w:color="auto" w:sz="4" w:space="0"/>
              <w:left w:val="single" w:color="auto" w:sz="4" w:space="0"/>
              <w:bottom w:val="single" w:color="auto" w:sz="4" w:space="0"/>
              <w:right w:val="single" w:color="auto" w:sz="4" w:space="0"/>
            </w:tcBorders>
            <w:vAlign w:val="center"/>
          </w:tcPr>
          <w:p w14:paraId="5AE0E416">
            <w:pPr>
              <w:spacing w:line="360" w:lineRule="auto"/>
              <w:jc w:val="left"/>
              <w:rPr>
                <w:rFonts w:hint="eastAsia" w:ascii="仿宋" w:hAnsi="仿宋" w:eastAsia="仿宋" w:cs="仿宋"/>
                <w:b/>
                <w:bCs/>
                <w:color w:val="auto"/>
                <w:sz w:val="24"/>
                <w:szCs w:val="24"/>
                <w:lang w:eastAsia="zh-CN"/>
              </w:rPr>
            </w:pPr>
            <w:r>
              <w:rPr>
                <w:rFonts w:hint="eastAsia" w:ascii="仿宋" w:hAnsi="仿宋" w:eastAsia="仿宋" w:cs="仿宋"/>
                <w:b w:val="0"/>
                <w:bCs w:val="0"/>
                <w:color w:val="auto"/>
                <w:sz w:val="24"/>
                <w:szCs w:val="24"/>
                <w:lang w:eastAsia="zh-CN"/>
              </w:rPr>
              <w:t>□组织，☑不组织。</w:t>
            </w:r>
          </w:p>
        </w:tc>
      </w:tr>
      <w:tr w14:paraId="1A087C5B">
        <w:tblPrEx>
          <w:tblCellMar>
            <w:top w:w="0" w:type="dxa"/>
            <w:left w:w="108" w:type="dxa"/>
            <w:bottom w:w="0" w:type="dxa"/>
            <w:right w:w="108" w:type="dxa"/>
          </w:tblCellMar>
        </w:tblPrEx>
        <w:trPr>
          <w:trHeight w:val="791"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261A0C72">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1</w:t>
            </w:r>
          </w:p>
        </w:tc>
        <w:tc>
          <w:tcPr>
            <w:tcW w:w="1586" w:type="dxa"/>
            <w:tcBorders>
              <w:top w:val="single" w:color="auto" w:sz="4" w:space="0"/>
              <w:left w:val="single" w:color="auto" w:sz="4" w:space="0"/>
              <w:bottom w:val="single" w:color="auto" w:sz="4" w:space="0"/>
              <w:right w:val="single" w:color="auto" w:sz="4" w:space="0"/>
            </w:tcBorders>
            <w:vAlign w:val="center"/>
          </w:tcPr>
          <w:p w14:paraId="75356516">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投标截止时间 （开标时间）</w:t>
            </w:r>
          </w:p>
        </w:tc>
        <w:tc>
          <w:tcPr>
            <w:tcW w:w="7285" w:type="dxa"/>
            <w:tcBorders>
              <w:top w:val="single" w:color="auto" w:sz="4" w:space="0"/>
              <w:left w:val="single" w:color="auto" w:sz="4" w:space="0"/>
              <w:bottom w:val="single" w:color="auto" w:sz="4" w:space="0"/>
              <w:right w:val="single" w:color="auto" w:sz="4" w:space="0"/>
            </w:tcBorders>
            <w:vAlign w:val="center"/>
          </w:tcPr>
          <w:p w14:paraId="077A68EA">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截止时间：</w:t>
            </w:r>
            <w:r>
              <w:rPr>
                <w:rFonts w:hint="eastAsia" w:ascii="仿宋" w:hAnsi="仿宋" w:eastAsia="仿宋" w:cs="仿宋"/>
                <w:b/>
                <w:bCs/>
                <w:color w:val="FF0000"/>
                <w:sz w:val="24"/>
                <w:szCs w:val="24"/>
                <w:lang w:eastAsia="zh-CN"/>
              </w:rPr>
              <w:t>202</w:t>
            </w:r>
            <w:r>
              <w:rPr>
                <w:rFonts w:hint="eastAsia" w:ascii="仿宋" w:hAnsi="仿宋" w:eastAsia="仿宋" w:cs="仿宋"/>
                <w:b/>
                <w:bCs/>
                <w:color w:val="FF0000"/>
                <w:sz w:val="24"/>
                <w:szCs w:val="24"/>
                <w:lang w:val="en-US" w:eastAsia="zh-CN"/>
              </w:rPr>
              <w:t>6</w:t>
            </w:r>
            <w:r>
              <w:rPr>
                <w:rFonts w:hint="eastAsia" w:ascii="仿宋" w:hAnsi="仿宋" w:eastAsia="仿宋" w:cs="仿宋"/>
                <w:b/>
                <w:bCs/>
                <w:color w:val="FF0000"/>
                <w:sz w:val="24"/>
                <w:szCs w:val="24"/>
                <w:lang w:eastAsia="zh-CN"/>
              </w:rPr>
              <w:t>年</w:t>
            </w:r>
            <w:r>
              <w:rPr>
                <w:rFonts w:hint="eastAsia" w:ascii="仿宋" w:hAnsi="仿宋" w:eastAsia="仿宋" w:cs="仿宋"/>
                <w:b/>
                <w:bCs/>
                <w:color w:val="FF0000"/>
                <w:sz w:val="24"/>
                <w:szCs w:val="24"/>
                <w:lang w:val="en-US" w:eastAsia="zh-CN"/>
              </w:rPr>
              <w:t>6</w:t>
            </w:r>
            <w:r>
              <w:rPr>
                <w:rFonts w:hint="eastAsia" w:ascii="仿宋" w:hAnsi="仿宋" w:eastAsia="仿宋" w:cs="仿宋"/>
                <w:b/>
                <w:bCs/>
                <w:color w:val="FF0000"/>
                <w:sz w:val="24"/>
                <w:szCs w:val="24"/>
                <w:u w:val="none"/>
                <w:lang w:eastAsia="zh-CN"/>
              </w:rPr>
              <w:t>月</w:t>
            </w:r>
            <w:r>
              <w:rPr>
                <w:rFonts w:hint="eastAsia" w:ascii="仿宋" w:hAnsi="仿宋" w:eastAsia="仿宋" w:cs="仿宋"/>
                <w:b/>
                <w:bCs/>
                <w:color w:val="FF0000"/>
                <w:sz w:val="24"/>
                <w:szCs w:val="24"/>
                <w:u w:val="none"/>
                <w:lang w:val="en-US" w:eastAsia="zh-CN"/>
              </w:rPr>
              <w:t>1</w:t>
            </w:r>
            <w:r>
              <w:rPr>
                <w:rFonts w:hint="eastAsia" w:ascii="仿宋" w:hAnsi="仿宋" w:eastAsia="仿宋" w:cs="仿宋"/>
                <w:b/>
                <w:bCs/>
                <w:color w:val="FF0000"/>
                <w:sz w:val="24"/>
                <w:szCs w:val="24"/>
                <w:lang w:eastAsia="zh-CN"/>
              </w:rPr>
              <w:t>日上午</w:t>
            </w:r>
            <w:r>
              <w:rPr>
                <w:rFonts w:hint="eastAsia" w:ascii="仿宋" w:hAnsi="仿宋" w:eastAsia="仿宋" w:cs="仿宋"/>
                <w:b/>
                <w:bCs/>
                <w:color w:val="FF0000"/>
                <w:sz w:val="24"/>
                <w:szCs w:val="24"/>
                <w:lang w:val="en-US" w:eastAsia="zh-CN"/>
              </w:rPr>
              <w:t>10</w:t>
            </w:r>
            <w:r>
              <w:rPr>
                <w:rFonts w:hint="eastAsia" w:ascii="仿宋" w:hAnsi="仿宋" w:eastAsia="仿宋" w:cs="仿宋"/>
                <w:b/>
                <w:bCs/>
                <w:color w:val="FF0000"/>
                <w:sz w:val="24"/>
                <w:szCs w:val="24"/>
                <w:lang w:eastAsia="zh-CN"/>
              </w:rPr>
              <w:t>时</w:t>
            </w:r>
            <w:r>
              <w:rPr>
                <w:rFonts w:hint="eastAsia" w:ascii="仿宋" w:hAnsi="仿宋" w:eastAsia="仿宋" w:cs="仿宋"/>
                <w:b/>
                <w:bCs/>
                <w:color w:val="FF0000"/>
                <w:sz w:val="24"/>
                <w:szCs w:val="24"/>
                <w:lang w:val="en-US" w:eastAsia="zh-CN"/>
              </w:rPr>
              <w:t>30</w:t>
            </w:r>
            <w:r>
              <w:rPr>
                <w:rFonts w:hint="eastAsia" w:ascii="仿宋" w:hAnsi="仿宋" w:eastAsia="仿宋" w:cs="仿宋"/>
                <w:b/>
                <w:bCs/>
                <w:color w:val="FF0000"/>
                <w:sz w:val="24"/>
                <w:szCs w:val="24"/>
                <w:lang w:eastAsia="zh-CN"/>
              </w:rPr>
              <w:t>分（北京时间）</w:t>
            </w:r>
          </w:p>
        </w:tc>
      </w:tr>
      <w:tr w14:paraId="7023D361">
        <w:tblPrEx>
          <w:tblCellMar>
            <w:top w:w="0" w:type="dxa"/>
            <w:left w:w="108" w:type="dxa"/>
            <w:bottom w:w="0" w:type="dxa"/>
            <w:right w:w="108" w:type="dxa"/>
          </w:tblCellMar>
        </w:tblPrEx>
        <w:trPr>
          <w:trHeight w:val="688"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29297A1D">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2</w:t>
            </w:r>
          </w:p>
        </w:tc>
        <w:tc>
          <w:tcPr>
            <w:tcW w:w="1586" w:type="dxa"/>
            <w:tcBorders>
              <w:top w:val="single" w:color="auto" w:sz="4" w:space="0"/>
              <w:left w:val="single" w:color="auto" w:sz="4" w:space="0"/>
              <w:bottom w:val="single" w:color="auto" w:sz="4" w:space="0"/>
              <w:right w:val="single" w:color="auto" w:sz="4" w:space="0"/>
            </w:tcBorders>
            <w:vAlign w:val="center"/>
          </w:tcPr>
          <w:p w14:paraId="26740680">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投标有效期</w:t>
            </w:r>
          </w:p>
        </w:tc>
        <w:tc>
          <w:tcPr>
            <w:tcW w:w="7285" w:type="dxa"/>
            <w:tcBorders>
              <w:top w:val="single" w:color="auto" w:sz="4" w:space="0"/>
              <w:left w:val="single" w:color="auto" w:sz="4" w:space="0"/>
              <w:bottom w:val="single" w:color="auto" w:sz="4" w:space="0"/>
              <w:right w:val="single" w:color="auto" w:sz="4" w:space="0"/>
            </w:tcBorders>
            <w:vAlign w:val="center"/>
          </w:tcPr>
          <w:p w14:paraId="4F8EB31A">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投标有效期为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90</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日历天（从投标截止之日算起）。在此期限内，凡符合本谈判文件要求的响应文件均保持有效。</w:t>
            </w:r>
          </w:p>
        </w:tc>
      </w:tr>
      <w:tr w14:paraId="7687C77F">
        <w:tblPrEx>
          <w:tblCellMar>
            <w:top w:w="0" w:type="dxa"/>
            <w:left w:w="108" w:type="dxa"/>
            <w:bottom w:w="0" w:type="dxa"/>
            <w:right w:w="108" w:type="dxa"/>
          </w:tblCellMar>
        </w:tblPrEx>
        <w:trPr>
          <w:trHeight w:val="638"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2E4BA5BC">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3</w:t>
            </w:r>
          </w:p>
        </w:tc>
        <w:tc>
          <w:tcPr>
            <w:tcW w:w="1586" w:type="dxa"/>
            <w:tcBorders>
              <w:top w:val="single" w:color="auto" w:sz="4" w:space="0"/>
              <w:left w:val="single" w:color="auto" w:sz="4" w:space="0"/>
              <w:bottom w:val="single" w:color="auto" w:sz="4" w:space="0"/>
              <w:right w:val="single" w:color="auto" w:sz="4" w:space="0"/>
            </w:tcBorders>
            <w:vAlign w:val="center"/>
          </w:tcPr>
          <w:p w14:paraId="0726E934">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投标保证金</w:t>
            </w:r>
          </w:p>
        </w:tc>
        <w:tc>
          <w:tcPr>
            <w:tcW w:w="7285" w:type="dxa"/>
            <w:tcBorders>
              <w:top w:val="single" w:color="auto" w:sz="4" w:space="0"/>
              <w:left w:val="single" w:color="auto" w:sz="4" w:space="0"/>
              <w:bottom w:val="single" w:color="auto" w:sz="4" w:space="0"/>
              <w:right w:val="single" w:color="auto" w:sz="4" w:space="0"/>
            </w:tcBorders>
            <w:vAlign w:val="center"/>
          </w:tcPr>
          <w:p w14:paraId="1D659A15">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投标保证金交纳方式：投标保证金应当以支票、汇票、本票、网上银行支付或者金融机构、担保机构出具的保函等非现金形式缴纳。</w:t>
            </w:r>
          </w:p>
          <w:p w14:paraId="038B370F">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投标保证金的金额：10000元（壹万元整）</w:t>
            </w:r>
          </w:p>
          <w:p w14:paraId="2227D8C7">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一、投标保证金缴纳要求：</w:t>
            </w:r>
          </w:p>
          <w:p w14:paraId="5E5FECF2">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1、投标保证金以电汇、网银形式提交的，应在投标截止前以总公司的基本账户一次性汇入指定账户（以到账时间为准），不接受现金及任何个人汇款。汇款凭证作为该项目投标保证金的缴纳依据。</w:t>
            </w:r>
          </w:p>
          <w:p w14:paraId="40990B9C">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2、其他特殊情况处理：有效投标保证金成功交纳后，截止开标时间，供应商无正当理由不参加该项目投标且不递交弃标函，投标保证金不予退还。</w:t>
            </w:r>
          </w:p>
          <w:p w14:paraId="236F7C27">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户名：克孜勒苏柯尔克孜自治州公共资源交易中心</w:t>
            </w:r>
          </w:p>
          <w:p w14:paraId="5BC2D4EA">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账号：30456301040005069</w:t>
            </w:r>
          </w:p>
          <w:p w14:paraId="426124EC">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行名：中国农业银行股份有限公司阿图什天山支行</w:t>
            </w:r>
          </w:p>
          <w:p w14:paraId="5809DCBC">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行号：103893045636</w:t>
            </w:r>
          </w:p>
          <w:p w14:paraId="0E8F977E">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联系人：孙先生</w:t>
            </w:r>
          </w:p>
          <w:p w14:paraId="28EB474A">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电话：0908-4220265   </w:t>
            </w:r>
          </w:p>
          <w:p w14:paraId="158CCA40">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（备注：必须写清楚xx项目保证金）</w:t>
            </w:r>
          </w:p>
          <w:p w14:paraId="32906149">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二、申请退还投标保证金资料（招投标结束中标结果公示后）：</w:t>
            </w:r>
          </w:p>
          <w:p w14:paraId="343722BB">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1、投标企业：待开标完成后，未中标企业3个工作日内政资中心将收取的项目投标保证金按投标企业基本户退回。</w:t>
            </w:r>
          </w:p>
          <w:p w14:paraId="1298617E">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2、中标企业：需提供已签订合同复印件一份，复印件每页需加盖企业鲜章（并携带合同原件，由中心工作人员核对后退还）。</w:t>
            </w:r>
          </w:p>
          <w:p w14:paraId="6794E149">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三、其他特殊情况处理：</w:t>
            </w:r>
          </w:p>
          <w:p w14:paraId="67E2523B">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color w:val="auto"/>
                <w:highlight w:val="none"/>
                <w:lang w:val="en-US" w:eastAsia="zh-CN"/>
              </w:rPr>
              <w:t xml:space="preserve">1、按照招标文件要求规定：投标企业无正当理由不参加该项目投标且在规定开标时间前不递交弃标函，投标保证金不予退还。    </w:t>
            </w:r>
          </w:p>
        </w:tc>
      </w:tr>
      <w:tr w14:paraId="386B4EFB">
        <w:tblPrEx>
          <w:tblCellMar>
            <w:top w:w="0" w:type="dxa"/>
            <w:left w:w="108" w:type="dxa"/>
            <w:bottom w:w="0" w:type="dxa"/>
            <w:right w:w="108" w:type="dxa"/>
          </w:tblCellMar>
        </w:tblPrEx>
        <w:trPr>
          <w:trHeight w:val="189"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7F8C96C5">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4</w:t>
            </w:r>
          </w:p>
        </w:tc>
        <w:tc>
          <w:tcPr>
            <w:tcW w:w="1586" w:type="dxa"/>
            <w:tcBorders>
              <w:top w:val="single" w:color="auto" w:sz="4" w:space="0"/>
              <w:left w:val="single" w:color="auto" w:sz="4" w:space="0"/>
              <w:bottom w:val="single" w:color="auto" w:sz="4" w:space="0"/>
              <w:right w:val="single" w:color="auto" w:sz="4" w:space="0"/>
            </w:tcBorders>
            <w:vAlign w:val="center"/>
          </w:tcPr>
          <w:p w14:paraId="02941E14">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是否允许递交备选  投标方案</w:t>
            </w:r>
          </w:p>
        </w:tc>
        <w:tc>
          <w:tcPr>
            <w:tcW w:w="7285" w:type="dxa"/>
            <w:tcBorders>
              <w:top w:val="single" w:color="auto" w:sz="4" w:space="0"/>
              <w:left w:val="single" w:color="auto" w:sz="4" w:space="0"/>
              <w:bottom w:val="single" w:color="auto" w:sz="4" w:space="0"/>
              <w:right w:val="single" w:color="auto" w:sz="4" w:space="0"/>
            </w:tcBorders>
            <w:vAlign w:val="center"/>
          </w:tcPr>
          <w:p w14:paraId="2613AD01">
            <w:pPr>
              <w:spacing w:line="360" w:lineRule="auto"/>
              <w:rPr>
                <w:rFonts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w:t>
            </w:r>
            <w:r>
              <w:rPr>
                <w:rFonts w:hint="eastAsia" w:ascii="仿宋" w:hAnsi="仿宋" w:eastAsia="仿宋" w:cs="仿宋"/>
                <w:color w:val="auto"/>
                <w:sz w:val="24"/>
                <w:szCs w:val="24"/>
                <w:lang w:eastAsia="zh-CN"/>
              </w:rPr>
              <w:t>不允许</w:t>
            </w:r>
          </w:p>
          <w:p w14:paraId="249E70F2">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□允  许</w:t>
            </w:r>
          </w:p>
        </w:tc>
      </w:tr>
      <w:tr w14:paraId="3C3E9EC8">
        <w:tblPrEx>
          <w:tblCellMar>
            <w:top w:w="0" w:type="dxa"/>
            <w:left w:w="108" w:type="dxa"/>
            <w:bottom w:w="0" w:type="dxa"/>
            <w:right w:w="108" w:type="dxa"/>
          </w:tblCellMar>
        </w:tblPrEx>
        <w:trPr>
          <w:trHeight w:val="485"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3840F48D">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5</w:t>
            </w:r>
          </w:p>
        </w:tc>
        <w:tc>
          <w:tcPr>
            <w:tcW w:w="1586" w:type="dxa"/>
            <w:tcBorders>
              <w:top w:val="single" w:color="auto" w:sz="4" w:space="0"/>
              <w:left w:val="single" w:color="auto" w:sz="4" w:space="0"/>
              <w:bottom w:val="single" w:color="auto" w:sz="4" w:space="0"/>
              <w:right w:val="single" w:color="auto" w:sz="4" w:space="0"/>
            </w:tcBorders>
            <w:vAlign w:val="center"/>
          </w:tcPr>
          <w:p w14:paraId="52E013B5">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谈判文件领取</w:t>
            </w:r>
          </w:p>
        </w:tc>
        <w:tc>
          <w:tcPr>
            <w:tcW w:w="7285" w:type="dxa"/>
            <w:tcBorders>
              <w:top w:val="single" w:color="auto" w:sz="4" w:space="0"/>
              <w:left w:val="single" w:color="auto" w:sz="4" w:space="0"/>
              <w:bottom w:val="single" w:color="auto" w:sz="4" w:space="0"/>
              <w:right w:val="single" w:color="auto" w:sz="4" w:space="0"/>
            </w:tcBorders>
            <w:vAlign w:val="center"/>
          </w:tcPr>
          <w:p w14:paraId="47776B14">
            <w:pPr>
              <w:spacing w:line="360" w:lineRule="auto"/>
              <w:rPr>
                <w:rFonts w:ascii="仿宋" w:hAnsi="仿宋" w:eastAsia="仿宋" w:cs="仿宋"/>
                <w:b/>
                <w:bCs/>
                <w:color w:val="FF0000"/>
                <w:sz w:val="24"/>
                <w:szCs w:val="24"/>
                <w:lang w:eastAsia="zh-CN"/>
              </w:rPr>
            </w:pPr>
            <w:r>
              <w:rPr>
                <w:rFonts w:hint="eastAsia" w:ascii="仿宋" w:hAnsi="仿宋" w:eastAsia="仿宋" w:cs="仿宋"/>
                <w:b/>
                <w:bCs/>
                <w:color w:val="FF0000"/>
                <w:sz w:val="24"/>
                <w:szCs w:val="24"/>
                <w:lang w:eastAsia="zh-CN"/>
              </w:rPr>
              <w:t>时间：</w:t>
            </w:r>
            <w:r>
              <w:rPr>
                <w:rFonts w:hint="eastAsia" w:ascii="仿宋" w:hAnsi="仿宋" w:eastAsia="仿宋" w:cs="仿宋"/>
                <w:b/>
                <w:bCs/>
                <w:color w:val="FF0000"/>
                <w:sz w:val="24"/>
                <w:szCs w:val="24"/>
                <w:u w:val="none"/>
                <w:lang w:eastAsia="zh-CN"/>
              </w:rPr>
              <w:t>202</w:t>
            </w:r>
            <w:r>
              <w:rPr>
                <w:rFonts w:hint="eastAsia" w:ascii="仿宋" w:hAnsi="仿宋" w:eastAsia="仿宋" w:cs="仿宋"/>
                <w:b/>
                <w:bCs/>
                <w:color w:val="FF0000"/>
                <w:sz w:val="24"/>
                <w:szCs w:val="24"/>
                <w:u w:val="none"/>
                <w:lang w:val="en-US" w:eastAsia="zh-CN"/>
              </w:rPr>
              <w:t>6</w:t>
            </w:r>
            <w:r>
              <w:rPr>
                <w:rFonts w:hint="eastAsia" w:ascii="仿宋" w:hAnsi="仿宋" w:eastAsia="仿宋" w:cs="仿宋"/>
                <w:b/>
                <w:bCs/>
                <w:color w:val="FF0000"/>
                <w:sz w:val="24"/>
                <w:szCs w:val="24"/>
                <w:u w:val="none"/>
                <w:lang w:eastAsia="zh-CN"/>
              </w:rPr>
              <w:t>年</w:t>
            </w:r>
            <w:r>
              <w:rPr>
                <w:rFonts w:hint="eastAsia" w:ascii="仿宋" w:hAnsi="仿宋" w:eastAsia="仿宋" w:cs="仿宋"/>
                <w:b/>
                <w:bCs/>
                <w:color w:val="FF0000"/>
                <w:sz w:val="24"/>
                <w:szCs w:val="24"/>
                <w:u w:val="none"/>
                <w:lang w:val="en-US" w:eastAsia="zh-CN"/>
              </w:rPr>
              <w:t>5</w:t>
            </w:r>
            <w:r>
              <w:rPr>
                <w:rFonts w:hint="eastAsia" w:ascii="仿宋" w:hAnsi="仿宋" w:eastAsia="仿宋" w:cs="仿宋"/>
                <w:b/>
                <w:bCs/>
                <w:color w:val="FF0000"/>
                <w:sz w:val="24"/>
                <w:szCs w:val="24"/>
                <w:u w:val="none"/>
                <w:lang w:eastAsia="zh-CN"/>
              </w:rPr>
              <w:t>月</w:t>
            </w:r>
            <w:r>
              <w:rPr>
                <w:rFonts w:hint="eastAsia" w:ascii="仿宋" w:hAnsi="仿宋" w:eastAsia="仿宋" w:cs="仿宋"/>
                <w:b/>
                <w:bCs/>
                <w:color w:val="FF0000"/>
                <w:sz w:val="24"/>
                <w:szCs w:val="24"/>
                <w:u w:val="none"/>
                <w:lang w:val="en-US" w:eastAsia="zh-CN"/>
              </w:rPr>
              <w:t>22</w:t>
            </w:r>
            <w:r>
              <w:rPr>
                <w:rFonts w:hint="eastAsia" w:ascii="仿宋" w:hAnsi="仿宋" w:eastAsia="仿宋" w:cs="仿宋"/>
                <w:b/>
                <w:bCs/>
                <w:color w:val="FF0000"/>
                <w:sz w:val="24"/>
                <w:szCs w:val="24"/>
                <w:u w:val="none"/>
                <w:lang w:eastAsia="zh-CN"/>
              </w:rPr>
              <w:t>日至202</w:t>
            </w:r>
            <w:r>
              <w:rPr>
                <w:rFonts w:hint="eastAsia" w:ascii="仿宋" w:hAnsi="仿宋" w:eastAsia="仿宋" w:cs="仿宋"/>
                <w:b/>
                <w:bCs/>
                <w:color w:val="FF0000"/>
                <w:sz w:val="24"/>
                <w:szCs w:val="24"/>
                <w:u w:val="none"/>
                <w:lang w:val="en-US" w:eastAsia="zh-CN"/>
              </w:rPr>
              <w:t>6</w:t>
            </w:r>
            <w:r>
              <w:rPr>
                <w:rFonts w:hint="eastAsia" w:ascii="仿宋" w:hAnsi="仿宋" w:eastAsia="仿宋" w:cs="仿宋"/>
                <w:b/>
                <w:bCs/>
                <w:color w:val="FF0000"/>
                <w:sz w:val="24"/>
                <w:szCs w:val="24"/>
                <w:u w:val="none"/>
                <w:lang w:eastAsia="zh-CN"/>
              </w:rPr>
              <w:t>年</w:t>
            </w:r>
            <w:r>
              <w:rPr>
                <w:rFonts w:hint="eastAsia" w:ascii="仿宋" w:hAnsi="仿宋" w:eastAsia="仿宋" w:cs="仿宋"/>
                <w:b/>
                <w:bCs/>
                <w:color w:val="FF0000"/>
                <w:sz w:val="24"/>
                <w:szCs w:val="24"/>
                <w:u w:val="none"/>
                <w:lang w:val="en-US" w:eastAsia="zh-CN"/>
              </w:rPr>
              <w:t>5</w:t>
            </w:r>
            <w:r>
              <w:rPr>
                <w:rFonts w:hint="eastAsia" w:ascii="仿宋" w:hAnsi="仿宋" w:eastAsia="仿宋" w:cs="仿宋"/>
                <w:b/>
                <w:bCs/>
                <w:color w:val="FF0000"/>
                <w:sz w:val="24"/>
                <w:szCs w:val="24"/>
                <w:u w:val="none"/>
                <w:lang w:eastAsia="zh-CN"/>
              </w:rPr>
              <w:t>月</w:t>
            </w:r>
            <w:r>
              <w:rPr>
                <w:rFonts w:hint="eastAsia" w:ascii="仿宋" w:hAnsi="仿宋" w:eastAsia="仿宋" w:cs="仿宋"/>
                <w:b/>
                <w:bCs/>
                <w:color w:val="FF0000"/>
                <w:sz w:val="24"/>
                <w:szCs w:val="24"/>
                <w:u w:val="none"/>
                <w:lang w:val="en-US" w:eastAsia="zh-CN"/>
              </w:rPr>
              <w:t>26</w:t>
            </w:r>
            <w:r>
              <w:rPr>
                <w:rFonts w:hint="eastAsia" w:ascii="仿宋" w:hAnsi="仿宋" w:eastAsia="仿宋" w:cs="仿宋"/>
                <w:b/>
                <w:bCs/>
                <w:color w:val="FF0000"/>
                <w:sz w:val="24"/>
                <w:szCs w:val="24"/>
                <w:u w:val="none"/>
                <w:lang w:eastAsia="zh-CN"/>
              </w:rPr>
              <w:t>日，每天上午10:00至</w:t>
            </w:r>
            <w:r>
              <w:rPr>
                <w:rFonts w:hint="eastAsia" w:ascii="仿宋" w:hAnsi="仿宋" w:eastAsia="仿宋" w:cs="仿宋"/>
                <w:b/>
                <w:bCs/>
                <w:color w:val="FF0000"/>
                <w:sz w:val="24"/>
                <w:szCs w:val="24"/>
                <w:u w:val="none"/>
                <w:lang w:val="en-US" w:eastAsia="zh-CN"/>
              </w:rPr>
              <w:t>14</w:t>
            </w:r>
            <w:r>
              <w:rPr>
                <w:rFonts w:hint="eastAsia" w:ascii="仿宋" w:hAnsi="仿宋" w:eastAsia="仿宋" w:cs="仿宋"/>
                <w:b/>
                <w:bCs/>
                <w:color w:val="FF0000"/>
                <w:sz w:val="24"/>
                <w:szCs w:val="24"/>
                <w:u w:val="none"/>
                <w:lang w:eastAsia="zh-CN"/>
              </w:rPr>
              <w:t>:</w:t>
            </w:r>
            <w:r>
              <w:rPr>
                <w:rFonts w:hint="eastAsia" w:ascii="仿宋" w:hAnsi="仿宋" w:eastAsia="仿宋" w:cs="仿宋"/>
                <w:b/>
                <w:bCs/>
                <w:color w:val="FF0000"/>
                <w:sz w:val="24"/>
                <w:szCs w:val="24"/>
                <w:u w:val="none"/>
                <w:lang w:val="en-US" w:eastAsia="zh-CN"/>
              </w:rPr>
              <w:t>00</w:t>
            </w:r>
            <w:r>
              <w:rPr>
                <w:rFonts w:hint="eastAsia" w:ascii="仿宋" w:hAnsi="仿宋" w:eastAsia="仿宋" w:cs="仿宋"/>
                <w:b/>
                <w:bCs/>
                <w:color w:val="FF0000"/>
                <w:sz w:val="24"/>
                <w:szCs w:val="24"/>
                <w:u w:val="none"/>
                <w:lang w:eastAsia="zh-CN"/>
              </w:rPr>
              <w:t>，下午16:</w:t>
            </w:r>
            <w:r>
              <w:rPr>
                <w:rFonts w:hint="eastAsia" w:ascii="仿宋" w:hAnsi="仿宋" w:eastAsia="仿宋" w:cs="仿宋"/>
                <w:b/>
                <w:bCs/>
                <w:color w:val="FF0000"/>
                <w:sz w:val="24"/>
                <w:szCs w:val="24"/>
                <w:u w:val="none"/>
                <w:lang w:val="en-US" w:eastAsia="zh-CN"/>
              </w:rPr>
              <w:t>00</w:t>
            </w:r>
            <w:r>
              <w:rPr>
                <w:rFonts w:hint="eastAsia" w:ascii="仿宋" w:hAnsi="仿宋" w:eastAsia="仿宋" w:cs="仿宋"/>
                <w:b/>
                <w:bCs/>
                <w:color w:val="FF0000"/>
                <w:sz w:val="24"/>
                <w:szCs w:val="24"/>
                <w:u w:val="none"/>
                <w:lang w:eastAsia="zh-CN"/>
              </w:rPr>
              <w:t>至</w:t>
            </w:r>
            <w:r>
              <w:rPr>
                <w:rFonts w:hint="eastAsia" w:ascii="仿宋" w:hAnsi="仿宋" w:eastAsia="仿宋" w:cs="仿宋"/>
                <w:b/>
                <w:bCs/>
                <w:color w:val="FF0000"/>
                <w:sz w:val="24"/>
                <w:szCs w:val="24"/>
                <w:u w:val="none"/>
                <w:lang w:val="en-US" w:eastAsia="zh-CN"/>
              </w:rPr>
              <w:t>20</w:t>
            </w:r>
            <w:r>
              <w:rPr>
                <w:rFonts w:hint="eastAsia" w:ascii="仿宋" w:hAnsi="仿宋" w:eastAsia="仿宋" w:cs="仿宋"/>
                <w:b/>
                <w:bCs/>
                <w:color w:val="FF0000"/>
                <w:sz w:val="24"/>
                <w:szCs w:val="24"/>
                <w:u w:val="none"/>
                <w:lang w:eastAsia="zh-CN"/>
              </w:rPr>
              <w:t>：</w:t>
            </w:r>
            <w:r>
              <w:rPr>
                <w:rFonts w:hint="eastAsia" w:ascii="仿宋" w:hAnsi="仿宋" w:eastAsia="仿宋" w:cs="仿宋"/>
                <w:b/>
                <w:bCs/>
                <w:color w:val="FF0000"/>
                <w:sz w:val="24"/>
                <w:szCs w:val="24"/>
                <w:u w:val="none"/>
                <w:lang w:val="en-US" w:eastAsia="zh-CN"/>
              </w:rPr>
              <w:t>00</w:t>
            </w:r>
            <w:r>
              <w:rPr>
                <w:rFonts w:hint="eastAsia" w:ascii="仿宋" w:hAnsi="仿宋" w:eastAsia="仿宋" w:cs="仿宋"/>
                <w:b/>
                <w:bCs/>
                <w:color w:val="FF0000"/>
                <w:sz w:val="24"/>
                <w:szCs w:val="24"/>
                <w:lang w:eastAsia="zh-CN"/>
              </w:rPr>
              <w:t>（北京时间，节假日除外）</w:t>
            </w:r>
          </w:p>
          <w:p w14:paraId="24642414">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地点：政采云平台线上</w:t>
            </w:r>
          </w:p>
          <w:p w14:paraId="14DF4CCE">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方式：供应商登录政采云平台https://www.zcygov.cn/在线申请获取采购文件（进入“项目采购”应用，在获取采购文件菜单中选择项目，申请获取采购文件）</w:t>
            </w:r>
          </w:p>
        </w:tc>
      </w:tr>
      <w:tr w14:paraId="44DAB0BC">
        <w:tblPrEx>
          <w:tblCellMar>
            <w:top w:w="0" w:type="dxa"/>
            <w:left w:w="108" w:type="dxa"/>
            <w:bottom w:w="0" w:type="dxa"/>
            <w:right w:w="108" w:type="dxa"/>
          </w:tblCellMar>
        </w:tblPrEx>
        <w:trPr>
          <w:trHeight w:val="383"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1903D416">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6</w:t>
            </w:r>
          </w:p>
        </w:tc>
        <w:tc>
          <w:tcPr>
            <w:tcW w:w="1586" w:type="dxa"/>
            <w:tcBorders>
              <w:top w:val="single" w:color="auto" w:sz="4" w:space="0"/>
              <w:left w:val="single" w:color="auto" w:sz="4" w:space="0"/>
              <w:bottom w:val="single" w:color="auto" w:sz="4" w:space="0"/>
              <w:right w:val="single" w:color="auto" w:sz="4" w:space="0"/>
            </w:tcBorders>
            <w:vAlign w:val="center"/>
          </w:tcPr>
          <w:p w14:paraId="3D3BC2B4">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响应文件形式</w:t>
            </w:r>
          </w:p>
        </w:tc>
        <w:tc>
          <w:tcPr>
            <w:tcW w:w="7285" w:type="dxa"/>
            <w:tcBorders>
              <w:top w:val="single" w:color="auto" w:sz="4" w:space="0"/>
              <w:left w:val="single" w:color="auto" w:sz="4" w:space="0"/>
              <w:bottom w:val="single" w:color="auto" w:sz="4" w:space="0"/>
              <w:right w:val="single" w:color="auto" w:sz="4" w:space="0"/>
            </w:tcBorders>
            <w:vAlign w:val="center"/>
          </w:tcPr>
          <w:p w14:paraId="293095C9">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电子响应文件包括“电子加密响应文件”和“备份响应文件”，在响应文件编制完成后同时生成。</w:t>
            </w:r>
          </w:p>
          <w:p w14:paraId="1B38E91F">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1、“电子加密响应文件”是指通过“政采云电子交易客户端”完成响应文件编制后生成并加密的数据电文形式的响应文件。</w:t>
            </w:r>
          </w:p>
          <w:p w14:paraId="2D68DAC2">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2、“备份响应文件”是指与“电子加密响应文件”同时生成的数据电文形式的电子文件（备份标书，用于供应商标书解密异常时应急使用），其他方式编制的备份响应文件视为无效备份响应文件。</w:t>
            </w:r>
          </w:p>
        </w:tc>
      </w:tr>
      <w:tr w14:paraId="42EF5EF5">
        <w:tblPrEx>
          <w:tblCellMar>
            <w:top w:w="0" w:type="dxa"/>
            <w:left w:w="108" w:type="dxa"/>
            <w:bottom w:w="0" w:type="dxa"/>
            <w:right w:w="108" w:type="dxa"/>
          </w:tblCellMar>
        </w:tblPrEx>
        <w:trPr>
          <w:trHeight w:val="190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846CC72">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7</w:t>
            </w:r>
          </w:p>
        </w:tc>
        <w:tc>
          <w:tcPr>
            <w:tcW w:w="1586" w:type="dxa"/>
            <w:tcBorders>
              <w:top w:val="single" w:color="auto" w:sz="4" w:space="0"/>
              <w:left w:val="single" w:color="auto" w:sz="4" w:space="0"/>
              <w:bottom w:val="single" w:color="auto" w:sz="4" w:space="0"/>
              <w:right w:val="single" w:color="auto" w:sz="4" w:space="0"/>
            </w:tcBorders>
            <w:vAlign w:val="center"/>
          </w:tcPr>
          <w:p w14:paraId="5A08C7D3">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响应文件份数及要求</w:t>
            </w:r>
          </w:p>
        </w:tc>
        <w:tc>
          <w:tcPr>
            <w:tcW w:w="7285" w:type="dxa"/>
            <w:tcBorders>
              <w:top w:val="single" w:color="auto" w:sz="4" w:space="0"/>
              <w:left w:val="single" w:color="auto" w:sz="4" w:space="0"/>
              <w:bottom w:val="single" w:color="auto" w:sz="4" w:space="0"/>
              <w:right w:val="single" w:color="auto" w:sz="4" w:space="0"/>
            </w:tcBorders>
            <w:vAlign w:val="center"/>
          </w:tcPr>
          <w:p w14:paraId="1EB96E18">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1、一份电子加密标书（“.jmbs”格式），一份备份标书文件（“.bfbs”格式）。</w:t>
            </w:r>
          </w:p>
          <w:p w14:paraId="7F3E8F1D">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2、每份电子响应文件应包括资格证明文件和商务及技术文件两部分。</w:t>
            </w:r>
          </w:p>
        </w:tc>
      </w:tr>
      <w:tr w14:paraId="170834AF">
        <w:tblPrEx>
          <w:tblCellMar>
            <w:top w:w="0" w:type="dxa"/>
            <w:left w:w="108" w:type="dxa"/>
            <w:bottom w:w="0" w:type="dxa"/>
            <w:right w:w="108" w:type="dxa"/>
          </w:tblCellMar>
        </w:tblPrEx>
        <w:trPr>
          <w:trHeight w:val="731" w:hRule="atLeast"/>
          <w:jc w:val="center"/>
        </w:trPr>
        <w:tc>
          <w:tcPr>
            <w:tcW w:w="959" w:type="dxa"/>
            <w:vMerge w:val="restart"/>
            <w:tcBorders>
              <w:top w:val="single" w:color="auto" w:sz="4" w:space="0"/>
              <w:left w:val="single" w:color="auto" w:sz="4" w:space="0"/>
              <w:right w:val="single" w:color="auto" w:sz="4" w:space="0"/>
            </w:tcBorders>
            <w:vAlign w:val="center"/>
          </w:tcPr>
          <w:p w14:paraId="727AF519">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8</w:t>
            </w:r>
          </w:p>
        </w:tc>
        <w:tc>
          <w:tcPr>
            <w:tcW w:w="1586" w:type="dxa"/>
            <w:vMerge w:val="restart"/>
            <w:tcBorders>
              <w:top w:val="single" w:color="auto" w:sz="4" w:space="0"/>
              <w:left w:val="single" w:color="auto" w:sz="4" w:space="0"/>
              <w:right w:val="single" w:color="auto" w:sz="4" w:space="0"/>
            </w:tcBorders>
            <w:vAlign w:val="center"/>
          </w:tcPr>
          <w:p w14:paraId="08E9FF51">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响应文件的上传和递交</w:t>
            </w:r>
          </w:p>
        </w:tc>
        <w:tc>
          <w:tcPr>
            <w:tcW w:w="7285" w:type="dxa"/>
            <w:tcBorders>
              <w:top w:val="single" w:color="auto" w:sz="4" w:space="0"/>
              <w:left w:val="single" w:color="auto" w:sz="4" w:space="0"/>
              <w:bottom w:val="single" w:color="auto" w:sz="4" w:space="0"/>
              <w:right w:val="single" w:color="auto" w:sz="4" w:space="0"/>
            </w:tcBorders>
            <w:vAlign w:val="center"/>
          </w:tcPr>
          <w:p w14:paraId="47B8CE0E">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1.电子加密响应文件：响应文件制作完成并生成加密标书，在投标截止时间前，供应商需将加密的响应文件上传至政采云平台，在开标时间开始后，待采购组织机构发出解密通知后30分钟内解密响应文件。</w:t>
            </w:r>
          </w:p>
          <w:p w14:paraId="6DED1982">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a.供应商未能在投标截止时间前成功上传电子加密响应文件的投标无效。</w:t>
            </w:r>
          </w:p>
          <w:p w14:paraId="060F3A77">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b.供应商成功上传电子加密响应文件后，可自行打印响应文件接收回执。</w:t>
            </w:r>
          </w:p>
        </w:tc>
      </w:tr>
      <w:tr w14:paraId="74150C5E">
        <w:tblPrEx>
          <w:tblCellMar>
            <w:top w:w="0" w:type="dxa"/>
            <w:left w:w="108" w:type="dxa"/>
            <w:bottom w:w="0" w:type="dxa"/>
            <w:right w:w="108" w:type="dxa"/>
          </w:tblCellMar>
        </w:tblPrEx>
        <w:trPr>
          <w:trHeight w:val="731" w:hRule="atLeast"/>
          <w:jc w:val="center"/>
        </w:trPr>
        <w:tc>
          <w:tcPr>
            <w:tcW w:w="959" w:type="dxa"/>
            <w:vMerge w:val="continue"/>
            <w:tcBorders>
              <w:left w:val="single" w:color="auto" w:sz="4" w:space="0"/>
              <w:bottom w:val="single" w:color="auto" w:sz="4" w:space="0"/>
              <w:right w:val="single" w:color="auto" w:sz="4" w:space="0"/>
            </w:tcBorders>
            <w:vAlign w:val="center"/>
          </w:tcPr>
          <w:p w14:paraId="6E677FD7">
            <w:pPr>
              <w:spacing w:line="360" w:lineRule="auto"/>
              <w:jc w:val="center"/>
              <w:rPr>
                <w:rFonts w:ascii="仿宋" w:hAnsi="仿宋" w:eastAsia="仿宋" w:cs="仿宋"/>
                <w:color w:val="auto"/>
                <w:sz w:val="24"/>
                <w:szCs w:val="24"/>
                <w:lang w:eastAsia="zh-CN"/>
              </w:rPr>
            </w:pPr>
          </w:p>
        </w:tc>
        <w:tc>
          <w:tcPr>
            <w:tcW w:w="1586" w:type="dxa"/>
            <w:vMerge w:val="continue"/>
            <w:tcBorders>
              <w:left w:val="single" w:color="auto" w:sz="4" w:space="0"/>
              <w:bottom w:val="single" w:color="auto" w:sz="4" w:space="0"/>
              <w:right w:val="single" w:color="auto" w:sz="4" w:space="0"/>
            </w:tcBorders>
            <w:vAlign w:val="center"/>
          </w:tcPr>
          <w:p w14:paraId="1C65A0A0">
            <w:pPr>
              <w:spacing w:line="360" w:lineRule="auto"/>
              <w:rPr>
                <w:rFonts w:ascii="仿宋" w:hAnsi="仿宋" w:eastAsia="仿宋" w:cs="仿宋"/>
                <w:color w:val="auto"/>
                <w:sz w:val="24"/>
                <w:szCs w:val="24"/>
                <w:lang w:eastAsia="zh-CN"/>
              </w:rPr>
            </w:pPr>
          </w:p>
        </w:tc>
        <w:tc>
          <w:tcPr>
            <w:tcW w:w="7285" w:type="dxa"/>
            <w:tcBorders>
              <w:top w:val="single" w:color="auto" w:sz="4" w:space="0"/>
              <w:left w:val="single" w:color="auto" w:sz="4" w:space="0"/>
              <w:bottom w:val="single" w:color="auto" w:sz="4" w:space="0"/>
              <w:right w:val="single" w:color="auto" w:sz="4" w:space="0"/>
            </w:tcBorders>
            <w:vAlign w:val="center"/>
          </w:tcPr>
          <w:p w14:paraId="11D106FF">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2.备份响应文件：供应商在投标截止时间前将加密的响应文件上传至政府采购云平台，还可以在投标截止时间前以电子邮件方式提供备份响应文件1份（接收人邮箱：</w:t>
            </w:r>
            <w:r>
              <w:rPr>
                <w:rFonts w:hint="eastAsia" w:ascii="仿宋" w:hAnsi="仿宋" w:eastAsia="仿宋" w:cs="仿宋"/>
                <w:color w:val="auto"/>
                <w:sz w:val="24"/>
                <w:szCs w:val="24"/>
                <w:lang w:val="en-US" w:eastAsia="zh-CN"/>
              </w:rPr>
              <w:t>739301695</w:t>
            </w:r>
            <w:r>
              <w:rPr>
                <w:rFonts w:hint="eastAsia" w:ascii="仿宋" w:hAnsi="仿宋" w:eastAsia="仿宋" w:cs="仿宋"/>
                <w:color w:val="auto"/>
                <w:sz w:val="24"/>
                <w:szCs w:val="24"/>
                <w:lang w:eastAsia="zh-CN"/>
              </w:rPr>
              <w:t>@qq.com，接收人：</w:t>
            </w:r>
            <w:r>
              <w:rPr>
                <w:rFonts w:hint="eastAsia" w:ascii="仿宋" w:hAnsi="仿宋" w:eastAsia="仿宋" w:cs="仿宋"/>
                <w:color w:val="auto"/>
                <w:sz w:val="24"/>
                <w:szCs w:val="24"/>
                <w:lang w:val="en-US" w:eastAsia="zh-CN"/>
              </w:rPr>
              <w:t>魏女士</w:t>
            </w:r>
            <w:r>
              <w:rPr>
                <w:rFonts w:hint="eastAsia" w:ascii="仿宋" w:hAnsi="仿宋" w:eastAsia="仿宋" w:cs="仿宋"/>
                <w:color w:val="auto"/>
                <w:sz w:val="24"/>
                <w:szCs w:val="24"/>
                <w:lang w:eastAsia="zh-CN"/>
              </w:rPr>
              <w:t>，电话：</w:t>
            </w:r>
            <w:r>
              <w:rPr>
                <w:rFonts w:hint="eastAsia" w:ascii="仿宋" w:hAnsi="仿宋" w:eastAsia="仿宋" w:cs="仿宋"/>
                <w:color w:val="auto"/>
                <w:sz w:val="24"/>
                <w:szCs w:val="24"/>
                <w:lang w:val="en-US" w:eastAsia="zh-CN"/>
              </w:rPr>
              <w:t>17799081359</w:t>
            </w:r>
            <w:r>
              <w:rPr>
                <w:rFonts w:hint="eastAsia" w:ascii="仿宋" w:hAnsi="仿宋" w:eastAsia="仿宋" w:cs="仿宋"/>
                <w:color w:val="auto"/>
                <w:sz w:val="24"/>
                <w:szCs w:val="24"/>
                <w:lang w:eastAsia="zh-CN"/>
              </w:rPr>
              <w:t>），“备份响应文件”由供应商自愿提供，谈判文件 不作强制性要求；如不提供或未按要求提供的，当电子响应文件无法解密时，将导致无备份响应文件而失去投标资格。</w:t>
            </w:r>
          </w:p>
          <w:p w14:paraId="5360D267">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a.备份响应文件提供要求：供应商可以将备份响应文件打包压缩并加密，压缩包命名为“XX单位备份响应文件”，加密密码由供应商自行保管；送达时间以采购代理机构实际接收时间为准。“备份响应文件”逾期或未按要求提供的视为未提供，建议供应商提前1日办理邮件提供事宜。</w:t>
            </w:r>
          </w:p>
          <w:p w14:paraId="07A53856">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b.通过“政府采购云平台”成功上传递交的“电子加密响应文件”已按时解密的，“备份响应文件”自动失效。投标截止时间前，投标供应商仅提供了“备份响应文件”而未将“电子加密响应文件”成功上传至“政府采购云平台”的，投标无效。</w:t>
            </w:r>
          </w:p>
        </w:tc>
      </w:tr>
      <w:tr w14:paraId="02B10A0F">
        <w:tblPrEx>
          <w:tblCellMar>
            <w:top w:w="0" w:type="dxa"/>
            <w:left w:w="108" w:type="dxa"/>
            <w:bottom w:w="0" w:type="dxa"/>
            <w:right w:w="108" w:type="dxa"/>
          </w:tblCellMar>
        </w:tblPrEx>
        <w:trPr>
          <w:trHeight w:val="9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3B405BD7">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9</w:t>
            </w:r>
          </w:p>
        </w:tc>
        <w:tc>
          <w:tcPr>
            <w:tcW w:w="1586" w:type="dxa"/>
            <w:tcBorders>
              <w:top w:val="single" w:color="auto" w:sz="4" w:space="0"/>
              <w:left w:val="single" w:color="auto" w:sz="4" w:space="0"/>
              <w:bottom w:val="single" w:color="auto" w:sz="4" w:space="0"/>
              <w:right w:val="single" w:color="auto" w:sz="4" w:space="0"/>
            </w:tcBorders>
            <w:vAlign w:val="center"/>
          </w:tcPr>
          <w:p w14:paraId="0CD48453">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评标委员会的组建</w:t>
            </w:r>
          </w:p>
        </w:tc>
        <w:tc>
          <w:tcPr>
            <w:tcW w:w="7285" w:type="dxa"/>
            <w:tcBorders>
              <w:top w:val="single" w:color="auto" w:sz="4" w:space="0"/>
              <w:left w:val="single" w:color="auto" w:sz="4" w:space="0"/>
              <w:bottom w:val="single" w:color="auto" w:sz="4" w:space="0"/>
              <w:right w:val="single" w:color="auto" w:sz="4" w:space="0"/>
            </w:tcBorders>
            <w:vAlign w:val="center"/>
          </w:tcPr>
          <w:p w14:paraId="0D7362AE">
            <w:pPr>
              <w:spacing w:line="360" w:lineRule="auto"/>
              <w:rPr>
                <w:rFonts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评标委员会由招标人依法组建；</w:t>
            </w:r>
          </w:p>
          <w:p w14:paraId="0DD6FD32">
            <w:pPr>
              <w:spacing w:line="360" w:lineRule="auto"/>
              <w:rPr>
                <w:rFonts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评标专家确定方式：专家评委由招标人（采购代理机构）在开标前</w:t>
            </w:r>
            <w:r>
              <w:rPr>
                <w:rFonts w:hint="eastAsia" w:ascii="仿宋" w:hAnsi="仿宋" w:eastAsia="仿宋" w:cs="仿宋"/>
                <w:color w:val="auto"/>
                <w:sz w:val="24"/>
                <w:szCs w:val="24"/>
                <w:lang w:val="en-US" w:eastAsia="zh-CN"/>
              </w:rPr>
              <w:t>48小时内</w:t>
            </w:r>
            <w:r>
              <w:rPr>
                <w:rFonts w:hint="eastAsia" w:ascii="仿宋" w:hAnsi="仿宋" w:eastAsia="仿宋" w:cs="仿宋"/>
                <w:color w:val="auto"/>
                <w:sz w:val="24"/>
                <w:szCs w:val="24"/>
                <w:lang w:val="zh-CN" w:eastAsia="zh-CN"/>
              </w:rPr>
              <w:t>从政采云专家库中随机抽取。</w:t>
            </w:r>
          </w:p>
        </w:tc>
      </w:tr>
      <w:tr w14:paraId="488C1744">
        <w:tblPrEx>
          <w:tblCellMar>
            <w:top w:w="0" w:type="dxa"/>
            <w:left w:w="108" w:type="dxa"/>
            <w:bottom w:w="0" w:type="dxa"/>
            <w:right w:w="108" w:type="dxa"/>
          </w:tblCellMar>
        </w:tblPrEx>
        <w:trPr>
          <w:trHeight w:val="75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17C652F6">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1586" w:type="dxa"/>
            <w:tcBorders>
              <w:top w:val="single" w:color="auto" w:sz="4" w:space="0"/>
              <w:left w:val="single" w:color="auto" w:sz="4" w:space="0"/>
              <w:bottom w:val="single" w:color="auto" w:sz="4" w:space="0"/>
              <w:right w:val="single" w:color="auto" w:sz="4" w:space="0"/>
            </w:tcBorders>
            <w:vAlign w:val="center"/>
          </w:tcPr>
          <w:p w14:paraId="6DD3EFA2">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是否授权评标委员会确定成交候选人</w:t>
            </w:r>
          </w:p>
        </w:tc>
        <w:tc>
          <w:tcPr>
            <w:tcW w:w="7285" w:type="dxa"/>
            <w:tcBorders>
              <w:top w:val="single" w:color="auto" w:sz="4" w:space="0"/>
              <w:left w:val="single" w:color="auto" w:sz="4" w:space="0"/>
              <w:bottom w:val="single" w:color="auto" w:sz="4" w:space="0"/>
              <w:right w:val="single" w:color="auto" w:sz="4" w:space="0"/>
            </w:tcBorders>
            <w:vAlign w:val="center"/>
          </w:tcPr>
          <w:p w14:paraId="21FA91A6">
            <w:pPr>
              <w:spacing w:line="360" w:lineRule="auto"/>
              <w:rPr>
                <w:rFonts w:ascii="仿宋" w:hAnsi="仿宋" w:eastAsia="仿宋" w:cs="仿宋"/>
                <w:color w:val="auto"/>
                <w:sz w:val="24"/>
                <w:szCs w:val="24"/>
                <w:lang w:val="zh-CN" w:eastAsia="zh-CN"/>
              </w:rPr>
            </w:pPr>
            <w:r>
              <w:rPr>
                <w:rFonts w:hint="eastAsia" w:ascii="仿宋" w:hAnsi="仿宋" w:eastAsia="仿宋" w:cs="仿宋"/>
                <w:color w:val="auto"/>
                <w:sz w:val="24"/>
                <w:szCs w:val="24"/>
                <w:lang w:eastAsia="zh-CN"/>
              </w:rPr>
              <w:t>是，</w:t>
            </w:r>
            <w:r>
              <w:rPr>
                <w:rFonts w:hint="eastAsia" w:ascii="仿宋" w:hAnsi="仿宋" w:eastAsia="仿宋" w:cs="仿宋"/>
                <w:b w:val="0"/>
                <w:bCs w:val="0"/>
                <w:color w:val="auto"/>
                <w:sz w:val="24"/>
                <w:szCs w:val="24"/>
                <w:lang w:val="en-US" w:eastAsia="zh-CN"/>
              </w:rPr>
              <w:t>评标委员会推荐3名中标（成交）候选人。</w:t>
            </w:r>
          </w:p>
        </w:tc>
      </w:tr>
      <w:tr w14:paraId="4C466BA3">
        <w:tblPrEx>
          <w:tblCellMar>
            <w:top w:w="0" w:type="dxa"/>
            <w:left w:w="108" w:type="dxa"/>
            <w:bottom w:w="0" w:type="dxa"/>
            <w:right w:w="108" w:type="dxa"/>
          </w:tblCellMar>
        </w:tblPrEx>
        <w:trPr>
          <w:trHeight w:val="75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0ABD27AD">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1</w:t>
            </w:r>
          </w:p>
        </w:tc>
        <w:tc>
          <w:tcPr>
            <w:tcW w:w="1586" w:type="dxa"/>
            <w:tcBorders>
              <w:top w:val="single" w:color="auto" w:sz="4" w:space="0"/>
              <w:left w:val="single" w:color="auto" w:sz="4" w:space="0"/>
              <w:bottom w:val="single" w:color="auto" w:sz="4" w:space="0"/>
              <w:right w:val="single" w:color="auto" w:sz="4" w:space="0"/>
            </w:tcBorders>
            <w:vAlign w:val="center"/>
          </w:tcPr>
          <w:p w14:paraId="0B56FF51">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递交响应文件地点</w:t>
            </w:r>
          </w:p>
        </w:tc>
        <w:tc>
          <w:tcPr>
            <w:tcW w:w="7285" w:type="dxa"/>
            <w:tcBorders>
              <w:top w:val="single" w:color="auto" w:sz="4" w:space="0"/>
              <w:left w:val="single" w:color="auto" w:sz="4" w:space="0"/>
              <w:bottom w:val="single" w:color="auto" w:sz="4" w:space="0"/>
              <w:right w:val="single" w:color="auto" w:sz="4" w:space="0"/>
            </w:tcBorders>
            <w:vAlign w:val="center"/>
          </w:tcPr>
          <w:p w14:paraId="567FA3EA">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截止时间：</w:t>
            </w:r>
            <w:r>
              <w:rPr>
                <w:rFonts w:hint="eastAsia" w:ascii="仿宋" w:hAnsi="仿宋" w:eastAsia="仿宋" w:cs="仿宋"/>
                <w:b/>
                <w:bCs/>
                <w:color w:val="FF0000"/>
                <w:sz w:val="24"/>
                <w:szCs w:val="24"/>
                <w:lang w:eastAsia="zh-CN"/>
              </w:rPr>
              <w:t>202</w:t>
            </w:r>
            <w:r>
              <w:rPr>
                <w:rFonts w:hint="eastAsia" w:ascii="仿宋" w:hAnsi="仿宋" w:eastAsia="仿宋" w:cs="仿宋"/>
                <w:b/>
                <w:bCs/>
                <w:color w:val="FF0000"/>
                <w:sz w:val="24"/>
                <w:szCs w:val="24"/>
                <w:lang w:val="en-US" w:eastAsia="zh-CN"/>
              </w:rPr>
              <w:t>6</w:t>
            </w:r>
            <w:r>
              <w:rPr>
                <w:rFonts w:hint="eastAsia" w:ascii="仿宋" w:hAnsi="仿宋" w:eastAsia="仿宋" w:cs="仿宋"/>
                <w:b/>
                <w:bCs/>
                <w:color w:val="FF0000"/>
                <w:sz w:val="24"/>
                <w:szCs w:val="24"/>
                <w:lang w:eastAsia="zh-CN"/>
              </w:rPr>
              <w:t>年</w:t>
            </w:r>
            <w:r>
              <w:rPr>
                <w:rFonts w:hint="eastAsia" w:ascii="仿宋" w:hAnsi="仿宋" w:eastAsia="仿宋" w:cs="仿宋"/>
                <w:b/>
                <w:bCs/>
                <w:color w:val="FF0000"/>
                <w:sz w:val="24"/>
                <w:szCs w:val="24"/>
                <w:lang w:val="en-US" w:eastAsia="zh-CN"/>
              </w:rPr>
              <w:t>6</w:t>
            </w:r>
            <w:r>
              <w:rPr>
                <w:rFonts w:hint="eastAsia" w:ascii="仿宋" w:hAnsi="仿宋" w:eastAsia="仿宋" w:cs="仿宋"/>
                <w:b/>
                <w:bCs/>
                <w:color w:val="FF0000"/>
                <w:sz w:val="24"/>
                <w:szCs w:val="24"/>
                <w:u w:val="none"/>
                <w:lang w:eastAsia="zh-CN"/>
              </w:rPr>
              <w:t>月</w:t>
            </w:r>
            <w:r>
              <w:rPr>
                <w:rFonts w:hint="eastAsia" w:ascii="仿宋" w:hAnsi="仿宋" w:eastAsia="仿宋" w:cs="仿宋"/>
                <w:b/>
                <w:bCs/>
                <w:color w:val="FF0000"/>
                <w:sz w:val="24"/>
                <w:szCs w:val="24"/>
                <w:u w:val="none"/>
                <w:lang w:val="en-US" w:eastAsia="zh-CN"/>
              </w:rPr>
              <w:t xml:space="preserve">1 </w:t>
            </w:r>
            <w:r>
              <w:rPr>
                <w:rFonts w:hint="eastAsia" w:ascii="仿宋" w:hAnsi="仿宋" w:eastAsia="仿宋" w:cs="仿宋"/>
                <w:b/>
                <w:bCs/>
                <w:color w:val="FF0000"/>
                <w:sz w:val="24"/>
                <w:szCs w:val="24"/>
                <w:lang w:eastAsia="zh-CN"/>
              </w:rPr>
              <w:t>日上午</w:t>
            </w:r>
            <w:r>
              <w:rPr>
                <w:rFonts w:hint="eastAsia" w:ascii="仿宋" w:hAnsi="仿宋" w:eastAsia="仿宋" w:cs="仿宋"/>
                <w:b/>
                <w:bCs/>
                <w:color w:val="FF0000"/>
                <w:sz w:val="24"/>
                <w:szCs w:val="24"/>
                <w:lang w:val="en-US" w:eastAsia="zh-CN"/>
              </w:rPr>
              <w:t>10</w:t>
            </w:r>
            <w:r>
              <w:rPr>
                <w:rFonts w:hint="eastAsia" w:ascii="仿宋" w:hAnsi="仿宋" w:eastAsia="仿宋" w:cs="仿宋"/>
                <w:b/>
                <w:bCs/>
                <w:color w:val="FF0000"/>
                <w:sz w:val="24"/>
                <w:szCs w:val="24"/>
                <w:lang w:eastAsia="zh-CN"/>
              </w:rPr>
              <w:t>时</w:t>
            </w:r>
            <w:r>
              <w:rPr>
                <w:rFonts w:hint="eastAsia" w:ascii="仿宋" w:hAnsi="仿宋" w:eastAsia="仿宋" w:cs="仿宋"/>
                <w:b/>
                <w:bCs/>
                <w:color w:val="FF0000"/>
                <w:sz w:val="24"/>
                <w:szCs w:val="24"/>
                <w:lang w:val="en-US" w:eastAsia="zh-CN"/>
              </w:rPr>
              <w:t>30</w:t>
            </w:r>
            <w:r>
              <w:rPr>
                <w:rFonts w:hint="eastAsia" w:ascii="仿宋" w:hAnsi="仿宋" w:eastAsia="仿宋" w:cs="仿宋"/>
                <w:b/>
                <w:bCs/>
                <w:color w:val="FF0000"/>
                <w:sz w:val="24"/>
                <w:szCs w:val="24"/>
                <w:lang w:eastAsia="zh-CN"/>
              </w:rPr>
              <w:t>分（北京时间）</w:t>
            </w:r>
          </w:p>
          <w:p w14:paraId="67C5412F">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投标地点：新疆政府采购云平台（www.zcygov.cn）</w:t>
            </w:r>
          </w:p>
        </w:tc>
      </w:tr>
      <w:tr w14:paraId="1187359A">
        <w:tblPrEx>
          <w:tblCellMar>
            <w:top w:w="0" w:type="dxa"/>
            <w:left w:w="108" w:type="dxa"/>
            <w:bottom w:w="0" w:type="dxa"/>
            <w:right w:w="108" w:type="dxa"/>
          </w:tblCellMar>
        </w:tblPrEx>
        <w:trPr>
          <w:trHeight w:val="710" w:hRule="atLeast"/>
          <w:jc w:val="center"/>
        </w:trPr>
        <w:tc>
          <w:tcPr>
            <w:tcW w:w="959" w:type="dxa"/>
            <w:tcBorders>
              <w:top w:val="single" w:color="auto" w:sz="4" w:space="0"/>
              <w:left w:val="single" w:color="auto" w:sz="4" w:space="0"/>
              <w:right w:val="single" w:color="auto" w:sz="4" w:space="0"/>
            </w:tcBorders>
            <w:vAlign w:val="center"/>
          </w:tcPr>
          <w:p w14:paraId="0EF5A2B9">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2</w:t>
            </w:r>
          </w:p>
        </w:tc>
        <w:tc>
          <w:tcPr>
            <w:tcW w:w="1586" w:type="dxa"/>
            <w:tcBorders>
              <w:top w:val="single" w:color="auto" w:sz="4" w:space="0"/>
              <w:left w:val="single" w:color="auto" w:sz="4" w:space="0"/>
              <w:right w:val="single" w:color="auto" w:sz="4" w:space="0"/>
            </w:tcBorders>
            <w:vAlign w:val="center"/>
          </w:tcPr>
          <w:p w14:paraId="4BD95314">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开标时间和地点</w:t>
            </w:r>
          </w:p>
        </w:tc>
        <w:tc>
          <w:tcPr>
            <w:tcW w:w="7285" w:type="dxa"/>
            <w:tcBorders>
              <w:top w:val="single" w:color="auto" w:sz="4" w:space="0"/>
              <w:left w:val="single" w:color="auto" w:sz="4" w:space="0"/>
              <w:right w:val="single" w:color="auto" w:sz="4" w:space="0"/>
            </w:tcBorders>
            <w:vAlign w:val="center"/>
          </w:tcPr>
          <w:p w14:paraId="24FB005D">
            <w:pPr>
              <w:spacing w:line="360" w:lineRule="auto"/>
              <w:rPr>
                <w:rFonts w:ascii="仿宋" w:hAnsi="仿宋" w:eastAsia="仿宋" w:cs="仿宋"/>
                <w:b/>
                <w:bCs/>
                <w:color w:val="FF0000"/>
                <w:sz w:val="24"/>
                <w:szCs w:val="24"/>
                <w:lang w:eastAsia="zh-CN"/>
              </w:rPr>
            </w:pPr>
            <w:r>
              <w:rPr>
                <w:rFonts w:hint="eastAsia" w:ascii="仿宋" w:hAnsi="仿宋" w:eastAsia="仿宋" w:cs="仿宋"/>
                <w:b/>
                <w:bCs/>
                <w:color w:val="FF0000"/>
                <w:sz w:val="24"/>
                <w:szCs w:val="24"/>
                <w:lang w:eastAsia="zh-CN"/>
              </w:rPr>
              <w:t>开标时间：202</w:t>
            </w:r>
            <w:r>
              <w:rPr>
                <w:rFonts w:hint="eastAsia" w:ascii="仿宋" w:hAnsi="仿宋" w:eastAsia="仿宋" w:cs="仿宋"/>
                <w:b/>
                <w:bCs/>
                <w:color w:val="FF0000"/>
                <w:sz w:val="24"/>
                <w:szCs w:val="24"/>
                <w:lang w:val="en-US" w:eastAsia="zh-CN"/>
              </w:rPr>
              <w:t>6</w:t>
            </w:r>
            <w:r>
              <w:rPr>
                <w:rFonts w:hint="eastAsia" w:ascii="仿宋" w:hAnsi="仿宋" w:eastAsia="仿宋" w:cs="仿宋"/>
                <w:b/>
                <w:bCs/>
                <w:color w:val="FF0000"/>
                <w:sz w:val="24"/>
                <w:szCs w:val="24"/>
                <w:lang w:eastAsia="zh-CN"/>
              </w:rPr>
              <w:t>年</w:t>
            </w:r>
            <w:r>
              <w:rPr>
                <w:rFonts w:hint="eastAsia" w:ascii="仿宋" w:hAnsi="仿宋" w:eastAsia="仿宋" w:cs="仿宋"/>
                <w:b/>
                <w:bCs/>
                <w:color w:val="FF0000"/>
                <w:sz w:val="24"/>
                <w:szCs w:val="24"/>
                <w:lang w:val="en-US" w:eastAsia="zh-CN"/>
              </w:rPr>
              <w:t>6</w:t>
            </w:r>
            <w:r>
              <w:rPr>
                <w:rFonts w:hint="eastAsia" w:ascii="仿宋" w:hAnsi="仿宋" w:eastAsia="仿宋" w:cs="仿宋"/>
                <w:b/>
                <w:bCs/>
                <w:color w:val="FF0000"/>
                <w:sz w:val="24"/>
                <w:szCs w:val="24"/>
                <w:lang w:eastAsia="zh-CN"/>
              </w:rPr>
              <w:t>月</w:t>
            </w:r>
            <w:r>
              <w:rPr>
                <w:rFonts w:hint="eastAsia" w:ascii="仿宋" w:hAnsi="仿宋" w:eastAsia="仿宋" w:cs="仿宋"/>
                <w:b/>
                <w:bCs/>
                <w:color w:val="FF0000"/>
                <w:sz w:val="24"/>
                <w:szCs w:val="24"/>
                <w:lang w:val="en-US" w:eastAsia="zh-CN"/>
              </w:rPr>
              <w:t>1</w:t>
            </w:r>
            <w:r>
              <w:rPr>
                <w:rFonts w:hint="eastAsia" w:ascii="仿宋" w:hAnsi="仿宋" w:eastAsia="仿宋" w:cs="仿宋"/>
                <w:b/>
                <w:bCs/>
                <w:color w:val="FF0000"/>
                <w:sz w:val="24"/>
                <w:szCs w:val="24"/>
                <w:lang w:eastAsia="zh-CN"/>
              </w:rPr>
              <w:t>日上午</w:t>
            </w:r>
            <w:r>
              <w:rPr>
                <w:rFonts w:hint="eastAsia" w:ascii="仿宋" w:hAnsi="仿宋" w:eastAsia="仿宋" w:cs="仿宋"/>
                <w:b/>
                <w:bCs/>
                <w:color w:val="FF0000"/>
                <w:sz w:val="24"/>
                <w:szCs w:val="24"/>
                <w:lang w:val="en-US" w:eastAsia="zh-CN"/>
              </w:rPr>
              <w:t>10</w:t>
            </w:r>
            <w:r>
              <w:rPr>
                <w:rFonts w:hint="eastAsia" w:ascii="仿宋" w:hAnsi="仿宋" w:eastAsia="仿宋" w:cs="仿宋"/>
                <w:b/>
                <w:bCs/>
                <w:color w:val="FF0000"/>
                <w:sz w:val="24"/>
                <w:szCs w:val="24"/>
                <w:lang w:eastAsia="zh-CN"/>
              </w:rPr>
              <w:t>时</w:t>
            </w:r>
            <w:r>
              <w:rPr>
                <w:rFonts w:hint="eastAsia" w:ascii="仿宋" w:hAnsi="仿宋" w:eastAsia="仿宋" w:cs="仿宋"/>
                <w:b/>
                <w:bCs/>
                <w:color w:val="FF0000"/>
                <w:sz w:val="24"/>
                <w:szCs w:val="24"/>
                <w:lang w:val="en-US" w:eastAsia="zh-CN"/>
              </w:rPr>
              <w:t>30</w:t>
            </w:r>
            <w:r>
              <w:rPr>
                <w:rFonts w:hint="eastAsia" w:ascii="仿宋" w:hAnsi="仿宋" w:eastAsia="仿宋" w:cs="仿宋"/>
                <w:b/>
                <w:bCs/>
                <w:color w:val="FF0000"/>
                <w:sz w:val="24"/>
                <w:szCs w:val="24"/>
                <w:lang w:eastAsia="zh-CN"/>
              </w:rPr>
              <w:t>分（北京时间）</w:t>
            </w:r>
          </w:p>
          <w:p w14:paraId="48ED5228">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开标地点：新疆政府采购云平台（www.zcygov.cn）         </w:t>
            </w:r>
          </w:p>
        </w:tc>
      </w:tr>
      <w:tr w14:paraId="1913D752">
        <w:tblPrEx>
          <w:tblCellMar>
            <w:top w:w="0" w:type="dxa"/>
            <w:left w:w="108" w:type="dxa"/>
            <w:bottom w:w="0" w:type="dxa"/>
            <w:right w:w="108" w:type="dxa"/>
          </w:tblCellMar>
        </w:tblPrEx>
        <w:trPr>
          <w:trHeight w:val="710" w:hRule="atLeast"/>
          <w:jc w:val="center"/>
        </w:trPr>
        <w:tc>
          <w:tcPr>
            <w:tcW w:w="959" w:type="dxa"/>
            <w:vMerge w:val="restart"/>
            <w:tcBorders>
              <w:top w:val="single" w:color="auto" w:sz="4" w:space="0"/>
              <w:left w:val="single" w:color="auto" w:sz="4" w:space="0"/>
              <w:right w:val="single" w:color="auto" w:sz="4" w:space="0"/>
            </w:tcBorders>
            <w:vAlign w:val="center"/>
          </w:tcPr>
          <w:p w14:paraId="25EE9B8D">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3</w:t>
            </w:r>
          </w:p>
        </w:tc>
        <w:tc>
          <w:tcPr>
            <w:tcW w:w="1586" w:type="dxa"/>
            <w:vMerge w:val="restart"/>
            <w:tcBorders>
              <w:top w:val="single" w:color="auto" w:sz="4" w:space="0"/>
              <w:left w:val="single" w:color="auto" w:sz="4" w:space="0"/>
              <w:right w:val="single" w:color="auto" w:sz="4" w:space="0"/>
            </w:tcBorders>
            <w:vAlign w:val="center"/>
          </w:tcPr>
          <w:p w14:paraId="39CC3D78">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重要说明</w:t>
            </w:r>
          </w:p>
        </w:tc>
        <w:tc>
          <w:tcPr>
            <w:tcW w:w="7285" w:type="dxa"/>
            <w:tcBorders>
              <w:top w:val="single" w:color="auto" w:sz="4" w:space="0"/>
              <w:left w:val="single" w:color="auto" w:sz="4" w:space="0"/>
              <w:right w:val="single" w:color="auto" w:sz="4" w:space="0"/>
            </w:tcBorders>
            <w:vAlign w:val="center"/>
          </w:tcPr>
          <w:p w14:paraId="7882916F">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1.本项目采用全流程不见面电子开评标，投标供应商需要使用CA加密设备，供应商可通过新疆数字证书认证中心官网（https://www.xjca.com.cn/）或下载“新疆政务通”APP自行进行申领。</w:t>
            </w:r>
          </w:p>
          <w:p w14:paraId="027BC464">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2.本项目实行网上投标，采用加密电子响应文件(供应商须使用CA加密设备通过政采云电子投标客户端制作响应文件)。若供应商参与投标，自行承担投标一切费用。</w:t>
            </w:r>
          </w:p>
          <w:p w14:paraId="2A197512">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3.各供应商在开标前应确保成为新疆维吾尔自治区政府采购网正式注册入库供应商，</w:t>
            </w:r>
            <w:r>
              <w:rPr>
                <w:rFonts w:hint="eastAsia" w:ascii="仿宋" w:hAnsi="仿宋" w:eastAsia="仿宋" w:cs="仿宋"/>
                <w:color w:val="auto"/>
                <w:sz w:val="24"/>
                <w:szCs w:val="24"/>
                <w:lang w:val="en-US" w:eastAsia="zh-CN"/>
              </w:rPr>
              <w:t>(已在政采云平台其他省份入驻的供应商无须重复注册），</w:t>
            </w:r>
            <w:r>
              <w:rPr>
                <w:rFonts w:hint="eastAsia" w:ascii="仿宋" w:hAnsi="仿宋" w:eastAsia="仿宋" w:cs="仿宋"/>
                <w:color w:val="auto"/>
                <w:sz w:val="24"/>
                <w:szCs w:val="24"/>
                <w:lang w:eastAsia="zh-CN"/>
              </w:rPr>
              <w:t>并完成CA数字证书申领。因未注册入库、未办理CA数字证书等原因造成无法投标或投标失败等后果由供应商自行承担。</w:t>
            </w:r>
          </w:p>
          <w:p w14:paraId="395485A6">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供应商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95763进行咨询。</w:t>
            </w:r>
          </w:p>
          <w:p w14:paraId="22F2A701">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5.供应商在开标时须使用制作加密电子响应文件所使用的CA锁及电脑，电脑须提前配置好浏览器（建议使用谷歌浏览器），以便开标时解锁。</w:t>
            </w:r>
          </w:p>
          <w:p w14:paraId="04AE05A0">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0D00C757">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7.为了保证开评标顺利进行，政采云线上开标功能完全实现，供应商开标所使用的电脑设备须具有视频及语音功能。</w:t>
            </w:r>
          </w:p>
        </w:tc>
      </w:tr>
      <w:tr w14:paraId="4F0DB3C6">
        <w:tblPrEx>
          <w:tblCellMar>
            <w:top w:w="0" w:type="dxa"/>
            <w:left w:w="108" w:type="dxa"/>
            <w:bottom w:w="0" w:type="dxa"/>
            <w:right w:w="108" w:type="dxa"/>
          </w:tblCellMar>
        </w:tblPrEx>
        <w:trPr>
          <w:trHeight w:val="710" w:hRule="atLeast"/>
          <w:jc w:val="center"/>
        </w:trPr>
        <w:tc>
          <w:tcPr>
            <w:tcW w:w="959" w:type="dxa"/>
            <w:vMerge w:val="continue"/>
            <w:tcBorders>
              <w:left w:val="single" w:color="auto" w:sz="4" w:space="0"/>
              <w:bottom w:val="single" w:color="auto" w:sz="4" w:space="0"/>
              <w:right w:val="single" w:color="auto" w:sz="4" w:space="0"/>
            </w:tcBorders>
            <w:vAlign w:val="center"/>
          </w:tcPr>
          <w:p w14:paraId="7743484A">
            <w:pPr>
              <w:spacing w:line="360" w:lineRule="auto"/>
              <w:rPr>
                <w:rFonts w:ascii="仿宋" w:hAnsi="仿宋" w:eastAsia="仿宋" w:cs="仿宋"/>
                <w:color w:val="auto"/>
                <w:sz w:val="24"/>
                <w:szCs w:val="24"/>
                <w:lang w:eastAsia="zh-CN"/>
              </w:rPr>
            </w:pPr>
          </w:p>
        </w:tc>
        <w:tc>
          <w:tcPr>
            <w:tcW w:w="1586" w:type="dxa"/>
            <w:vMerge w:val="continue"/>
            <w:tcBorders>
              <w:left w:val="single" w:color="auto" w:sz="4" w:space="0"/>
              <w:bottom w:val="single" w:color="auto" w:sz="4" w:space="0"/>
              <w:right w:val="single" w:color="auto" w:sz="4" w:space="0"/>
            </w:tcBorders>
            <w:vAlign w:val="center"/>
          </w:tcPr>
          <w:p w14:paraId="09D42EF2">
            <w:pPr>
              <w:spacing w:line="360" w:lineRule="auto"/>
              <w:rPr>
                <w:rFonts w:ascii="仿宋" w:hAnsi="仿宋" w:eastAsia="仿宋" w:cs="仿宋"/>
                <w:color w:val="auto"/>
                <w:sz w:val="24"/>
                <w:szCs w:val="24"/>
                <w:lang w:eastAsia="zh-CN"/>
              </w:rPr>
            </w:pPr>
          </w:p>
        </w:tc>
        <w:tc>
          <w:tcPr>
            <w:tcW w:w="7285" w:type="dxa"/>
            <w:tcBorders>
              <w:top w:val="single" w:color="auto" w:sz="4" w:space="0"/>
              <w:left w:val="single" w:color="auto" w:sz="4" w:space="0"/>
              <w:bottom w:val="single" w:color="auto" w:sz="4" w:space="0"/>
              <w:right w:val="single" w:color="auto" w:sz="4" w:space="0"/>
            </w:tcBorders>
            <w:vAlign w:val="center"/>
          </w:tcPr>
          <w:p w14:paraId="4662286B">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1、电子招投标情况说明：</w:t>
            </w:r>
          </w:p>
          <w:p w14:paraId="74995ACC">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（1）电子招投标：本项目以数据电文形式，依托“政府采购云平台（www.zcygov.cn）”进行招投标活动。</w:t>
            </w:r>
          </w:p>
          <w:p w14:paraId="03B9F7F5">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3E36B580">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（3）谈判文件的获取：使用账号登录或者短信验证码或者使用CA登录政采云平台；进入“项目采购”应用，在获取谈判文件菜单中选择项目，获取谈判文件 。</w:t>
            </w:r>
          </w:p>
          <w:p w14:paraId="79837B61">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（4）响应文件的制作：在“政采云电子交易客户端”中完成“填写基本信息”、“导入响应文件”、“标书关联”、“标书检查”、“电子签名”、“生成电子标书”等操作。</w:t>
            </w:r>
          </w:p>
          <w:p w14:paraId="78D7D304">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（5）响应文件的传输递交：供应商在投标截止时间前将加密的响应文件上传至政府采购云平台，还可以在投标截止时间前以电子邮件方式提供备份响应文件1份（接收人邮箱：</w:t>
            </w:r>
            <w:r>
              <w:rPr>
                <w:rFonts w:hint="eastAsia" w:ascii="仿宋" w:hAnsi="仿宋" w:eastAsia="仿宋" w:cs="仿宋"/>
                <w:color w:val="auto"/>
                <w:sz w:val="24"/>
                <w:szCs w:val="24"/>
                <w:lang w:val="en-US" w:eastAsia="zh-CN"/>
              </w:rPr>
              <w:t>739301695</w:t>
            </w:r>
            <w:r>
              <w:rPr>
                <w:rFonts w:hint="eastAsia" w:ascii="仿宋" w:hAnsi="仿宋" w:eastAsia="仿宋" w:cs="仿宋"/>
                <w:color w:val="auto"/>
                <w:sz w:val="24"/>
                <w:szCs w:val="24"/>
                <w:lang w:eastAsia="zh-CN"/>
              </w:rPr>
              <w:t>@qq.com，接收人：</w:t>
            </w:r>
            <w:r>
              <w:rPr>
                <w:rFonts w:hint="eastAsia" w:ascii="仿宋" w:hAnsi="仿宋" w:eastAsia="仿宋" w:cs="仿宋"/>
                <w:color w:val="auto"/>
                <w:sz w:val="24"/>
                <w:szCs w:val="24"/>
                <w:lang w:val="en-US" w:eastAsia="zh-CN"/>
              </w:rPr>
              <w:t>魏女士</w:t>
            </w:r>
            <w:r>
              <w:rPr>
                <w:rFonts w:hint="eastAsia" w:ascii="仿宋" w:hAnsi="仿宋" w:eastAsia="仿宋" w:cs="仿宋"/>
                <w:color w:val="auto"/>
                <w:sz w:val="24"/>
                <w:szCs w:val="24"/>
                <w:lang w:eastAsia="zh-CN"/>
              </w:rPr>
              <w:t>，电话：</w:t>
            </w:r>
            <w:r>
              <w:rPr>
                <w:rFonts w:hint="eastAsia" w:ascii="仿宋" w:hAnsi="仿宋" w:eastAsia="仿宋" w:cs="仿宋"/>
                <w:color w:val="auto"/>
                <w:sz w:val="24"/>
                <w:szCs w:val="24"/>
                <w:lang w:val="en-US" w:eastAsia="zh-CN"/>
              </w:rPr>
              <w:t>17799081359</w:t>
            </w:r>
            <w:r>
              <w:rPr>
                <w:rFonts w:hint="eastAsia" w:ascii="仿宋" w:hAnsi="仿宋" w:eastAsia="仿宋" w:cs="仿宋"/>
                <w:color w:val="auto"/>
                <w:sz w:val="24"/>
                <w:szCs w:val="24"/>
                <w:lang w:eastAsia="zh-CN"/>
              </w:rPr>
              <w:t>），备份响应文件可以打包压缩并加密，压缩包命名为“XX单位备份响应文件”，加密密码由供应商自行保管（“备份响应文件”由供应商自愿提供，谈判文件 不作强制性要求；如不提供或未按要求提供的，当电子响应文件无法解密时，将导致无备份响应文件而失去投标资格）。</w:t>
            </w:r>
          </w:p>
          <w:p w14:paraId="2860CD65">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（6）响应文件的解密：供应商按照平台提示和谈判文件 的规定在半小时内完成在线解密。通过“政府采购云平台”上传递交的响应文件无法按时解密，投标供应商提供了备份响应文件的，以备份响应文件为依据，否则视为响应文件撤回。通过“政府采购云平台”上传递交的响应文件已按时解密的，备份响应文件自动失效。供应商仅提供备份响应文件，没有在电子交易平台传输递交响应文件的，投标无效。</w:t>
            </w:r>
          </w:p>
          <w:p w14:paraId="3389C52C">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（7）具体操作指南：详见政采云平台“服务中心-帮助文档-项目采购-操作流程-电子招投标-政府采购项目电子交易管理操作指南-供应商”。</w:t>
            </w:r>
          </w:p>
          <w:p w14:paraId="2A2F1908">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（8）供应商在进行上述操作时，如遇技术问题可登录政采云（https://</w:t>
            </w:r>
            <w:r>
              <w:rPr>
                <w:color w:val="auto"/>
                <w:sz w:val="24"/>
                <w:szCs w:val="24"/>
              </w:rPr>
              <w:fldChar w:fldCharType="begin"/>
            </w:r>
            <w:r>
              <w:rPr>
                <w:color w:val="auto"/>
                <w:sz w:val="24"/>
                <w:szCs w:val="24"/>
              </w:rPr>
              <w:instrText xml:space="preserve"> HYPERLINK "http://www.zcygov.cn/" \h </w:instrText>
            </w:r>
            <w:r>
              <w:rPr>
                <w:color w:val="auto"/>
                <w:sz w:val="24"/>
                <w:szCs w:val="24"/>
              </w:rPr>
              <w:fldChar w:fldCharType="separate"/>
            </w:r>
            <w:r>
              <w:rPr>
                <w:rFonts w:hint="eastAsia" w:ascii="仿宋" w:hAnsi="仿宋" w:eastAsia="仿宋" w:cs="仿宋"/>
                <w:color w:val="auto"/>
                <w:sz w:val="24"/>
                <w:szCs w:val="24"/>
                <w:lang w:eastAsia="zh-CN"/>
              </w:rPr>
              <w:t>www.zcygov.cn/</w:t>
            </w:r>
            <w:r>
              <w:rPr>
                <w:rFonts w:hint="eastAsia" w:ascii="仿宋" w:hAnsi="仿宋" w:eastAsia="仿宋" w:cs="仿宋"/>
                <w:color w:val="auto"/>
                <w:sz w:val="24"/>
                <w:szCs w:val="24"/>
                <w:lang w:eastAsia="zh-CN"/>
              </w:rPr>
              <w:fldChar w:fldCharType="end"/>
            </w:r>
            <w:r>
              <w:rPr>
                <w:rFonts w:hint="eastAsia" w:ascii="仿宋" w:hAnsi="仿宋" w:eastAsia="仿宋" w:cs="仿宋"/>
                <w:color w:val="auto"/>
                <w:sz w:val="24"/>
                <w:szCs w:val="24"/>
                <w:lang w:eastAsia="zh-CN"/>
              </w:rPr>
              <w:t>），点击右侧咨询小采，获取采小蜜智能服务管家帮助，或拨打政采云服务热线 95763 获取热线服务帮助。</w:t>
            </w:r>
          </w:p>
          <w:p w14:paraId="7B935CE3">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温馨提醒：供应商应提前上传，以便在上传时遇到技术问题，有充足的时间请教平台的技术人员。</w:t>
            </w:r>
          </w:p>
          <w:p w14:paraId="796FFE77">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2、供应商认为谈判文件使自己的权益受到损害的，可以自收到谈判文件之日（谈判文件公告期限届满之前收到谈判文件的，以完成获取谈判文件 申请后下载谈判文件的时间为准）或者谈判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谈判文件 或逾期提出的不予受理、答复。</w:t>
            </w:r>
          </w:p>
        </w:tc>
      </w:tr>
      <w:tr w14:paraId="571E2671">
        <w:tblPrEx>
          <w:tblCellMar>
            <w:top w:w="0" w:type="dxa"/>
            <w:left w:w="108" w:type="dxa"/>
            <w:bottom w:w="0" w:type="dxa"/>
            <w:right w:w="108" w:type="dxa"/>
          </w:tblCellMar>
        </w:tblPrEx>
        <w:trPr>
          <w:trHeight w:val="71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0318EC16">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4</w:t>
            </w:r>
          </w:p>
        </w:tc>
        <w:tc>
          <w:tcPr>
            <w:tcW w:w="1586" w:type="dxa"/>
            <w:tcBorders>
              <w:top w:val="single" w:color="auto" w:sz="4" w:space="0"/>
              <w:left w:val="single" w:color="auto" w:sz="4" w:space="0"/>
              <w:bottom w:val="single" w:color="auto" w:sz="4" w:space="0"/>
              <w:right w:val="single" w:color="auto" w:sz="4" w:space="0"/>
            </w:tcBorders>
            <w:vAlign w:val="center"/>
          </w:tcPr>
          <w:p w14:paraId="2F1DC715">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成交候选人公示媒介</w:t>
            </w:r>
          </w:p>
        </w:tc>
        <w:tc>
          <w:tcPr>
            <w:tcW w:w="7285" w:type="dxa"/>
            <w:tcBorders>
              <w:top w:val="single" w:color="auto" w:sz="4" w:space="0"/>
              <w:left w:val="single" w:color="auto" w:sz="4" w:space="0"/>
              <w:bottom w:val="single" w:color="auto" w:sz="4" w:space="0"/>
              <w:right w:val="single" w:color="auto" w:sz="4" w:space="0"/>
            </w:tcBorders>
            <w:vAlign w:val="center"/>
          </w:tcPr>
          <w:p w14:paraId="391ACA9F">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新疆政府采购网、克州公共资源交易中心网，公示期为一个工作日。</w:t>
            </w:r>
          </w:p>
        </w:tc>
      </w:tr>
      <w:tr w14:paraId="03D6811F">
        <w:tblPrEx>
          <w:tblCellMar>
            <w:top w:w="0" w:type="dxa"/>
            <w:left w:w="108" w:type="dxa"/>
            <w:bottom w:w="0" w:type="dxa"/>
            <w:right w:w="108" w:type="dxa"/>
          </w:tblCellMar>
        </w:tblPrEx>
        <w:trPr>
          <w:trHeight w:val="41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118C4E20">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5</w:t>
            </w:r>
          </w:p>
        </w:tc>
        <w:tc>
          <w:tcPr>
            <w:tcW w:w="8871" w:type="dxa"/>
            <w:gridSpan w:val="2"/>
            <w:tcBorders>
              <w:top w:val="single" w:color="auto" w:sz="4" w:space="0"/>
              <w:left w:val="single" w:color="auto" w:sz="4" w:space="0"/>
              <w:bottom w:val="single" w:color="auto" w:sz="4" w:space="0"/>
              <w:right w:val="single" w:color="auto" w:sz="4" w:space="0"/>
            </w:tcBorders>
            <w:vAlign w:val="center"/>
          </w:tcPr>
          <w:p w14:paraId="4BF271AB">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招标代理服务费</w:t>
            </w:r>
          </w:p>
        </w:tc>
      </w:tr>
      <w:tr w14:paraId="6A6A1365">
        <w:tblPrEx>
          <w:tblCellMar>
            <w:top w:w="0" w:type="dxa"/>
            <w:left w:w="108" w:type="dxa"/>
            <w:bottom w:w="0" w:type="dxa"/>
            <w:right w:w="108" w:type="dxa"/>
          </w:tblCellMar>
        </w:tblPrEx>
        <w:trPr>
          <w:trHeight w:val="655"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0DC4FAF7">
            <w:pPr>
              <w:spacing w:line="360" w:lineRule="auto"/>
              <w:rPr>
                <w:rFonts w:ascii="仿宋" w:hAnsi="仿宋" w:eastAsia="仿宋" w:cs="仿宋"/>
                <w:color w:val="auto"/>
                <w:sz w:val="24"/>
                <w:szCs w:val="24"/>
                <w:lang w:eastAsia="zh-CN"/>
              </w:rPr>
            </w:pPr>
          </w:p>
        </w:tc>
        <w:tc>
          <w:tcPr>
            <w:tcW w:w="8871" w:type="dxa"/>
            <w:gridSpan w:val="2"/>
            <w:tcBorders>
              <w:top w:val="single" w:color="auto" w:sz="4" w:space="0"/>
              <w:left w:val="single" w:color="auto" w:sz="4" w:space="0"/>
              <w:bottom w:val="single" w:color="auto" w:sz="4" w:space="0"/>
              <w:right w:val="single" w:color="auto" w:sz="4" w:space="0"/>
            </w:tcBorders>
            <w:vAlign w:val="center"/>
          </w:tcPr>
          <w:p w14:paraId="42FFF1BE">
            <w:pPr>
              <w:spacing w:line="360" w:lineRule="auto"/>
              <w:rPr>
                <w:rFonts w:ascii="仿宋" w:hAnsi="仿宋" w:eastAsia="仿宋" w:cs="仿宋"/>
                <w:color w:val="auto"/>
                <w:sz w:val="24"/>
                <w:szCs w:val="24"/>
                <w:lang w:eastAsia="zh-CN"/>
              </w:rPr>
            </w:pPr>
            <w:r>
              <w:rPr>
                <w:rFonts w:hint="eastAsia" w:ascii="仿宋" w:hAnsi="仿宋" w:eastAsia="仿宋" w:cs="仿宋"/>
                <w:color w:val="auto"/>
                <w:lang w:val="en-US" w:eastAsia="zh-CN"/>
              </w:rPr>
              <w:t>招标代理费根据《中华人民共和国招标投标法》、《中华人民共和国招标投标法实施条</w:t>
            </w:r>
            <w:r>
              <w:rPr>
                <w:rFonts w:hint="default" w:ascii="仿宋" w:hAnsi="仿宋" w:eastAsia="仿宋" w:cs="仿宋"/>
                <w:color w:val="auto"/>
                <w:lang w:val="en-US" w:eastAsia="zh-CN"/>
              </w:rPr>
              <w:t>例》</w:t>
            </w:r>
            <w:r>
              <w:rPr>
                <w:rFonts w:hint="eastAsia" w:ascii="仿宋" w:hAnsi="仿宋" w:eastAsia="仿宋" w:cs="仿宋"/>
                <w:color w:val="auto"/>
                <w:lang w:val="en-US" w:eastAsia="zh-CN"/>
              </w:rPr>
              <w:t>、</w:t>
            </w:r>
            <w:r>
              <w:rPr>
                <w:rFonts w:hint="default" w:ascii="仿宋" w:hAnsi="仿宋" w:eastAsia="仿宋" w:cs="仿宋"/>
                <w:color w:val="auto"/>
                <w:lang w:val="en-US" w:eastAsia="zh-CN"/>
              </w:rPr>
              <w:t>《国家发展改革委关于进一步放开建设项目专业服务价格的通知》（发改价格【2015】299 号）文件等规定收费基准价格计取。</w:t>
            </w:r>
          </w:p>
        </w:tc>
      </w:tr>
      <w:tr w14:paraId="1FE2FE41">
        <w:tblPrEx>
          <w:tblCellMar>
            <w:top w:w="0" w:type="dxa"/>
            <w:left w:w="108" w:type="dxa"/>
            <w:bottom w:w="0" w:type="dxa"/>
            <w:right w:w="108" w:type="dxa"/>
          </w:tblCellMar>
        </w:tblPrEx>
        <w:trPr>
          <w:trHeight w:val="8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7E27440A">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6</w:t>
            </w:r>
          </w:p>
        </w:tc>
        <w:tc>
          <w:tcPr>
            <w:tcW w:w="8871" w:type="dxa"/>
            <w:gridSpan w:val="2"/>
            <w:tcBorders>
              <w:top w:val="single" w:color="auto" w:sz="4" w:space="0"/>
              <w:left w:val="single" w:color="auto" w:sz="4" w:space="0"/>
              <w:bottom w:val="single" w:color="auto" w:sz="4" w:space="0"/>
              <w:right w:val="single" w:color="auto" w:sz="4" w:space="0"/>
            </w:tcBorders>
            <w:vAlign w:val="center"/>
          </w:tcPr>
          <w:p w14:paraId="4D01B5F9">
            <w:pPr>
              <w:spacing w:line="360" w:lineRule="auto"/>
              <w:rPr>
                <w:rFonts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评标办法：本项目采用最低评标价法</w:t>
            </w:r>
          </w:p>
        </w:tc>
      </w:tr>
      <w:tr w14:paraId="12236FD9">
        <w:tblPrEx>
          <w:tblCellMar>
            <w:top w:w="0" w:type="dxa"/>
            <w:left w:w="108" w:type="dxa"/>
            <w:bottom w:w="0" w:type="dxa"/>
            <w:right w:w="108" w:type="dxa"/>
          </w:tblCellMar>
        </w:tblPrEx>
        <w:trPr>
          <w:trHeight w:val="8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47837273">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7</w:t>
            </w:r>
          </w:p>
        </w:tc>
        <w:tc>
          <w:tcPr>
            <w:tcW w:w="8871" w:type="dxa"/>
            <w:gridSpan w:val="2"/>
            <w:tcBorders>
              <w:top w:val="single" w:color="auto" w:sz="4" w:space="0"/>
              <w:left w:val="single" w:color="auto" w:sz="4" w:space="0"/>
              <w:bottom w:val="single" w:color="auto" w:sz="4" w:space="0"/>
              <w:right w:val="single" w:color="auto" w:sz="4" w:space="0"/>
            </w:tcBorders>
            <w:vAlign w:val="center"/>
          </w:tcPr>
          <w:p w14:paraId="0F4B734C">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不管投标结果如何，投标人均应承担自己投标所需一切费用。</w:t>
            </w:r>
          </w:p>
        </w:tc>
      </w:tr>
      <w:tr w14:paraId="2127F185">
        <w:tblPrEx>
          <w:tblCellMar>
            <w:top w:w="0" w:type="dxa"/>
            <w:left w:w="108" w:type="dxa"/>
            <w:bottom w:w="0" w:type="dxa"/>
            <w:right w:w="108" w:type="dxa"/>
          </w:tblCellMar>
        </w:tblPrEx>
        <w:trPr>
          <w:trHeight w:val="8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2CAB3AA">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8</w:t>
            </w:r>
          </w:p>
        </w:tc>
        <w:tc>
          <w:tcPr>
            <w:tcW w:w="8871" w:type="dxa"/>
            <w:gridSpan w:val="2"/>
            <w:tcBorders>
              <w:top w:val="single" w:color="auto" w:sz="4" w:space="0"/>
              <w:left w:val="single" w:color="auto" w:sz="4" w:space="0"/>
              <w:bottom w:val="single" w:color="auto" w:sz="4" w:space="0"/>
              <w:right w:val="single" w:color="auto" w:sz="4" w:space="0"/>
            </w:tcBorders>
            <w:vAlign w:val="center"/>
          </w:tcPr>
          <w:p w14:paraId="2AE044B8">
            <w:pPr>
              <w:spacing w:line="360" w:lineRule="auto"/>
              <w:rPr>
                <w:rFonts w:hint="default" w:ascii="仿宋" w:hAnsi="仿宋" w:eastAsia="仿宋" w:cs="仿宋"/>
                <w:color w:val="auto"/>
                <w:sz w:val="24"/>
                <w:szCs w:val="24"/>
                <w:lang w:val="en-US" w:eastAsia="zh-CN"/>
              </w:rPr>
            </w:pPr>
            <w:r>
              <w:rPr>
                <w:rFonts w:hint="eastAsia" w:ascii="仿宋" w:hAnsi="仿宋" w:eastAsia="仿宋" w:cs="仿宋"/>
                <w:b/>
                <w:bCs/>
                <w:color w:val="auto"/>
                <w:lang w:eastAsia="zh-CN"/>
              </w:rPr>
              <w:t>本次招标预算价：</w:t>
            </w:r>
            <w:r>
              <w:rPr>
                <w:rFonts w:hint="eastAsia" w:ascii="仿宋" w:hAnsi="仿宋" w:eastAsia="仿宋" w:cs="仿宋"/>
                <w:b/>
                <w:bCs/>
                <w:color w:val="FF0000"/>
                <w:lang w:val="en-US" w:eastAsia="zh-CN"/>
              </w:rPr>
              <w:t>657800</w:t>
            </w:r>
            <w:r>
              <w:rPr>
                <w:rFonts w:hint="eastAsia" w:ascii="仿宋" w:hAnsi="仿宋" w:eastAsia="仿宋" w:cs="仿宋"/>
                <w:b/>
                <w:bCs/>
                <w:color w:val="FF0000"/>
                <w:lang w:eastAsia="zh-CN"/>
              </w:rPr>
              <w:t>元，投标</w:t>
            </w:r>
            <w:r>
              <w:rPr>
                <w:rFonts w:hint="eastAsia" w:ascii="仿宋" w:hAnsi="仿宋" w:eastAsia="仿宋" w:cs="仿宋"/>
                <w:b/>
                <w:bCs/>
                <w:color w:val="FF0000"/>
                <w:lang w:val="en-US" w:eastAsia="zh-CN"/>
              </w:rPr>
              <w:t>报价</w:t>
            </w:r>
            <w:r>
              <w:rPr>
                <w:rFonts w:hint="eastAsia" w:ascii="仿宋" w:hAnsi="仿宋" w:eastAsia="仿宋" w:cs="仿宋"/>
                <w:b/>
                <w:bCs/>
                <w:color w:val="FF0000"/>
                <w:lang w:eastAsia="zh-CN"/>
              </w:rPr>
              <w:t>超过预算价的按废标处理。</w:t>
            </w:r>
          </w:p>
        </w:tc>
      </w:tr>
      <w:tr w14:paraId="6160899F">
        <w:tblPrEx>
          <w:tblCellMar>
            <w:top w:w="0" w:type="dxa"/>
            <w:left w:w="108" w:type="dxa"/>
            <w:bottom w:w="0" w:type="dxa"/>
            <w:right w:w="108" w:type="dxa"/>
          </w:tblCellMar>
        </w:tblPrEx>
        <w:trPr>
          <w:trHeight w:val="90" w:hRule="atLeast"/>
          <w:jc w:val="center"/>
        </w:trPr>
        <w:tc>
          <w:tcPr>
            <w:tcW w:w="959" w:type="dxa"/>
            <w:vMerge w:val="restart"/>
            <w:tcBorders>
              <w:top w:val="single" w:color="auto" w:sz="4" w:space="0"/>
              <w:left w:val="single" w:color="auto" w:sz="4" w:space="0"/>
              <w:right w:val="single" w:color="auto" w:sz="4" w:space="0"/>
            </w:tcBorders>
            <w:vAlign w:val="center"/>
          </w:tcPr>
          <w:p w14:paraId="6BC4FCB3">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9</w:t>
            </w:r>
          </w:p>
        </w:tc>
        <w:tc>
          <w:tcPr>
            <w:tcW w:w="1586" w:type="dxa"/>
            <w:vMerge w:val="restart"/>
            <w:tcBorders>
              <w:top w:val="single" w:color="auto" w:sz="4" w:space="0"/>
              <w:left w:val="single" w:color="auto" w:sz="4" w:space="0"/>
              <w:right w:val="single" w:color="auto" w:sz="4" w:space="0"/>
            </w:tcBorders>
            <w:vAlign w:val="center"/>
          </w:tcPr>
          <w:p w14:paraId="346A3316">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rPr>
              <w:t>中小微企业政策文件</w:t>
            </w:r>
          </w:p>
        </w:tc>
        <w:tc>
          <w:tcPr>
            <w:tcW w:w="7285" w:type="dxa"/>
            <w:tcBorders>
              <w:top w:val="single" w:color="auto" w:sz="4" w:space="0"/>
              <w:left w:val="single" w:color="auto" w:sz="4" w:space="0"/>
              <w:bottom w:val="single" w:color="auto" w:sz="4" w:space="0"/>
              <w:right w:val="single" w:color="auto" w:sz="4" w:space="0"/>
            </w:tcBorders>
            <w:vAlign w:val="center"/>
          </w:tcPr>
          <w:p w14:paraId="0E7100A2">
            <w:pPr>
              <w:spacing w:line="360" w:lineRule="auto"/>
              <w:rPr>
                <w:rFonts w:ascii="仿宋" w:hAnsi="仿宋" w:eastAsia="仿宋" w:cs="仿宋"/>
                <w:color w:val="auto"/>
                <w:sz w:val="24"/>
                <w:szCs w:val="24"/>
                <w:lang w:eastAsia="zh-CN"/>
              </w:rPr>
            </w:pPr>
            <w:r>
              <w:rPr>
                <w:rFonts w:hint="eastAsia" w:ascii="仿宋" w:hAnsi="仿宋" w:eastAsia="仿宋" w:cs="仿宋"/>
                <w:color w:val="auto"/>
                <w:highlight w:val="none"/>
                <w:lang w:eastAsia="zh-CN"/>
              </w:rPr>
              <w:t>（1）根据财政部、工业和信息化部关于印发《政府采购促进中小企业发展管理办法》的通知（财库[2020]46号）和（财库[2022]19号），</w:t>
            </w:r>
            <w:r>
              <w:rPr>
                <w:rFonts w:hint="eastAsia" w:ascii="仿宋" w:hAnsi="仿宋" w:eastAsia="仿宋" w:cs="仿宋"/>
                <w:b/>
                <w:bCs/>
                <w:color w:val="auto"/>
                <w:highlight w:val="none"/>
                <w:lang w:eastAsia="zh-CN"/>
              </w:rPr>
              <w:t>供应商所投产品的制造商属于《工业和信息化部、国家统计局、国家发展和改革委员会、财政部关于印发中小企业划型标准规定的通知》（工信部联企业[2011]300号）中规定的小型、微型企业标准的，按招标文件格式提供《中小企业声明函》</w:t>
            </w:r>
            <w:r>
              <w:rPr>
                <w:rFonts w:hint="eastAsia" w:ascii="仿宋" w:hAnsi="仿宋" w:eastAsia="仿宋" w:cs="仿宋"/>
                <w:color w:val="auto"/>
                <w:highlight w:val="none"/>
                <w:lang w:eastAsia="zh-CN"/>
              </w:rPr>
              <w:t>。</w:t>
            </w:r>
          </w:p>
        </w:tc>
      </w:tr>
      <w:tr w14:paraId="78F59C41">
        <w:tblPrEx>
          <w:tblCellMar>
            <w:top w:w="0" w:type="dxa"/>
            <w:left w:w="108" w:type="dxa"/>
            <w:bottom w:w="0" w:type="dxa"/>
            <w:right w:w="108" w:type="dxa"/>
          </w:tblCellMar>
        </w:tblPrEx>
        <w:trPr>
          <w:trHeight w:val="84" w:hRule="atLeast"/>
          <w:jc w:val="center"/>
        </w:trPr>
        <w:tc>
          <w:tcPr>
            <w:tcW w:w="959" w:type="dxa"/>
            <w:vMerge w:val="continue"/>
            <w:tcBorders>
              <w:left w:val="single" w:color="auto" w:sz="4" w:space="0"/>
              <w:right w:val="single" w:color="auto" w:sz="4" w:space="0"/>
            </w:tcBorders>
            <w:vAlign w:val="center"/>
          </w:tcPr>
          <w:p w14:paraId="15D7599C">
            <w:pPr>
              <w:spacing w:line="360" w:lineRule="auto"/>
              <w:jc w:val="center"/>
              <w:rPr>
                <w:rFonts w:ascii="仿宋" w:hAnsi="仿宋" w:eastAsia="仿宋" w:cs="仿宋"/>
                <w:color w:val="auto"/>
                <w:sz w:val="24"/>
                <w:szCs w:val="24"/>
                <w:lang w:eastAsia="zh-CN"/>
              </w:rPr>
            </w:pPr>
          </w:p>
        </w:tc>
        <w:tc>
          <w:tcPr>
            <w:tcW w:w="1586" w:type="dxa"/>
            <w:vMerge w:val="continue"/>
            <w:tcBorders>
              <w:left w:val="single" w:color="auto" w:sz="4" w:space="0"/>
              <w:right w:val="single" w:color="auto" w:sz="4" w:space="0"/>
            </w:tcBorders>
            <w:vAlign w:val="center"/>
          </w:tcPr>
          <w:p w14:paraId="0924A1EE">
            <w:pPr>
              <w:spacing w:line="360" w:lineRule="auto"/>
              <w:rPr>
                <w:rFonts w:ascii="仿宋" w:hAnsi="仿宋" w:eastAsia="仿宋" w:cs="仿宋"/>
                <w:color w:val="auto"/>
                <w:sz w:val="24"/>
                <w:szCs w:val="24"/>
                <w:lang w:eastAsia="zh-CN"/>
              </w:rPr>
            </w:pPr>
          </w:p>
        </w:tc>
        <w:tc>
          <w:tcPr>
            <w:tcW w:w="7285" w:type="dxa"/>
            <w:tcBorders>
              <w:top w:val="single" w:color="auto" w:sz="4" w:space="0"/>
              <w:left w:val="single" w:color="auto" w:sz="4" w:space="0"/>
              <w:bottom w:val="single" w:color="auto" w:sz="4" w:space="0"/>
              <w:right w:val="single" w:color="auto" w:sz="4" w:space="0"/>
            </w:tcBorders>
            <w:vAlign w:val="center"/>
          </w:tcPr>
          <w:p w14:paraId="7FFF2B2B">
            <w:pPr>
              <w:spacing w:line="360" w:lineRule="auto"/>
              <w:rPr>
                <w:rFonts w:ascii="仿宋" w:hAnsi="仿宋" w:eastAsia="仿宋" w:cs="仿宋"/>
                <w:color w:val="auto"/>
                <w:sz w:val="24"/>
                <w:szCs w:val="24"/>
                <w:lang w:eastAsia="zh-CN"/>
              </w:rPr>
            </w:pPr>
            <w:r>
              <w:rPr>
                <w:rFonts w:hint="eastAsia" w:ascii="仿宋" w:hAnsi="仿宋" w:eastAsia="仿宋" w:cs="仿宋"/>
                <w:color w:val="auto"/>
                <w:highlight w:val="none"/>
                <w:lang w:eastAsia="zh-CN"/>
              </w:rPr>
              <w:t>（2）根据财政部、司令部《关于政府采购支持监狱企业发展有关问题》的通知财库[2014]68号，监狱企业参加本项目投标时，应当提供由省级以上监狱管理局、戒毒管理局（新疆生产建设兵团）出具的属于</w:t>
            </w:r>
            <w:r>
              <w:rPr>
                <w:rFonts w:hint="eastAsia" w:ascii="仿宋" w:hAnsi="仿宋" w:eastAsia="仿宋" w:cs="仿宋"/>
                <w:b w:val="0"/>
                <w:bCs w:val="0"/>
                <w:color w:val="auto"/>
                <w:highlight w:val="none"/>
                <w:lang w:eastAsia="zh-CN"/>
              </w:rPr>
              <w:t>监狱企业的证明文件。</w:t>
            </w:r>
            <w:r>
              <w:rPr>
                <w:rFonts w:hint="eastAsia" w:ascii="仿宋" w:hAnsi="仿宋" w:eastAsia="仿宋" w:cs="仿宋"/>
                <w:color w:val="auto"/>
                <w:highlight w:val="none"/>
                <w:lang w:eastAsia="zh-CN"/>
              </w:rPr>
              <w:t>监狱企业视同小型、微型企业。</w:t>
            </w:r>
          </w:p>
        </w:tc>
      </w:tr>
      <w:tr w14:paraId="7C057B93">
        <w:tblPrEx>
          <w:tblCellMar>
            <w:top w:w="0" w:type="dxa"/>
            <w:left w:w="108" w:type="dxa"/>
            <w:bottom w:w="0" w:type="dxa"/>
            <w:right w:w="108" w:type="dxa"/>
          </w:tblCellMar>
        </w:tblPrEx>
        <w:trPr>
          <w:trHeight w:val="84" w:hRule="atLeast"/>
          <w:jc w:val="center"/>
        </w:trPr>
        <w:tc>
          <w:tcPr>
            <w:tcW w:w="959" w:type="dxa"/>
            <w:vMerge w:val="continue"/>
            <w:tcBorders>
              <w:left w:val="single" w:color="auto" w:sz="4" w:space="0"/>
              <w:bottom w:val="single" w:color="auto" w:sz="4" w:space="0"/>
              <w:right w:val="single" w:color="auto" w:sz="4" w:space="0"/>
            </w:tcBorders>
            <w:vAlign w:val="center"/>
          </w:tcPr>
          <w:p w14:paraId="3ECAECAE">
            <w:pPr>
              <w:spacing w:line="360" w:lineRule="auto"/>
              <w:jc w:val="center"/>
              <w:rPr>
                <w:rFonts w:ascii="仿宋" w:hAnsi="仿宋" w:eastAsia="仿宋" w:cs="仿宋"/>
                <w:color w:val="auto"/>
                <w:sz w:val="24"/>
                <w:szCs w:val="24"/>
                <w:lang w:eastAsia="zh-CN"/>
              </w:rPr>
            </w:pPr>
          </w:p>
        </w:tc>
        <w:tc>
          <w:tcPr>
            <w:tcW w:w="1586" w:type="dxa"/>
            <w:vMerge w:val="continue"/>
            <w:tcBorders>
              <w:left w:val="single" w:color="auto" w:sz="4" w:space="0"/>
              <w:bottom w:val="single" w:color="auto" w:sz="4" w:space="0"/>
              <w:right w:val="single" w:color="auto" w:sz="4" w:space="0"/>
            </w:tcBorders>
            <w:vAlign w:val="center"/>
          </w:tcPr>
          <w:p w14:paraId="71A2C74D">
            <w:pPr>
              <w:spacing w:line="360" w:lineRule="auto"/>
              <w:rPr>
                <w:rFonts w:ascii="仿宋" w:hAnsi="仿宋" w:eastAsia="仿宋" w:cs="仿宋"/>
                <w:color w:val="auto"/>
                <w:sz w:val="24"/>
                <w:szCs w:val="24"/>
                <w:lang w:eastAsia="zh-CN"/>
              </w:rPr>
            </w:pPr>
          </w:p>
        </w:tc>
        <w:tc>
          <w:tcPr>
            <w:tcW w:w="7285" w:type="dxa"/>
            <w:tcBorders>
              <w:top w:val="single" w:color="auto" w:sz="4" w:space="0"/>
              <w:left w:val="single" w:color="auto" w:sz="4" w:space="0"/>
              <w:bottom w:val="single" w:color="auto" w:sz="4" w:space="0"/>
              <w:right w:val="single" w:color="auto" w:sz="4" w:space="0"/>
            </w:tcBorders>
            <w:vAlign w:val="center"/>
          </w:tcPr>
          <w:p w14:paraId="0382B9CD">
            <w:pPr>
              <w:spacing w:line="360" w:lineRule="auto"/>
              <w:rPr>
                <w:rFonts w:ascii="仿宋" w:hAnsi="仿宋" w:eastAsia="仿宋" w:cs="仿宋"/>
                <w:color w:val="auto"/>
                <w:sz w:val="24"/>
                <w:szCs w:val="24"/>
              </w:rPr>
            </w:pPr>
            <w:r>
              <w:rPr>
                <w:rFonts w:hint="eastAsia" w:ascii="仿宋" w:hAnsi="仿宋" w:eastAsia="仿宋" w:cs="仿宋"/>
                <w:color w:val="auto"/>
                <w:highlight w:val="none"/>
                <w:lang w:eastAsia="zh-CN"/>
              </w:rPr>
              <w:t>（3）根据财政部、民政部、中国残疾人联合会《关于促进残疾人就业政府采购政策的通知》（财库[2017]141号），在政府采购活动中，残疾人福利性单位视同小型、微型企业。供应商属于残疾人福利性单位的，按照招标文件格式提供残疾人福利性单位声明函。</w:t>
            </w:r>
          </w:p>
        </w:tc>
      </w:tr>
      <w:tr w14:paraId="44BC30E5">
        <w:tblPrEx>
          <w:tblCellMar>
            <w:top w:w="0" w:type="dxa"/>
            <w:left w:w="108" w:type="dxa"/>
            <w:bottom w:w="0" w:type="dxa"/>
            <w:right w:w="108" w:type="dxa"/>
          </w:tblCellMar>
        </w:tblPrEx>
        <w:trPr>
          <w:trHeight w:val="851" w:hRule="atLeast"/>
          <w:jc w:val="center"/>
        </w:trPr>
        <w:tc>
          <w:tcPr>
            <w:tcW w:w="959" w:type="dxa"/>
            <w:vMerge w:val="continue"/>
            <w:tcBorders>
              <w:left w:val="single" w:color="auto" w:sz="4" w:space="0"/>
              <w:right w:val="single" w:color="auto" w:sz="4" w:space="0"/>
            </w:tcBorders>
            <w:vAlign w:val="center"/>
          </w:tcPr>
          <w:p w14:paraId="3A91DFBB">
            <w:pPr>
              <w:spacing w:line="360" w:lineRule="auto"/>
              <w:jc w:val="center"/>
              <w:rPr>
                <w:rFonts w:ascii="仿宋" w:hAnsi="仿宋" w:eastAsia="仿宋" w:cs="仿宋"/>
                <w:color w:val="auto"/>
                <w:sz w:val="24"/>
                <w:szCs w:val="24"/>
                <w:lang w:eastAsia="zh-CN"/>
              </w:rPr>
            </w:pPr>
          </w:p>
        </w:tc>
        <w:tc>
          <w:tcPr>
            <w:tcW w:w="1586" w:type="dxa"/>
            <w:vMerge w:val="restart"/>
            <w:tcBorders>
              <w:left w:val="single" w:color="auto" w:sz="4" w:space="0"/>
              <w:right w:val="single" w:color="auto" w:sz="4" w:space="0"/>
            </w:tcBorders>
            <w:vAlign w:val="center"/>
          </w:tcPr>
          <w:p w14:paraId="5B96C0CF">
            <w:pPr>
              <w:spacing w:line="360" w:lineRule="auto"/>
              <w:jc w:val="center"/>
              <w:rPr>
                <w:rFonts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中小微企业政策文件说明</w:t>
            </w:r>
          </w:p>
        </w:tc>
        <w:tc>
          <w:tcPr>
            <w:tcW w:w="7285" w:type="dxa"/>
            <w:tcBorders>
              <w:top w:val="single" w:color="auto" w:sz="4" w:space="0"/>
              <w:left w:val="single" w:color="auto" w:sz="4" w:space="0"/>
              <w:bottom w:val="single" w:color="auto" w:sz="4" w:space="0"/>
              <w:right w:val="single" w:color="auto" w:sz="4" w:space="0"/>
            </w:tcBorders>
            <w:vAlign w:val="center"/>
          </w:tcPr>
          <w:p w14:paraId="50AD8091">
            <w:pPr>
              <w:spacing w:line="360" w:lineRule="auto"/>
              <w:rPr>
                <w:rFonts w:hint="eastAsia" w:ascii="仿宋" w:hAnsi="仿宋" w:eastAsia="仿宋" w:cs="仿宋"/>
                <w:color w:val="auto"/>
                <w:sz w:val="24"/>
                <w:szCs w:val="24"/>
                <w:lang w:eastAsia="zh-CN"/>
              </w:rPr>
            </w:pPr>
            <w:r>
              <w:rPr>
                <w:rFonts w:hint="eastAsia" w:ascii="仿宋" w:hAnsi="仿宋" w:eastAsia="仿宋" w:cs="仿宋"/>
                <w:b w:val="0"/>
                <w:bCs w:val="0"/>
                <w:color w:val="auto"/>
                <w:highlight w:val="none"/>
                <w:lang w:eastAsia="zh-CN"/>
              </w:rPr>
              <w:t>（1）支持中小企业发展：给予小型和微型企业产品的价格10%-20%的扣除，用扣除后的价格参与评审，</w:t>
            </w:r>
            <w:r>
              <w:rPr>
                <w:rFonts w:hint="eastAsia" w:ascii="仿宋" w:hAnsi="仿宋" w:eastAsia="仿宋" w:cs="仿宋"/>
                <w:b/>
                <w:bCs/>
                <w:color w:val="auto"/>
                <w:highlight w:val="none"/>
                <w:u w:val="single"/>
                <w:lang w:eastAsia="zh-CN"/>
              </w:rPr>
              <w:t>本项目</w:t>
            </w:r>
            <w:r>
              <w:rPr>
                <w:rFonts w:hint="eastAsia" w:ascii="仿宋" w:hAnsi="仿宋" w:eastAsia="仿宋" w:cs="仿宋"/>
                <w:b/>
                <w:bCs/>
                <w:color w:val="auto"/>
                <w:highlight w:val="none"/>
                <w:u w:val="single"/>
                <w:lang w:val="en-US" w:eastAsia="zh-CN"/>
              </w:rPr>
              <w:t>为专门面向中小企业</w:t>
            </w:r>
            <w:r>
              <w:rPr>
                <w:rFonts w:hint="eastAsia" w:ascii="仿宋" w:hAnsi="仿宋" w:eastAsia="仿宋" w:cs="仿宋"/>
                <w:color w:val="auto"/>
                <w:highlight w:val="none"/>
                <w:lang w:eastAsia="zh-CN"/>
              </w:rPr>
              <w:t>。用扣除后的价格参与评审。残疾人福利性单位视同小型、微型企业，享受同等价格扣除，但同时属于残疾人福利性单位和小微企业的，不重复价格扣除。</w:t>
            </w:r>
          </w:p>
        </w:tc>
      </w:tr>
      <w:tr w14:paraId="6D491E67">
        <w:tblPrEx>
          <w:tblCellMar>
            <w:top w:w="0" w:type="dxa"/>
            <w:left w:w="108" w:type="dxa"/>
            <w:bottom w:w="0" w:type="dxa"/>
            <w:right w:w="108" w:type="dxa"/>
          </w:tblCellMar>
        </w:tblPrEx>
        <w:trPr>
          <w:trHeight w:val="740" w:hRule="atLeast"/>
          <w:jc w:val="center"/>
        </w:trPr>
        <w:tc>
          <w:tcPr>
            <w:tcW w:w="959" w:type="dxa"/>
            <w:vMerge w:val="continue"/>
            <w:tcBorders>
              <w:left w:val="single" w:color="auto" w:sz="4" w:space="0"/>
              <w:bottom w:val="single" w:color="auto" w:sz="4" w:space="0"/>
              <w:right w:val="single" w:color="auto" w:sz="4" w:space="0"/>
            </w:tcBorders>
            <w:vAlign w:val="center"/>
          </w:tcPr>
          <w:p w14:paraId="63C93596">
            <w:pPr>
              <w:spacing w:line="360" w:lineRule="auto"/>
              <w:jc w:val="center"/>
              <w:rPr>
                <w:rFonts w:ascii="仿宋" w:hAnsi="仿宋" w:eastAsia="仿宋" w:cs="仿宋"/>
                <w:color w:val="auto"/>
                <w:sz w:val="24"/>
                <w:szCs w:val="24"/>
                <w:lang w:eastAsia="zh-CN"/>
              </w:rPr>
            </w:pPr>
          </w:p>
        </w:tc>
        <w:tc>
          <w:tcPr>
            <w:tcW w:w="1586" w:type="dxa"/>
            <w:vMerge w:val="continue"/>
            <w:tcBorders>
              <w:left w:val="single" w:color="auto" w:sz="4" w:space="0"/>
              <w:right w:val="single" w:color="auto" w:sz="4" w:space="0"/>
            </w:tcBorders>
            <w:vAlign w:val="center"/>
          </w:tcPr>
          <w:p w14:paraId="57D96255">
            <w:pPr>
              <w:spacing w:line="360" w:lineRule="auto"/>
              <w:rPr>
                <w:rFonts w:ascii="仿宋" w:hAnsi="仿宋" w:eastAsia="仿宋" w:cs="仿宋"/>
                <w:color w:val="auto"/>
                <w:sz w:val="24"/>
                <w:szCs w:val="24"/>
                <w:lang w:eastAsia="zh-CN"/>
              </w:rPr>
            </w:pPr>
          </w:p>
        </w:tc>
        <w:tc>
          <w:tcPr>
            <w:tcW w:w="7285" w:type="dxa"/>
            <w:tcBorders>
              <w:top w:val="single" w:color="auto" w:sz="4" w:space="0"/>
              <w:left w:val="single" w:color="auto" w:sz="4" w:space="0"/>
              <w:bottom w:val="single" w:color="auto" w:sz="4" w:space="0"/>
              <w:right w:val="single" w:color="auto" w:sz="4" w:space="0"/>
            </w:tcBorders>
            <w:vAlign w:val="center"/>
          </w:tcPr>
          <w:p w14:paraId="1953EDB0">
            <w:pPr>
              <w:spacing w:line="360" w:lineRule="auto"/>
              <w:rPr>
                <w:rFonts w:hint="default" w:ascii="仿宋" w:hAnsi="仿宋" w:eastAsia="仿宋" w:cs="仿宋"/>
                <w:b/>
                <w:bCs/>
                <w:color w:val="auto"/>
                <w:sz w:val="24"/>
                <w:szCs w:val="24"/>
                <w:lang w:val="en-US" w:eastAsia="zh-CN"/>
              </w:rPr>
            </w:pP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2</w:t>
            </w:r>
            <w:r>
              <w:rPr>
                <w:rFonts w:hint="eastAsia" w:ascii="仿宋" w:hAnsi="仿宋" w:eastAsia="仿宋" w:cs="仿宋"/>
                <w:b/>
                <w:bCs/>
                <w:color w:val="auto"/>
                <w:highlight w:val="none"/>
                <w:lang w:eastAsia="zh-CN"/>
              </w:rPr>
              <w:t>）不符合上述适用情形的供应商无需提供上述声明函件。</w:t>
            </w:r>
          </w:p>
        </w:tc>
      </w:tr>
      <w:tr w14:paraId="44F7BFE8">
        <w:tblPrEx>
          <w:tblCellMar>
            <w:top w:w="0" w:type="dxa"/>
            <w:left w:w="108" w:type="dxa"/>
            <w:bottom w:w="0" w:type="dxa"/>
            <w:right w:w="108" w:type="dxa"/>
          </w:tblCellMar>
        </w:tblPrEx>
        <w:trPr>
          <w:trHeight w:val="740" w:hRule="atLeast"/>
          <w:jc w:val="center"/>
        </w:trPr>
        <w:tc>
          <w:tcPr>
            <w:tcW w:w="959" w:type="dxa"/>
            <w:vMerge w:val="restart"/>
            <w:tcBorders>
              <w:left w:val="single" w:color="auto" w:sz="4" w:space="0"/>
              <w:right w:val="single" w:color="auto" w:sz="4" w:space="0"/>
            </w:tcBorders>
            <w:vAlign w:val="center"/>
          </w:tcPr>
          <w:p w14:paraId="6500CE60">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1586" w:type="dxa"/>
            <w:vMerge w:val="continue"/>
            <w:tcBorders>
              <w:left w:val="single" w:color="auto" w:sz="4" w:space="0"/>
              <w:right w:val="single" w:color="auto" w:sz="4" w:space="0"/>
            </w:tcBorders>
            <w:vAlign w:val="center"/>
          </w:tcPr>
          <w:p w14:paraId="4D8EE2F2">
            <w:pPr>
              <w:spacing w:line="360" w:lineRule="auto"/>
              <w:rPr>
                <w:rFonts w:ascii="仿宋" w:hAnsi="仿宋" w:eastAsia="仿宋" w:cs="仿宋"/>
                <w:color w:val="auto"/>
                <w:sz w:val="24"/>
                <w:szCs w:val="24"/>
                <w:lang w:eastAsia="zh-CN"/>
              </w:rPr>
            </w:pPr>
          </w:p>
        </w:tc>
        <w:tc>
          <w:tcPr>
            <w:tcW w:w="7285" w:type="dxa"/>
            <w:tcBorders>
              <w:top w:val="single" w:color="auto" w:sz="4" w:space="0"/>
              <w:left w:val="single" w:color="auto" w:sz="4" w:space="0"/>
              <w:bottom w:val="single" w:color="auto" w:sz="4" w:space="0"/>
              <w:right w:val="single" w:color="auto" w:sz="4" w:space="0"/>
            </w:tcBorders>
            <w:vAlign w:val="center"/>
          </w:tcPr>
          <w:p w14:paraId="20169632">
            <w:pPr>
              <w:spacing w:line="360" w:lineRule="auto"/>
              <w:rPr>
                <w:rFonts w:hint="default" w:ascii="仿宋" w:hAnsi="仿宋" w:eastAsia="仿宋" w:cs="仿宋"/>
                <w:b/>
                <w:bCs/>
                <w:color w:val="auto"/>
                <w:sz w:val="24"/>
                <w:szCs w:val="24"/>
                <w:lang w:val="en-US"/>
              </w:rPr>
            </w:pP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lang w:eastAsia="zh-CN"/>
              </w:rPr>
              <w:t>）本项目货物所属行业：</w:t>
            </w:r>
            <w:r>
              <w:rPr>
                <w:rFonts w:hint="eastAsia" w:ascii="仿宋" w:hAnsi="仿宋" w:eastAsia="仿宋" w:cs="仿宋"/>
                <w:b/>
                <w:bCs/>
                <w:color w:val="auto"/>
                <w:highlight w:val="none"/>
                <w:lang w:val="en-US" w:eastAsia="zh-CN"/>
              </w:rPr>
              <w:t>工业</w:t>
            </w:r>
          </w:p>
        </w:tc>
      </w:tr>
      <w:tr w14:paraId="14839977">
        <w:tblPrEx>
          <w:tblCellMar>
            <w:top w:w="0" w:type="dxa"/>
            <w:left w:w="108" w:type="dxa"/>
            <w:bottom w:w="0" w:type="dxa"/>
            <w:right w:w="108" w:type="dxa"/>
          </w:tblCellMar>
        </w:tblPrEx>
        <w:trPr>
          <w:trHeight w:val="365" w:hRule="atLeast"/>
          <w:jc w:val="center"/>
        </w:trPr>
        <w:tc>
          <w:tcPr>
            <w:tcW w:w="959" w:type="dxa"/>
            <w:vMerge w:val="continue"/>
            <w:tcBorders>
              <w:left w:val="single" w:color="auto" w:sz="4" w:space="0"/>
              <w:bottom w:val="single" w:color="auto" w:sz="4" w:space="0"/>
              <w:right w:val="single" w:color="auto" w:sz="4" w:space="0"/>
            </w:tcBorders>
            <w:vAlign w:val="center"/>
          </w:tcPr>
          <w:p w14:paraId="45490EC4">
            <w:pPr>
              <w:spacing w:line="360" w:lineRule="auto"/>
              <w:jc w:val="center"/>
              <w:rPr>
                <w:rFonts w:ascii="仿宋" w:hAnsi="仿宋" w:eastAsia="仿宋" w:cs="仿宋"/>
                <w:color w:val="auto"/>
                <w:sz w:val="24"/>
                <w:szCs w:val="24"/>
                <w:lang w:eastAsia="zh-CN"/>
              </w:rPr>
            </w:pPr>
          </w:p>
        </w:tc>
        <w:tc>
          <w:tcPr>
            <w:tcW w:w="1586" w:type="dxa"/>
            <w:vMerge w:val="continue"/>
            <w:tcBorders>
              <w:left w:val="single" w:color="auto" w:sz="4" w:space="0"/>
              <w:bottom w:val="single" w:color="auto" w:sz="4" w:space="0"/>
              <w:right w:val="single" w:color="auto" w:sz="4" w:space="0"/>
            </w:tcBorders>
            <w:vAlign w:val="center"/>
          </w:tcPr>
          <w:p w14:paraId="2FFEB2CE">
            <w:pPr>
              <w:spacing w:line="360" w:lineRule="auto"/>
              <w:rPr>
                <w:rFonts w:ascii="仿宋" w:hAnsi="仿宋" w:eastAsia="仿宋" w:cs="仿宋"/>
                <w:color w:val="auto"/>
                <w:sz w:val="24"/>
                <w:szCs w:val="24"/>
                <w:lang w:eastAsia="zh-CN"/>
              </w:rPr>
            </w:pPr>
          </w:p>
        </w:tc>
        <w:tc>
          <w:tcPr>
            <w:tcW w:w="7285" w:type="dxa"/>
            <w:tcBorders>
              <w:top w:val="single" w:color="auto" w:sz="4" w:space="0"/>
              <w:left w:val="single" w:color="auto" w:sz="4" w:space="0"/>
              <w:bottom w:val="single" w:color="auto" w:sz="4" w:space="0"/>
              <w:right w:val="single" w:color="auto" w:sz="4" w:space="0"/>
            </w:tcBorders>
            <w:vAlign w:val="center"/>
          </w:tcPr>
          <w:p w14:paraId="46B8DEC5">
            <w:pPr>
              <w:spacing w:line="360" w:lineRule="auto"/>
              <w:rPr>
                <w:rFonts w:hint="eastAsia" w:ascii="仿宋" w:hAnsi="仿宋" w:eastAsia="仿宋" w:cs="仿宋"/>
                <w:b/>
                <w:bCs/>
                <w:color w:val="auto"/>
                <w:sz w:val="24"/>
                <w:szCs w:val="24"/>
              </w:rPr>
            </w:pPr>
            <w:r>
              <w:rPr>
                <w:rFonts w:hint="eastAsia" w:ascii="仿宋" w:hAnsi="仿宋" w:eastAsia="仿宋" w:cs="仿宋"/>
                <w:b/>
                <w:color w:val="auto"/>
                <w:sz w:val="24"/>
                <w:szCs w:val="24"/>
                <w:highlight w:val="none"/>
                <w:lang w:eastAsia="zh-CN"/>
              </w:rPr>
              <w:t>着重提醒：投标供应商在提供《中小企业声明函》时，必须将招标文件采购标的物全部列入《中小企业声明函》，否则不享受扣除价格政策。</w:t>
            </w:r>
          </w:p>
        </w:tc>
      </w:tr>
      <w:tr w14:paraId="384292A3">
        <w:tblPrEx>
          <w:tblCellMar>
            <w:top w:w="0" w:type="dxa"/>
            <w:left w:w="108" w:type="dxa"/>
            <w:bottom w:w="0" w:type="dxa"/>
            <w:right w:w="108" w:type="dxa"/>
          </w:tblCellMar>
        </w:tblPrEx>
        <w:trPr>
          <w:trHeight w:val="558"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3AC6E74C">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w:t>
            </w:r>
            <w:r>
              <w:rPr>
                <w:rFonts w:hint="eastAsia" w:ascii="仿宋" w:hAnsi="仿宋" w:eastAsia="仿宋" w:cs="仿宋"/>
                <w:color w:val="auto"/>
                <w:sz w:val="24"/>
                <w:szCs w:val="24"/>
                <w:lang w:val="en-US" w:eastAsia="zh-CN"/>
              </w:rPr>
              <w:t>1</w:t>
            </w:r>
          </w:p>
        </w:tc>
        <w:tc>
          <w:tcPr>
            <w:tcW w:w="1586" w:type="dxa"/>
            <w:tcBorders>
              <w:top w:val="single" w:color="auto" w:sz="4" w:space="0"/>
              <w:left w:val="single" w:color="auto" w:sz="4" w:space="0"/>
              <w:bottom w:val="single" w:color="auto" w:sz="4" w:space="0"/>
              <w:right w:val="single" w:color="auto" w:sz="4" w:space="0"/>
            </w:tcBorders>
            <w:vAlign w:val="center"/>
          </w:tcPr>
          <w:p w14:paraId="15EE74A3">
            <w:pPr>
              <w:widowControl/>
              <w:spacing w:line="360" w:lineRule="auto"/>
              <w:jc w:val="center"/>
              <w:rPr>
                <w:rFonts w:ascii="仿宋" w:hAnsi="仿宋" w:eastAsia="仿宋" w:cs="仿宋"/>
                <w:b/>
                <w:bCs/>
                <w:color w:val="auto"/>
                <w:sz w:val="24"/>
                <w:szCs w:val="24"/>
                <w:lang w:eastAsia="zh-CN"/>
              </w:rPr>
            </w:pPr>
            <w:r>
              <w:rPr>
                <w:rFonts w:hint="eastAsia" w:ascii="仿宋" w:hAnsi="仿宋" w:eastAsia="仿宋" w:cs="仿宋"/>
                <w:b/>
                <w:bCs/>
                <w:color w:val="auto"/>
                <w:sz w:val="24"/>
                <w:szCs w:val="24"/>
              </w:rPr>
              <w:t>履约保证金</w:t>
            </w:r>
          </w:p>
        </w:tc>
        <w:tc>
          <w:tcPr>
            <w:tcW w:w="7285" w:type="dxa"/>
            <w:tcBorders>
              <w:top w:val="single" w:color="auto" w:sz="4" w:space="0"/>
              <w:left w:val="single" w:color="auto" w:sz="4" w:space="0"/>
              <w:bottom w:val="single" w:color="auto" w:sz="4" w:space="0"/>
              <w:right w:val="single" w:color="auto" w:sz="4" w:space="0"/>
            </w:tcBorders>
            <w:vAlign w:val="center"/>
          </w:tcPr>
          <w:p w14:paraId="384906DA">
            <w:pPr>
              <w:widowControl/>
              <w:spacing w:line="360" w:lineRule="auto"/>
              <w:rPr>
                <w:rFonts w:hint="default" w:ascii="仿宋" w:hAnsi="仿宋" w:eastAsia="仿宋" w:cs="仿宋"/>
                <w:b/>
                <w:bCs/>
                <w:color w:val="auto"/>
                <w:sz w:val="24"/>
                <w:szCs w:val="24"/>
                <w:lang w:val="en-US" w:eastAsia="zh-CN"/>
              </w:rPr>
            </w:pPr>
            <w:r>
              <w:rPr>
                <w:rFonts w:hint="eastAsia" w:ascii="仿宋" w:hAnsi="仿宋" w:eastAsia="仿宋" w:cs="仿宋"/>
                <w:color w:val="auto"/>
                <w:highlight w:val="none"/>
                <w:lang w:val="zh-CN" w:eastAsia="zh-CN"/>
              </w:rPr>
              <w:t>成交人</w:t>
            </w:r>
            <w:r>
              <w:rPr>
                <w:rFonts w:hint="eastAsia" w:ascii="仿宋" w:hAnsi="仿宋" w:eastAsia="仿宋" w:cs="仿宋"/>
                <w:color w:val="auto"/>
                <w:highlight w:val="none"/>
                <w:lang w:eastAsia="zh-CN"/>
              </w:rPr>
              <w:t>应在领取《</w:t>
            </w:r>
            <w:r>
              <w:rPr>
                <w:rFonts w:hint="eastAsia" w:ascii="仿宋" w:hAnsi="仿宋" w:eastAsia="仿宋" w:cs="仿宋"/>
                <w:color w:val="auto"/>
                <w:highlight w:val="none"/>
                <w:lang w:val="en-US" w:eastAsia="zh-CN"/>
              </w:rPr>
              <w:t>成交</w:t>
            </w:r>
            <w:r>
              <w:rPr>
                <w:rFonts w:hint="eastAsia" w:ascii="仿宋" w:hAnsi="仿宋" w:eastAsia="仿宋" w:cs="仿宋"/>
                <w:color w:val="auto"/>
                <w:highlight w:val="none"/>
                <w:lang w:eastAsia="zh-CN"/>
              </w:rPr>
              <w:t>通知书》后的十个日历日内，办理履约保证金，</w:t>
            </w:r>
            <w:r>
              <w:rPr>
                <w:rFonts w:hint="eastAsia" w:ascii="仿宋" w:hAnsi="仿宋" w:eastAsia="仿宋" w:cs="仿宋"/>
                <w:color w:val="auto"/>
                <w:highlight w:val="none"/>
                <w:u w:val="single"/>
                <w:lang w:val="zh-CN" w:eastAsia="zh-CN"/>
              </w:rPr>
              <w:t>金额为不超过合同总价的</w:t>
            </w:r>
            <w:r>
              <w:rPr>
                <w:rFonts w:hint="eastAsia" w:ascii="仿宋" w:hAnsi="仿宋" w:eastAsia="仿宋" w:cs="仿宋"/>
                <w:color w:val="auto"/>
                <w:highlight w:val="none"/>
                <w:u w:val="single"/>
                <w:lang w:val="en-US" w:eastAsia="zh-CN"/>
              </w:rPr>
              <w:t>10</w:t>
            </w:r>
            <w:r>
              <w:rPr>
                <w:rFonts w:hint="eastAsia" w:ascii="仿宋" w:hAnsi="仿宋" w:eastAsia="仿宋" w:cs="仿宋"/>
                <w:color w:val="auto"/>
                <w:highlight w:val="none"/>
                <w:u w:val="single"/>
                <w:lang w:val="zh-CN" w:eastAsia="zh-CN"/>
              </w:rPr>
              <w:t>%</w:t>
            </w:r>
            <w:r>
              <w:rPr>
                <w:rFonts w:hint="eastAsia" w:ascii="仿宋" w:hAnsi="仿宋" w:eastAsia="仿宋" w:cs="仿宋"/>
                <w:color w:val="auto"/>
                <w:highlight w:val="none"/>
                <w:lang w:val="zh-CN" w:eastAsia="zh-CN"/>
              </w:rPr>
              <w:t>，</w:t>
            </w:r>
            <w:r>
              <w:rPr>
                <w:rFonts w:hint="eastAsia" w:ascii="仿宋" w:hAnsi="仿宋" w:eastAsia="仿宋" w:cs="仿宋"/>
                <w:color w:val="auto"/>
                <w:highlight w:val="none"/>
                <w:lang w:eastAsia="zh-CN"/>
              </w:rPr>
              <w:t>否则招标人可取消</w:t>
            </w:r>
            <w:r>
              <w:rPr>
                <w:rFonts w:hint="eastAsia" w:ascii="仿宋" w:hAnsi="仿宋" w:eastAsia="仿宋" w:cs="仿宋"/>
                <w:color w:val="auto"/>
                <w:highlight w:val="none"/>
                <w:lang w:val="zh-CN" w:eastAsia="zh-CN"/>
              </w:rPr>
              <w:t>成交人</w:t>
            </w:r>
            <w:r>
              <w:rPr>
                <w:rFonts w:hint="eastAsia" w:ascii="仿宋" w:hAnsi="仿宋" w:eastAsia="仿宋" w:cs="仿宋"/>
                <w:color w:val="auto"/>
                <w:highlight w:val="none"/>
                <w:lang w:eastAsia="zh-CN"/>
              </w:rPr>
              <w:t>的</w:t>
            </w:r>
            <w:r>
              <w:rPr>
                <w:rFonts w:hint="eastAsia" w:ascii="仿宋" w:hAnsi="仿宋" w:eastAsia="仿宋" w:cs="仿宋"/>
                <w:color w:val="auto"/>
                <w:highlight w:val="none"/>
                <w:lang w:val="zh-CN" w:eastAsia="zh-CN"/>
              </w:rPr>
              <w:t>成交</w:t>
            </w:r>
            <w:r>
              <w:rPr>
                <w:rFonts w:hint="eastAsia" w:ascii="仿宋" w:hAnsi="仿宋" w:eastAsia="仿宋" w:cs="仿宋"/>
                <w:color w:val="auto"/>
                <w:highlight w:val="none"/>
                <w:lang w:eastAsia="zh-CN"/>
              </w:rPr>
              <w:t>资格，并没收其投标保证金。</w:t>
            </w:r>
          </w:p>
        </w:tc>
      </w:tr>
      <w:tr w14:paraId="34BD1766">
        <w:tblPrEx>
          <w:tblCellMar>
            <w:top w:w="0" w:type="dxa"/>
            <w:left w:w="108" w:type="dxa"/>
            <w:bottom w:w="0" w:type="dxa"/>
            <w:right w:w="108" w:type="dxa"/>
          </w:tblCellMar>
        </w:tblPrEx>
        <w:trPr>
          <w:trHeight w:val="558"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39D6D13E">
            <w:pPr>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备注</w:t>
            </w:r>
          </w:p>
        </w:tc>
        <w:tc>
          <w:tcPr>
            <w:tcW w:w="8871" w:type="dxa"/>
            <w:gridSpan w:val="2"/>
            <w:tcBorders>
              <w:top w:val="single" w:color="auto" w:sz="4" w:space="0"/>
              <w:left w:val="single" w:color="auto" w:sz="4" w:space="0"/>
              <w:bottom w:val="single" w:color="auto" w:sz="4" w:space="0"/>
              <w:right w:val="single" w:color="auto" w:sz="4" w:space="0"/>
            </w:tcBorders>
            <w:vAlign w:val="center"/>
          </w:tcPr>
          <w:p w14:paraId="05ABA7DF">
            <w:pPr>
              <w:numPr>
                <w:ilvl w:val="0"/>
                <w:numId w:val="0"/>
              </w:numPr>
              <w:spacing w:line="240" w:lineRule="auto"/>
              <w:jc w:val="left"/>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1、着重提醒各投标人注意，并认真查看采购文件中的每一个条款及要求，因误读采购文件而造成的后果，招标人概不负责。</w:t>
            </w:r>
          </w:p>
          <w:p w14:paraId="623D0CF7">
            <w:pPr>
              <w:numPr>
                <w:ilvl w:val="0"/>
                <w:numId w:val="0"/>
              </w:numPr>
              <w:spacing w:line="240" w:lineRule="auto"/>
              <w:jc w:val="left"/>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2、除法律、法规和规章规定外，采购文件中用“拒绝”、“不接受”、“无效”、“不得”等文字规定，对其中任何一条的偏离，在评审时将其视为无效文件。未用上述文字规定或符号标注的条款为非实质性要求条款(即一般条款)。</w:t>
            </w:r>
          </w:p>
          <w:p w14:paraId="7399A128">
            <w:pPr>
              <w:numPr>
                <w:ilvl w:val="0"/>
                <w:numId w:val="0"/>
              </w:numPr>
              <w:spacing w:line="240" w:lineRule="auto"/>
              <w:ind w:leftChars="0"/>
              <w:jc w:val="left"/>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3、除非另有特殊说明，若本采购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p w14:paraId="5BEBFD54">
            <w:pPr>
              <w:numPr>
                <w:ilvl w:val="0"/>
                <w:numId w:val="0"/>
              </w:numPr>
              <w:spacing w:line="240" w:lineRule="auto"/>
              <w:ind w:leftChars="0"/>
              <w:jc w:val="left"/>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4、采购人若发现成交候选供应商在投标过程中提供虚假证明文件，故意隐瞒公司不良信誉和财务状况，以及其他可能对合同圆满履行造成风险的因素等，则按规定取消其成交资格，监管部门依法进行处理。</w:t>
            </w:r>
          </w:p>
          <w:p w14:paraId="607E6E5C">
            <w:pPr>
              <w:numPr>
                <w:ilvl w:val="0"/>
                <w:numId w:val="0"/>
              </w:numPr>
              <w:spacing w:line="240" w:lineRule="auto"/>
              <w:ind w:leftChars="0"/>
              <w:jc w:val="left"/>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5、投标人使用相同IP地址的，一经发现，相关部门将进一步核实，查实后按串通投标处理。</w:t>
            </w:r>
          </w:p>
          <w:p w14:paraId="6F18D343">
            <w:pPr>
              <w:numPr>
                <w:ilvl w:val="0"/>
                <w:numId w:val="0"/>
              </w:numPr>
              <w:spacing w:line="240" w:lineRule="auto"/>
              <w:ind w:leftChars="0"/>
              <w:jc w:val="left"/>
              <w:rPr>
                <w:rFonts w:hint="eastAsia" w:ascii="仿宋" w:hAnsi="仿宋" w:eastAsia="仿宋" w:cs="仿宋"/>
                <w:b/>
                <w:bCs w:val="0"/>
                <w:color w:val="auto"/>
                <w:kern w:val="2"/>
                <w:sz w:val="24"/>
                <w:szCs w:val="24"/>
                <w:highlight w:val="yellow"/>
                <w:lang w:val="en-US" w:eastAsia="zh-CN" w:bidi="ar-SA"/>
              </w:rPr>
            </w:pPr>
            <w:r>
              <w:rPr>
                <w:rFonts w:hint="eastAsia" w:ascii="仿宋" w:hAnsi="仿宋" w:eastAsia="仿宋" w:cs="仿宋"/>
                <w:b/>
                <w:bCs w:val="0"/>
                <w:color w:val="auto"/>
                <w:kern w:val="2"/>
                <w:sz w:val="24"/>
                <w:szCs w:val="24"/>
                <w:highlight w:val="none"/>
                <w:lang w:val="en-US" w:eastAsia="zh-CN" w:bidi="ar-SA"/>
              </w:rPr>
              <w:t>6、评标委员会发现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应当否决其投标。请供应商正确填写报价。</w:t>
            </w:r>
          </w:p>
          <w:p w14:paraId="502E739C">
            <w:pPr>
              <w:pStyle w:val="7"/>
              <w:numPr>
                <w:ilvl w:val="0"/>
                <w:numId w:val="0"/>
              </w:numPr>
              <w:spacing w:line="240" w:lineRule="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7、其他：</w:t>
            </w:r>
          </w:p>
          <w:p w14:paraId="210FF290">
            <w:pPr>
              <w:numPr>
                <w:ilvl w:val="0"/>
                <w:numId w:val="0"/>
              </w:numPr>
              <w:spacing w:line="240" w:lineRule="auto"/>
              <w:ind w:leftChars="0"/>
              <w:jc w:val="left"/>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（1）投标企业严格遵守国家的法律法规，无违法违纪及商业贿 赂行为。</w:t>
            </w:r>
          </w:p>
          <w:p w14:paraId="2D712B16">
            <w:pPr>
              <w:numPr>
                <w:ilvl w:val="0"/>
                <w:numId w:val="0"/>
              </w:numPr>
              <w:spacing w:line="240" w:lineRule="auto"/>
              <w:ind w:leftChars="0"/>
              <w:jc w:val="left"/>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（2）不管投标结果如何，供应商均应自行承担投标所需一切费用。</w:t>
            </w:r>
          </w:p>
          <w:p w14:paraId="472DEE4A">
            <w:pPr>
              <w:numPr>
                <w:ilvl w:val="0"/>
                <w:numId w:val="0"/>
              </w:numPr>
              <w:spacing w:line="240" w:lineRule="auto"/>
              <w:ind w:leftChars="0"/>
              <w:jc w:val="left"/>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（3）供应商应以书面形式保证成交后由本公司组织实施，不得以任何理由将项目转包给其他机构。</w:t>
            </w:r>
          </w:p>
          <w:p w14:paraId="1F96C389">
            <w:pPr>
              <w:widowControl/>
              <w:spacing w:line="240" w:lineRule="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（4）采购文件中如出现前后不一致情况，均以前附表内容为准。</w:t>
            </w:r>
          </w:p>
          <w:p w14:paraId="416C4660">
            <w:pPr>
              <w:widowControl/>
              <w:spacing w:line="240" w:lineRule="auto"/>
              <w:rPr>
                <w:rFonts w:hint="eastAsia" w:ascii="仿宋" w:hAnsi="仿宋" w:eastAsia="仿宋" w:cs="仿宋"/>
                <w:b/>
                <w:bCs w:val="0"/>
                <w:color w:val="auto"/>
                <w:kern w:val="2"/>
                <w:sz w:val="24"/>
                <w:szCs w:val="24"/>
                <w:highlight w:val="none"/>
                <w:lang w:val="zh-CN" w:eastAsia="zh-CN" w:bidi="ar-SA"/>
              </w:rPr>
            </w:pPr>
            <w:r>
              <w:rPr>
                <w:rFonts w:hint="eastAsia"/>
                <w:b/>
                <w:bCs/>
                <w:color w:val="auto"/>
                <w:sz w:val="24"/>
                <w:szCs w:val="24"/>
                <w:highlight w:val="none"/>
                <w:lang w:val="en-US" w:eastAsia="zh-CN"/>
              </w:rPr>
              <w:t>（5）</w:t>
            </w:r>
            <w:r>
              <w:rPr>
                <w:rFonts w:hint="eastAsia" w:ascii="仿宋" w:hAnsi="仿宋" w:eastAsia="仿宋" w:cs="仿宋"/>
                <w:b/>
                <w:bCs w:val="0"/>
                <w:color w:val="FF0000"/>
                <w:kern w:val="2"/>
                <w:sz w:val="24"/>
                <w:szCs w:val="24"/>
                <w:highlight w:val="none"/>
                <w:lang w:val="en-US" w:eastAsia="zh-CN" w:bidi="ar-SA"/>
              </w:rPr>
              <w:t>第二次报价或多轮报价需上传分项报价明细表。如不上传分项报价明细表视为不响应谈判文件。</w:t>
            </w:r>
          </w:p>
        </w:tc>
      </w:tr>
    </w:tbl>
    <w:p w14:paraId="00E214DE">
      <w:pPr>
        <w:pStyle w:val="28"/>
        <w:ind w:left="0" w:leftChars="0" w:firstLine="0" w:firstLineChars="0"/>
        <w:rPr>
          <w:rFonts w:hint="eastAsia"/>
          <w:color w:val="auto"/>
        </w:rPr>
      </w:pPr>
    </w:p>
    <w:p w14:paraId="4D0D3163">
      <w:pPr>
        <w:rPr>
          <w:rFonts w:hint="eastAsia"/>
          <w:color w:val="auto"/>
        </w:rPr>
      </w:pPr>
    </w:p>
    <w:p w14:paraId="359E7C81">
      <w:pPr>
        <w:pStyle w:val="3"/>
        <w:rPr>
          <w:rFonts w:hint="eastAsia" w:ascii="仿宋" w:hAnsi="仿宋" w:eastAsia="仿宋" w:cs="仿宋"/>
          <w:color w:val="auto"/>
          <w:sz w:val="28"/>
          <w:szCs w:val="28"/>
        </w:rPr>
      </w:pPr>
    </w:p>
    <w:p w14:paraId="53280054">
      <w:pPr>
        <w:pStyle w:val="3"/>
        <w:rPr>
          <w:rFonts w:hint="eastAsia" w:ascii="仿宋" w:hAnsi="仿宋" w:eastAsia="仿宋" w:cs="仿宋"/>
          <w:color w:val="auto"/>
          <w:sz w:val="28"/>
          <w:szCs w:val="28"/>
        </w:rPr>
      </w:pPr>
    </w:p>
    <w:p w14:paraId="73AA017A">
      <w:pPr>
        <w:pStyle w:val="11"/>
        <w:ind w:left="0" w:leftChars="0" w:firstLine="0" w:firstLineChars="0"/>
        <w:rPr>
          <w:rFonts w:hint="eastAsia" w:ascii="仿宋" w:hAnsi="仿宋" w:eastAsia="仿宋" w:cs="仿宋"/>
          <w:color w:val="auto"/>
          <w:sz w:val="28"/>
          <w:szCs w:val="28"/>
        </w:rPr>
      </w:pPr>
    </w:p>
    <w:p w14:paraId="3D70BB04">
      <w:pPr>
        <w:pStyle w:val="3"/>
        <w:jc w:val="both"/>
        <w:rPr>
          <w:rFonts w:hint="eastAsia" w:ascii="仿宋" w:hAnsi="仿宋" w:eastAsia="仿宋" w:cs="仿宋"/>
          <w:color w:val="auto"/>
          <w:sz w:val="28"/>
          <w:szCs w:val="28"/>
        </w:rPr>
      </w:pPr>
    </w:p>
    <w:p w14:paraId="326EC1FC">
      <w:pPr>
        <w:pStyle w:val="3"/>
        <w:ind w:firstLine="3990" w:firstLineChars="1400"/>
        <w:jc w:val="both"/>
        <w:rPr>
          <w:rFonts w:hint="eastAsia" w:ascii="仿宋" w:hAnsi="仿宋" w:eastAsia="仿宋" w:cs="仿宋"/>
          <w:color w:val="auto"/>
          <w:sz w:val="28"/>
          <w:szCs w:val="28"/>
        </w:rPr>
      </w:pPr>
      <w:r>
        <w:rPr>
          <w:rFonts w:hint="eastAsia" w:ascii="仿宋" w:hAnsi="仿宋" w:eastAsia="仿宋" w:cs="仿宋"/>
          <w:color w:val="auto"/>
          <w:sz w:val="28"/>
          <w:szCs w:val="28"/>
        </w:rPr>
        <w:t>一、总则</w:t>
      </w:r>
    </w:p>
    <w:p w14:paraId="649B6ECA">
      <w:pPr>
        <w:snapToGrid w:val="0"/>
        <w:spacing w:line="360" w:lineRule="auto"/>
        <w:rPr>
          <w:rFonts w:hint="eastAsia" w:ascii="仿宋" w:hAnsi="仿宋" w:eastAsia="仿宋" w:cs="仿宋"/>
          <w:color w:val="auto"/>
          <w:sz w:val="24"/>
          <w:szCs w:val="24"/>
        </w:rPr>
      </w:pPr>
      <w:r>
        <w:rPr>
          <w:rFonts w:hint="eastAsia" w:ascii="仿宋" w:hAnsi="仿宋" w:eastAsia="仿宋" w:cs="仿宋"/>
          <w:b/>
          <w:bCs/>
          <w:color w:val="auto"/>
          <w:kern w:val="2"/>
          <w:sz w:val="24"/>
          <w:szCs w:val="24"/>
        </w:rPr>
        <w:t>（一）项目名称</w:t>
      </w:r>
      <w:r>
        <w:rPr>
          <w:rFonts w:hint="eastAsia" w:ascii="仿宋" w:hAnsi="仿宋" w:eastAsia="仿宋" w:cs="仿宋"/>
          <w:color w:val="auto"/>
          <w:sz w:val="24"/>
          <w:szCs w:val="24"/>
        </w:rPr>
        <w:t>：检验检测综合能力提升项目</w:t>
      </w:r>
    </w:p>
    <w:p w14:paraId="2BB3AEBD">
      <w:pPr>
        <w:snapToGrid w:val="0"/>
        <w:spacing w:line="360" w:lineRule="auto"/>
        <w:rPr>
          <w:rFonts w:hint="eastAsia" w:ascii="仿宋" w:hAnsi="仿宋" w:eastAsia="仿宋" w:cs="仿宋"/>
          <w:color w:val="auto"/>
          <w:sz w:val="24"/>
          <w:szCs w:val="24"/>
        </w:rPr>
      </w:pPr>
      <w:r>
        <w:rPr>
          <w:rFonts w:hint="eastAsia" w:ascii="仿宋" w:hAnsi="仿宋" w:eastAsia="仿宋" w:cs="仿宋"/>
          <w:b/>
          <w:bCs/>
          <w:color w:val="auto"/>
          <w:sz w:val="24"/>
          <w:szCs w:val="24"/>
        </w:rPr>
        <w:t>（二）采购方式</w:t>
      </w:r>
      <w:r>
        <w:rPr>
          <w:rFonts w:hint="eastAsia" w:ascii="仿宋" w:hAnsi="仿宋" w:eastAsia="仿宋" w:cs="仿宋"/>
          <w:b/>
          <w:bCs/>
          <w:color w:val="auto"/>
          <w:sz w:val="24"/>
          <w:szCs w:val="24"/>
          <w:lang w:eastAsia="zh-CN"/>
        </w:rPr>
        <w:t>：</w:t>
      </w:r>
      <w:r>
        <w:rPr>
          <w:rFonts w:hint="eastAsia" w:ascii="仿宋" w:hAnsi="仿宋" w:eastAsia="仿宋" w:cs="仿宋"/>
          <w:color w:val="auto"/>
          <w:sz w:val="24"/>
          <w:szCs w:val="24"/>
        </w:rPr>
        <w:t>本项目采取</w:t>
      </w:r>
      <w:r>
        <w:rPr>
          <w:rFonts w:hint="eastAsia" w:ascii="仿宋" w:hAnsi="仿宋" w:eastAsia="仿宋" w:cs="仿宋"/>
          <w:color w:val="auto"/>
          <w:sz w:val="24"/>
          <w:szCs w:val="24"/>
          <w:u w:val="single"/>
          <w:lang w:eastAsia="zh-CN"/>
        </w:rPr>
        <w:t>竞争性谈判</w:t>
      </w:r>
      <w:r>
        <w:rPr>
          <w:rFonts w:hint="eastAsia" w:ascii="仿宋" w:hAnsi="仿宋" w:eastAsia="仿宋" w:cs="仿宋"/>
          <w:color w:val="auto"/>
          <w:sz w:val="24"/>
          <w:szCs w:val="24"/>
        </w:rPr>
        <w:t>方式采购。</w:t>
      </w:r>
    </w:p>
    <w:p w14:paraId="359DC8C0">
      <w:pPr>
        <w:snapToGrid w:val="0"/>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（三）合格的供应商</w:t>
      </w:r>
    </w:p>
    <w:p w14:paraId="6F57F75C">
      <w:pPr>
        <w:snapToGrid w:val="0"/>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详见供应商须知前附表</w:t>
      </w:r>
    </w:p>
    <w:p w14:paraId="00EE305D">
      <w:pPr>
        <w:snapToGrid w:val="0"/>
        <w:spacing w:line="360" w:lineRule="auto"/>
        <w:rPr>
          <w:rFonts w:hint="eastAsia" w:ascii="仿宋" w:hAnsi="仿宋" w:eastAsia="仿宋" w:cs="仿宋"/>
          <w:color w:val="auto"/>
          <w:sz w:val="24"/>
          <w:szCs w:val="24"/>
        </w:rPr>
      </w:pPr>
      <w:r>
        <w:rPr>
          <w:rFonts w:hint="eastAsia" w:ascii="仿宋" w:hAnsi="仿宋" w:eastAsia="仿宋" w:cs="仿宋"/>
          <w:b/>
          <w:bCs/>
          <w:color w:val="auto"/>
          <w:sz w:val="24"/>
          <w:szCs w:val="24"/>
        </w:rPr>
        <w:t>（四）适用法律</w:t>
      </w:r>
    </w:p>
    <w:p w14:paraId="1F1FDD17">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本次招标及由本次招标产生的合同受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中华人民共和国政府采购法》、《</w:t>
      </w:r>
      <w:r>
        <w:rPr>
          <w:rFonts w:hint="eastAsia" w:ascii="仿宋" w:hAnsi="仿宋" w:eastAsia="仿宋" w:cs="仿宋"/>
          <w:color w:val="auto"/>
          <w:sz w:val="24"/>
          <w:szCs w:val="24"/>
          <w:lang w:eastAsia="zh-CN"/>
        </w:rPr>
        <w:t>政府采购非招标采购方式管理办法【74号】</w:t>
      </w:r>
      <w:r>
        <w:rPr>
          <w:rFonts w:hint="eastAsia" w:ascii="仿宋" w:hAnsi="仿宋" w:eastAsia="仿宋" w:cs="仿宋"/>
          <w:color w:val="auto"/>
          <w:sz w:val="24"/>
          <w:szCs w:val="24"/>
        </w:rPr>
        <w:t>》等相关法律、法规制约和保护。</w:t>
      </w:r>
    </w:p>
    <w:p w14:paraId="3BDA31C9">
      <w:pPr>
        <w:snapToGrid w:val="0"/>
        <w:spacing w:line="360" w:lineRule="auto"/>
        <w:rPr>
          <w:rFonts w:hint="eastAsia" w:ascii="仿宋" w:hAnsi="仿宋" w:eastAsia="仿宋" w:cs="仿宋"/>
          <w:color w:val="auto"/>
          <w:sz w:val="24"/>
          <w:szCs w:val="24"/>
        </w:rPr>
      </w:pPr>
      <w:r>
        <w:rPr>
          <w:rFonts w:hint="eastAsia" w:ascii="仿宋" w:hAnsi="仿宋" w:eastAsia="仿宋" w:cs="仿宋"/>
          <w:b/>
          <w:bCs/>
          <w:color w:val="auto"/>
          <w:sz w:val="24"/>
          <w:szCs w:val="24"/>
        </w:rPr>
        <w:t>（五）招标费用</w:t>
      </w:r>
    </w:p>
    <w:p w14:paraId="0E5FCAD6">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供应商应自行承担所有参加招标有关的费用。</w:t>
      </w:r>
    </w:p>
    <w:p w14:paraId="6A1F2AC4">
      <w:pPr>
        <w:snapToGrid w:val="0"/>
        <w:spacing w:line="360" w:lineRule="auto"/>
        <w:rPr>
          <w:rFonts w:hint="eastAsia" w:ascii="仿宋" w:hAnsi="仿宋" w:eastAsia="仿宋" w:cs="仿宋"/>
          <w:color w:val="auto"/>
          <w:sz w:val="24"/>
          <w:szCs w:val="24"/>
        </w:rPr>
      </w:pPr>
      <w:r>
        <w:rPr>
          <w:rFonts w:hint="eastAsia" w:ascii="仿宋" w:hAnsi="仿宋" w:eastAsia="仿宋" w:cs="仿宋"/>
          <w:b/>
          <w:bCs/>
          <w:color w:val="auto"/>
          <w:sz w:val="24"/>
          <w:szCs w:val="24"/>
        </w:rPr>
        <w:t>（六）</w:t>
      </w:r>
      <w:r>
        <w:rPr>
          <w:rFonts w:hint="eastAsia" w:ascii="仿宋" w:hAnsi="仿宋" w:eastAsia="仿宋" w:cs="仿宋"/>
          <w:b/>
          <w:bCs/>
          <w:color w:val="auto"/>
          <w:sz w:val="24"/>
          <w:szCs w:val="24"/>
          <w:lang w:eastAsia="zh-CN"/>
        </w:rPr>
        <w:t>谈判文件</w:t>
      </w:r>
      <w:r>
        <w:rPr>
          <w:rFonts w:hint="eastAsia" w:ascii="仿宋" w:hAnsi="仿宋" w:eastAsia="仿宋" w:cs="仿宋"/>
          <w:b/>
          <w:bCs/>
          <w:color w:val="auto"/>
          <w:sz w:val="24"/>
          <w:szCs w:val="24"/>
        </w:rPr>
        <w:t>的约束力</w:t>
      </w:r>
    </w:p>
    <w:p w14:paraId="3CC71B74">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供应商一旦报名参加本项目投标，即被认为接受了本</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中的所有条件和规定。</w:t>
      </w:r>
    </w:p>
    <w:p w14:paraId="07787713">
      <w:pPr>
        <w:pStyle w:val="3"/>
        <w:rPr>
          <w:rFonts w:hint="eastAsia" w:ascii="仿宋" w:hAnsi="仿宋" w:eastAsia="仿宋" w:cs="仿宋"/>
          <w:color w:val="auto"/>
          <w:sz w:val="28"/>
          <w:szCs w:val="28"/>
        </w:rPr>
      </w:pPr>
      <w:bookmarkStart w:id="2" w:name="_Toc497129137"/>
      <w:bookmarkStart w:id="3" w:name="_Toc452657552"/>
      <w:r>
        <w:rPr>
          <w:rFonts w:hint="eastAsia" w:ascii="仿宋" w:hAnsi="仿宋" w:eastAsia="仿宋" w:cs="仿宋"/>
          <w:color w:val="auto"/>
          <w:sz w:val="28"/>
          <w:szCs w:val="28"/>
        </w:rPr>
        <w:t>二、</w:t>
      </w:r>
      <w:bookmarkEnd w:id="2"/>
      <w:bookmarkEnd w:id="3"/>
      <w:r>
        <w:rPr>
          <w:rFonts w:hint="eastAsia" w:ascii="仿宋" w:hAnsi="仿宋" w:eastAsia="仿宋" w:cs="仿宋"/>
          <w:color w:val="auto"/>
          <w:sz w:val="28"/>
          <w:szCs w:val="28"/>
          <w:lang w:eastAsia="zh-CN"/>
        </w:rPr>
        <w:t>谈判文件</w:t>
      </w:r>
    </w:p>
    <w:p w14:paraId="276D729C">
      <w:pPr>
        <w:snapToGrid w:val="0"/>
        <w:spacing w:line="360" w:lineRule="auto"/>
        <w:rPr>
          <w:rFonts w:hint="eastAsia" w:ascii="仿宋" w:hAnsi="仿宋" w:eastAsia="仿宋" w:cs="仿宋"/>
          <w:color w:val="auto"/>
          <w:sz w:val="24"/>
          <w:szCs w:val="24"/>
        </w:rPr>
      </w:pPr>
      <w:r>
        <w:rPr>
          <w:rFonts w:hint="eastAsia" w:ascii="仿宋" w:hAnsi="仿宋" w:eastAsia="仿宋" w:cs="仿宋"/>
          <w:b/>
          <w:bCs/>
          <w:color w:val="auto"/>
          <w:sz w:val="24"/>
          <w:szCs w:val="24"/>
        </w:rPr>
        <w:t>（七）</w:t>
      </w:r>
      <w:r>
        <w:rPr>
          <w:rFonts w:hint="eastAsia" w:ascii="仿宋" w:hAnsi="仿宋" w:eastAsia="仿宋" w:cs="仿宋"/>
          <w:b/>
          <w:bCs/>
          <w:color w:val="auto"/>
          <w:sz w:val="24"/>
          <w:szCs w:val="24"/>
          <w:lang w:eastAsia="zh-CN"/>
        </w:rPr>
        <w:t>谈判文件</w:t>
      </w:r>
      <w:r>
        <w:rPr>
          <w:rFonts w:hint="eastAsia" w:ascii="仿宋" w:hAnsi="仿宋" w:eastAsia="仿宋" w:cs="仿宋"/>
          <w:b/>
          <w:bCs/>
          <w:color w:val="auto"/>
          <w:sz w:val="24"/>
          <w:szCs w:val="24"/>
        </w:rPr>
        <w:t>构成</w:t>
      </w:r>
    </w:p>
    <w:p w14:paraId="7C0642AC">
      <w:pPr>
        <w:snapToGrid w:val="0"/>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竞争性谈判</w:t>
      </w:r>
      <w:r>
        <w:rPr>
          <w:rFonts w:hint="eastAsia" w:ascii="仿宋" w:hAnsi="仿宋" w:eastAsia="仿宋" w:cs="仿宋"/>
          <w:color w:val="auto"/>
          <w:sz w:val="24"/>
          <w:szCs w:val="24"/>
        </w:rPr>
        <w:t>公</w:t>
      </w:r>
      <w:r>
        <w:rPr>
          <w:rFonts w:hint="eastAsia" w:ascii="仿宋" w:hAnsi="仿宋" w:eastAsia="仿宋" w:cs="仿宋"/>
          <w:color w:val="auto"/>
          <w:sz w:val="24"/>
          <w:szCs w:val="24"/>
          <w:lang w:eastAsia="zh-CN"/>
        </w:rPr>
        <w:t>告</w:t>
      </w:r>
    </w:p>
    <w:p w14:paraId="54713FEE">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2.供应商须知</w:t>
      </w:r>
    </w:p>
    <w:p w14:paraId="3B90DD31">
      <w:pPr>
        <w:adjustRightInd w:val="0"/>
        <w:snapToGrid w:val="0"/>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3.技术要求</w:t>
      </w:r>
    </w:p>
    <w:p w14:paraId="3F2BFB44">
      <w:pPr>
        <w:adjustRightInd w:val="0"/>
        <w:snapToGrid w:val="0"/>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4.合同文本（参考）</w:t>
      </w:r>
    </w:p>
    <w:p w14:paraId="022A1679">
      <w:pPr>
        <w:snapToGrid w:val="0"/>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5.响应文件格式</w:t>
      </w:r>
    </w:p>
    <w:p w14:paraId="6096F881">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供应商获取</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后，应仔细检查文件页数和附件数量，如发现有缺漏，请及时与采购代理机构联系补全。如果供应商不按上述要求操作而造成不良后果，采购代理机构不承担责任。</w:t>
      </w:r>
    </w:p>
    <w:p w14:paraId="2F096C06">
      <w:pPr>
        <w:snapToGrid w:val="0"/>
        <w:spacing w:line="360" w:lineRule="auto"/>
        <w:rPr>
          <w:rFonts w:hint="eastAsia" w:ascii="仿宋" w:hAnsi="仿宋" w:eastAsia="仿宋" w:cs="仿宋"/>
          <w:color w:val="auto"/>
          <w:sz w:val="24"/>
          <w:szCs w:val="24"/>
        </w:rPr>
      </w:pPr>
      <w:r>
        <w:rPr>
          <w:rFonts w:hint="eastAsia" w:ascii="仿宋" w:hAnsi="仿宋" w:eastAsia="仿宋" w:cs="仿宋"/>
          <w:b/>
          <w:bCs/>
          <w:color w:val="auto"/>
          <w:sz w:val="24"/>
          <w:szCs w:val="24"/>
        </w:rPr>
        <w:t>（八）</w:t>
      </w:r>
      <w:r>
        <w:rPr>
          <w:rFonts w:hint="eastAsia" w:ascii="仿宋" w:hAnsi="仿宋" w:eastAsia="仿宋" w:cs="仿宋"/>
          <w:b/>
          <w:bCs/>
          <w:color w:val="auto"/>
          <w:sz w:val="24"/>
          <w:szCs w:val="24"/>
          <w:lang w:eastAsia="zh-CN"/>
        </w:rPr>
        <w:t>谈判文件</w:t>
      </w:r>
      <w:r>
        <w:rPr>
          <w:rFonts w:hint="eastAsia" w:ascii="仿宋" w:hAnsi="仿宋" w:eastAsia="仿宋" w:cs="仿宋"/>
          <w:b/>
          <w:bCs/>
          <w:color w:val="auto"/>
          <w:sz w:val="24"/>
          <w:szCs w:val="24"/>
        </w:rPr>
        <w:t>的澄清</w:t>
      </w:r>
    </w:p>
    <w:p w14:paraId="562C9472">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任何要求对</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澄清的供应商，均应在在响应文件接收截止时间5日之前，</w:t>
      </w:r>
      <w:r>
        <w:rPr>
          <w:rFonts w:hint="eastAsia" w:ascii="仿宋" w:hAnsi="仿宋" w:eastAsia="仿宋" w:cs="仿宋"/>
          <w:color w:val="auto"/>
          <w:sz w:val="24"/>
          <w:szCs w:val="24"/>
          <w:lang w:eastAsia="zh-CN"/>
        </w:rPr>
        <w:t>由澄清或质疑方的法定代表人或授权投标人（必须为法定代表人授权进行该项目投标的被授权人）以书面形式向采购人及招标代理公司递交澄清或质疑函(原件)，并登记备</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案。澄清或质疑函须有法定代表人亲笔签章。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w:t>
      </w:r>
      <w:r>
        <w:rPr>
          <w:rFonts w:hint="eastAsia" w:ascii="仿宋" w:hAnsi="仿宋" w:eastAsia="仿宋" w:cs="仿宋"/>
          <w:color w:val="auto"/>
          <w:sz w:val="24"/>
          <w:szCs w:val="24"/>
          <w:u w:val="single"/>
          <w:lang w:eastAsia="zh-CN"/>
        </w:rPr>
        <w:t>检验检测综合能力提升项目</w:t>
      </w:r>
      <w:r>
        <w:rPr>
          <w:rFonts w:hint="eastAsia" w:ascii="仿宋" w:hAnsi="仿宋" w:eastAsia="仿宋" w:cs="仿宋"/>
          <w:color w:val="auto"/>
          <w:sz w:val="24"/>
          <w:szCs w:val="24"/>
          <w:lang w:eastAsia="zh-CN"/>
        </w:rPr>
        <w:t>澄清或质疑使用”字样，并由身份证持有人签章确认。上述资料均须加盖公章。</w:t>
      </w:r>
      <w:r>
        <w:rPr>
          <w:rFonts w:hint="eastAsia" w:ascii="仿宋" w:hAnsi="仿宋" w:eastAsia="仿宋" w:cs="仿宋"/>
          <w:color w:val="auto"/>
          <w:sz w:val="24"/>
          <w:szCs w:val="24"/>
        </w:rPr>
        <w:t>采购代理机构对规定时间内收到的澄清要求以书面形式予以答复，答复不包括问题的来源。</w:t>
      </w:r>
    </w:p>
    <w:p w14:paraId="3536DCDA">
      <w:pPr>
        <w:snapToGrid w:val="0"/>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（九）</w:t>
      </w:r>
      <w:r>
        <w:rPr>
          <w:rFonts w:hint="eastAsia" w:ascii="仿宋" w:hAnsi="仿宋" w:eastAsia="仿宋" w:cs="仿宋"/>
          <w:b/>
          <w:bCs/>
          <w:color w:val="auto"/>
          <w:sz w:val="24"/>
          <w:szCs w:val="24"/>
          <w:lang w:eastAsia="zh-CN"/>
        </w:rPr>
        <w:t>谈判文件</w:t>
      </w:r>
      <w:r>
        <w:rPr>
          <w:rFonts w:hint="eastAsia" w:ascii="仿宋" w:hAnsi="仿宋" w:eastAsia="仿宋" w:cs="仿宋"/>
          <w:b/>
          <w:bCs/>
          <w:color w:val="auto"/>
          <w:sz w:val="24"/>
          <w:szCs w:val="24"/>
        </w:rPr>
        <w:t>的修改</w:t>
      </w:r>
    </w:p>
    <w:p w14:paraId="1B837FF1">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1、在响应文件接收截止5日前，采购代理机构可以更正文件以补充文件的形式对</w:t>
      </w:r>
      <w:r>
        <w:rPr>
          <w:rFonts w:hint="eastAsia" w:ascii="仿宋" w:hAnsi="仿宋" w:eastAsia="仿宋" w:cs="仿宋"/>
          <w:bCs/>
          <w:color w:val="auto"/>
          <w:sz w:val="24"/>
          <w:szCs w:val="24"/>
          <w:lang w:eastAsia="zh-CN"/>
        </w:rPr>
        <w:t>竞争性谈判</w:t>
      </w:r>
      <w:r>
        <w:rPr>
          <w:rFonts w:hint="eastAsia" w:ascii="仿宋" w:hAnsi="仿宋" w:eastAsia="仿宋" w:cs="仿宋"/>
          <w:color w:val="auto"/>
          <w:sz w:val="24"/>
          <w:szCs w:val="24"/>
        </w:rPr>
        <w:t>进行修改。</w:t>
      </w:r>
    </w:p>
    <w:p w14:paraId="1A263095">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2、为使供应商有充分的时间对</w:t>
      </w:r>
      <w:r>
        <w:rPr>
          <w:rFonts w:hint="eastAsia" w:ascii="仿宋" w:hAnsi="仿宋" w:eastAsia="仿宋" w:cs="仿宋"/>
          <w:bCs/>
          <w:color w:val="auto"/>
          <w:sz w:val="24"/>
          <w:szCs w:val="24"/>
          <w:lang w:eastAsia="zh-CN"/>
        </w:rPr>
        <w:t>谈判文件</w:t>
      </w:r>
      <w:r>
        <w:rPr>
          <w:rFonts w:hint="eastAsia" w:ascii="仿宋" w:hAnsi="仿宋" w:eastAsia="仿宋" w:cs="仿宋"/>
          <w:color w:val="auto"/>
          <w:sz w:val="24"/>
          <w:szCs w:val="24"/>
        </w:rPr>
        <w:t>的修改部分进行分析、研究，采购代理机构有权推迟响应文件接收截止日期和招标时间，并将此变更在</w:t>
      </w:r>
      <w:r>
        <w:rPr>
          <w:rFonts w:hint="eastAsia" w:ascii="仿宋" w:hAnsi="仿宋" w:eastAsia="仿宋" w:cs="仿宋"/>
          <w:color w:val="auto"/>
          <w:sz w:val="24"/>
          <w:szCs w:val="24"/>
          <w:lang w:eastAsia="zh-CN"/>
        </w:rPr>
        <w:t>政采云平台</w:t>
      </w:r>
      <w:r>
        <w:rPr>
          <w:rFonts w:hint="eastAsia" w:ascii="仿宋" w:hAnsi="仿宋" w:eastAsia="仿宋" w:cs="仿宋"/>
          <w:color w:val="auto"/>
          <w:sz w:val="24"/>
          <w:szCs w:val="24"/>
        </w:rPr>
        <w:t>以变更通知的形式予以公布或以书面通知所有购买</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的供应商。</w:t>
      </w:r>
    </w:p>
    <w:p w14:paraId="22E5F660">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、采购代理机构发出的所有补充、修改和变更文件均作为</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的组成部分，与</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具有同等法律效力。</w:t>
      </w:r>
    </w:p>
    <w:p w14:paraId="642B7CC5">
      <w:pPr>
        <w:pStyle w:val="3"/>
        <w:rPr>
          <w:rFonts w:hint="eastAsia" w:ascii="仿宋" w:hAnsi="仿宋" w:eastAsia="仿宋" w:cs="仿宋"/>
          <w:color w:val="auto"/>
          <w:sz w:val="28"/>
          <w:szCs w:val="28"/>
        </w:rPr>
      </w:pPr>
      <w:bookmarkStart w:id="4" w:name="_Toc452657553"/>
      <w:bookmarkStart w:id="5" w:name="_Toc497129138"/>
      <w:r>
        <w:rPr>
          <w:rFonts w:hint="eastAsia" w:ascii="仿宋" w:hAnsi="仿宋" w:eastAsia="仿宋" w:cs="仿宋"/>
          <w:color w:val="auto"/>
          <w:sz w:val="28"/>
          <w:szCs w:val="28"/>
        </w:rPr>
        <w:t>三、响应文件的编制</w:t>
      </w:r>
      <w:bookmarkEnd w:id="4"/>
      <w:bookmarkEnd w:id="5"/>
    </w:p>
    <w:p w14:paraId="540B1380">
      <w:pPr>
        <w:snapToGrid w:val="0"/>
        <w:spacing w:line="360" w:lineRule="auto"/>
        <w:ind w:firstLine="245" w:firstLineChars="100"/>
        <w:rPr>
          <w:rFonts w:hint="eastAsia" w:ascii="仿宋" w:hAnsi="仿宋" w:eastAsia="仿宋" w:cs="仿宋"/>
          <w:b/>
          <w:bCs/>
          <w:color w:val="auto"/>
          <w:sz w:val="24"/>
          <w:szCs w:val="24"/>
        </w:rPr>
      </w:pPr>
      <w:r>
        <w:rPr>
          <w:rFonts w:hint="eastAsia" w:ascii="仿宋" w:hAnsi="仿宋" w:eastAsia="仿宋" w:cs="仿宋"/>
          <w:b/>
          <w:bCs/>
          <w:color w:val="auto"/>
          <w:sz w:val="24"/>
          <w:szCs w:val="24"/>
        </w:rPr>
        <w:t>（十）响应文件的编制要求</w:t>
      </w:r>
    </w:p>
    <w:p w14:paraId="3D9BFD9C">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供应商应仔细阅读“</w:t>
      </w:r>
      <w:r>
        <w:rPr>
          <w:rFonts w:hint="eastAsia" w:ascii="仿宋" w:hAnsi="仿宋" w:eastAsia="仿宋" w:cs="仿宋"/>
          <w:bCs/>
          <w:color w:val="auto"/>
          <w:sz w:val="24"/>
          <w:szCs w:val="24"/>
          <w:lang w:eastAsia="zh-CN"/>
        </w:rPr>
        <w:t>谈判文件</w:t>
      </w:r>
      <w:r>
        <w:rPr>
          <w:rFonts w:hint="eastAsia" w:ascii="仿宋" w:hAnsi="仿宋" w:eastAsia="仿宋" w:cs="仿宋"/>
          <w:color w:val="auto"/>
          <w:sz w:val="24"/>
          <w:szCs w:val="24"/>
        </w:rPr>
        <w:t>”的所有内容，按“</w:t>
      </w:r>
      <w:r>
        <w:rPr>
          <w:rFonts w:hint="eastAsia" w:ascii="仿宋" w:hAnsi="仿宋" w:eastAsia="仿宋" w:cs="仿宋"/>
          <w:bCs/>
          <w:color w:val="auto"/>
          <w:sz w:val="24"/>
          <w:szCs w:val="24"/>
          <w:lang w:eastAsia="zh-CN"/>
        </w:rPr>
        <w:t>谈判文件</w:t>
      </w:r>
      <w:r>
        <w:rPr>
          <w:rFonts w:hint="eastAsia" w:ascii="仿宋" w:hAnsi="仿宋" w:eastAsia="仿宋" w:cs="仿宋"/>
          <w:color w:val="auto"/>
          <w:sz w:val="24"/>
          <w:szCs w:val="24"/>
        </w:rPr>
        <w:t>”的要求编制“响应文件”，并保证所提供的全部资料的真实性、完整性及有效性，以使其投标对“</w:t>
      </w:r>
      <w:r>
        <w:rPr>
          <w:rFonts w:hint="eastAsia" w:ascii="仿宋" w:hAnsi="仿宋" w:eastAsia="仿宋" w:cs="仿宋"/>
          <w:bCs/>
          <w:color w:val="auto"/>
          <w:sz w:val="24"/>
          <w:szCs w:val="24"/>
          <w:lang w:eastAsia="zh-CN"/>
        </w:rPr>
        <w:t>谈判文件</w:t>
      </w:r>
      <w:r>
        <w:rPr>
          <w:rFonts w:hint="eastAsia" w:ascii="仿宋" w:hAnsi="仿宋" w:eastAsia="仿宋" w:cs="仿宋"/>
          <w:color w:val="auto"/>
          <w:sz w:val="24"/>
          <w:szCs w:val="24"/>
        </w:rPr>
        <w:t>”做出</w:t>
      </w:r>
      <w:r>
        <w:rPr>
          <w:rFonts w:hint="eastAsia" w:ascii="仿宋" w:hAnsi="仿宋" w:eastAsia="仿宋" w:cs="仿宋"/>
          <w:b/>
          <w:color w:val="auto"/>
          <w:sz w:val="24"/>
          <w:szCs w:val="24"/>
        </w:rPr>
        <w:t>实质性响应</w:t>
      </w:r>
      <w:r>
        <w:rPr>
          <w:rFonts w:hint="eastAsia" w:ascii="仿宋" w:hAnsi="仿宋" w:eastAsia="仿宋" w:cs="仿宋"/>
          <w:color w:val="auto"/>
          <w:sz w:val="24"/>
          <w:szCs w:val="24"/>
        </w:rPr>
        <w:t>。否则，可能被拒绝。</w:t>
      </w:r>
    </w:p>
    <w:p w14:paraId="0ABB062C">
      <w:pPr>
        <w:snapToGrid w:val="0"/>
        <w:spacing w:line="360" w:lineRule="auto"/>
        <w:ind w:firstLine="245" w:firstLineChars="100"/>
        <w:rPr>
          <w:rFonts w:hint="eastAsia" w:ascii="仿宋" w:hAnsi="仿宋" w:eastAsia="仿宋" w:cs="仿宋"/>
          <w:color w:val="auto"/>
          <w:sz w:val="24"/>
          <w:szCs w:val="24"/>
        </w:rPr>
      </w:pPr>
      <w:r>
        <w:rPr>
          <w:rFonts w:hint="eastAsia" w:ascii="仿宋" w:hAnsi="仿宋" w:eastAsia="仿宋" w:cs="仿宋"/>
          <w:b/>
          <w:bCs/>
          <w:color w:val="auto"/>
          <w:sz w:val="24"/>
          <w:szCs w:val="24"/>
        </w:rPr>
        <w:t>（十一）响应文件构成</w:t>
      </w:r>
    </w:p>
    <w:p w14:paraId="68B4BA2B">
      <w:pPr>
        <w:snapToGrid w:val="0"/>
        <w:spacing w:line="360" w:lineRule="auto"/>
        <w:ind w:firstLine="490" w:firstLineChars="200"/>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资格证明文件和商务及技术文件两部分</w:t>
      </w:r>
    </w:p>
    <w:p w14:paraId="5B19A209">
      <w:pPr>
        <w:snapToGrid w:val="0"/>
        <w:spacing w:line="360" w:lineRule="auto"/>
        <w:ind w:firstLine="490" w:firstLineChars="200"/>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val="en-US" w:eastAsia="zh-CN"/>
        </w:rPr>
        <w:t>（1）</w:t>
      </w:r>
      <w:r>
        <w:rPr>
          <w:rFonts w:hint="eastAsia" w:ascii="仿宋" w:hAnsi="仿宋" w:eastAsia="仿宋" w:cs="仿宋"/>
          <w:b/>
          <w:color w:val="auto"/>
          <w:sz w:val="24"/>
          <w:szCs w:val="24"/>
          <w:lang w:eastAsia="zh-CN"/>
        </w:rPr>
        <w:t>资格证明文件（包括但不限于）</w:t>
      </w:r>
    </w:p>
    <w:p w14:paraId="7D052E96">
      <w:pPr>
        <w:snapToGrid w:val="0"/>
        <w:spacing w:line="360" w:lineRule="auto"/>
        <w:ind w:firstLine="490" w:firstLineChars="200"/>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资格证明文件是证明投标人有资格参加投标和成交后有能力履行合同的文件，这些文件应能满足招标的要求，否则作无效投标处理。</w:t>
      </w:r>
    </w:p>
    <w:p w14:paraId="5F073E56">
      <w:pPr>
        <w:numPr>
          <w:ilvl w:val="0"/>
          <w:numId w:val="0"/>
        </w:numPr>
        <w:snapToGrid w:val="0"/>
        <w:spacing w:line="360" w:lineRule="auto"/>
        <w:ind w:firstLine="490" w:firstLineChars="200"/>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具备三证合一营业执照副本；</w:t>
      </w:r>
    </w:p>
    <w:p w14:paraId="33410EF4">
      <w:pPr>
        <w:snapToGrid w:val="0"/>
        <w:spacing w:line="360" w:lineRule="auto"/>
        <w:ind w:firstLine="490" w:firstLineChars="200"/>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2、法定代表人资格证明书；</w:t>
      </w:r>
    </w:p>
    <w:p w14:paraId="75E00A56">
      <w:pPr>
        <w:snapToGrid w:val="0"/>
        <w:spacing w:line="360" w:lineRule="auto"/>
        <w:ind w:firstLine="490" w:firstLineChars="200"/>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3、法定代表人授权书；</w:t>
      </w:r>
    </w:p>
    <w:p w14:paraId="0701207F">
      <w:pPr>
        <w:snapToGrid w:val="0"/>
        <w:spacing w:line="360" w:lineRule="auto"/>
        <w:ind w:firstLine="490" w:firstLineChars="200"/>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4、投标保证金缴纳凭证或投标担保函；</w:t>
      </w:r>
    </w:p>
    <w:p w14:paraId="4F500517">
      <w:pPr>
        <w:snapToGrid w:val="0"/>
        <w:spacing w:line="360" w:lineRule="auto"/>
        <w:ind w:firstLine="490" w:firstLineChars="200"/>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5、投标企业须提供投标人（被授权在职人员）近6个月内任意一个月有效的社保证明；</w:t>
      </w:r>
    </w:p>
    <w:p w14:paraId="71137DB8">
      <w:pPr>
        <w:snapToGrid w:val="0"/>
        <w:spacing w:line="360" w:lineRule="auto"/>
        <w:ind w:firstLine="490" w:firstLineChars="200"/>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6</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r>
        <w:rPr>
          <w:rFonts w:hint="eastAsia" w:ascii="仿宋" w:hAnsi="仿宋" w:eastAsia="仿宋" w:cs="仿宋"/>
          <w:b w:val="0"/>
          <w:bCs/>
          <w:color w:val="auto"/>
          <w:sz w:val="24"/>
          <w:szCs w:val="24"/>
          <w:lang w:eastAsia="zh-CN"/>
        </w:rPr>
        <w:t>；</w:t>
      </w:r>
    </w:p>
    <w:p w14:paraId="07C159D1">
      <w:pPr>
        <w:snapToGrid w:val="0"/>
        <w:spacing w:line="360" w:lineRule="auto"/>
        <w:ind w:firstLine="49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具有良好的商业信誉和健全的财务会计制度（由具备资质的中介机构出具2024年或2025年的财务审计报告（报告中须包括资产负债表、利润表、现金流量表及财务报表附注）复印件加盖公章或近一年内银行提供的资信证明（新公司从成立之日起算）；成立不满一年企业提供财务报表（复印件加盖公章）；</w:t>
      </w:r>
    </w:p>
    <w:p w14:paraId="6F4F2271">
      <w:pPr>
        <w:snapToGrid w:val="0"/>
        <w:spacing w:line="360" w:lineRule="auto"/>
        <w:ind w:firstLine="490" w:firstLineChars="200"/>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8、中小企业声明函</w:t>
      </w:r>
    </w:p>
    <w:p w14:paraId="06FB66AE">
      <w:pPr>
        <w:snapToGrid w:val="0"/>
        <w:spacing w:line="360" w:lineRule="auto"/>
        <w:ind w:firstLine="490" w:firstLineChars="200"/>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9、</w:t>
      </w:r>
      <w:r>
        <w:rPr>
          <w:rFonts w:hint="eastAsia" w:ascii="仿宋" w:hAnsi="仿宋" w:eastAsia="仿宋" w:cs="仿宋"/>
          <w:b w:val="0"/>
          <w:bCs/>
          <w:color w:val="auto"/>
          <w:sz w:val="24"/>
          <w:szCs w:val="24"/>
          <w:lang w:eastAsia="zh-CN"/>
        </w:rPr>
        <w:t xml:space="preserve">投标人须知资料表要求的其他资格证明文件; </w:t>
      </w:r>
    </w:p>
    <w:p w14:paraId="2B36D1BF">
      <w:pPr>
        <w:snapToGrid w:val="0"/>
        <w:spacing w:line="360" w:lineRule="auto"/>
        <w:ind w:firstLine="490" w:firstLineChars="200"/>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（2）商务及技术文件（包括但不限于）</w:t>
      </w:r>
    </w:p>
    <w:p w14:paraId="6A3C9EC0">
      <w:pPr>
        <w:snapToGrid w:val="0"/>
        <w:spacing w:line="360" w:lineRule="auto"/>
        <w:ind w:firstLine="49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1、投标函</w:t>
      </w:r>
    </w:p>
    <w:p w14:paraId="01AC7A0D">
      <w:pPr>
        <w:snapToGrid w:val="0"/>
        <w:spacing w:line="360" w:lineRule="auto"/>
        <w:ind w:firstLine="49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2、开标一览表</w:t>
      </w:r>
    </w:p>
    <w:p w14:paraId="57DB3D59">
      <w:pPr>
        <w:snapToGrid w:val="0"/>
        <w:spacing w:line="360" w:lineRule="auto"/>
        <w:ind w:firstLine="49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3、货物说明一览表</w:t>
      </w:r>
    </w:p>
    <w:p w14:paraId="784A2814">
      <w:pPr>
        <w:snapToGrid w:val="0"/>
        <w:spacing w:line="360" w:lineRule="auto"/>
        <w:ind w:firstLine="49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4、投标分项报价明细表</w:t>
      </w:r>
    </w:p>
    <w:p w14:paraId="4F9427D6">
      <w:pPr>
        <w:snapToGrid w:val="0"/>
        <w:spacing w:line="360" w:lineRule="auto"/>
        <w:ind w:firstLine="49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5、技术规格偏离表</w:t>
      </w:r>
    </w:p>
    <w:p w14:paraId="22940451">
      <w:pPr>
        <w:snapToGrid w:val="0"/>
        <w:spacing w:line="360" w:lineRule="auto"/>
        <w:ind w:firstLine="49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6、商务条款偏离表</w:t>
      </w:r>
    </w:p>
    <w:p w14:paraId="34932C1A">
      <w:pPr>
        <w:snapToGrid w:val="0"/>
        <w:spacing w:line="360" w:lineRule="auto"/>
        <w:ind w:firstLine="49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7、投标人基本情况表</w:t>
      </w:r>
    </w:p>
    <w:p w14:paraId="2304BDAA">
      <w:pPr>
        <w:snapToGrid w:val="0"/>
        <w:spacing w:line="360" w:lineRule="auto"/>
        <w:ind w:firstLine="49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8、成交服务费支付承诺书</w:t>
      </w:r>
    </w:p>
    <w:p w14:paraId="10D0CABF">
      <w:pPr>
        <w:snapToGrid w:val="0"/>
        <w:spacing w:line="360" w:lineRule="auto"/>
        <w:ind w:firstLine="49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9、中小企业声明函(货物)</w:t>
      </w:r>
    </w:p>
    <w:p w14:paraId="7AF7A1BC">
      <w:pPr>
        <w:snapToGrid w:val="0"/>
        <w:spacing w:line="360" w:lineRule="auto"/>
        <w:ind w:firstLine="49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10、残疾人福利性单位声明函</w:t>
      </w:r>
    </w:p>
    <w:p w14:paraId="392BAA81">
      <w:pPr>
        <w:snapToGrid w:val="0"/>
        <w:spacing w:line="360" w:lineRule="auto"/>
        <w:ind w:firstLine="49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11、质量保证及售后服务（格式自拟）</w:t>
      </w:r>
    </w:p>
    <w:p w14:paraId="3170706D">
      <w:pPr>
        <w:snapToGrid w:val="0"/>
        <w:spacing w:line="360" w:lineRule="auto"/>
        <w:ind w:firstLine="49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12、投标人认为有必要提供的其他证明材料</w:t>
      </w:r>
    </w:p>
    <w:p w14:paraId="10CC0A0C">
      <w:pPr>
        <w:snapToGrid w:val="0"/>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注：</w:t>
      </w:r>
      <w:r>
        <w:rPr>
          <w:rFonts w:hint="eastAsia" w:ascii="仿宋" w:hAnsi="仿宋" w:eastAsia="仿宋" w:cs="仿宋"/>
          <w:b/>
          <w:bCs/>
          <w:color w:val="auto"/>
          <w:sz w:val="24"/>
          <w:szCs w:val="24"/>
          <w:u w:val="single"/>
          <w:lang w:val="en-US" w:eastAsia="zh-CN"/>
        </w:rPr>
        <w:t>1.为了便于查找，请按上述顺序编制内容，并在目录中标明每项内容的起始页码。</w:t>
      </w:r>
      <w:r>
        <w:rPr>
          <w:rFonts w:hint="eastAsia" w:ascii="仿宋" w:hAnsi="仿宋" w:eastAsia="仿宋" w:cs="仿宋"/>
          <w:b/>
          <w:bCs/>
          <w:color w:val="auto"/>
          <w:sz w:val="24"/>
          <w:szCs w:val="24"/>
          <w:lang w:val="en-US" w:eastAsia="zh-CN"/>
        </w:rPr>
        <w:t xml:space="preserve"> </w:t>
      </w:r>
    </w:p>
    <w:p w14:paraId="118F960B">
      <w:pPr>
        <w:snapToGrid w:val="0"/>
        <w:spacing w:line="360" w:lineRule="auto"/>
        <w:ind w:firstLine="49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u w:val="single"/>
          <w:lang w:val="en-US" w:eastAsia="zh-CN"/>
        </w:rPr>
        <w:t>2.以上材料须加盖单位公章。</w:t>
      </w:r>
      <w:r>
        <w:rPr>
          <w:rFonts w:hint="eastAsia" w:ascii="仿宋" w:hAnsi="仿宋" w:eastAsia="仿宋" w:cs="仿宋"/>
          <w:b/>
          <w:bCs/>
          <w:color w:val="auto"/>
          <w:sz w:val="24"/>
          <w:szCs w:val="24"/>
          <w:lang w:val="en-US" w:eastAsia="zh-CN"/>
        </w:rPr>
        <w:t xml:space="preserve"> </w:t>
      </w:r>
    </w:p>
    <w:p w14:paraId="36D9D1A4">
      <w:pPr>
        <w:snapToGrid w:val="0"/>
        <w:spacing w:line="360" w:lineRule="auto"/>
        <w:ind w:firstLine="490" w:firstLineChars="200"/>
        <w:rPr>
          <w:rFonts w:hint="eastAsia" w:ascii="仿宋" w:hAnsi="仿宋" w:eastAsia="仿宋" w:cs="仿宋"/>
          <w:b/>
          <w:bCs/>
          <w:color w:val="auto"/>
          <w:sz w:val="24"/>
          <w:szCs w:val="24"/>
          <w:u w:val="single"/>
        </w:rPr>
      </w:pPr>
      <w:r>
        <w:rPr>
          <w:rFonts w:hint="eastAsia" w:ascii="仿宋" w:hAnsi="仿宋" w:eastAsia="仿宋" w:cs="仿宋"/>
          <w:b/>
          <w:bCs/>
          <w:color w:val="auto"/>
          <w:sz w:val="24"/>
          <w:szCs w:val="24"/>
          <w:u w:val="single"/>
          <w:lang w:val="en-US" w:eastAsia="zh-CN"/>
        </w:rPr>
        <w:t>3.请各投标供应商根据项目实际需求，并结合企业自身情况以及相关评标办法进行编制。</w:t>
      </w:r>
    </w:p>
    <w:p w14:paraId="1001DA60">
      <w:pPr>
        <w:snapToGrid w:val="0"/>
        <w:spacing w:line="360" w:lineRule="auto"/>
        <w:ind w:firstLine="200"/>
        <w:rPr>
          <w:rFonts w:hint="eastAsia" w:ascii="仿宋" w:hAnsi="仿宋" w:eastAsia="仿宋" w:cs="仿宋"/>
          <w:color w:val="auto"/>
          <w:sz w:val="24"/>
          <w:szCs w:val="24"/>
        </w:rPr>
      </w:pPr>
      <w:r>
        <w:rPr>
          <w:rFonts w:hint="eastAsia" w:ascii="仿宋" w:hAnsi="仿宋" w:eastAsia="仿宋" w:cs="仿宋"/>
          <w:b/>
          <w:bCs/>
          <w:color w:val="auto"/>
          <w:sz w:val="24"/>
          <w:szCs w:val="24"/>
        </w:rPr>
        <w:t>（十二）响应文件格式</w:t>
      </w:r>
    </w:p>
    <w:p w14:paraId="2B5369A3">
      <w:pPr>
        <w:snapToGrid w:val="0"/>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供应商应仔细阅读谈判文件的所有内容，按照谈判文件的要求详细编制响应文件，所提交的全部资料必须真实有效，并且要保证字迹清晰易于辨认。响应文件应对谈判文件实质性内容作出响应，否则按无效标处理。</w:t>
      </w:r>
    </w:p>
    <w:p w14:paraId="5CBA0357">
      <w:pPr>
        <w:snapToGrid w:val="0"/>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（2）响应文件格式应按本谈判文件第五章格式要求编制，不得对谈判文件格式进行增删更改，否则按无效标处理。</w:t>
      </w:r>
    </w:p>
    <w:p w14:paraId="2814CFD3">
      <w:pPr>
        <w:snapToGrid w:val="0"/>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（3）对谈判文件格式可更改的例外情况：谈判文件第五部分附件格式要求中明确规定表格中行数不够用时可按相同格式增加行数，其他一切内容和格式不得更改。 </w:t>
      </w:r>
    </w:p>
    <w:p w14:paraId="1EA5DBD7">
      <w:pPr>
        <w:snapToGrid w:val="0"/>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（4）响应文件为电子响应文件，电子响应文件按“政采云供应商项目采购-电子招投标操作指南”及本谈判文件要求制作、加密传输。</w:t>
      </w:r>
    </w:p>
    <w:p w14:paraId="3AD3F43D">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（5）响应文件未在投标截止时间前完成传输的，视为响应文件撤回；响应文件未按时解密也未提供备份响应文件的，亦视为响应文件撤回。</w:t>
      </w:r>
    </w:p>
    <w:p w14:paraId="78A663BD">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rPr>
        <w:t>（十三）</w:t>
      </w:r>
      <w:r>
        <w:rPr>
          <w:rFonts w:hint="eastAsia" w:ascii="仿宋" w:hAnsi="仿宋" w:eastAsia="仿宋" w:cs="仿宋"/>
          <w:b/>
          <w:bCs/>
          <w:color w:val="auto"/>
          <w:sz w:val="24"/>
          <w:szCs w:val="24"/>
          <w:lang w:eastAsia="zh-CN"/>
        </w:rPr>
        <w:t>谈判</w:t>
      </w:r>
      <w:r>
        <w:rPr>
          <w:rFonts w:hint="eastAsia" w:ascii="仿宋" w:hAnsi="仿宋" w:eastAsia="仿宋" w:cs="仿宋"/>
          <w:b/>
          <w:bCs/>
          <w:color w:val="auto"/>
          <w:sz w:val="24"/>
          <w:szCs w:val="24"/>
        </w:rPr>
        <w:t>报价</w:t>
      </w:r>
    </w:p>
    <w:p w14:paraId="2E8A0751">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报价为“招标范围”内的总报价。</w:t>
      </w:r>
    </w:p>
    <w:p w14:paraId="6A889BBE">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2、凡要求供应商考虑在报价中的内容供应商在响应文件中没有考虑、没有计入的或未单独列出，采购人认为供应商已将此项费用涵盖在其它费用价格中。</w:t>
      </w:r>
    </w:p>
    <w:p w14:paraId="6409F789">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报价应包含项目实施过程中涉及到的一切费用。</w:t>
      </w:r>
    </w:p>
    <w:p w14:paraId="713B45A2">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4、报价注意事项：</w:t>
      </w:r>
    </w:p>
    <w:p w14:paraId="45C71DA3">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供应商报价时应充分考虑所有可能影响到报价的报价因素，一旦招标结束最终成交，总价将固定，不予调整。如发生漏、缺、少项，都将被认为是成交人的报价让利行为，损失自负。</w:t>
      </w:r>
      <w:r>
        <w:rPr>
          <w:rFonts w:hint="eastAsia" w:ascii="仿宋" w:hAnsi="仿宋" w:eastAsia="仿宋" w:cs="仿宋"/>
          <w:b/>
          <w:bCs w:val="0"/>
          <w:color w:val="FF0000"/>
          <w:kern w:val="2"/>
          <w:sz w:val="24"/>
          <w:szCs w:val="24"/>
          <w:highlight w:val="none"/>
          <w:lang w:val="en-US" w:eastAsia="zh-CN" w:bidi="ar-SA"/>
        </w:rPr>
        <w:t>第二次报价或多轮报价需上传分项报价明细表。如不上传分项报价明细表视为不响应谈判文件。</w:t>
      </w:r>
    </w:p>
    <w:p w14:paraId="185B2C5C">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rPr>
        <w:t>（十四）投标有效期</w:t>
      </w:r>
    </w:p>
    <w:p w14:paraId="7AAD41B8">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1、投标有效期为</w:t>
      </w:r>
      <w:r>
        <w:rPr>
          <w:rFonts w:hint="eastAsia" w:ascii="仿宋" w:hAnsi="仿宋" w:eastAsia="仿宋" w:cs="仿宋"/>
          <w:bCs/>
          <w:color w:val="auto"/>
          <w:sz w:val="24"/>
          <w:szCs w:val="24"/>
          <w:lang w:eastAsia="zh-CN"/>
        </w:rPr>
        <w:t>谈判文件</w:t>
      </w:r>
      <w:r>
        <w:rPr>
          <w:rFonts w:hint="eastAsia" w:ascii="仿宋" w:hAnsi="仿宋" w:eastAsia="仿宋" w:cs="仿宋"/>
          <w:color w:val="auto"/>
          <w:sz w:val="24"/>
          <w:szCs w:val="24"/>
        </w:rPr>
        <w:t>规定的供应商提交响应文件截止之日起</w:t>
      </w:r>
      <w:r>
        <w:rPr>
          <w:rFonts w:hint="eastAsia" w:ascii="仿宋" w:hAnsi="仿宋" w:eastAsia="仿宋" w:cs="仿宋"/>
          <w:color w:val="auto"/>
          <w:sz w:val="24"/>
          <w:szCs w:val="24"/>
          <w:u w:val="single"/>
          <w:lang w:val="en-US" w:eastAsia="zh-CN"/>
        </w:rPr>
        <w:t>9</w:t>
      </w:r>
      <w:r>
        <w:rPr>
          <w:rFonts w:hint="eastAsia" w:ascii="仿宋" w:hAnsi="仿宋" w:eastAsia="仿宋" w:cs="仿宋"/>
          <w:color w:val="auto"/>
          <w:sz w:val="24"/>
          <w:szCs w:val="24"/>
          <w:u w:val="single"/>
          <w:lang w:eastAsia="zh-CN"/>
        </w:rPr>
        <w:t>0</w:t>
      </w:r>
      <w:r>
        <w:rPr>
          <w:rFonts w:hint="eastAsia" w:ascii="仿宋" w:hAnsi="仿宋" w:eastAsia="仿宋" w:cs="仿宋"/>
          <w:color w:val="auto"/>
          <w:sz w:val="24"/>
          <w:szCs w:val="24"/>
        </w:rPr>
        <w:t>天。投标有效期不满足</w:t>
      </w:r>
      <w:r>
        <w:rPr>
          <w:rFonts w:hint="eastAsia" w:ascii="仿宋" w:hAnsi="仿宋" w:eastAsia="仿宋" w:cs="仿宋"/>
          <w:bCs/>
          <w:color w:val="auto"/>
          <w:sz w:val="24"/>
          <w:szCs w:val="24"/>
          <w:lang w:eastAsia="zh-CN"/>
        </w:rPr>
        <w:t>谈判文件</w:t>
      </w:r>
      <w:r>
        <w:rPr>
          <w:rFonts w:hint="eastAsia" w:ascii="仿宋" w:hAnsi="仿宋" w:eastAsia="仿宋" w:cs="仿宋"/>
          <w:color w:val="auto"/>
          <w:sz w:val="24"/>
          <w:szCs w:val="24"/>
        </w:rPr>
        <w:t>要求的将视为非响应性文件而予以拒绝。</w:t>
      </w:r>
    </w:p>
    <w:p w14:paraId="796AEF07">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在特殊情况下，采购人于原投标有效期满之前，可向供应商提出延长投标有效期的要求，这种要求与答复均应采用书面形式（如信件、传真或电报等），供应商可以拒绝采购人的这一要求而放弃参与投标；同意延长的供应商不允许修改其响应文件。</w:t>
      </w:r>
    </w:p>
    <w:p w14:paraId="3D784FAA">
      <w:pPr>
        <w:snapToGrid w:val="0"/>
        <w:spacing w:line="360" w:lineRule="auto"/>
        <w:ind w:firstLine="239" w:firstLineChars="98"/>
        <w:rPr>
          <w:rFonts w:hint="eastAsia" w:ascii="仿宋" w:hAnsi="仿宋" w:eastAsia="仿宋" w:cs="仿宋"/>
          <w:color w:val="auto"/>
          <w:sz w:val="24"/>
          <w:szCs w:val="24"/>
        </w:rPr>
      </w:pPr>
      <w:r>
        <w:rPr>
          <w:rFonts w:hint="eastAsia" w:ascii="仿宋" w:hAnsi="仿宋" w:eastAsia="仿宋" w:cs="仿宋"/>
          <w:b/>
          <w:bCs/>
          <w:color w:val="auto"/>
          <w:sz w:val="24"/>
          <w:szCs w:val="24"/>
        </w:rPr>
        <w:t>（十</w:t>
      </w:r>
      <w:r>
        <w:rPr>
          <w:rFonts w:hint="eastAsia" w:ascii="仿宋" w:hAnsi="仿宋" w:eastAsia="仿宋" w:cs="仿宋"/>
          <w:b/>
          <w:bCs/>
          <w:color w:val="auto"/>
          <w:sz w:val="24"/>
          <w:szCs w:val="24"/>
          <w:lang w:eastAsia="zh-CN"/>
        </w:rPr>
        <w:t>五</w:t>
      </w:r>
      <w:r>
        <w:rPr>
          <w:rFonts w:hint="eastAsia" w:ascii="仿宋" w:hAnsi="仿宋" w:eastAsia="仿宋" w:cs="仿宋"/>
          <w:b/>
          <w:bCs/>
          <w:color w:val="auto"/>
          <w:sz w:val="24"/>
          <w:szCs w:val="24"/>
        </w:rPr>
        <w:t>）响应文件</w:t>
      </w:r>
      <w:r>
        <w:rPr>
          <w:rFonts w:hint="eastAsia" w:ascii="仿宋" w:hAnsi="仿宋" w:eastAsia="仿宋" w:cs="仿宋"/>
          <w:b/>
          <w:bCs/>
          <w:color w:val="auto"/>
          <w:sz w:val="24"/>
          <w:szCs w:val="24"/>
          <w:lang w:eastAsia="zh-CN"/>
        </w:rPr>
        <w:t>的</w:t>
      </w:r>
      <w:r>
        <w:rPr>
          <w:rFonts w:hint="eastAsia" w:ascii="仿宋" w:hAnsi="仿宋" w:eastAsia="仿宋" w:cs="仿宋"/>
          <w:b/>
          <w:bCs/>
          <w:color w:val="auto"/>
          <w:sz w:val="24"/>
          <w:szCs w:val="24"/>
        </w:rPr>
        <w:t>签署</w:t>
      </w:r>
    </w:p>
    <w:p w14:paraId="42E20AAE">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1、除供应商对错处做必要修改外，响应文件不得行间插字、涂改或增删，必要的修改处必须有供应商法人代表或其被授权人</w:t>
      </w:r>
      <w:r>
        <w:rPr>
          <w:rFonts w:hint="eastAsia" w:ascii="仿宋" w:hAnsi="仿宋" w:eastAsia="仿宋" w:cs="仿宋"/>
          <w:color w:val="auto"/>
          <w:sz w:val="24"/>
          <w:szCs w:val="24"/>
          <w:lang w:eastAsia="zh-CN"/>
        </w:rPr>
        <w:t>签章</w:t>
      </w:r>
      <w:r>
        <w:rPr>
          <w:rFonts w:hint="eastAsia" w:ascii="仿宋" w:hAnsi="仿宋" w:eastAsia="仿宋" w:cs="仿宋"/>
          <w:color w:val="auto"/>
          <w:sz w:val="24"/>
          <w:szCs w:val="24"/>
        </w:rPr>
        <w:t>并加盖公章。</w:t>
      </w:r>
    </w:p>
    <w:p w14:paraId="55C2A387">
      <w:pPr>
        <w:snapToGrid w:val="0"/>
        <w:spacing w:line="360" w:lineRule="auto"/>
        <w:ind w:firstLine="490" w:firstLineChars="200"/>
        <w:rPr>
          <w:rFonts w:hint="eastAsia" w:ascii="仿宋" w:hAnsi="仿宋" w:eastAsia="仿宋" w:cs="仿宋"/>
          <w:color w:val="auto"/>
          <w:sz w:val="24"/>
          <w:szCs w:val="24"/>
        </w:rPr>
      </w:pPr>
    </w:p>
    <w:p w14:paraId="64F47255">
      <w:pPr>
        <w:pStyle w:val="3"/>
        <w:rPr>
          <w:rFonts w:hint="eastAsia" w:ascii="仿宋" w:hAnsi="仿宋" w:eastAsia="仿宋" w:cs="仿宋"/>
          <w:b/>
          <w:bCs/>
          <w:color w:val="auto"/>
          <w:sz w:val="24"/>
          <w:szCs w:val="24"/>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四</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的制作、上传及递交要求</w:t>
      </w:r>
    </w:p>
    <w:p w14:paraId="4C33436A">
      <w:pPr>
        <w:snapToGrid w:val="0"/>
        <w:spacing w:line="360" w:lineRule="auto"/>
        <w:ind w:firstLine="490" w:firstLineChars="200"/>
        <w:rPr>
          <w:rFonts w:hint="eastAsia" w:ascii="仿宋" w:hAnsi="仿宋" w:eastAsia="仿宋" w:cs="仿宋"/>
          <w:b/>
          <w:color w:val="auto"/>
          <w:sz w:val="24"/>
          <w:szCs w:val="24"/>
        </w:rPr>
      </w:pPr>
      <w:r>
        <w:rPr>
          <w:rFonts w:hint="eastAsia" w:ascii="仿宋" w:hAnsi="仿宋" w:eastAsia="仿宋" w:cs="仿宋"/>
          <w:b/>
          <w:bCs/>
          <w:color w:val="auto"/>
          <w:sz w:val="24"/>
          <w:szCs w:val="24"/>
          <w:lang w:eastAsia="zh-CN"/>
        </w:rPr>
        <w:t>（十六）响应文件</w:t>
      </w:r>
      <w:r>
        <w:rPr>
          <w:rFonts w:hint="eastAsia" w:ascii="仿宋" w:hAnsi="仿宋" w:eastAsia="仿宋" w:cs="仿宋"/>
          <w:b/>
          <w:bCs/>
          <w:color w:val="auto"/>
          <w:sz w:val="24"/>
          <w:szCs w:val="24"/>
        </w:rPr>
        <w:t>的制作要求</w:t>
      </w:r>
    </w:p>
    <w:p w14:paraId="4DED662F">
      <w:pPr>
        <w:pStyle w:val="5"/>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（1）供应商应按照</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组成内容及项目招标需求和</w:t>
      </w:r>
      <w:r>
        <w:rPr>
          <w:rFonts w:hint="eastAsia" w:ascii="仿宋" w:hAnsi="仿宋" w:eastAsia="仿宋" w:cs="仿宋"/>
          <w:color w:val="auto"/>
          <w:sz w:val="24"/>
          <w:szCs w:val="24"/>
          <w:lang w:eastAsia="zh-CN"/>
        </w:rPr>
        <w:t>新疆</w:t>
      </w:r>
      <w:r>
        <w:rPr>
          <w:rFonts w:hint="eastAsia" w:ascii="仿宋" w:hAnsi="仿宋" w:eastAsia="仿宋" w:cs="仿宋"/>
          <w:color w:val="auto"/>
          <w:sz w:val="24"/>
          <w:szCs w:val="24"/>
        </w:rPr>
        <w:t>政府采购云平台要求制作</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，不按</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和</w:t>
      </w:r>
      <w:r>
        <w:rPr>
          <w:rFonts w:hint="eastAsia" w:ascii="仿宋" w:hAnsi="仿宋" w:eastAsia="仿宋" w:cs="仿宋"/>
          <w:color w:val="auto"/>
          <w:sz w:val="24"/>
          <w:szCs w:val="24"/>
          <w:lang w:eastAsia="zh-CN"/>
        </w:rPr>
        <w:t>新疆</w:t>
      </w:r>
      <w:r>
        <w:rPr>
          <w:rFonts w:hint="eastAsia" w:ascii="仿宋" w:hAnsi="仿宋" w:eastAsia="仿宋" w:cs="仿宋"/>
          <w:color w:val="auto"/>
          <w:sz w:val="24"/>
          <w:szCs w:val="24"/>
        </w:rPr>
        <w:t>政府采购云平台要求制作</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的将视情况处理（拒收等），由此产生的责任由供应商自行承担。</w:t>
      </w:r>
    </w:p>
    <w:p w14:paraId="6200E040">
      <w:pPr>
        <w:pStyle w:val="5"/>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电子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部分：供应商应根据“政采云供应商项目采购-电子招投标操作指南”及本</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规定的格式和顺序编制电子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并进行关联定位。本文件《</w:t>
      </w:r>
      <w:r>
        <w:rPr>
          <w:rFonts w:hint="eastAsia" w:ascii="仿宋" w:hAnsi="仿宋" w:eastAsia="仿宋" w:cs="仿宋"/>
          <w:color w:val="auto"/>
          <w:sz w:val="24"/>
          <w:szCs w:val="24"/>
          <w:lang w:eastAsia="zh-CN"/>
        </w:rPr>
        <w:t>第五部分</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格式》中有提供格式的，供应商应按照格式进行编制（格式中要求提供相关证明材料的还需后附相关证明材料），并按格式要求在指定位置根据要求进行签章，否则视为未提供；本文件《</w:t>
      </w:r>
      <w:r>
        <w:rPr>
          <w:rFonts w:hint="eastAsia" w:ascii="仿宋" w:hAnsi="仿宋" w:eastAsia="仿宋" w:cs="仿宋"/>
          <w:color w:val="auto"/>
          <w:sz w:val="24"/>
          <w:szCs w:val="24"/>
          <w:lang w:eastAsia="zh-CN"/>
        </w:rPr>
        <w:t>第五部分响应文件</w:t>
      </w:r>
      <w:r>
        <w:rPr>
          <w:rFonts w:hint="eastAsia" w:ascii="仿宋" w:hAnsi="仿宋" w:eastAsia="仿宋" w:cs="仿宋"/>
          <w:color w:val="auto"/>
          <w:sz w:val="24"/>
          <w:szCs w:val="24"/>
        </w:rPr>
        <w:t>格式》未提供格式的，请供应商自行拟定格式，并加盖单位公章，否则视为未提供。</w:t>
      </w:r>
    </w:p>
    <w:p w14:paraId="3B02FF57">
      <w:pPr>
        <w:pStyle w:val="5"/>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备份电子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：通过“政采云”平台电子投标工具制作</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所产生的备份文件。</w:t>
      </w:r>
    </w:p>
    <w:p w14:paraId="7FF46357">
      <w:pPr>
        <w:pStyle w:val="5"/>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（2）供应商应对所提供的全部资料的真实性、有效性承担法律责任，电子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中所须加盖公章部分均采用CA签章。</w:t>
      </w:r>
    </w:p>
    <w:p w14:paraId="100B4C85">
      <w:pPr>
        <w:pStyle w:val="5"/>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以及供应商与采购组织机构就有关投标事宜的所有来往函电，均应以中文汉语书写。除</w:t>
      </w:r>
      <w:r>
        <w:rPr>
          <w:rFonts w:hint="eastAsia" w:ascii="仿宋" w:hAnsi="仿宋" w:eastAsia="仿宋" w:cs="仿宋"/>
          <w:color w:val="auto"/>
          <w:sz w:val="24"/>
          <w:szCs w:val="24"/>
          <w:lang w:eastAsia="zh-CN"/>
        </w:rPr>
        <w:t>签章</w:t>
      </w:r>
      <w:r>
        <w:rPr>
          <w:rFonts w:hint="eastAsia" w:ascii="仿宋" w:hAnsi="仿宋" w:eastAsia="仿宋" w:cs="仿宋"/>
          <w:color w:val="auto"/>
          <w:sz w:val="24"/>
          <w:szCs w:val="24"/>
        </w:rPr>
        <w:t>、盖章、专用名称等特殊情形外，以中文汉语以外的文字表述的</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视同未提供。</w:t>
      </w:r>
    </w:p>
    <w:p w14:paraId="3D69A6DE">
      <w:pPr>
        <w:pStyle w:val="5"/>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（4）投标计量单位，</w:t>
      </w:r>
      <w:r>
        <w:rPr>
          <w:rFonts w:hint="eastAsia" w:ascii="仿宋" w:hAnsi="仿宋" w:eastAsia="仿宋" w:cs="仿宋"/>
          <w:color w:val="auto"/>
          <w:sz w:val="24"/>
          <w:szCs w:val="24"/>
          <w:lang w:eastAsia="zh-CN"/>
        </w:rPr>
        <w:t xml:space="preserve">谈判文件 </w:t>
      </w:r>
      <w:r>
        <w:rPr>
          <w:rFonts w:hint="eastAsia" w:ascii="仿宋" w:hAnsi="仿宋" w:eastAsia="仿宋" w:cs="仿宋"/>
          <w:color w:val="auto"/>
          <w:sz w:val="24"/>
          <w:szCs w:val="24"/>
        </w:rPr>
        <w:t>已有明确规定的，使用</w:t>
      </w:r>
      <w:r>
        <w:rPr>
          <w:rFonts w:hint="eastAsia" w:ascii="仿宋" w:hAnsi="仿宋" w:eastAsia="仿宋" w:cs="仿宋"/>
          <w:color w:val="auto"/>
          <w:sz w:val="24"/>
          <w:szCs w:val="24"/>
          <w:lang w:eastAsia="zh-CN"/>
        </w:rPr>
        <w:t xml:space="preserve">谈判文件 </w:t>
      </w:r>
      <w:r>
        <w:rPr>
          <w:rFonts w:hint="eastAsia" w:ascii="仿宋" w:hAnsi="仿宋" w:eastAsia="仿宋" w:cs="仿宋"/>
          <w:color w:val="auto"/>
          <w:sz w:val="24"/>
          <w:szCs w:val="24"/>
        </w:rPr>
        <w:t>规定的计量单位；</w:t>
      </w:r>
      <w:r>
        <w:rPr>
          <w:rFonts w:hint="eastAsia" w:ascii="仿宋" w:hAnsi="仿宋" w:eastAsia="仿宋" w:cs="仿宋"/>
          <w:color w:val="auto"/>
          <w:sz w:val="24"/>
          <w:szCs w:val="24"/>
          <w:lang w:eastAsia="zh-CN"/>
        </w:rPr>
        <w:t xml:space="preserve">谈判文件 </w:t>
      </w:r>
      <w:r>
        <w:rPr>
          <w:rFonts w:hint="eastAsia" w:ascii="仿宋" w:hAnsi="仿宋" w:eastAsia="仿宋" w:cs="仿宋"/>
          <w:color w:val="auto"/>
          <w:sz w:val="24"/>
          <w:szCs w:val="24"/>
        </w:rPr>
        <w:t>没有规定的，应采用中华人民共和国法定计量单位（货币单位：人民币元）。</w:t>
      </w:r>
    </w:p>
    <w:p w14:paraId="3EA88C40">
      <w:pPr>
        <w:pStyle w:val="5"/>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（5）若供应商不按</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的要求提供资格审查材料，其风险由供应商自行承担。</w:t>
      </w:r>
    </w:p>
    <w:p w14:paraId="146A2715">
      <w:pPr>
        <w:pStyle w:val="5"/>
        <w:snapToGrid w:val="0"/>
        <w:spacing w:line="360" w:lineRule="auto"/>
        <w:rPr>
          <w:rFonts w:hint="eastAsia" w:ascii="仿宋" w:hAnsi="仿宋" w:eastAsia="仿宋" w:cs="仿宋"/>
          <w:bCs/>
          <w:color w:val="auto"/>
          <w:sz w:val="24"/>
          <w:szCs w:val="24"/>
          <w:lang w:eastAsia="zh-CN"/>
        </w:rPr>
      </w:pPr>
      <w:r>
        <w:rPr>
          <w:rFonts w:hint="eastAsia" w:ascii="仿宋" w:hAnsi="仿宋" w:eastAsia="仿宋" w:cs="仿宋"/>
          <w:color w:val="auto"/>
          <w:sz w:val="24"/>
          <w:szCs w:val="24"/>
        </w:rPr>
        <w:t>（6）与本次投标无关的内容请不要制作在内，确保</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有针对性、简洁明</w:t>
      </w:r>
      <w:r>
        <w:rPr>
          <w:rFonts w:hint="eastAsia" w:ascii="仿宋" w:hAnsi="仿宋" w:eastAsia="仿宋" w:cs="仿宋"/>
          <w:bCs/>
          <w:color w:val="auto"/>
          <w:sz w:val="24"/>
          <w:szCs w:val="24"/>
        </w:rPr>
        <w:t>了。</w:t>
      </w:r>
    </w:p>
    <w:p w14:paraId="6EB0F744">
      <w:pPr>
        <w:snapToGrid w:val="0"/>
        <w:spacing w:line="360" w:lineRule="auto"/>
        <w:ind w:firstLine="490" w:firstLineChars="200"/>
        <w:rPr>
          <w:rFonts w:hint="eastAsia" w:ascii="仿宋" w:hAnsi="仿宋" w:eastAsia="仿宋" w:cs="仿宋"/>
          <w:b/>
          <w:color w:val="auto"/>
          <w:sz w:val="24"/>
          <w:szCs w:val="24"/>
        </w:rPr>
      </w:pPr>
      <w:r>
        <w:rPr>
          <w:rFonts w:hint="eastAsia" w:ascii="仿宋" w:hAnsi="仿宋" w:eastAsia="仿宋" w:cs="仿宋"/>
          <w:b/>
          <w:bCs/>
          <w:color w:val="auto"/>
          <w:sz w:val="24"/>
          <w:szCs w:val="24"/>
          <w:lang w:eastAsia="zh-CN"/>
        </w:rPr>
        <w:t>（十七）响应文件</w:t>
      </w:r>
      <w:r>
        <w:rPr>
          <w:rFonts w:hint="eastAsia" w:ascii="仿宋" w:hAnsi="仿宋" w:eastAsia="仿宋" w:cs="仿宋"/>
          <w:b/>
          <w:bCs/>
          <w:color w:val="auto"/>
          <w:sz w:val="24"/>
          <w:szCs w:val="24"/>
        </w:rPr>
        <w:t>的上传</w:t>
      </w:r>
    </w:p>
    <w:p w14:paraId="17407AF5">
      <w:pPr>
        <w:pStyle w:val="5"/>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（1）电子加密响应文件（“.jmbs”格式）：</w:t>
      </w:r>
    </w:p>
    <w:p w14:paraId="17BD915E">
      <w:pPr>
        <w:pStyle w:val="5"/>
        <w:snapToGrid w:val="0"/>
        <w:spacing w:line="360" w:lineRule="auto"/>
        <w:rPr>
          <w:rFonts w:ascii="仿宋" w:hAnsi="仿宋" w:eastAsia="仿宋" w:cs="仿宋"/>
          <w:color w:val="auto"/>
          <w:sz w:val="24"/>
          <w:szCs w:val="24"/>
        </w:rPr>
      </w:pPr>
      <w:r>
        <w:rPr>
          <w:rFonts w:hint="eastAsia" w:ascii="仿宋" w:hAnsi="仿宋" w:eastAsia="仿宋" w:cs="仿宋"/>
          <w:color w:val="auto"/>
          <w:sz w:val="24"/>
          <w:szCs w:val="24"/>
        </w:rPr>
        <w:t>a. 供应商应在投标截止时间前将电子加密响应文件成功上传递交至新疆政府采购云平台，否则投标无效；</w:t>
      </w:r>
    </w:p>
    <w:p w14:paraId="052EA59D">
      <w:pPr>
        <w:pStyle w:val="5"/>
        <w:snapToGrid w:val="0"/>
        <w:spacing w:line="360" w:lineRule="auto"/>
        <w:rPr>
          <w:rFonts w:ascii="仿宋" w:hAnsi="仿宋" w:eastAsia="仿宋" w:cs="仿宋"/>
          <w:color w:val="auto"/>
          <w:sz w:val="24"/>
          <w:szCs w:val="24"/>
        </w:rPr>
      </w:pPr>
      <w:r>
        <w:rPr>
          <w:rFonts w:hint="eastAsia" w:ascii="仿宋" w:hAnsi="仿宋" w:eastAsia="仿宋" w:cs="仿宋"/>
          <w:color w:val="auto"/>
          <w:sz w:val="24"/>
          <w:szCs w:val="24"/>
        </w:rPr>
        <w:t>b.供应商成功上传电子加密响应文件后，可自行打印响应文件接收回执。</w:t>
      </w:r>
    </w:p>
    <w:p w14:paraId="5D57C7D5">
      <w:pPr>
        <w:pStyle w:val="5"/>
        <w:snapToGrid w:val="0"/>
        <w:spacing w:line="360" w:lineRule="auto"/>
        <w:rPr>
          <w:rFonts w:ascii="仿宋" w:hAnsi="仿宋" w:eastAsia="仿宋" w:cs="仿宋"/>
          <w:color w:val="auto"/>
          <w:sz w:val="24"/>
          <w:szCs w:val="24"/>
        </w:rPr>
      </w:pPr>
      <w:r>
        <w:rPr>
          <w:rFonts w:hint="eastAsia" w:ascii="仿宋" w:hAnsi="仿宋" w:eastAsia="仿宋" w:cs="仿宋"/>
          <w:color w:val="auto"/>
          <w:sz w:val="24"/>
          <w:szCs w:val="24"/>
        </w:rPr>
        <w:t>（2）备份响应文件（“.bfbs”格式）：</w:t>
      </w:r>
    </w:p>
    <w:p w14:paraId="6FEA0CE6">
      <w:pPr>
        <w:pStyle w:val="5"/>
        <w:snapToGrid w:val="0"/>
        <w:spacing w:line="360" w:lineRule="auto"/>
        <w:rPr>
          <w:rFonts w:ascii="仿宋" w:hAnsi="仿宋" w:eastAsia="仿宋" w:cs="仿宋"/>
          <w:color w:val="auto"/>
          <w:sz w:val="24"/>
          <w:szCs w:val="24"/>
        </w:rPr>
      </w:pPr>
      <w:r>
        <w:rPr>
          <w:rFonts w:hint="eastAsia" w:ascii="仿宋" w:hAnsi="仿宋" w:eastAsia="仿宋" w:cs="仿宋"/>
          <w:color w:val="auto"/>
          <w:sz w:val="24"/>
          <w:szCs w:val="24"/>
        </w:rPr>
        <w:t>a.供应商可以将备份响应文件打包压缩并加密，压缩包命名为“XX单位备份响应文件”，加密密码由供应商自行保管；送达时间以采购代理机构实际接收时间为准。“备份响应文件”以投标截止时间前指定接收邮箱最终收到的文件为准，逾期或未按要求提供的视为未提供，建议供应商提前1日办理邮件提供事宜（接收人邮箱：</w:t>
      </w:r>
      <w:r>
        <w:rPr>
          <w:color w:val="auto"/>
          <w:sz w:val="24"/>
          <w:szCs w:val="24"/>
        </w:rPr>
        <w:fldChar w:fldCharType="begin"/>
      </w:r>
      <w:r>
        <w:rPr>
          <w:color w:val="auto"/>
          <w:sz w:val="24"/>
          <w:szCs w:val="24"/>
        </w:rPr>
        <w:instrText xml:space="preserve"> HYPERLINK "mailto:1207446769@qq.com，接收人：陈加轲，电话：15157655122" </w:instrText>
      </w:r>
      <w:r>
        <w:rPr>
          <w:color w:val="auto"/>
          <w:sz w:val="24"/>
          <w:szCs w:val="24"/>
        </w:rPr>
        <w:fldChar w:fldCharType="separate"/>
      </w:r>
      <w:r>
        <w:rPr>
          <w:rFonts w:hint="eastAsia" w:ascii="仿宋" w:hAnsi="仿宋" w:eastAsia="仿宋" w:cs="仿宋"/>
          <w:color w:val="auto"/>
          <w:sz w:val="24"/>
          <w:szCs w:val="24"/>
          <w:lang w:val="en-US" w:eastAsia="zh-CN"/>
        </w:rPr>
        <w:t>739301695</w:t>
      </w:r>
      <w:r>
        <w:rPr>
          <w:rFonts w:hint="eastAsia" w:ascii="仿宋" w:hAnsi="仿宋" w:eastAsia="仿宋" w:cs="仿宋"/>
          <w:color w:val="auto"/>
          <w:sz w:val="24"/>
          <w:szCs w:val="24"/>
        </w:rPr>
        <w:t>@qq.com，接收人：</w:t>
      </w:r>
      <w:r>
        <w:rPr>
          <w:rFonts w:hint="eastAsia" w:ascii="仿宋" w:hAnsi="仿宋" w:eastAsia="仿宋" w:cs="仿宋"/>
          <w:color w:val="auto"/>
          <w:sz w:val="24"/>
          <w:szCs w:val="24"/>
          <w:lang w:val="en-US" w:eastAsia="zh-CN"/>
        </w:rPr>
        <w:t>魏女士</w:t>
      </w:r>
      <w:r>
        <w:rPr>
          <w:rFonts w:hint="eastAsia" w:ascii="仿宋" w:hAnsi="仿宋" w:eastAsia="仿宋" w:cs="仿宋"/>
          <w:color w:val="auto"/>
          <w:sz w:val="24"/>
          <w:szCs w:val="24"/>
        </w:rPr>
        <w:t>，电话：1</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7799081359</w:t>
      </w:r>
      <w:r>
        <w:rPr>
          <w:rFonts w:hint="eastAsia" w:ascii="仿宋" w:hAnsi="仿宋" w:eastAsia="仿宋" w:cs="仿宋"/>
          <w:color w:val="auto"/>
          <w:sz w:val="24"/>
          <w:szCs w:val="24"/>
        </w:rPr>
        <w:t>）；</w:t>
      </w:r>
    </w:p>
    <w:p w14:paraId="11F3F2D7">
      <w:pPr>
        <w:pStyle w:val="5"/>
        <w:snapToGrid w:val="0"/>
        <w:spacing w:line="360" w:lineRule="auto"/>
        <w:rPr>
          <w:rFonts w:ascii="仿宋" w:hAnsi="仿宋" w:eastAsia="仿宋" w:cs="仿宋"/>
          <w:color w:val="auto"/>
          <w:sz w:val="24"/>
          <w:szCs w:val="24"/>
        </w:rPr>
      </w:pPr>
      <w:r>
        <w:rPr>
          <w:rFonts w:hint="eastAsia" w:ascii="仿宋" w:hAnsi="仿宋" w:eastAsia="仿宋" w:cs="仿宋"/>
          <w:color w:val="auto"/>
          <w:sz w:val="24"/>
          <w:szCs w:val="24"/>
        </w:rPr>
        <w:t>b.通过“新疆政府采购云平台”成功上传递交的“电子加密响应文件”已按时解密的，“备份响应文件”自动失效。投标截止时间前，投标供应商仅递交了“备份响应文件”而未将“电子加密响应文件”成功上传至“政府采购云平台”的，投标无效。</w:t>
      </w:r>
    </w:p>
    <w:p w14:paraId="2BDD3949">
      <w:pPr>
        <w:pStyle w:val="5"/>
        <w:snapToGrid w:val="0"/>
        <w:spacing w:line="360" w:lineRule="auto"/>
        <w:rPr>
          <w:rFonts w:ascii="仿宋" w:hAnsi="仿宋" w:eastAsia="仿宋" w:cs="仿宋"/>
          <w:b/>
          <w:bCs/>
          <w:color w:val="auto"/>
          <w:sz w:val="24"/>
          <w:szCs w:val="24"/>
        </w:rPr>
      </w:pPr>
      <w:r>
        <w:rPr>
          <w:rFonts w:hint="eastAsia" w:ascii="仿宋" w:hAnsi="仿宋" w:eastAsia="仿宋" w:cs="仿宋"/>
          <w:b/>
          <w:bCs/>
          <w:color w:val="auto"/>
          <w:sz w:val="24"/>
          <w:szCs w:val="24"/>
          <w:lang w:eastAsia="zh-CN"/>
        </w:rPr>
        <w:t>（十八）响应文件</w:t>
      </w:r>
      <w:r>
        <w:rPr>
          <w:rFonts w:hint="eastAsia" w:ascii="仿宋" w:hAnsi="仿宋" w:eastAsia="仿宋" w:cs="仿宋"/>
          <w:b/>
          <w:bCs/>
          <w:color w:val="auto"/>
          <w:sz w:val="24"/>
          <w:szCs w:val="24"/>
        </w:rPr>
        <w:t>的递交要求</w:t>
      </w:r>
    </w:p>
    <w:p w14:paraId="56672E58">
      <w:pPr>
        <w:pStyle w:val="5"/>
        <w:snapToGrid w:val="0"/>
        <w:spacing w:line="360" w:lineRule="auto"/>
        <w:rPr>
          <w:rFonts w:ascii="仿宋" w:hAnsi="仿宋" w:eastAsia="仿宋" w:cs="仿宋"/>
          <w:color w:val="auto"/>
          <w:sz w:val="24"/>
          <w:szCs w:val="24"/>
        </w:rPr>
      </w:pPr>
      <w:r>
        <w:rPr>
          <w:rFonts w:hint="eastAsia" w:ascii="仿宋" w:hAnsi="仿宋" w:eastAsia="仿宋" w:cs="仿宋"/>
          <w:color w:val="auto"/>
          <w:sz w:val="24"/>
          <w:szCs w:val="24"/>
        </w:rPr>
        <w:t>（1）供应商须按照</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和政采云平台的要求编制并加密</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递交截止时间以前完成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的传输递交，截止时间后递交的</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，将被拒收。</w:t>
      </w:r>
    </w:p>
    <w:p w14:paraId="0C605A4D">
      <w:pPr>
        <w:pStyle w:val="5"/>
        <w:snapToGrid w:val="0"/>
        <w:spacing w:line="360" w:lineRule="auto"/>
        <w:rPr>
          <w:rFonts w:ascii="仿宋" w:hAnsi="仿宋" w:eastAsia="仿宋" w:cs="仿宋"/>
          <w:color w:val="auto"/>
          <w:sz w:val="24"/>
          <w:szCs w:val="24"/>
        </w:rPr>
      </w:pPr>
      <w:r>
        <w:rPr>
          <w:rFonts w:hint="eastAsia" w:ascii="仿宋" w:hAnsi="仿宋" w:eastAsia="仿宋" w:cs="仿宋"/>
          <w:color w:val="auto"/>
          <w:sz w:val="24"/>
          <w:szCs w:val="24"/>
        </w:rPr>
        <w:t>（2）备份电子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必须在投标截止时间前送达指定的投标地点。备份电子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在截止时间后提交，采购组织机构将拒绝接收。</w:t>
      </w:r>
    </w:p>
    <w:p w14:paraId="009FAC59">
      <w:pPr>
        <w:pStyle w:val="5"/>
        <w:snapToGrid w:val="0"/>
        <w:spacing w:line="360" w:lineRule="auto"/>
        <w:rPr>
          <w:rFonts w:ascii="仿宋" w:hAnsi="仿宋" w:eastAsia="仿宋" w:cs="仿宋"/>
          <w:color w:val="auto"/>
          <w:sz w:val="24"/>
          <w:szCs w:val="24"/>
        </w:rPr>
      </w:pPr>
      <w:r>
        <w:rPr>
          <w:rFonts w:hint="eastAsia" w:ascii="仿宋" w:hAnsi="仿宋" w:eastAsia="仿宋" w:cs="仿宋"/>
          <w:color w:val="auto"/>
          <w:sz w:val="24"/>
          <w:szCs w:val="24"/>
        </w:rPr>
        <w:t>（3）如有特殊情况，采购组织机构延长截止时间和开标时间，采购组织机构和供应商的权利和义务将受到新的截止时间和开标时间的约束。</w:t>
      </w:r>
    </w:p>
    <w:p w14:paraId="347F0647">
      <w:pPr>
        <w:pStyle w:val="5"/>
        <w:snapToGrid w:val="0"/>
        <w:spacing w:line="360" w:lineRule="auto"/>
        <w:rPr>
          <w:rFonts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（十九）响应文件的补充、修改与撤回</w:t>
      </w:r>
    </w:p>
    <w:p w14:paraId="3192983C">
      <w:pPr>
        <w:pStyle w:val="5"/>
        <w:snapToGrid w:val="0"/>
        <w:spacing w:line="360" w:lineRule="auto"/>
        <w:rPr>
          <w:rFonts w:ascii="仿宋" w:hAnsi="仿宋" w:eastAsia="仿宋" w:cs="仿宋"/>
          <w:color w:val="auto"/>
          <w:sz w:val="24"/>
          <w:szCs w:val="24"/>
        </w:rPr>
      </w:pPr>
      <w:r>
        <w:rPr>
          <w:rFonts w:hint="eastAsia" w:ascii="仿宋" w:hAnsi="仿宋" w:eastAsia="仿宋" w:cs="仿宋"/>
          <w:color w:val="auto"/>
          <w:sz w:val="24"/>
          <w:szCs w:val="24"/>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撤回。投标截止时间后传输递交的</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，“政府采购云平台”将予以拒收。投标截止时间后，供应商不得修改（补充）或撤回其</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w:t>
      </w:r>
    </w:p>
    <w:p w14:paraId="13F43312">
      <w:pPr>
        <w:pStyle w:val="3"/>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五、无效标、废标条款</w:t>
      </w:r>
      <w:bookmarkStart w:id="6" w:name="_Toc452657556"/>
      <w:bookmarkStart w:id="7" w:name="_Toc497129141"/>
    </w:p>
    <w:p w14:paraId="72D52031">
      <w:pPr>
        <w:spacing w:line="440" w:lineRule="exact"/>
        <w:ind w:firstLine="245" w:firstLineChars="100"/>
        <w:rPr>
          <w:rFonts w:hint="eastAsia" w:ascii="仿宋" w:hAnsi="仿宋" w:eastAsia="仿宋" w:cs="仿宋"/>
          <w:b/>
          <w:bCs/>
          <w:color w:val="auto"/>
          <w:sz w:val="24"/>
          <w:szCs w:val="24"/>
          <w:lang w:val="en-US" w:eastAsia="zh-CN" w:bidi="en-US"/>
        </w:rPr>
      </w:pPr>
      <w:r>
        <w:rPr>
          <w:rFonts w:hint="eastAsia" w:ascii="仿宋" w:hAnsi="仿宋" w:eastAsia="仿宋" w:cs="仿宋"/>
          <w:b/>
          <w:bCs/>
          <w:color w:val="auto"/>
          <w:sz w:val="24"/>
          <w:szCs w:val="24"/>
          <w:lang w:val="en-US" w:eastAsia="zh-CN" w:bidi="en-US"/>
        </w:rPr>
        <w:t>（二十）无效标</w:t>
      </w:r>
    </w:p>
    <w:p w14:paraId="1BA72876">
      <w:pPr>
        <w:spacing w:line="440" w:lineRule="exact"/>
        <w:ind w:firstLine="245" w:firstLineChars="1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有下列情形之一的，响应文件按无效标处理：</w:t>
      </w:r>
    </w:p>
    <w:p w14:paraId="430C9507">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报名的投标人与参加投标的投标人发生实质性变更的且未提供有效证明的；</w:t>
      </w:r>
    </w:p>
    <w:p w14:paraId="05E40D10">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投标人提交两份或两份以上内容不同的响应文件，未声明哪一份有效的；</w:t>
      </w:r>
    </w:p>
    <w:p w14:paraId="1C02A418">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3、响应文件非投标人法定代表人签署的，未提供或提供无效的法定代表人授权书；</w:t>
      </w:r>
    </w:p>
    <w:p w14:paraId="583733D3">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4、响应文件内容未按谈判文件规定签章或盖章的；</w:t>
      </w:r>
    </w:p>
    <w:p w14:paraId="5E75C659">
      <w:pPr>
        <w:spacing w:line="440" w:lineRule="exact"/>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、响应文件组成漏项或未按规定的格式编制或响应文件正、副本份数不足或内容不全或内容字迹模糊辨认不清的等而导致评标活动无法正常进行；</w:t>
      </w:r>
    </w:p>
    <w:p w14:paraId="6B8C97F3">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、投标人未按谈判文件变更通知更改响应文件的；</w:t>
      </w:r>
    </w:p>
    <w:p w14:paraId="0E2ED30F">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、《开标一览表》和《投标分项报价表》内容不完整且不接受修正意见或字迹不能辨认的或未提供；</w:t>
      </w:r>
    </w:p>
    <w:p w14:paraId="7AEA7450">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、投标报价超过谈判文件规定的预算金额或最高限价；</w:t>
      </w:r>
    </w:p>
    <w:p w14:paraId="1D1B33B2">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因投标人原因编制错误造成经评标委员会修正后的报价达到或超过投标报价的0.5%；</w:t>
      </w:r>
    </w:p>
    <w:p w14:paraId="25309094">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eastAsia="zh-CN"/>
        </w:rPr>
        <w:t>、投标人的报价明显低于其他通过符合性审查投标人的报价，有可能影响产品质量或者不能诚信履约的，且在规定时间内不能合理说明原因并提供证明材料的；</w:t>
      </w:r>
    </w:p>
    <w:p w14:paraId="1A758B43">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lang w:eastAsia="zh-CN"/>
        </w:rPr>
        <w:t>未实质性响应谈判文件中条款要求的响应文件；</w:t>
      </w:r>
    </w:p>
    <w:p w14:paraId="693686B5">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lang w:eastAsia="zh-CN"/>
        </w:rPr>
        <w:t>、不符合招标范围、技术规格、技术标准的要求无法满足采购人使用要求；</w:t>
      </w:r>
    </w:p>
    <w:p w14:paraId="51E0AB08">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lang w:eastAsia="zh-CN"/>
        </w:rPr>
        <w:t>、响应文件附有采购人不能接受的条款；</w:t>
      </w:r>
    </w:p>
    <w:p w14:paraId="0B5DDA4D">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14</w:t>
      </w:r>
      <w:r>
        <w:rPr>
          <w:rFonts w:hint="eastAsia" w:ascii="仿宋" w:hAnsi="仿宋" w:eastAsia="仿宋" w:cs="仿宋"/>
          <w:color w:val="auto"/>
          <w:sz w:val="24"/>
          <w:szCs w:val="24"/>
          <w:lang w:eastAsia="zh-CN"/>
        </w:rPr>
        <w:t>、响应文件中提供了赠品或者与本项目采购无关的其他商品、服务；</w:t>
      </w:r>
    </w:p>
    <w:p w14:paraId="014C3A19">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lang w:eastAsia="zh-CN"/>
        </w:rPr>
        <w:t>、响应文件中承诺的投标有效期少于谈判文件中载明的投标有效期；</w:t>
      </w:r>
    </w:p>
    <w:p w14:paraId="11C38552">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lang w:eastAsia="zh-CN"/>
        </w:rPr>
        <w:t>、投标人串通投标，妨碍其他投标人的竞争行为，损害采购人或者其他投标人的合法权益；</w:t>
      </w:r>
    </w:p>
    <w:p w14:paraId="6CC1CF7C">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lang w:eastAsia="zh-CN"/>
        </w:rPr>
        <w:t>、违反国家及政府部门相关法律、法规、文件规定或经评标委员会认定的其他属于重大偏离；</w:t>
      </w:r>
    </w:p>
    <w:p w14:paraId="6C2ED6EB">
      <w:pPr>
        <w:spacing w:line="440" w:lineRule="exact"/>
        <w:ind w:firstLine="245" w:firstLineChars="100"/>
        <w:rPr>
          <w:rFonts w:hint="eastAsia" w:ascii="仿宋" w:hAnsi="仿宋" w:eastAsia="仿宋" w:cs="仿宋"/>
          <w:b/>
          <w:bCs/>
          <w:color w:val="auto"/>
          <w:sz w:val="24"/>
          <w:szCs w:val="24"/>
          <w:lang w:val="en-US" w:eastAsia="zh-CN" w:bidi="en-US"/>
        </w:rPr>
      </w:pPr>
      <w:r>
        <w:rPr>
          <w:rFonts w:hint="eastAsia" w:ascii="仿宋" w:hAnsi="仿宋" w:eastAsia="仿宋" w:cs="仿宋"/>
          <w:b/>
          <w:bCs/>
          <w:color w:val="auto"/>
          <w:sz w:val="24"/>
          <w:szCs w:val="24"/>
          <w:lang w:val="en-US" w:eastAsia="zh-CN" w:bidi="en-US"/>
        </w:rPr>
        <w:t>（二十一）废标</w:t>
      </w:r>
    </w:p>
    <w:p w14:paraId="05FD1A14">
      <w:pPr>
        <w:spacing w:line="440" w:lineRule="exact"/>
        <w:ind w:firstLine="735" w:firstLineChars="300"/>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符合谈判文件规定废标情形的；</w:t>
      </w:r>
    </w:p>
    <w:p w14:paraId="66AAB3EA">
      <w:pPr>
        <w:spacing w:line="440" w:lineRule="exact"/>
        <w:ind w:firstLine="735" w:firstLineChars="300"/>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出现影响采购公正的违法、违规行为的；</w:t>
      </w:r>
    </w:p>
    <w:p w14:paraId="5CB1B0A4">
      <w:pPr>
        <w:spacing w:line="440" w:lineRule="exact"/>
        <w:ind w:firstLine="735" w:firstLineChars="300"/>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供应商的报价均超过了采购预算（或最高限价），采购人不能支付的;</w:t>
      </w:r>
    </w:p>
    <w:p w14:paraId="14FA7EE5">
      <w:pPr>
        <w:spacing w:line="440" w:lineRule="exact"/>
        <w:ind w:firstLine="735" w:firstLineChars="300"/>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因重大变故，采购任务取消的。</w:t>
      </w:r>
    </w:p>
    <w:p w14:paraId="4D00BB87">
      <w:pPr>
        <w:spacing w:line="440" w:lineRule="exact"/>
        <w:ind w:firstLine="245" w:firstLineChars="100"/>
        <w:rPr>
          <w:rFonts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（二十二）突发情况处理</w:t>
      </w:r>
    </w:p>
    <w:p w14:paraId="1CB462E4">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采购过程中出现以下情形，导致电子交易平台无法正常运行，或者无法保证电子交易的公平、公正和安全时，采购组织机构可中止电子交易活动：</w:t>
      </w:r>
    </w:p>
    <w:p w14:paraId="7DE55315">
      <w:pPr>
        <w:spacing w:line="440" w:lineRule="exact"/>
        <w:ind w:firstLine="245" w:firstLineChars="1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（1）电子交易平台发生故障而无法登录访问的； </w:t>
      </w:r>
    </w:p>
    <w:p w14:paraId="5DDD2660">
      <w:pPr>
        <w:spacing w:line="440" w:lineRule="exact"/>
        <w:ind w:firstLine="245" w:firstLineChars="1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（2）电子交易平台应用或数据库出现错误，不能进行正常操作的；</w:t>
      </w:r>
    </w:p>
    <w:p w14:paraId="63FBF59F">
      <w:pPr>
        <w:spacing w:line="440" w:lineRule="exact"/>
        <w:ind w:firstLine="245" w:firstLineChars="1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（3）电子交易平台发现严重安全漏洞，有潜在泄密危险的；</w:t>
      </w:r>
    </w:p>
    <w:p w14:paraId="0FDEE430">
      <w:pPr>
        <w:spacing w:line="440" w:lineRule="exact"/>
        <w:ind w:firstLine="245" w:firstLineChars="1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（4）病毒发作导致不能进行正常操作的； </w:t>
      </w:r>
    </w:p>
    <w:p w14:paraId="4172A352">
      <w:pPr>
        <w:spacing w:line="440" w:lineRule="exact"/>
        <w:ind w:firstLine="245" w:firstLineChars="1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（5）其他无法保证电子交易的公平、公正和安全的情况。</w:t>
      </w:r>
    </w:p>
    <w:p w14:paraId="0D588C9C">
      <w:pPr>
        <w:spacing w:line="440" w:lineRule="exact"/>
        <w:ind w:firstLine="245" w:firstLineChars="1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76E8EAF2">
      <w:pPr>
        <w:spacing w:line="440" w:lineRule="exact"/>
        <w:ind w:firstLine="245" w:firstLineChars="100"/>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采购代理机构或评审小组因不可抗力（不可抗力包括但不限于自然灾害、断电、传播疫病等）原因造成电子交易活动无法正常运行的，将采取以下措施：</w:t>
      </w:r>
    </w:p>
    <w:p w14:paraId="01B1ECD4">
      <w:pPr>
        <w:spacing w:line="440" w:lineRule="exact"/>
        <w:ind w:firstLine="245" w:firstLineChars="1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（1）短时间内能消除不可抗力因素的，采购代理机构或评审小组在消除不可抗力因素后继续组织电子交易活动； </w:t>
      </w:r>
    </w:p>
    <w:p w14:paraId="714F5FD3">
      <w:pPr>
        <w:spacing w:line="440" w:lineRule="exact"/>
        <w:ind w:firstLine="245" w:firstLineChars="1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（2）长时间内无法消除不可抗力因素的，采购代理机构或</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评审小组将中止电子交易活动。中止电子交易活动的，采购人应当重新组织政府采购活动。</w:t>
      </w:r>
    </w:p>
    <w:p w14:paraId="4DB155D3">
      <w:pPr>
        <w:pStyle w:val="3"/>
        <w:jc w:val="center"/>
        <w:rPr>
          <w:rFonts w:hint="eastAsia" w:ascii="仿宋" w:hAnsi="仿宋" w:eastAsia="仿宋" w:cs="仿宋"/>
          <w:color w:val="auto"/>
          <w:sz w:val="28"/>
          <w:szCs w:val="28"/>
        </w:rPr>
      </w:pPr>
    </w:p>
    <w:p w14:paraId="0A32CD7C">
      <w:pPr>
        <w:pStyle w:val="3"/>
        <w:jc w:val="center"/>
        <w:rPr>
          <w:rFonts w:ascii="仿宋" w:hAnsi="仿宋" w:eastAsia="仿宋" w:cs="仿宋"/>
          <w:color w:val="auto"/>
          <w:sz w:val="28"/>
          <w:szCs w:val="28"/>
        </w:rPr>
      </w:pPr>
      <w:r>
        <w:rPr>
          <w:rFonts w:hint="eastAsia" w:ascii="仿宋" w:hAnsi="仿宋" w:eastAsia="仿宋" w:cs="仿宋"/>
          <w:color w:val="auto"/>
          <w:sz w:val="28"/>
          <w:szCs w:val="28"/>
        </w:rPr>
        <w:t>六、开标</w:t>
      </w:r>
      <w:r>
        <w:rPr>
          <w:rFonts w:hint="eastAsia" w:ascii="仿宋" w:hAnsi="仿宋" w:eastAsia="仿宋" w:cs="仿宋"/>
          <w:color w:val="auto"/>
          <w:sz w:val="28"/>
          <w:szCs w:val="28"/>
          <w:lang w:eastAsia="zh-CN"/>
        </w:rPr>
        <w:t>、评标和定标</w:t>
      </w:r>
      <w:bookmarkEnd w:id="6"/>
      <w:bookmarkEnd w:id="7"/>
    </w:p>
    <w:p w14:paraId="360CE1FB">
      <w:pPr>
        <w:snapToGrid w:val="0"/>
        <w:spacing w:line="360" w:lineRule="auto"/>
        <w:ind w:firstLine="359" w:firstLineChars="147"/>
        <w:rPr>
          <w:rFonts w:ascii="仿宋" w:hAnsi="仿宋" w:eastAsia="仿宋" w:cs="仿宋"/>
          <w:b/>
          <w:bCs/>
          <w:color w:val="auto"/>
          <w:sz w:val="24"/>
          <w:szCs w:val="24"/>
        </w:rPr>
      </w:pPr>
      <w:r>
        <w:rPr>
          <w:rFonts w:hint="eastAsia" w:ascii="仿宋" w:hAnsi="仿宋" w:eastAsia="仿宋" w:cs="仿宋"/>
          <w:b/>
          <w:bCs/>
          <w:color w:val="auto"/>
          <w:sz w:val="24"/>
          <w:szCs w:val="24"/>
        </w:rPr>
        <w:t>（二十</w:t>
      </w:r>
      <w:r>
        <w:rPr>
          <w:rFonts w:hint="eastAsia" w:ascii="仿宋" w:hAnsi="仿宋" w:eastAsia="仿宋" w:cs="仿宋"/>
          <w:b/>
          <w:bCs/>
          <w:color w:val="auto"/>
          <w:sz w:val="24"/>
          <w:szCs w:val="24"/>
          <w:lang w:eastAsia="zh-CN"/>
        </w:rPr>
        <w:t>三</w:t>
      </w:r>
      <w:r>
        <w:rPr>
          <w:rFonts w:hint="eastAsia" w:ascii="仿宋" w:hAnsi="仿宋" w:eastAsia="仿宋" w:cs="仿宋"/>
          <w:b/>
          <w:bCs/>
          <w:color w:val="auto"/>
          <w:sz w:val="24"/>
          <w:szCs w:val="24"/>
        </w:rPr>
        <w:t>）开标程序</w:t>
      </w:r>
    </w:p>
    <w:p w14:paraId="7B447430">
      <w:pPr>
        <w:snapToGrid w:val="0"/>
        <w:spacing w:line="360" w:lineRule="auto"/>
        <w:ind w:firstLine="490" w:firstLineChars="200"/>
        <w:rPr>
          <w:rFonts w:ascii="仿宋" w:hAnsi="仿宋" w:eastAsia="仿宋" w:cs="仿宋"/>
          <w:color w:val="auto"/>
          <w:sz w:val="24"/>
          <w:szCs w:val="24"/>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rPr>
        <w:t>开标时间到后，主持人宣布开标会议开始。</w:t>
      </w:r>
    </w:p>
    <w:p w14:paraId="637E064F">
      <w:pPr>
        <w:snapToGrid w:val="0"/>
        <w:spacing w:line="360" w:lineRule="auto"/>
        <w:ind w:firstLine="490" w:firstLineChars="200"/>
        <w:rPr>
          <w:rFonts w:ascii="仿宋" w:hAnsi="仿宋" w:eastAsia="仿宋" w:cs="仿宋"/>
          <w:color w:val="auto"/>
          <w:sz w:val="24"/>
          <w:szCs w:val="24"/>
        </w:rPr>
      </w:pPr>
      <w:r>
        <w:rPr>
          <w:rFonts w:hint="eastAsia" w:ascii="仿宋" w:hAnsi="仿宋" w:eastAsia="仿宋" w:cs="仿宋"/>
          <w:color w:val="auto"/>
          <w:sz w:val="24"/>
          <w:szCs w:val="24"/>
          <w:lang w:eastAsia="zh-CN"/>
        </w:rPr>
        <w:t>（2）响应文件</w:t>
      </w:r>
      <w:r>
        <w:rPr>
          <w:rFonts w:hint="eastAsia" w:ascii="仿宋" w:hAnsi="仿宋" w:eastAsia="仿宋" w:cs="仿宋"/>
          <w:color w:val="auto"/>
          <w:sz w:val="24"/>
          <w:szCs w:val="24"/>
        </w:rPr>
        <w:t>解密（</w:t>
      </w:r>
      <w:r>
        <w:rPr>
          <w:rFonts w:hint="eastAsia" w:ascii="仿宋" w:hAnsi="仿宋" w:eastAsia="仿宋" w:cs="仿宋"/>
          <w:b/>
          <w:color w:val="auto"/>
          <w:sz w:val="24"/>
          <w:szCs w:val="24"/>
        </w:rPr>
        <w:t>解密规定见《供应商须知前附表》</w:t>
      </w:r>
      <w:r>
        <w:rPr>
          <w:rFonts w:hint="eastAsia" w:ascii="仿宋" w:hAnsi="仿宋" w:eastAsia="仿宋" w:cs="仿宋"/>
          <w:color w:val="auto"/>
          <w:sz w:val="24"/>
          <w:szCs w:val="24"/>
        </w:rPr>
        <w:t>）。</w:t>
      </w:r>
    </w:p>
    <w:p w14:paraId="65D35D5B">
      <w:pPr>
        <w:snapToGrid w:val="0"/>
        <w:spacing w:line="360" w:lineRule="auto"/>
        <w:ind w:firstLine="490" w:firstLineChars="200"/>
        <w:rPr>
          <w:rFonts w:ascii="仿宋" w:hAnsi="仿宋" w:eastAsia="仿宋" w:cs="仿宋"/>
          <w:color w:val="auto"/>
          <w:sz w:val="24"/>
          <w:szCs w:val="24"/>
        </w:rPr>
      </w:pPr>
      <w:r>
        <w:rPr>
          <w:rFonts w:hint="eastAsia" w:ascii="仿宋" w:hAnsi="仿宋" w:eastAsia="仿宋" w:cs="仿宋"/>
          <w:color w:val="auto"/>
          <w:sz w:val="24"/>
          <w:szCs w:val="24"/>
          <w:lang w:eastAsia="zh-CN"/>
        </w:rPr>
        <w:t>（3）响应文件</w:t>
      </w:r>
      <w:r>
        <w:rPr>
          <w:rFonts w:hint="eastAsia" w:ascii="仿宋" w:hAnsi="仿宋" w:eastAsia="仿宋" w:cs="仿宋"/>
          <w:color w:val="auto"/>
          <w:sz w:val="24"/>
          <w:szCs w:val="24"/>
        </w:rPr>
        <w:t>解密异常情况处理（</w:t>
      </w:r>
      <w:r>
        <w:rPr>
          <w:rFonts w:hint="eastAsia" w:ascii="仿宋" w:hAnsi="仿宋" w:eastAsia="仿宋" w:cs="仿宋"/>
          <w:b/>
          <w:color w:val="auto"/>
          <w:sz w:val="24"/>
          <w:szCs w:val="24"/>
        </w:rPr>
        <w:t>处理办法见《供应商须知前附表》</w:t>
      </w:r>
      <w:r>
        <w:rPr>
          <w:rFonts w:hint="eastAsia" w:ascii="仿宋" w:hAnsi="仿宋" w:eastAsia="仿宋" w:cs="仿宋"/>
          <w:color w:val="auto"/>
          <w:sz w:val="24"/>
          <w:szCs w:val="24"/>
        </w:rPr>
        <w:t>）。</w:t>
      </w:r>
    </w:p>
    <w:p w14:paraId="4D5D5AA9">
      <w:pPr>
        <w:snapToGrid w:val="0"/>
        <w:spacing w:line="360" w:lineRule="auto"/>
        <w:ind w:firstLine="490" w:firstLineChars="200"/>
        <w:rPr>
          <w:rFonts w:ascii="仿宋" w:hAnsi="仿宋" w:eastAsia="仿宋" w:cs="仿宋"/>
          <w:color w:val="auto"/>
          <w:sz w:val="24"/>
          <w:szCs w:val="24"/>
        </w:rPr>
      </w:pPr>
      <w:r>
        <w:rPr>
          <w:rFonts w:hint="eastAsia" w:ascii="仿宋" w:hAnsi="仿宋" w:eastAsia="仿宋" w:cs="仿宋"/>
          <w:color w:val="auto"/>
          <w:sz w:val="24"/>
          <w:szCs w:val="24"/>
          <w:lang w:eastAsia="zh-CN"/>
        </w:rPr>
        <w:t>（4）</w:t>
      </w:r>
      <w:r>
        <w:rPr>
          <w:rFonts w:hint="eastAsia" w:ascii="仿宋" w:hAnsi="仿宋" w:eastAsia="仿宋" w:cs="仿宋"/>
          <w:color w:val="auto"/>
          <w:sz w:val="24"/>
          <w:szCs w:val="24"/>
        </w:rPr>
        <w:t>公布</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解密情况（</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成功解密的供应商名单等信息），组织签署</w:t>
      </w:r>
      <w:r>
        <w:rPr>
          <w:rFonts w:hint="eastAsia" w:ascii="仿宋" w:hAnsi="仿宋" w:eastAsia="仿宋" w:cs="仿宋"/>
          <w:b/>
          <w:bCs/>
          <w:color w:val="auto"/>
          <w:sz w:val="24"/>
          <w:szCs w:val="24"/>
        </w:rPr>
        <w:t>《政府采购活动现场确认声明书》（疫情防控期间，将通过电子邮件形式组织签署），供应商应在20分钟内通过邮件形式将经签署的《政府采购活动现场确认声明书》发送至采购代理机构指定邮箱</w:t>
      </w:r>
      <w:r>
        <w:rPr>
          <w:rFonts w:hint="eastAsia" w:ascii="仿宋" w:hAnsi="仿宋" w:eastAsia="仿宋" w:cs="仿宋"/>
          <w:b/>
          <w:bCs/>
          <w:color w:val="auto"/>
          <w:sz w:val="24"/>
          <w:szCs w:val="24"/>
          <w:lang w:val="en-US" w:eastAsia="zh-CN"/>
        </w:rPr>
        <w:t>739301695</w:t>
      </w:r>
      <w:r>
        <w:rPr>
          <w:rFonts w:hint="eastAsia" w:ascii="仿宋" w:hAnsi="仿宋" w:eastAsia="仿宋" w:cs="仿宋"/>
          <w:b/>
          <w:bCs/>
          <w:color w:val="auto"/>
          <w:sz w:val="24"/>
          <w:szCs w:val="24"/>
          <w:lang w:eastAsia="zh-CN"/>
        </w:rPr>
        <w:t>@qq.com</w:t>
      </w:r>
      <w:r>
        <w:rPr>
          <w:rFonts w:hint="eastAsia" w:ascii="仿宋" w:hAnsi="仿宋" w:eastAsia="仿宋" w:cs="仿宋"/>
          <w:b/>
          <w:bCs/>
          <w:color w:val="auto"/>
          <w:sz w:val="24"/>
          <w:szCs w:val="24"/>
        </w:rPr>
        <w:t xml:space="preserve"> ，逾期发送或未发送的视为无异议</w:t>
      </w:r>
      <w:r>
        <w:rPr>
          <w:rFonts w:hint="eastAsia" w:ascii="仿宋" w:hAnsi="仿宋" w:eastAsia="仿宋" w:cs="仿宋"/>
          <w:color w:val="auto"/>
          <w:sz w:val="24"/>
          <w:szCs w:val="24"/>
        </w:rPr>
        <w:t>。</w:t>
      </w:r>
    </w:p>
    <w:p w14:paraId="7484CD0E">
      <w:pPr>
        <w:snapToGrid w:val="0"/>
        <w:spacing w:line="360" w:lineRule="auto"/>
        <w:ind w:firstLine="490" w:firstLineChars="200"/>
        <w:rPr>
          <w:rFonts w:ascii="仿宋" w:hAnsi="仿宋" w:eastAsia="仿宋" w:cs="仿宋"/>
          <w:color w:val="auto"/>
          <w:sz w:val="24"/>
          <w:szCs w:val="24"/>
        </w:rPr>
      </w:pPr>
      <w:r>
        <w:rPr>
          <w:rFonts w:hint="eastAsia" w:ascii="仿宋" w:hAnsi="仿宋" w:eastAsia="仿宋" w:cs="仿宋"/>
          <w:color w:val="auto"/>
          <w:sz w:val="24"/>
          <w:szCs w:val="24"/>
          <w:lang w:eastAsia="zh-CN"/>
        </w:rPr>
        <w:t>（5）</w:t>
      </w:r>
      <w:r>
        <w:rPr>
          <w:rFonts w:hint="eastAsia" w:ascii="仿宋" w:hAnsi="仿宋" w:eastAsia="仿宋" w:cs="仿宋"/>
          <w:color w:val="auto"/>
          <w:sz w:val="24"/>
          <w:szCs w:val="24"/>
        </w:rPr>
        <w:t>开启标书信息（资格</w:t>
      </w:r>
      <w:r>
        <w:rPr>
          <w:rFonts w:hint="eastAsia" w:ascii="仿宋" w:hAnsi="仿宋" w:eastAsia="仿宋" w:cs="仿宋"/>
          <w:color w:val="auto"/>
          <w:sz w:val="24"/>
          <w:szCs w:val="24"/>
          <w:lang w:eastAsia="zh-CN"/>
        </w:rPr>
        <w:t>证明</w:t>
      </w:r>
      <w:r>
        <w:rPr>
          <w:rFonts w:hint="eastAsia" w:ascii="仿宋" w:hAnsi="仿宋" w:eastAsia="仿宋" w:cs="仿宋"/>
          <w:color w:val="auto"/>
          <w:sz w:val="24"/>
          <w:szCs w:val="24"/>
        </w:rPr>
        <w:t>文件、商务技术文件）。标书信息开启后，首先由采购人或采购代理机构</w:t>
      </w:r>
      <w:r>
        <w:rPr>
          <w:rFonts w:hint="eastAsia" w:ascii="仿宋" w:hAnsi="仿宋" w:eastAsia="仿宋" w:cs="仿宋"/>
          <w:color w:val="auto"/>
          <w:sz w:val="24"/>
          <w:szCs w:val="24"/>
          <w:lang w:eastAsia="zh-CN"/>
        </w:rPr>
        <w:t>或评审小组</w:t>
      </w:r>
      <w:r>
        <w:rPr>
          <w:rFonts w:hint="eastAsia" w:ascii="仿宋" w:hAnsi="仿宋" w:eastAsia="仿宋" w:cs="仿宋"/>
          <w:color w:val="auto"/>
          <w:sz w:val="24"/>
          <w:szCs w:val="24"/>
        </w:rPr>
        <w:t>依法对投标供应商的资格</w:t>
      </w:r>
      <w:r>
        <w:rPr>
          <w:rFonts w:hint="eastAsia" w:ascii="仿宋" w:hAnsi="仿宋" w:eastAsia="仿宋" w:cs="仿宋"/>
          <w:color w:val="auto"/>
          <w:sz w:val="24"/>
          <w:szCs w:val="24"/>
          <w:lang w:eastAsia="zh-CN"/>
        </w:rPr>
        <w:t>证明</w:t>
      </w:r>
      <w:r>
        <w:rPr>
          <w:rFonts w:hint="eastAsia" w:ascii="仿宋" w:hAnsi="仿宋" w:eastAsia="仿宋" w:cs="仿宋"/>
          <w:color w:val="auto"/>
          <w:sz w:val="24"/>
          <w:szCs w:val="24"/>
        </w:rPr>
        <w:t>文件进行审查（具体见资格性检查）， 审查结束公布投标供应商的资格符合情况。资格审查未获通过的供应商，其商务技术文件及报价文件不再进入评审。</w:t>
      </w:r>
    </w:p>
    <w:p w14:paraId="14DF5C63">
      <w:pPr>
        <w:snapToGrid w:val="0"/>
        <w:spacing w:line="360" w:lineRule="auto"/>
        <w:ind w:firstLine="490" w:firstLineChars="200"/>
        <w:rPr>
          <w:rFonts w:ascii="仿宋" w:hAnsi="仿宋" w:eastAsia="仿宋" w:cs="仿宋"/>
          <w:color w:val="auto"/>
          <w:sz w:val="24"/>
          <w:szCs w:val="24"/>
        </w:rPr>
      </w:pPr>
      <w:r>
        <w:rPr>
          <w:rFonts w:hint="eastAsia" w:ascii="仿宋" w:hAnsi="仿宋" w:eastAsia="仿宋" w:cs="仿宋"/>
          <w:color w:val="auto"/>
          <w:sz w:val="24"/>
          <w:szCs w:val="24"/>
          <w:lang w:eastAsia="zh-CN"/>
        </w:rPr>
        <w:t>（6）</w:t>
      </w:r>
      <w:r>
        <w:rPr>
          <w:rFonts w:hint="eastAsia" w:ascii="仿宋" w:hAnsi="仿宋" w:eastAsia="仿宋" w:cs="仿宋"/>
          <w:color w:val="auto"/>
          <w:sz w:val="24"/>
          <w:szCs w:val="24"/>
        </w:rPr>
        <w:t>开启有效投标供应商的报价，公布开标一览表有关内容，</w:t>
      </w:r>
      <w:r>
        <w:rPr>
          <w:rFonts w:hint="eastAsia" w:ascii="仿宋" w:hAnsi="仿宋" w:eastAsia="仿宋" w:cs="仿宋"/>
          <w:color w:val="auto"/>
          <w:sz w:val="24"/>
          <w:szCs w:val="24"/>
          <w:lang w:bidi="zh-CN"/>
        </w:rPr>
        <w:t>并【开启签章时段】，供应商对开标记录进行在线签章确认（不予确认的应说明理由，否则视为无异议）</w:t>
      </w:r>
      <w:r>
        <w:rPr>
          <w:rFonts w:hint="eastAsia" w:ascii="仿宋" w:hAnsi="仿宋" w:eastAsia="仿宋" w:cs="仿宋"/>
          <w:color w:val="auto"/>
          <w:sz w:val="24"/>
          <w:szCs w:val="24"/>
        </w:rPr>
        <w:t>。开标结束后，由评标委员会对报价的合理性、准确性等进行审查核实。</w:t>
      </w:r>
    </w:p>
    <w:p w14:paraId="6A9AD940">
      <w:pPr>
        <w:snapToGrid w:val="0"/>
        <w:spacing w:line="360" w:lineRule="auto"/>
        <w:ind w:firstLine="490" w:firstLineChars="200"/>
        <w:rPr>
          <w:color w:val="auto"/>
          <w:sz w:val="24"/>
          <w:szCs w:val="24"/>
        </w:rPr>
      </w:pPr>
      <w:r>
        <w:rPr>
          <w:rFonts w:hint="eastAsia" w:ascii="仿宋" w:hAnsi="仿宋" w:eastAsia="仿宋" w:cs="仿宋"/>
          <w:color w:val="auto"/>
          <w:sz w:val="24"/>
          <w:szCs w:val="24"/>
          <w:lang w:eastAsia="zh-CN"/>
        </w:rPr>
        <w:t>（7）商务技术评审结束后，主持人公布商务技术评审无效投标供应商名单和商务技术评审有效投标供应商名单。商务技术评审无效的供应商，其报价不再进入评审。</w:t>
      </w:r>
    </w:p>
    <w:p w14:paraId="255D465A">
      <w:pPr>
        <w:snapToGrid w:val="0"/>
        <w:spacing w:line="360" w:lineRule="auto"/>
        <w:ind w:firstLine="490" w:firstLineChars="200"/>
        <w:rPr>
          <w:rFonts w:ascii="仿宋" w:hAnsi="仿宋" w:eastAsia="仿宋" w:cs="仿宋"/>
          <w:color w:val="auto"/>
          <w:sz w:val="24"/>
          <w:szCs w:val="24"/>
        </w:rPr>
      </w:pPr>
      <w:r>
        <w:rPr>
          <w:rFonts w:hint="eastAsia" w:ascii="仿宋" w:hAnsi="仿宋" w:eastAsia="仿宋" w:cs="仿宋"/>
          <w:color w:val="auto"/>
          <w:sz w:val="24"/>
          <w:szCs w:val="24"/>
          <w:lang w:eastAsia="zh-CN"/>
        </w:rPr>
        <w:t>（8）</w:t>
      </w:r>
      <w:r>
        <w:rPr>
          <w:rFonts w:hint="eastAsia" w:ascii="仿宋" w:hAnsi="仿宋" w:eastAsia="仿宋" w:cs="仿宋"/>
          <w:color w:val="auto"/>
          <w:sz w:val="24"/>
          <w:szCs w:val="24"/>
        </w:rPr>
        <w:t>评审结束后，采购代理机构在系统上公布评审结果。</w:t>
      </w:r>
    </w:p>
    <w:p w14:paraId="45582E00">
      <w:pPr>
        <w:snapToGrid w:val="0"/>
        <w:spacing w:line="360" w:lineRule="auto"/>
        <w:ind w:left="480"/>
        <w:rPr>
          <w:rFonts w:ascii="仿宋" w:hAnsi="仿宋" w:eastAsia="仿宋" w:cs="仿宋"/>
          <w:b/>
          <w:color w:val="auto"/>
          <w:sz w:val="24"/>
          <w:szCs w:val="24"/>
        </w:rPr>
      </w:pPr>
      <w:r>
        <w:rPr>
          <w:rFonts w:hint="eastAsia" w:ascii="仿宋" w:hAnsi="仿宋" w:eastAsia="仿宋" w:cs="仿宋"/>
          <w:b/>
          <w:color w:val="auto"/>
          <w:sz w:val="24"/>
          <w:szCs w:val="24"/>
        </w:rPr>
        <w:t>特别情况说明：</w:t>
      </w:r>
    </w:p>
    <w:p w14:paraId="0F286806">
      <w:pPr>
        <w:snapToGrid w:val="0"/>
        <w:spacing w:line="360" w:lineRule="auto"/>
        <w:ind w:firstLine="432" w:firstLineChars="177"/>
        <w:rPr>
          <w:rFonts w:ascii="仿宋" w:hAnsi="仿宋" w:eastAsia="仿宋" w:cs="仿宋"/>
          <w:b/>
          <w:color w:val="auto"/>
          <w:sz w:val="24"/>
          <w:szCs w:val="24"/>
        </w:rPr>
      </w:pPr>
      <w:r>
        <w:rPr>
          <w:rFonts w:hint="eastAsia" w:ascii="仿宋" w:hAnsi="仿宋" w:eastAsia="仿宋" w:cs="仿宋"/>
          <w:b/>
          <w:color w:val="auto"/>
          <w:sz w:val="24"/>
          <w:szCs w:val="24"/>
        </w:rPr>
        <w:t>（1）本项目采用电子交易，如遇“</w:t>
      </w:r>
      <w:r>
        <w:rPr>
          <w:rFonts w:hint="eastAsia" w:ascii="仿宋" w:hAnsi="仿宋" w:eastAsia="仿宋" w:cs="仿宋"/>
          <w:b/>
          <w:color w:val="auto"/>
          <w:sz w:val="24"/>
          <w:szCs w:val="24"/>
          <w:lang w:eastAsia="zh-CN"/>
        </w:rPr>
        <w:t>新疆</w:t>
      </w:r>
      <w:r>
        <w:rPr>
          <w:rFonts w:hint="eastAsia" w:ascii="仿宋" w:hAnsi="仿宋" w:eastAsia="仿宋" w:cs="仿宋"/>
          <w:b/>
          <w:color w:val="auto"/>
          <w:sz w:val="24"/>
          <w:szCs w:val="24"/>
        </w:rPr>
        <w:t>政府采购云平台”电子化开标或评审程序调整的，按调整后程序执行。</w:t>
      </w:r>
    </w:p>
    <w:p w14:paraId="4BF7C5AF">
      <w:pPr>
        <w:snapToGrid w:val="0"/>
        <w:spacing w:line="360" w:lineRule="auto"/>
        <w:ind w:firstLine="432" w:firstLineChars="177"/>
        <w:rPr>
          <w:rFonts w:ascii="仿宋" w:hAnsi="仿宋" w:eastAsia="仿宋" w:cs="仿宋"/>
          <w:b/>
          <w:color w:val="auto"/>
          <w:sz w:val="24"/>
          <w:szCs w:val="24"/>
        </w:rPr>
      </w:pPr>
      <w:r>
        <w:rPr>
          <w:rFonts w:hint="eastAsia" w:ascii="仿宋" w:hAnsi="仿宋" w:eastAsia="仿宋" w:cs="仿宋"/>
          <w:b/>
          <w:color w:val="auto"/>
          <w:sz w:val="24"/>
          <w:szCs w:val="24"/>
        </w:rPr>
        <w:t>（2）开标过程中需要相关当事人进行</w:t>
      </w:r>
      <w:r>
        <w:rPr>
          <w:rFonts w:hint="eastAsia" w:ascii="仿宋" w:hAnsi="仿宋" w:eastAsia="仿宋" w:cs="仿宋"/>
          <w:b/>
          <w:color w:val="auto"/>
          <w:sz w:val="24"/>
          <w:szCs w:val="24"/>
          <w:lang w:eastAsia="zh-CN"/>
        </w:rPr>
        <w:t>签章</w:t>
      </w:r>
      <w:r>
        <w:rPr>
          <w:rFonts w:hint="eastAsia" w:ascii="仿宋" w:hAnsi="仿宋" w:eastAsia="仿宋" w:cs="仿宋"/>
          <w:b/>
          <w:color w:val="auto"/>
          <w:sz w:val="24"/>
          <w:szCs w:val="24"/>
        </w:rPr>
        <w:t>或盖章确认的材料将通过“政府采购云平台”进行，若因“政府采购云平台”技术问题无法进行</w:t>
      </w:r>
      <w:r>
        <w:rPr>
          <w:rFonts w:hint="eastAsia" w:ascii="仿宋" w:hAnsi="仿宋" w:eastAsia="仿宋" w:cs="仿宋"/>
          <w:b/>
          <w:color w:val="auto"/>
          <w:sz w:val="24"/>
          <w:szCs w:val="24"/>
          <w:lang w:eastAsia="zh-CN"/>
        </w:rPr>
        <w:t>签章</w:t>
      </w:r>
      <w:r>
        <w:rPr>
          <w:rFonts w:hint="eastAsia" w:ascii="仿宋" w:hAnsi="仿宋" w:eastAsia="仿宋" w:cs="仿宋"/>
          <w:b/>
          <w:color w:val="auto"/>
          <w:sz w:val="24"/>
          <w:szCs w:val="24"/>
        </w:rPr>
        <w:t>或盖章确认的，采购组织机构将通过电子邮件等形式予以确认，</w:t>
      </w:r>
      <w:r>
        <w:rPr>
          <w:rFonts w:hint="eastAsia" w:ascii="仿宋" w:hAnsi="仿宋" w:eastAsia="仿宋" w:cs="仿宋"/>
          <w:b/>
          <w:color w:val="auto"/>
          <w:sz w:val="24"/>
          <w:szCs w:val="24"/>
          <w:u w:val="single"/>
        </w:rPr>
        <w:t>请供应商保证办理投标事宜人员电话畅通、网络在线，</w:t>
      </w:r>
      <w:r>
        <w:rPr>
          <w:rFonts w:hint="eastAsia" w:ascii="仿宋" w:hAnsi="仿宋" w:eastAsia="仿宋" w:cs="仿宋"/>
          <w:b/>
          <w:color w:val="auto"/>
          <w:sz w:val="24"/>
          <w:szCs w:val="24"/>
          <w:u w:val="single"/>
          <w:lang w:eastAsia="zh-CN"/>
        </w:rPr>
        <w:t>签章</w:t>
      </w:r>
      <w:r>
        <w:rPr>
          <w:rFonts w:hint="eastAsia" w:ascii="仿宋" w:hAnsi="仿宋" w:eastAsia="仿宋" w:cs="仿宋"/>
          <w:b/>
          <w:color w:val="auto"/>
          <w:sz w:val="24"/>
          <w:szCs w:val="24"/>
          <w:u w:val="single"/>
        </w:rPr>
        <w:t>或盖章确认的时间为20分钟。如未及时</w:t>
      </w:r>
      <w:r>
        <w:rPr>
          <w:rFonts w:hint="eastAsia" w:ascii="仿宋" w:hAnsi="仿宋" w:eastAsia="仿宋" w:cs="仿宋"/>
          <w:b/>
          <w:color w:val="auto"/>
          <w:sz w:val="24"/>
          <w:szCs w:val="24"/>
          <w:u w:val="single"/>
          <w:lang w:eastAsia="zh-CN"/>
        </w:rPr>
        <w:t>签章</w:t>
      </w:r>
      <w:r>
        <w:rPr>
          <w:rFonts w:hint="eastAsia" w:ascii="仿宋" w:hAnsi="仿宋" w:eastAsia="仿宋" w:cs="仿宋"/>
          <w:b/>
          <w:color w:val="auto"/>
          <w:sz w:val="24"/>
          <w:szCs w:val="24"/>
          <w:u w:val="single"/>
        </w:rPr>
        <w:t>或盖章确认的，视为无异议</w:t>
      </w:r>
      <w:r>
        <w:rPr>
          <w:rFonts w:hint="eastAsia" w:ascii="仿宋" w:hAnsi="仿宋" w:eastAsia="仿宋" w:cs="仿宋"/>
          <w:b/>
          <w:color w:val="auto"/>
          <w:sz w:val="24"/>
          <w:szCs w:val="24"/>
        </w:rPr>
        <w:t>。</w:t>
      </w:r>
    </w:p>
    <w:p w14:paraId="2CB7207C">
      <w:pPr>
        <w:snapToGrid w:val="0"/>
        <w:spacing w:line="360" w:lineRule="auto"/>
        <w:ind w:firstLine="490" w:firstLineChars="200"/>
        <w:rPr>
          <w:rFonts w:ascii="仿宋" w:hAnsi="仿宋" w:eastAsia="仿宋" w:cs="仿宋"/>
          <w:b/>
          <w:color w:val="auto"/>
          <w:sz w:val="24"/>
          <w:szCs w:val="24"/>
        </w:rPr>
      </w:pPr>
      <w:r>
        <w:rPr>
          <w:rFonts w:hint="eastAsia" w:ascii="仿宋" w:hAnsi="仿宋" w:eastAsia="仿宋" w:cs="仿宋"/>
          <w:b/>
          <w:color w:val="auto"/>
          <w:sz w:val="24"/>
          <w:szCs w:val="24"/>
          <w:lang w:eastAsia="zh-CN"/>
        </w:rPr>
        <w:t>3.</w:t>
      </w:r>
      <w:r>
        <w:rPr>
          <w:rFonts w:hint="eastAsia" w:ascii="仿宋" w:hAnsi="仿宋" w:eastAsia="仿宋" w:cs="仿宋"/>
          <w:b/>
          <w:color w:val="auto"/>
          <w:sz w:val="24"/>
          <w:szCs w:val="24"/>
        </w:rPr>
        <w:t>投标供应商资格审查：</w:t>
      </w:r>
    </w:p>
    <w:p w14:paraId="5D17A3A2">
      <w:pPr>
        <w:snapToGrid w:val="0"/>
        <w:spacing w:line="360" w:lineRule="auto"/>
        <w:ind w:firstLine="490" w:firstLineChars="200"/>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bCs/>
          <w:color w:val="auto"/>
          <w:sz w:val="24"/>
          <w:szCs w:val="24"/>
        </w:rPr>
        <w:t>开标（标书信息开启）后，采购人或采购代理机构</w:t>
      </w:r>
      <w:r>
        <w:rPr>
          <w:rFonts w:hint="eastAsia" w:ascii="仿宋" w:hAnsi="仿宋" w:eastAsia="仿宋" w:cs="仿宋"/>
          <w:bCs/>
          <w:color w:val="auto"/>
          <w:sz w:val="24"/>
          <w:szCs w:val="24"/>
          <w:lang w:eastAsia="zh-CN"/>
        </w:rPr>
        <w:t>或</w:t>
      </w:r>
      <w:r>
        <w:rPr>
          <w:rFonts w:hint="eastAsia" w:ascii="仿宋" w:hAnsi="仿宋" w:eastAsia="仿宋" w:cs="仿宋"/>
          <w:color w:val="auto"/>
          <w:sz w:val="24"/>
          <w:szCs w:val="24"/>
          <w:lang w:eastAsia="zh-CN"/>
        </w:rPr>
        <w:t>评审小组</w:t>
      </w:r>
      <w:r>
        <w:rPr>
          <w:rFonts w:hint="eastAsia" w:ascii="仿宋" w:hAnsi="仿宋" w:eastAsia="仿宋" w:cs="仿宋"/>
          <w:bCs/>
          <w:color w:val="auto"/>
          <w:sz w:val="24"/>
          <w:szCs w:val="24"/>
        </w:rPr>
        <w:t>首先依法对投标供应商的资格文件进行审查，审查各投标供应商的资格符合情况。</w:t>
      </w:r>
      <w:r>
        <w:rPr>
          <w:rFonts w:hint="eastAsia" w:ascii="仿宋" w:hAnsi="仿宋" w:eastAsia="仿宋" w:cs="仿宋"/>
          <w:color w:val="auto"/>
          <w:sz w:val="24"/>
          <w:szCs w:val="24"/>
        </w:rPr>
        <w:t>采购人或采购代理机构</w:t>
      </w:r>
      <w:r>
        <w:rPr>
          <w:rFonts w:hint="eastAsia" w:ascii="仿宋" w:hAnsi="仿宋" w:eastAsia="仿宋" w:cs="仿宋"/>
          <w:bCs/>
          <w:color w:val="auto"/>
          <w:sz w:val="24"/>
          <w:szCs w:val="24"/>
          <w:lang w:eastAsia="zh-CN"/>
        </w:rPr>
        <w:t>或</w:t>
      </w:r>
      <w:r>
        <w:rPr>
          <w:rFonts w:hint="eastAsia" w:ascii="仿宋" w:hAnsi="仿宋" w:eastAsia="仿宋" w:cs="仿宋"/>
          <w:color w:val="auto"/>
          <w:sz w:val="24"/>
          <w:szCs w:val="24"/>
          <w:lang w:eastAsia="zh-CN"/>
        </w:rPr>
        <w:t>评审小组</w:t>
      </w:r>
      <w:r>
        <w:rPr>
          <w:rFonts w:hint="eastAsia" w:ascii="仿宋" w:hAnsi="仿宋" w:eastAsia="仿宋" w:cs="仿宋"/>
          <w:color w:val="auto"/>
          <w:sz w:val="24"/>
          <w:szCs w:val="24"/>
        </w:rPr>
        <w:t>对投标供应商所提交的资格证明材料仅负审核的责任。如发现投标供应商所提交的资格证明材料不合法或与事实不符，采购人可取消其</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资格并追究投标供应商的法律责任。</w:t>
      </w:r>
    </w:p>
    <w:p w14:paraId="5BD8F7A0">
      <w:pPr>
        <w:pStyle w:val="5"/>
        <w:keepNext w:val="0"/>
        <w:keepLines w:val="0"/>
        <w:pageBreakBefore w:val="0"/>
        <w:widowControl w:val="0"/>
        <w:kinsoku/>
        <w:wordWrap/>
        <w:overflowPunct/>
        <w:topLinePunct w:val="0"/>
        <w:bidi w:val="0"/>
        <w:snapToGrid w:val="0"/>
        <w:spacing w:line="324" w:lineRule="auto"/>
        <w:textAlignment w:val="auto"/>
        <w:rPr>
          <w:rFonts w:ascii="仿宋" w:hAnsi="仿宋" w:eastAsia="仿宋" w:cs="仿宋"/>
          <w:bCs/>
          <w:color w:val="auto"/>
          <w:sz w:val="24"/>
          <w:szCs w:val="24"/>
        </w:rPr>
      </w:pPr>
      <w:r>
        <w:rPr>
          <w:rFonts w:hint="eastAsia" w:ascii="仿宋" w:hAnsi="仿宋" w:eastAsia="仿宋" w:cs="仿宋"/>
          <w:bCs/>
          <w:color w:val="auto"/>
          <w:sz w:val="24"/>
          <w:szCs w:val="24"/>
        </w:rPr>
        <w:t>（2）投标供应商提交的资格证明材料无法证明其符合</w:t>
      </w:r>
      <w:r>
        <w:rPr>
          <w:rFonts w:hint="eastAsia" w:ascii="仿宋" w:hAnsi="仿宋" w:eastAsia="仿宋" w:cs="仿宋"/>
          <w:bCs/>
          <w:color w:val="auto"/>
          <w:sz w:val="24"/>
          <w:szCs w:val="24"/>
          <w:lang w:eastAsia="zh-CN"/>
        </w:rPr>
        <w:t xml:space="preserve">谈判文件 </w:t>
      </w:r>
      <w:r>
        <w:rPr>
          <w:rFonts w:hint="eastAsia" w:ascii="仿宋" w:hAnsi="仿宋" w:eastAsia="仿宋" w:cs="仿宋"/>
          <w:bCs/>
          <w:color w:val="auto"/>
          <w:sz w:val="24"/>
          <w:szCs w:val="24"/>
        </w:rPr>
        <w:t>规定的“投标供应商资格要求”的，采购人或采购代理机构将对其作“资格审查不合格”处理（无效投标），并不再将其投标提交评标委员会进行后续评审。</w:t>
      </w:r>
    </w:p>
    <w:p w14:paraId="383D1E3B">
      <w:pPr>
        <w:pStyle w:val="5"/>
        <w:keepNext w:val="0"/>
        <w:keepLines w:val="0"/>
        <w:pageBreakBefore w:val="0"/>
        <w:widowControl w:val="0"/>
        <w:kinsoku/>
        <w:wordWrap/>
        <w:overflowPunct/>
        <w:topLinePunct w:val="0"/>
        <w:bidi w:val="0"/>
        <w:snapToGrid w:val="0"/>
        <w:spacing w:line="324" w:lineRule="auto"/>
        <w:textAlignment w:val="auto"/>
        <w:rPr>
          <w:rFonts w:ascii="仿宋" w:hAnsi="仿宋" w:eastAsia="仿宋" w:cs="仿宋"/>
          <w:bCs/>
          <w:color w:val="auto"/>
          <w:sz w:val="24"/>
          <w:szCs w:val="24"/>
        </w:rPr>
      </w:pPr>
      <w:r>
        <w:rPr>
          <w:rFonts w:hint="eastAsia" w:ascii="仿宋" w:hAnsi="仿宋" w:eastAsia="仿宋" w:cs="仿宋"/>
          <w:bCs/>
          <w:color w:val="auto"/>
          <w:sz w:val="24"/>
          <w:szCs w:val="24"/>
        </w:rPr>
        <w:t>（3）供应商信用记录查询与使用：见《供应商须知前附表》。</w:t>
      </w:r>
    </w:p>
    <w:p w14:paraId="5EBE9493">
      <w:pPr>
        <w:keepNext w:val="0"/>
        <w:keepLines w:val="0"/>
        <w:pageBreakBefore w:val="0"/>
        <w:widowControl w:val="0"/>
        <w:kinsoku/>
        <w:wordWrap/>
        <w:overflowPunct/>
        <w:topLinePunct w:val="0"/>
        <w:bidi w:val="0"/>
        <w:snapToGrid w:val="0"/>
        <w:spacing w:line="324" w:lineRule="auto"/>
        <w:ind w:firstLine="359" w:firstLineChars="147"/>
        <w:textAlignment w:val="auto"/>
        <w:rPr>
          <w:rFonts w:ascii="仿宋" w:hAnsi="仿宋" w:eastAsia="仿宋" w:cs="仿宋"/>
          <w:b/>
          <w:color w:val="auto"/>
          <w:sz w:val="24"/>
          <w:szCs w:val="24"/>
        </w:rPr>
      </w:pPr>
      <w:bookmarkStart w:id="8" w:name="_Toc213839741"/>
      <w:r>
        <w:rPr>
          <w:rFonts w:hint="eastAsia" w:ascii="仿宋" w:hAnsi="仿宋" w:eastAsia="仿宋" w:cs="仿宋"/>
          <w:b/>
          <w:color w:val="auto"/>
          <w:sz w:val="24"/>
          <w:szCs w:val="24"/>
        </w:rPr>
        <w:t>（二十</w:t>
      </w:r>
      <w:r>
        <w:rPr>
          <w:rFonts w:hint="eastAsia" w:ascii="仿宋" w:hAnsi="仿宋" w:eastAsia="仿宋" w:cs="仿宋"/>
          <w:b/>
          <w:color w:val="auto"/>
          <w:sz w:val="24"/>
          <w:szCs w:val="24"/>
          <w:lang w:eastAsia="zh-CN"/>
        </w:rPr>
        <w:t>四</w:t>
      </w:r>
      <w:r>
        <w:rPr>
          <w:rFonts w:hint="eastAsia" w:ascii="仿宋" w:hAnsi="仿宋" w:eastAsia="仿宋" w:cs="仿宋"/>
          <w:b/>
          <w:color w:val="auto"/>
          <w:sz w:val="24"/>
          <w:szCs w:val="24"/>
        </w:rPr>
        <w:t>）</w:t>
      </w:r>
      <w:r>
        <w:rPr>
          <w:rFonts w:hint="eastAsia" w:ascii="仿宋" w:hAnsi="仿宋" w:eastAsia="仿宋" w:cs="仿宋"/>
          <w:b/>
          <w:color w:val="auto"/>
          <w:sz w:val="24"/>
          <w:szCs w:val="24"/>
          <w:lang w:eastAsia="zh-CN"/>
        </w:rPr>
        <w:t>谈判</w:t>
      </w:r>
      <w:r>
        <w:rPr>
          <w:rFonts w:hint="eastAsia" w:ascii="仿宋" w:hAnsi="仿宋" w:eastAsia="仿宋" w:cs="仿宋"/>
          <w:b/>
          <w:color w:val="auto"/>
          <w:sz w:val="24"/>
          <w:szCs w:val="24"/>
        </w:rPr>
        <w:t>报价方式</w:t>
      </w:r>
    </w:p>
    <w:p w14:paraId="26C4C4CB">
      <w:pPr>
        <w:keepNext w:val="0"/>
        <w:keepLines w:val="0"/>
        <w:pageBreakBefore w:val="0"/>
        <w:widowControl w:val="0"/>
        <w:kinsoku/>
        <w:wordWrap/>
        <w:overflowPunct/>
        <w:topLinePunct w:val="0"/>
        <w:bidi w:val="0"/>
        <w:snapToGrid w:val="0"/>
        <w:spacing w:line="324" w:lineRule="auto"/>
        <w:ind w:firstLine="359" w:firstLineChars="147"/>
        <w:textAlignment w:val="auto"/>
        <w:rPr>
          <w:rFonts w:ascii="仿宋" w:hAnsi="仿宋" w:eastAsia="仿宋" w:cs="仿宋"/>
          <w:color w:val="auto"/>
          <w:sz w:val="24"/>
          <w:szCs w:val="24"/>
        </w:rPr>
      </w:pPr>
      <w:r>
        <w:rPr>
          <w:rFonts w:hint="eastAsia" w:ascii="仿宋" w:hAnsi="仿宋" w:eastAsia="仿宋" w:cs="仿宋"/>
          <w:color w:val="auto"/>
          <w:sz w:val="24"/>
          <w:szCs w:val="24"/>
        </w:rPr>
        <w:t>1、供应商提交的响应性文件中的报价，该报价只允许有一个报价，任何有选择性的报价将不予接受。</w:t>
      </w:r>
    </w:p>
    <w:p w14:paraId="6B0D270D">
      <w:pPr>
        <w:keepNext w:val="0"/>
        <w:keepLines w:val="0"/>
        <w:pageBreakBefore w:val="0"/>
        <w:widowControl w:val="0"/>
        <w:kinsoku/>
        <w:wordWrap/>
        <w:overflowPunct/>
        <w:topLinePunct w:val="0"/>
        <w:bidi w:val="0"/>
        <w:snapToGrid w:val="0"/>
        <w:spacing w:line="324" w:lineRule="auto"/>
        <w:ind w:firstLine="359" w:firstLineChars="147"/>
        <w:textAlignment w:val="auto"/>
        <w:rPr>
          <w:rFonts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谈判小组</w:t>
      </w:r>
      <w:r>
        <w:rPr>
          <w:rFonts w:hint="eastAsia" w:ascii="仿宋" w:hAnsi="仿宋" w:eastAsia="仿宋" w:cs="仿宋"/>
          <w:color w:val="auto"/>
          <w:sz w:val="24"/>
          <w:szCs w:val="24"/>
        </w:rPr>
        <w:t>所有成员与供应商进行单独</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中，</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的任何一方不得透露与</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有关的其他供应商的技术资料、价格和其他信息。</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有实质性变动的，</w:t>
      </w:r>
      <w:r>
        <w:rPr>
          <w:rFonts w:hint="eastAsia" w:ascii="仿宋" w:hAnsi="仿宋" w:eastAsia="仿宋" w:cs="仿宋"/>
          <w:color w:val="auto"/>
          <w:sz w:val="24"/>
          <w:szCs w:val="24"/>
          <w:lang w:eastAsia="zh-CN"/>
        </w:rPr>
        <w:t>谈判小组</w:t>
      </w:r>
      <w:r>
        <w:rPr>
          <w:rFonts w:hint="eastAsia" w:ascii="仿宋" w:hAnsi="仿宋" w:eastAsia="仿宋" w:cs="仿宋"/>
          <w:color w:val="auto"/>
          <w:sz w:val="24"/>
          <w:szCs w:val="24"/>
        </w:rPr>
        <w:t>应以书面形式通知所有参加</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的供应商。</w:t>
      </w:r>
    </w:p>
    <w:p w14:paraId="209D5F14">
      <w:pPr>
        <w:keepNext w:val="0"/>
        <w:keepLines w:val="0"/>
        <w:pageBreakBefore w:val="0"/>
        <w:widowControl w:val="0"/>
        <w:kinsoku/>
        <w:wordWrap/>
        <w:overflowPunct/>
        <w:topLinePunct w:val="0"/>
        <w:bidi w:val="0"/>
        <w:snapToGrid w:val="0"/>
        <w:spacing w:line="324" w:lineRule="auto"/>
        <w:ind w:firstLine="359" w:firstLineChars="147"/>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结束后，供应商可根据</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情况，进行第二次报价</w:t>
      </w:r>
      <w:r>
        <w:rPr>
          <w:rFonts w:hint="eastAsia" w:ascii="仿宋" w:hAnsi="仿宋" w:eastAsia="仿宋" w:cs="仿宋"/>
          <w:color w:val="auto"/>
          <w:sz w:val="24"/>
          <w:szCs w:val="24"/>
          <w:lang w:eastAsia="zh-CN"/>
        </w:rPr>
        <w:t>，采购人也可以根据谈判情况开启多轮报价，</w:t>
      </w:r>
      <w:r>
        <w:rPr>
          <w:rFonts w:hint="eastAsia" w:ascii="仿宋" w:hAnsi="仿宋" w:eastAsia="仿宋" w:cs="仿宋"/>
          <w:color w:val="auto"/>
          <w:sz w:val="24"/>
          <w:szCs w:val="24"/>
        </w:rPr>
        <w:t>该报价为</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的最终报价。</w:t>
      </w:r>
    </w:p>
    <w:p w14:paraId="3994A626">
      <w:pPr>
        <w:keepNext w:val="0"/>
        <w:keepLines w:val="0"/>
        <w:pageBreakBefore w:val="0"/>
        <w:widowControl w:val="0"/>
        <w:kinsoku/>
        <w:wordWrap/>
        <w:overflowPunct/>
        <w:topLinePunct w:val="0"/>
        <w:bidi w:val="0"/>
        <w:snapToGrid w:val="0"/>
        <w:spacing w:line="324" w:lineRule="auto"/>
        <w:ind w:firstLine="359" w:firstLineChars="147"/>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rPr>
        <w:t>4、第二次报价</w:t>
      </w:r>
      <w:r>
        <w:rPr>
          <w:rFonts w:hint="eastAsia" w:ascii="仿宋" w:hAnsi="仿宋" w:eastAsia="仿宋" w:cs="仿宋"/>
          <w:color w:val="auto"/>
          <w:sz w:val="24"/>
          <w:szCs w:val="24"/>
          <w:lang w:eastAsia="zh-CN"/>
        </w:rPr>
        <w:t>在政采云不见面开评标系统</w:t>
      </w:r>
      <w:r>
        <w:rPr>
          <w:rFonts w:hint="eastAsia" w:ascii="仿宋" w:hAnsi="仿宋" w:eastAsia="仿宋" w:cs="仿宋"/>
          <w:color w:val="auto"/>
          <w:sz w:val="24"/>
          <w:szCs w:val="24"/>
        </w:rPr>
        <w:t>填写提交。所有供应商的二次报价收集齐全后，二次报价不进行公开唱标</w:t>
      </w:r>
      <w:r>
        <w:rPr>
          <w:rFonts w:hint="eastAsia" w:ascii="仿宋" w:hAnsi="仿宋" w:eastAsia="仿宋" w:cs="仿宋"/>
          <w:color w:val="auto"/>
          <w:sz w:val="24"/>
          <w:szCs w:val="24"/>
          <w:lang w:eastAsia="zh-CN"/>
        </w:rPr>
        <w:t>，依次类推。</w:t>
      </w:r>
    </w:p>
    <w:p w14:paraId="5A3059C4">
      <w:pPr>
        <w:keepNext w:val="0"/>
        <w:keepLines w:val="0"/>
        <w:pageBreakBefore w:val="0"/>
        <w:widowControl w:val="0"/>
        <w:kinsoku/>
        <w:wordWrap/>
        <w:overflowPunct/>
        <w:topLinePunct w:val="0"/>
        <w:bidi w:val="0"/>
        <w:snapToGrid w:val="0"/>
        <w:spacing w:line="324" w:lineRule="auto"/>
        <w:ind w:firstLine="359" w:firstLineChars="147"/>
        <w:textAlignment w:val="auto"/>
        <w:rPr>
          <w:rFonts w:hint="eastAsia" w:ascii="仿宋" w:hAnsi="仿宋" w:eastAsia="仿宋" w:cs="仿宋"/>
          <w:color w:val="auto"/>
          <w:sz w:val="28"/>
          <w:szCs w:val="28"/>
        </w:rPr>
      </w:pPr>
      <w:r>
        <w:rPr>
          <w:rFonts w:hint="eastAsia" w:ascii="仿宋" w:hAnsi="仿宋" w:eastAsia="仿宋" w:cs="仿宋"/>
          <w:color w:val="auto"/>
          <w:sz w:val="24"/>
          <w:szCs w:val="24"/>
        </w:rPr>
        <w:t>修正错误的原则如下：大写金额与小写金额不一致的，以大写金额为准；总价金额与按单价汇总金额不一致的，以单价金额计算结果为准；单价金额小数点有明显错位的，以总价为准，并修改单价；对不同文字文本响应性文件的解释发生异议的，以中文文本为准。按上述原则调整后的价格为评标价，对供应商具有约束力。如果供应商不接受修正后的价格，则其报价将被拒绝。</w:t>
      </w:r>
      <w:bookmarkEnd w:id="8"/>
    </w:p>
    <w:p w14:paraId="7A5507D4">
      <w:pPr>
        <w:pStyle w:val="3"/>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七、评标</w:t>
      </w:r>
      <w:r>
        <w:rPr>
          <w:rFonts w:hint="eastAsia" w:ascii="仿宋" w:hAnsi="仿宋" w:eastAsia="仿宋" w:cs="仿宋"/>
          <w:color w:val="auto"/>
          <w:sz w:val="28"/>
          <w:szCs w:val="28"/>
          <w:lang w:eastAsia="zh-CN"/>
        </w:rPr>
        <w:t>程序</w:t>
      </w:r>
    </w:p>
    <w:p w14:paraId="07610A64">
      <w:pPr>
        <w:snapToGrid w:val="0"/>
        <w:spacing w:line="360" w:lineRule="auto"/>
        <w:ind w:firstLine="479" w:firstLineChars="196"/>
        <w:rPr>
          <w:rFonts w:ascii="仿宋" w:hAnsi="仿宋" w:eastAsia="仿宋" w:cs="仿宋"/>
          <w:b/>
          <w:bCs/>
          <w:color w:val="auto"/>
          <w:sz w:val="24"/>
          <w:szCs w:val="24"/>
        </w:rPr>
      </w:pPr>
      <w:r>
        <w:rPr>
          <w:rFonts w:hint="eastAsia" w:ascii="仿宋" w:hAnsi="仿宋" w:eastAsia="仿宋" w:cs="仿宋"/>
          <w:b/>
          <w:bCs/>
          <w:color w:val="auto"/>
          <w:sz w:val="24"/>
          <w:szCs w:val="24"/>
        </w:rPr>
        <w:t>（二十</w:t>
      </w:r>
      <w:r>
        <w:rPr>
          <w:rFonts w:hint="eastAsia" w:ascii="仿宋" w:hAnsi="仿宋" w:eastAsia="仿宋" w:cs="仿宋"/>
          <w:b/>
          <w:bCs/>
          <w:color w:val="auto"/>
          <w:sz w:val="24"/>
          <w:szCs w:val="24"/>
          <w:lang w:eastAsia="zh-CN"/>
        </w:rPr>
        <w:t>五</w:t>
      </w:r>
      <w:r>
        <w:rPr>
          <w:rFonts w:hint="eastAsia" w:ascii="仿宋" w:hAnsi="仿宋" w:eastAsia="仿宋" w:cs="仿宋"/>
          <w:b/>
          <w:bCs/>
          <w:color w:val="auto"/>
          <w:sz w:val="24"/>
          <w:szCs w:val="24"/>
        </w:rPr>
        <w:t>）评标原则</w:t>
      </w:r>
    </w:p>
    <w:p w14:paraId="7E75C10F">
      <w:pPr>
        <w:adjustRightInd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“公开、公平、公正、客观、择优”为评标的基本原则，</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小组将根据这一原则，公正、平等地对待各供应商。</w:t>
      </w:r>
    </w:p>
    <w:p w14:paraId="386751F8">
      <w:pPr>
        <w:adjustRightInd w:val="0"/>
        <w:snapToGrid w:val="0"/>
        <w:spacing w:line="360" w:lineRule="auto"/>
        <w:ind w:firstLine="359" w:firstLineChars="147"/>
        <w:rPr>
          <w:rFonts w:ascii="仿宋" w:hAnsi="仿宋" w:eastAsia="仿宋" w:cs="仿宋"/>
          <w:b/>
          <w:color w:val="auto"/>
          <w:sz w:val="24"/>
          <w:szCs w:val="24"/>
        </w:rPr>
      </w:pPr>
      <w:r>
        <w:rPr>
          <w:rFonts w:hint="eastAsia" w:ascii="仿宋" w:hAnsi="仿宋" w:eastAsia="仿宋" w:cs="仿宋"/>
          <w:b/>
          <w:bCs/>
          <w:color w:val="auto"/>
          <w:sz w:val="24"/>
          <w:szCs w:val="24"/>
        </w:rPr>
        <w:t>（二十</w:t>
      </w:r>
      <w:r>
        <w:rPr>
          <w:rFonts w:hint="eastAsia" w:ascii="仿宋" w:hAnsi="仿宋" w:eastAsia="仿宋" w:cs="仿宋"/>
          <w:b/>
          <w:bCs/>
          <w:color w:val="auto"/>
          <w:sz w:val="24"/>
          <w:szCs w:val="24"/>
          <w:lang w:eastAsia="zh-CN"/>
        </w:rPr>
        <w:t>六</w:t>
      </w:r>
      <w:r>
        <w:rPr>
          <w:rFonts w:hint="eastAsia" w:ascii="仿宋" w:hAnsi="仿宋" w:eastAsia="仿宋" w:cs="仿宋"/>
          <w:b/>
          <w:bCs/>
          <w:color w:val="auto"/>
          <w:sz w:val="24"/>
          <w:szCs w:val="24"/>
        </w:rPr>
        <w:t>）</w:t>
      </w:r>
      <w:r>
        <w:rPr>
          <w:rFonts w:hint="eastAsia" w:ascii="仿宋" w:hAnsi="仿宋" w:eastAsia="仿宋" w:cs="仿宋"/>
          <w:b/>
          <w:color w:val="auto"/>
          <w:sz w:val="24"/>
          <w:szCs w:val="24"/>
          <w:lang w:eastAsia="zh-CN"/>
        </w:rPr>
        <w:t>谈判</w:t>
      </w:r>
      <w:r>
        <w:rPr>
          <w:rFonts w:hint="eastAsia" w:ascii="仿宋" w:hAnsi="仿宋" w:eastAsia="仿宋" w:cs="仿宋"/>
          <w:b/>
          <w:color w:val="auto"/>
          <w:sz w:val="24"/>
          <w:szCs w:val="24"/>
        </w:rPr>
        <w:t>小组</w:t>
      </w:r>
    </w:p>
    <w:p w14:paraId="79CA2A81">
      <w:pPr>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评标委员会成员由招标人的代表1名和随机抽取的有关方面的专家</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名组成，成员共为</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人，评标委员会的成员在评标过程中必须严格遵守政府采购的有关规定。专家从</w:t>
      </w:r>
      <w:r>
        <w:rPr>
          <w:rFonts w:hint="eastAsia" w:ascii="仿宋" w:hAnsi="仿宋" w:eastAsia="仿宋" w:cs="仿宋"/>
          <w:color w:val="auto"/>
          <w:sz w:val="24"/>
          <w:szCs w:val="24"/>
          <w:lang w:eastAsia="zh-CN"/>
        </w:rPr>
        <w:t>政采云</w:t>
      </w:r>
      <w:r>
        <w:rPr>
          <w:rFonts w:hint="eastAsia" w:ascii="仿宋" w:hAnsi="仿宋" w:eastAsia="仿宋" w:cs="仿宋"/>
          <w:color w:val="auto"/>
          <w:sz w:val="24"/>
          <w:szCs w:val="24"/>
        </w:rPr>
        <w:t>专家库中随机抽取产生，负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责对响应文件进行审查、质询、评审、推选</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候选人。</w:t>
      </w:r>
    </w:p>
    <w:p w14:paraId="3D6C5DF1">
      <w:pPr>
        <w:keepNext w:val="0"/>
        <w:keepLines w:val="0"/>
        <w:pageBreakBefore w:val="0"/>
        <w:kinsoku/>
        <w:wordWrap/>
        <w:overflowPunct/>
        <w:topLinePunct w:val="0"/>
        <w:autoSpaceDE/>
        <w:autoSpaceDN/>
        <w:bidi w:val="0"/>
        <w:snapToGrid w:val="0"/>
        <w:spacing w:line="305"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1、评标事务由</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小组负责，并独立履行下列职</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责：</w:t>
      </w:r>
    </w:p>
    <w:p w14:paraId="3BCEA7CB">
      <w:pPr>
        <w:keepNext w:val="0"/>
        <w:keepLines w:val="0"/>
        <w:pageBreakBefore w:val="0"/>
        <w:kinsoku/>
        <w:wordWrap/>
        <w:overflowPunct/>
        <w:topLinePunct w:val="0"/>
        <w:autoSpaceDE/>
        <w:autoSpaceDN/>
        <w:bidi w:val="0"/>
        <w:snapToGrid w:val="0"/>
        <w:spacing w:line="305"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（a）审查响应文件是否符合本文件要求，并做出评价；</w:t>
      </w:r>
    </w:p>
    <w:p w14:paraId="3991FED0">
      <w:pPr>
        <w:keepNext w:val="0"/>
        <w:keepLines w:val="0"/>
        <w:pageBreakBefore w:val="0"/>
        <w:kinsoku/>
        <w:wordWrap/>
        <w:overflowPunct/>
        <w:topLinePunct w:val="0"/>
        <w:autoSpaceDE/>
        <w:autoSpaceDN/>
        <w:bidi w:val="0"/>
        <w:snapToGrid w:val="0"/>
        <w:spacing w:line="305"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（b）要求供应商对响应文件有关事项做出澄清或答复；</w:t>
      </w:r>
    </w:p>
    <w:p w14:paraId="217D6565">
      <w:pPr>
        <w:keepNext w:val="0"/>
        <w:keepLines w:val="0"/>
        <w:pageBreakBefore w:val="0"/>
        <w:kinsoku/>
        <w:wordWrap/>
        <w:overflowPunct/>
        <w:topLinePunct w:val="0"/>
        <w:autoSpaceDE/>
        <w:autoSpaceDN/>
        <w:bidi w:val="0"/>
        <w:snapToGrid w:val="0"/>
        <w:spacing w:line="305"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（c）推荐</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候选人名单，或者直接确定</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w:t>
      </w:r>
    </w:p>
    <w:p w14:paraId="58E98E70">
      <w:pPr>
        <w:keepNext w:val="0"/>
        <w:keepLines w:val="0"/>
        <w:pageBreakBefore w:val="0"/>
        <w:kinsoku/>
        <w:wordWrap/>
        <w:overflowPunct/>
        <w:topLinePunct w:val="0"/>
        <w:autoSpaceDE/>
        <w:autoSpaceDN/>
        <w:bidi w:val="0"/>
        <w:snapToGrid w:val="0"/>
        <w:spacing w:line="305"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（d）向招标采购单位或者有关部门报</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告非法干预评标工作的行为。</w:t>
      </w:r>
    </w:p>
    <w:p w14:paraId="162AF4BE">
      <w:pPr>
        <w:keepNext w:val="0"/>
        <w:keepLines w:val="0"/>
        <w:pageBreakBefore w:val="0"/>
        <w:kinsoku/>
        <w:wordWrap/>
        <w:overflowPunct/>
        <w:topLinePunct w:val="0"/>
        <w:autoSpaceDE/>
        <w:autoSpaceDN/>
        <w:bidi w:val="0"/>
        <w:snapToGrid w:val="0"/>
        <w:spacing w:line="305"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小组成员的义务</w:t>
      </w:r>
    </w:p>
    <w:p w14:paraId="17E01247">
      <w:pPr>
        <w:keepNext w:val="0"/>
        <w:keepLines w:val="0"/>
        <w:pageBreakBefore w:val="0"/>
        <w:kinsoku/>
        <w:wordWrap/>
        <w:overflowPunct/>
        <w:topLinePunct w:val="0"/>
        <w:autoSpaceDE/>
        <w:autoSpaceDN/>
        <w:bidi w:val="0"/>
        <w:snapToGrid w:val="0"/>
        <w:spacing w:line="305"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（a）遵纪守法，客观、公正、廉洁地履行职责；</w:t>
      </w:r>
    </w:p>
    <w:p w14:paraId="594533B7">
      <w:pPr>
        <w:keepNext w:val="0"/>
        <w:keepLines w:val="0"/>
        <w:pageBreakBefore w:val="0"/>
        <w:kinsoku/>
        <w:wordWrap/>
        <w:overflowPunct/>
        <w:topLinePunct w:val="0"/>
        <w:autoSpaceDE/>
        <w:autoSpaceDN/>
        <w:bidi w:val="0"/>
        <w:snapToGrid w:val="0"/>
        <w:spacing w:line="305"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（b）按照</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规定的评标方法和标准进行评标，对评审意见承担个人责任；</w:t>
      </w:r>
    </w:p>
    <w:p w14:paraId="0FC1CE76">
      <w:pPr>
        <w:keepNext w:val="0"/>
        <w:keepLines w:val="0"/>
        <w:pageBreakBefore w:val="0"/>
        <w:kinsoku/>
        <w:wordWrap/>
        <w:overflowPunct/>
        <w:topLinePunct w:val="0"/>
        <w:autoSpaceDE/>
        <w:autoSpaceDN/>
        <w:bidi w:val="0"/>
        <w:snapToGrid w:val="0"/>
        <w:spacing w:line="305"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（c）对评标过程和结果，以及供应商的商</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业秘</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密保</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密；</w:t>
      </w:r>
    </w:p>
    <w:p w14:paraId="41959AFC">
      <w:pPr>
        <w:keepNext w:val="0"/>
        <w:keepLines w:val="0"/>
        <w:pageBreakBefore w:val="0"/>
        <w:kinsoku/>
        <w:wordWrap/>
        <w:overflowPunct/>
        <w:topLinePunct w:val="0"/>
        <w:autoSpaceDE/>
        <w:autoSpaceDN/>
        <w:bidi w:val="0"/>
        <w:snapToGrid w:val="0"/>
        <w:spacing w:line="305"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（d）参与评标报告的起草；</w:t>
      </w:r>
    </w:p>
    <w:p w14:paraId="5D7D1CE3">
      <w:pPr>
        <w:keepNext w:val="0"/>
        <w:keepLines w:val="0"/>
        <w:pageBreakBefore w:val="0"/>
        <w:kinsoku/>
        <w:wordWrap/>
        <w:overflowPunct/>
        <w:topLinePunct w:val="0"/>
        <w:autoSpaceDE/>
        <w:autoSpaceDN/>
        <w:bidi w:val="0"/>
        <w:snapToGrid w:val="0"/>
        <w:spacing w:line="305"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（e）配合财政部门的投诉处理工作；</w:t>
      </w:r>
    </w:p>
    <w:p w14:paraId="7E113BA0">
      <w:pPr>
        <w:keepNext w:val="0"/>
        <w:keepLines w:val="0"/>
        <w:pageBreakBefore w:val="0"/>
        <w:kinsoku/>
        <w:wordWrap/>
        <w:overflowPunct/>
        <w:topLinePunct w:val="0"/>
        <w:autoSpaceDE/>
        <w:autoSpaceDN/>
        <w:bidi w:val="0"/>
        <w:snapToGrid w:val="0"/>
        <w:spacing w:line="305" w:lineRule="auto"/>
        <w:ind w:firstLine="359" w:firstLineChars="147"/>
        <w:rPr>
          <w:rFonts w:hint="eastAsia" w:ascii="仿宋" w:hAnsi="仿宋" w:eastAsia="仿宋" w:cs="仿宋"/>
          <w:color w:val="auto"/>
          <w:sz w:val="24"/>
          <w:szCs w:val="24"/>
        </w:rPr>
      </w:pPr>
      <w:r>
        <w:rPr>
          <w:rFonts w:hint="eastAsia" w:ascii="仿宋" w:hAnsi="仿宋" w:eastAsia="仿宋" w:cs="仿宋"/>
          <w:color w:val="auto"/>
          <w:sz w:val="24"/>
          <w:szCs w:val="24"/>
        </w:rPr>
        <w:t>（f）配合招标采购单位答复供应商提出的质疑。</w:t>
      </w:r>
    </w:p>
    <w:p w14:paraId="12303477">
      <w:pPr>
        <w:pStyle w:val="29"/>
        <w:keepNext w:val="0"/>
        <w:keepLines w:val="0"/>
        <w:pageBreakBefore w:val="0"/>
        <w:kinsoku/>
        <w:wordWrap/>
        <w:overflowPunct/>
        <w:topLinePunct w:val="0"/>
        <w:autoSpaceDE/>
        <w:autoSpaceDN/>
        <w:bidi w:val="0"/>
        <w:snapToGrid w:val="0"/>
        <w:spacing w:line="305" w:lineRule="auto"/>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3.评标程序</w:t>
      </w:r>
    </w:p>
    <w:p w14:paraId="4C991F4A">
      <w:pPr>
        <w:pStyle w:val="29"/>
        <w:keepNext w:val="0"/>
        <w:keepLines w:val="0"/>
        <w:pageBreakBefore w:val="0"/>
        <w:kinsoku/>
        <w:wordWrap/>
        <w:overflowPunct/>
        <w:topLinePunct w:val="0"/>
        <w:autoSpaceDE/>
        <w:autoSpaceDN/>
        <w:bidi w:val="0"/>
        <w:snapToGrid w:val="0"/>
        <w:spacing w:line="305" w:lineRule="auto"/>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本次评标首先由评标委员会对投标人的响应文件进行初审，对未能通过初审的响应文件作无效标处理；</w:t>
      </w:r>
    </w:p>
    <w:p w14:paraId="3449CCEC">
      <w:pPr>
        <w:pStyle w:val="29"/>
        <w:keepNext w:val="0"/>
        <w:keepLines w:val="0"/>
        <w:pageBreakBefore w:val="0"/>
        <w:kinsoku/>
        <w:wordWrap/>
        <w:overflowPunct/>
        <w:topLinePunct w:val="0"/>
        <w:autoSpaceDE/>
        <w:autoSpaceDN/>
        <w:bidi w:val="0"/>
        <w:snapToGrid w:val="0"/>
        <w:spacing w:line="305" w:lineRule="auto"/>
        <w:rPr>
          <w:rFonts w:hint="eastAsia"/>
          <w:color w:val="auto"/>
          <w:sz w:val="24"/>
          <w:szCs w:val="24"/>
          <w:lang w:val="en-US" w:eastAsia="zh-CN"/>
        </w:rPr>
      </w:pPr>
      <w:r>
        <w:rPr>
          <w:rFonts w:hint="eastAsia" w:ascii="仿宋" w:hAnsi="仿宋" w:eastAsia="仿宋" w:cs="仿宋"/>
          <w:color w:val="auto"/>
          <w:sz w:val="24"/>
          <w:szCs w:val="24"/>
          <w:lang w:val="en-US" w:eastAsia="zh-CN" w:bidi="en-US"/>
        </w:rPr>
        <w:t>5对通过初审的投标人的响应文件进行详细的比较和评价。如需要，进行必要的澄清工作；</w:t>
      </w:r>
    </w:p>
    <w:p w14:paraId="10B42D65">
      <w:pPr>
        <w:keepNext w:val="0"/>
        <w:keepLines w:val="0"/>
        <w:pageBreakBefore w:val="0"/>
        <w:widowControl w:val="0"/>
        <w:kinsoku/>
        <w:wordWrap/>
        <w:overflowPunct/>
        <w:topLinePunct w:val="0"/>
        <w:autoSpaceDE/>
        <w:autoSpaceDN/>
        <w:bidi w:val="0"/>
        <w:adjustRightInd/>
        <w:snapToGrid/>
        <w:spacing w:line="400" w:lineRule="exact"/>
        <w:ind w:firstLine="245" w:firstLineChars="100"/>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color w:val="auto"/>
          <w:sz w:val="24"/>
          <w:szCs w:val="24"/>
          <w:lang w:val="en-US" w:eastAsia="zh-CN"/>
        </w:rPr>
        <w:t>（一）</w:t>
      </w:r>
      <w:r>
        <w:rPr>
          <w:rFonts w:hint="eastAsia" w:ascii="仿宋" w:hAnsi="仿宋" w:eastAsia="仿宋" w:cs="仿宋"/>
          <w:b/>
          <w:color w:val="auto"/>
          <w:sz w:val="24"/>
          <w:szCs w:val="24"/>
          <w:lang w:eastAsia="zh-CN"/>
        </w:rPr>
        <w:t>响应文件初审</w:t>
      </w:r>
    </w:p>
    <w:p w14:paraId="42FB7C1B">
      <w:pPr>
        <w:spacing w:line="400" w:lineRule="exact"/>
        <w:ind w:firstLine="359" w:firstLineChars="147"/>
        <w:rPr>
          <w:rFonts w:ascii="仿宋" w:hAnsi="仿宋" w:eastAsia="仿宋" w:cs="仿宋"/>
          <w:b/>
          <w:color w:val="auto"/>
          <w:sz w:val="24"/>
          <w:szCs w:val="24"/>
          <w:lang w:eastAsia="zh-CN"/>
        </w:rPr>
      </w:pPr>
      <w:r>
        <w:rPr>
          <w:rFonts w:hint="eastAsia" w:ascii="仿宋" w:hAnsi="仿宋" w:eastAsia="仿宋" w:cs="仿宋"/>
          <w:b/>
          <w:color w:val="auto"/>
          <w:sz w:val="24"/>
          <w:szCs w:val="24"/>
          <w:lang w:eastAsia="zh-CN"/>
        </w:rPr>
        <w:t>6.资格性审查:</w:t>
      </w:r>
    </w:p>
    <w:p w14:paraId="750A5555">
      <w:pPr>
        <w:spacing w:line="400" w:lineRule="exact"/>
        <w:ind w:firstLine="359" w:firstLineChars="147"/>
        <w:rPr>
          <w:rFonts w:ascii="仿宋" w:hAnsi="仿宋" w:eastAsia="仿宋" w:cs="仿宋"/>
          <w:color w:val="auto"/>
          <w:sz w:val="24"/>
          <w:szCs w:val="24"/>
        </w:rPr>
      </w:pPr>
      <w:r>
        <w:rPr>
          <w:rFonts w:hint="eastAsia" w:ascii="仿宋" w:hAnsi="仿宋" w:eastAsia="仿宋" w:cs="仿宋"/>
          <w:color w:val="auto"/>
          <w:sz w:val="24"/>
          <w:szCs w:val="24"/>
          <w:lang w:eastAsia="zh-CN"/>
        </w:rPr>
        <w:t>6</w:t>
      </w:r>
      <w:r>
        <w:rPr>
          <w:rFonts w:hint="eastAsia" w:ascii="仿宋" w:hAnsi="仿宋" w:eastAsia="仿宋" w:cs="仿宋"/>
          <w:color w:val="auto"/>
          <w:sz w:val="24"/>
          <w:szCs w:val="24"/>
        </w:rPr>
        <w:t>.1评审细则</w:t>
      </w:r>
    </w:p>
    <w:tbl>
      <w:tblPr>
        <w:tblStyle w:val="21"/>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6649"/>
        <w:gridCol w:w="808"/>
        <w:gridCol w:w="994"/>
      </w:tblGrid>
      <w:tr w14:paraId="63CE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vAlign w:val="center"/>
          </w:tcPr>
          <w:p w14:paraId="77616B63">
            <w:pPr>
              <w:jc w:val="center"/>
              <w:rPr>
                <w:rFonts w:ascii="仿宋" w:hAnsi="仿宋" w:eastAsia="仿宋" w:cs="仿宋"/>
                <w:b/>
                <w:color w:val="auto"/>
                <w:sz w:val="24"/>
                <w:szCs w:val="24"/>
              </w:rPr>
            </w:pPr>
            <w:r>
              <w:rPr>
                <w:rFonts w:hint="eastAsia" w:ascii="仿宋" w:hAnsi="仿宋" w:eastAsia="仿宋" w:cs="仿宋"/>
                <w:b/>
                <w:color w:val="auto"/>
                <w:sz w:val="24"/>
                <w:szCs w:val="24"/>
              </w:rPr>
              <w:t>项目</w:t>
            </w:r>
          </w:p>
        </w:tc>
        <w:tc>
          <w:tcPr>
            <w:tcW w:w="7196" w:type="dxa"/>
            <w:gridSpan w:val="2"/>
            <w:vMerge w:val="restart"/>
            <w:vAlign w:val="center"/>
          </w:tcPr>
          <w:p w14:paraId="46F5E022">
            <w:pPr>
              <w:jc w:val="center"/>
              <w:rPr>
                <w:rFonts w:ascii="仿宋" w:hAnsi="仿宋" w:eastAsia="仿宋" w:cs="仿宋"/>
                <w:b/>
                <w:color w:val="auto"/>
                <w:sz w:val="24"/>
                <w:szCs w:val="24"/>
              </w:rPr>
            </w:pPr>
            <w:r>
              <w:rPr>
                <w:rFonts w:hint="eastAsia" w:ascii="仿宋" w:hAnsi="仿宋" w:eastAsia="仿宋" w:cs="仿宋"/>
                <w:b/>
                <w:color w:val="auto"/>
                <w:sz w:val="24"/>
                <w:szCs w:val="24"/>
              </w:rPr>
              <w:t>评审内容</w:t>
            </w:r>
          </w:p>
        </w:tc>
        <w:tc>
          <w:tcPr>
            <w:tcW w:w="1802" w:type="dxa"/>
            <w:gridSpan w:val="2"/>
            <w:vAlign w:val="center"/>
          </w:tcPr>
          <w:p w14:paraId="0BAB1D9B">
            <w:pPr>
              <w:jc w:val="center"/>
              <w:rPr>
                <w:rFonts w:ascii="仿宋" w:hAnsi="仿宋" w:eastAsia="仿宋" w:cs="仿宋"/>
                <w:b/>
                <w:color w:val="auto"/>
                <w:sz w:val="24"/>
                <w:szCs w:val="24"/>
              </w:rPr>
            </w:pPr>
            <w:r>
              <w:rPr>
                <w:rFonts w:hint="eastAsia" w:ascii="仿宋" w:hAnsi="仿宋" w:eastAsia="仿宋" w:cs="仿宋"/>
                <w:b/>
                <w:color w:val="auto"/>
                <w:sz w:val="24"/>
                <w:szCs w:val="24"/>
              </w:rPr>
              <w:t>评审意见</w:t>
            </w:r>
          </w:p>
        </w:tc>
      </w:tr>
      <w:tr w14:paraId="5E62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81" w:type="dxa"/>
            <w:vMerge w:val="continue"/>
            <w:vAlign w:val="center"/>
          </w:tcPr>
          <w:p w14:paraId="7134678B">
            <w:pPr>
              <w:rPr>
                <w:rFonts w:ascii="仿宋" w:hAnsi="仿宋" w:eastAsia="仿宋" w:cs="仿宋"/>
                <w:color w:val="auto"/>
                <w:sz w:val="24"/>
                <w:szCs w:val="24"/>
              </w:rPr>
            </w:pPr>
          </w:p>
        </w:tc>
        <w:tc>
          <w:tcPr>
            <w:tcW w:w="7196" w:type="dxa"/>
            <w:gridSpan w:val="2"/>
            <w:vMerge w:val="continue"/>
          </w:tcPr>
          <w:p w14:paraId="72B5EBDC">
            <w:pPr>
              <w:rPr>
                <w:rFonts w:ascii="仿宋" w:hAnsi="仿宋" w:eastAsia="仿宋" w:cs="仿宋"/>
                <w:color w:val="auto"/>
                <w:sz w:val="24"/>
                <w:szCs w:val="24"/>
              </w:rPr>
            </w:pPr>
          </w:p>
        </w:tc>
        <w:tc>
          <w:tcPr>
            <w:tcW w:w="808" w:type="dxa"/>
            <w:vAlign w:val="center"/>
          </w:tcPr>
          <w:p w14:paraId="402101BC">
            <w:pPr>
              <w:jc w:val="center"/>
              <w:rPr>
                <w:rFonts w:ascii="仿宋" w:hAnsi="仿宋" w:eastAsia="仿宋" w:cs="仿宋"/>
                <w:b/>
                <w:color w:val="auto"/>
                <w:sz w:val="24"/>
                <w:szCs w:val="24"/>
              </w:rPr>
            </w:pPr>
            <w:r>
              <w:rPr>
                <w:rFonts w:hint="eastAsia" w:ascii="仿宋" w:hAnsi="仿宋" w:eastAsia="仿宋" w:cs="仿宋"/>
                <w:b/>
                <w:color w:val="auto"/>
                <w:sz w:val="24"/>
                <w:szCs w:val="24"/>
              </w:rPr>
              <w:t>是</w:t>
            </w:r>
          </w:p>
        </w:tc>
        <w:tc>
          <w:tcPr>
            <w:tcW w:w="994" w:type="dxa"/>
            <w:vAlign w:val="center"/>
          </w:tcPr>
          <w:p w14:paraId="717613AA">
            <w:pPr>
              <w:jc w:val="center"/>
              <w:rPr>
                <w:rFonts w:ascii="仿宋" w:hAnsi="仿宋" w:eastAsia="仿宋" w:cs="仿宋"/>
                <w:b/>
                <w:color w:val="auto"/>
                <w:sz w:val="24"/>
                <w:szCs w:val="24"/>
              </w:rPr>
            </w:pPr>
            <w:r>
              <w:rPr>
                <w:rFonts w:hint="eastAsia" w:ascii="仿宋" w:hAnsi="仿宋" w:eastAsia="仿宋" w:cs="仿宋"/>
                <w:b/>
                <w:color w:val="auto"/>
                <w:sz w:val="24"/>
                <w:szCs w:val="24"/>
              </w:rPr>
              <w:t>否</w:t>
            </w:r>
          </w:p>
        </w:tc>
      </w:tr>
      <w:tr w14:paraId="2FC4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81" w:type="dxa"/>
            <w:vMerge w:val="continue"/>
            <w:vAlign w:val="center"/>
          </w:tcPr>
          <w:p w14:paraId="7B039348">
            <w:pPr>
              <w:jc w:val="center"/>
              <w:rPr>
                <w:rFonts w:ascii="仿宋" w:hAnsi="仿宋" w:eastAsia="仿宋" w:cs="仿宋"/>
                <w:color w:val="auto"/>
                <w:sz w:val="24"/>
                <w:szCs w:val="24"/>
                <w:lang w:eastAsia="zh-CN"/>
              </w:rPr>
            </w:pPr>
          </w:p>
        </w:tc>
        <w:tc>
          <w:tcPr>
            <w:tcW w:w="547" w:type="dxa"/>
            <w:vAlign w:val="center"/>
          </w:tcPr>
          <w:p w14:paraId="6DD6764E">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p>
        </w:tc>
        <w:tc>
          <w:tcPr>
            <w:tcW w:w="6649" w:type="dxa"/>
            <w:vAlign w:val="center"/>
          </w:tcPr>
          <w:p w14:paraId="19CC5739">
            <w:pPr>
              <w:widowControl/>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（三证合一）营业执照</w:t>
            </w:r>
          </w:p>
        </w:tc>
        <w:tc>
          <w:tcPr>
            <w:tcW w:w="808" w:type="dxa"/>
          </w:tcPr>
          <w:p w14:paraId="6265AC6B">
            <w:pPr>
              <w:rPr>
                <w:rFonts w:ascii="仿宋" w:hAnsi="仿宋" w:eastAsia="仿宋" w:cs="仿宋"/>
                <w:color w:val="auto"/>
                <w:sz w:val="24"/>
                <w:szCs w:val="24"/>
                <w:lang w:eastAsia="zh-CN"/>
              </w:rPr>
            </w:pPr>
          </w:p>
        </w:tc>
        <w:tc>
          <w:tcPr>
            <w:tcW w:w="994" w:type="dxa"/>
          </w:tcPr>
          <w:p w14:paraId="4B68FC92">
            <w:pPr>
              <w:rPr>
                <w:rFonts w:ascii="仿宋" w:hAnsi="仿宋" w:eastAsia="仿宋" w:cs="仿宋"/>
                <w:color w:val="auto"/>
                <w:sz w:val="24"/>
                <w:szCs w:val="24"/>
                <w:lang w:eastAsia="zh-CN"/>
              </w:rPr>
            </w:pPr>
          </w:p>
        </w:tc>
      </w:tr>
      <w:tr w14:paraId="7B3EC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881" w:type="dxa"/>
            <w:vMerge w:val="continue"/>
            <w:vAlign w:val="center"/>
          </w:tcPr>
          <w:p w14:paraId="015BCAFF">
            <w:pPr>
              <w:rPr>
                <w:rFonts w:ascii="仿宋" w:hAnsi="仿宋" w:eastAsia="仿宋" w:cs="仿宋"/>
                <w:color w:val="auto"/>
                <w:sz w:val="24"/>
                <w:szCs w:val="24"/>
                <w:lang w:eastAsia="zh-CN"/>
              </w:rPr>
            </w:pPr>
          </w:p>
        </w:tc>
        <w:tc>
          <w:tcPr>
            <w:tcW w:w="547" w:type="dxa"/>
            <w:vAlign w:val="center"/>
          </w:tcPr>
          <w:p w14:paraId="2422E61F">
            <w:pPr>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6649" w:type="dxa"/>
            <w:vAlign w:val="center"/>
          </w:tcPr>
          <w:p w14:paraId="66A2CD28">
            <w:pPr>
              <w:widowControl/>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法定代表人投标需提供法定代表人资格证明书，委托代理人投标需提供法定代表人授权委托书</w:t>
            </w:r>
          </w:p>
        </w:tc>
        <w:tc>
          <w:tcPr>
            <w:tcW w:w="808" w:type="dxa"/>
          </w:tcPr>
          <w:p w14:paraId="5A11A266">
            <w:pPr>
              <w:rPr>
                <w:rFonts w:ascii="仿宋" w:hAnsi="仿宋" w:eastAsia="仿宋" w:cs="仿宋"/>
                <w:color w:val="auto"/>
                <w:sz w:val="24"/>
                <w:szCs w:val="24"/>
                <w:lang w:eastAsia="zh-CN"/>
              </w:rPr>
            </w:pPr>
          </w:p>
        </w:tc>
        <w:tc>
          <w:tcPr>
            <w:tcW w:w="994" w:type="dxa"/>
          </w:tcPr>
          <w:p w14:paraId="40667A54">
            <w:pPr>
              <w:rPr>
                <w:rFonts w:ascii="仿宋" w:hAnsi="仿宋" w:eastAsia="仿宋" w:cs="仿宋"/>
                <w:color w:val="auto"/>
                <w:sz w:val="24"/>
                <w:szCs w:val="24"/>
                <w:lang w:eastAsia="zh-CN"/>
              </w:rPr>
            </w:pPr>
          </w:p>
        </w:tc>
      </w:tr>
      <w:tr w14:paraId="6131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81" w:type="dxa"/>
            <w:vMerge w:val="continue"/>
            <w:vAlign w:val="center"/>
          </w:tcPr>
          <w:p w14:paraId="5F67E6FC">
            <w:pPr>
              <w:rPr>
                <w:rFonts w:ascii="仿宋" w:hAnsi="仿宋" w:eastAsia="仿宋" w:cs="仿宋"/>
                <w:color w:val="auto"/>
                <w:sz w:val="24"/>
                <w:szCs w:val="24"/>
                <w:lang w:eastAsia="zh-CN"/>
              </w:rPr>
            </w:pPr>
          </w:p>
        </w:tc>
        <w:tc>
          <w:tcPr>
            <w:tcW w:w="547" w:type="dxa"/>
            <w:vAlign w:val="center"/>
          </w:tcPr>
          <w:p w14:paraId="0B678070">
            <w:pPr>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p>
        </w:tc>
        <w:tc>
          <w:tcPr>
            <w:tcW w:w="6649" w:type="dxa"/>
            <w:vAlign w:val="center"/>
          </w:tcPr>
          <w:p w14:paraId="37DBE364">
            <w:pPr>
              <w:widowControl/>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参加政府采购活动前三年内，在经营活动中没有重大违法记录；未被“信用中国”（www.creditchina.gov.cn）、中国政府采购网（www.ccgp.gov.cn）列入失信被执行人、税收违法黑名单、政府采购严重违法失信行为记录名单。</w:t>
            </w:r>
          </w:p>
        </w:tc>
        <w:tc>
          <w:tcPr>
            <w:tcW w:w="808" w:type="dxa"/>
          </w:tcPr>
          <w:p w14:paraId="78185C8B">
            <w:pPr>
              <w:rPr>
                <w:rFonts w:ascii="仿宋" w:hAnsi="仿宋" w:eastAsia="仿宋" w:cs="仿宋"/>
                <w:color w:val="auto"/>
                <w:sz w:val="24"/>
                <w:szCs w:val="24"/>
                <w:lang w:eastAsia="zh-CN"/>
              </w:rPr>
            </w:pPr>
          </w:p>
        </w:tc>
        <w:tc>
          <w:tcPr>
            <w:tcW w:w="994" w:type="dxa"/>
          </w:tcPr>
          <w:p w14:paraId="2FF8C8D9">
            <w:pPr>
              <w:rPr>
                <w:rFonts w:ascii="仿宋" w:hAnsi="仿宋" w:eastAsia="仿宋" w:cs="仿宋"/>
                <w:color w:val="auto"/>
                <w:sz w:val="24"/>
                <w:szCs w:val="24"/>
                <w:lang w:eastAsia="zh-CN"/>
              </w:rPr>
            </w:pPr>
          </w:p>
        </w:tc>
      </w:tr>
      <w:tr w14:paraId="65C7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81" w:type="dxa"/>
            <w:vMerge w:val="continue"/>
            <w:vAlign w:val="center"/>
          </w:tcPr>
          <w:p w14:paraId="5F2BB6AB">
            <w:pPr>
              <w:rPr>
                <w:rFonts w:ascii="仿宋" w:hAnsi="仿宋" w:eastAsia="仿宋" w:cs="仿宋"/>
                <w:color w:val="auto"/>
                <w:sz w:val="24"/>
                <w:szCs w:val="24"/>
                <w:lang w:eastAsia="zh-CN"/>
              </w:rPr>
            </w:pPr>
          </w:p>
        </w:tc>
        <w:tc>
          <w:tcPr>
            <w:tcW w:w="547" w:type="dxa"/>
            <w:vAlign w:val="center"/>
          </w:tcPr>
          <w:p w14:paraId="07E3DF4B">
            <w:pPr>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p>
        </w:tc>
        <w:tc>
          <w:tcPr>
            <w:tcW w:w="6649" w:type="dxa"/>
            <w:vAlign w:val="center"/>
          </w:tcPr>
          <w:p w14:paraId="7921A921">
            <w:pPr>
              <w:widowControl/>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投标保证金缴纳凭证或投标担保函</w:t>
            </w:r>
          </w:p>
        </w:tc>
        <w:tc>
          <w:tcPr>
            <w:tcW w:w="808" w:type="dxa"/>
          </w:tcPr>
          <w:p w14:paraId="7B19571A">
            <w:pPr>
              <w:rPr>
                <w:rFonts w:ascii="仿宋" w:hAnsi="仿宋" w:eastAsia="仿宋" w:cs="仿宋"/>
                <w:color w:val="auto"/>
                <w:sz w:val="24"/>
                <w:szCs w:val="24"/>
                <w:lang w:eastAsia="zh-CN"/>
              </w:rPr>
            </w:pPr>
          </w:p>
        </w:tc>
        <w:tc>
          <w:tcPr>
            <w:tcW w:w="994" w:type="dxa"/>
          </w:tcPr>
          <w:p w14:paraId="19BFEDBD">
            <w:pPr>
              <w:rPr>
                <w:rFonts w:ascii="仿宋" w:hAnsi="仿宋" w:eastAsia="仿宋" w:cs="仿宋"/>
                <w:color w:val="auto"/>
                <w:sz w:val="24"/>
                <w:szCs w:val="24"/>
                <w:lang w:eastAsia="zh-CN"/>
              </w:rPr>
            </w:pPr>
          </w:p>
        </w:tc>
      </w:tr>
      <w:tr w14:paraId="23EE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1" w:type="dxa"/>
            <w:vMerge w:val="continue"/>
            <w:vAlign w:val="center"/>
          </w:tcPr>
          <w:p w14:paraId="39A2916A">
            <w:pPr>
              <w:rPr>
                <w:rFonts w:ascii="仿宋" w:hAnsi="仿宋" w:eastAsia="仿宋" w:cs="仿宋"/>
                <w:color w:val="auto"/>
                <w:sz w:val="24"/>
                <w:szCs w:val="24"/>
                <w:lang w:eastAsia="zh-CN"/>
              </w:rPr>
            </w:pPr>
          </w:p>
        </w:tc>
        <w:tc>
          <w:tcPr>
            <w:tcW w:w="547" w:type="dxa"/>
            <w:vAlign w:val="center"/>
          </w:tcPr>
          <w:p w14:paraId="76E6901D">
            <w:pPr>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w:t>
            </w:r>
          </w:p>
        </w:tc>
        <w:tc>
          <w:tcPr>
            <w:tcW w:w="6649" w:type="dxa"/>
            <w:vAlign w:val="center"/>
          </w:tcPr>
          <w:p w14:paraId="00B0ADDA">
            <w:pPr>
              <w:widowControl/>
              <w:textAlignment w:val="center"/>
              <w:rPr>
                <w:rFonts w:ascii="仿宋" w:hAnsi="仿宋" w:eastAsia="仿宋" w:cs="仿宋"/>
                <w:color w:val="auto"/>
                <w:sz w:val="24"/>
                <w:szCs w:val="24"/>
                <w:lang w:eastAsia="zh-CN"/>
              </w:rPr>
            </w:pPr>
            <w:r>
              <w:rPr>
                <w:rFonts w:ascii="仿宋" w:hAnsi="仿宋" w:eastAsia="仿宋" w:cs="仿宋"/>
                <w:color w:val="auto"/>
                <w:highlight w:val="none"/>
                <w:lang w:eastAsia="zh-CN"/>
              </w:rPr>
              <w:t>投标企业须提供投标人（被授权在职人员）近6个月内任意一个月有效的社保证明</w:t>
            </w:r>
          </w:p>
        </w:tc>
        <w:tc>
          <w:tcPr>
            <w:tcW w:w="808" w:type="dxa"/>
          </w:tcPr>
          <w:p w14:paraId="5B041367">
            <w:pPr>
              <w:rPr>
                <w:rFonts w:ascii="仿宋" w:hAnsi="仿宋" w:eastAsia="仿宋" w:cs="仿宋"/>
                <w:color w:val="auto"/>
                <w:sz w:val="24"/>
                <w:szCs w:val="24"/>
                <w:lang w:eastAsia="zh-CN"/>
              </w:rPr>
            </w:pPr>
          </w:p>
        </w:tc>
        <w:tc>
          <w:tcPr>
            <w:tcW w:w="994" w:type="dxa"/>
          </w:tcPr>
          <w:p w14:paraId="3187DBE7">
            <w:pPr>
              <w:rPr>
                <w:rFonts w:ascii="仿宋" w:hAnsi="仿宋" w:eastAsia="仿宋" w:cs="仿宋"/>
                <w:color w:val="auto"/>
                <w:sz w:val="24"/>
                <w:szCs w:val="24"/>
                <w:lang w:eastAsia="zh-CN"/>
              </w:rPr>
            </w:pPr>
          </w:p>
        </w:tc>
      </w:tr>
      <w:tr w14:paraId="23E5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1" w:type="dxa"/>
            <w:vMerge w:val="continue"/>
            <w:vAlign w:val="center"/>
          </w:tcPr>
          <w:p w14:paraId="4E04A014">
            <w:pPr>
              <w:rPr>
                <w:rFonts w:ascii="仿宋" w:hAnsi="仿宋" w:eastAsia="仿宋" w:cs="仿宋"/>
                <w:color w:val="auto"/>
                <w:sz w:val="24"/>
                <w:szCs w:val="24"/>
                <w:lang w:eastAsia="zh-CN"/>
              </w:rPr>
            </w:pPr>
          </w:p>
        </w:tc>
        <w:tc>
          <w:tcPr>
            <w:tcW w:w="547" w:type="dxa"/>
            <w:vAlign w:val="center"/>
          </w:tcPr>
          <w:p w14:paraId="173DEF55">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6649" w:type="dxa"/>
            <w:vAlign w:val="center"/>
          </w:tcPr>
          <w:p w14:paraId="3EC68B05">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具有良好的商业信誉和健全的财务会计制度（由具备资质的中介机构出具2024年或2025年的财务审计报告（报告中须包括资产负债表、利润表、现金流量表及财务报表附注）复印件加盖公章或近一年内银行提供的资信证明（新公司从成立之日起算）；成立不满一年企业提供财务报表（复印件加盖公章）；</w:t>
            </w:r>
          </w:p>
        </w:tc>
        <w:tc>
          <w:tcPr>
            <w:tcW w:w="808" w:type="dxa"/>
          </w:tcPr>
          <w:p w14:paraId="0E22ED88">
            <w:pPr>
              <w:rPr>
                <w:rFonts w:ascii="仿宋" w:hAnsi="仿宋" w:eastAsia="仿宋" w:cs="仿宋"/>
                <w:color w:val="auto"/>
                <w:sz w:val="24"/>
                <w:szCs w:val="24"/>
                <w:lang w:eastAsia="zh-CN"/>
              </w:rPr>
            </w:pPr>
          </w:p>
        </w:tc>
        <w:tc>
          <w:tcPr>
            <w:tcW w:w="994" w:type="dxa"/>
          </w:tcPr>
          <w:p w14:paraId="688A8106">
            <w:pPr>
              <w:rPr>
                <w:rFonts w:ascii="仿宋" w:hAnsi="仿宋" w:eastAsia="仿宋" w:cs="仿宋"/>
                <w:color w:val="auto"/>
                <w:sz w:val="24"/>
                <w:szCs w:val="24"/>
                <w:lang w:eastAsia="zh-CN"/>
              </w:rPr>
            </w:pPr>
          </w:p>
        </w:tc>
      </w:tr>
      <w:tr w14:paraId="4506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1" w:type="dxa"/>
            <w:vMerge w:val="continue"/>
            <w:vAlign w:val="center"/>
          </w:tcPr>
          <w:p w14:paraId="48F2AD73">
            <w:pPr>
              <w:rPr>
                <w:rFonts w:ascii="仿宋" w:hAnsi="仿宋" w:eastAsia="仿宋" w:cs="仿宋"/>
                <w:color w:val="auto"/>
                <w:sz w:val="24"/>
                <w:szCs w:val="24"/>
                <w:lang w:eastAsia="zh-CN"/>
              </w:rPr>
            </w:pPr>
          </w:p>
        </w:tc>
        <w:tc>
          <w:tcPr>
            <w:tcW w:w="547" w:type="dxa"/>
            <w:vAlign w:val="center"/>
          </w:tcPr>
          <w:p w14:paraId="1288EE5C">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6649" w:type="dxa"/>
            <w:vAlign w:val="center"/>
          </w:tcPr>
          <w:p w14:paraId="0531800E">
            <w:pPr>
              <w:widowControl/>
              <w:textAlignment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中小企业声明函</w:t>
            </w:r>
          </w:p>
        </w:tc>
        <w:tc>
          <w:tcPr>
            <w:tcW w:w="1802" w:type="dxa"/>
            <w:gridSpan w:val="2"/>
          </w:tcPr>
          <w:p w14:paraId="481789EF">
            <w:pP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请根据要求单独上传《中小企业声明函》。格式以采购文件要求为准。</w:t>
            </w:r>
          </w:p>
        </w:tc>
      </w:tr>
      <w:tr w14:paraId="53DD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vMerge w:val="continue"/>
            <w:vAlign w:val="center"/>
          </w:tcPr>
          <w:p w14:paraId="5939FA96">
            <w:pPr>
              <w:jc w:val="center"/>
              <w:rPr>
                <w:rFonts w:ascii="仿宋" w:hAnsi="仿宋" w:eastAsia="仿宋" w:cs="仿宋"/>
                <w:color w:val="auto"/>
                <w:sz w:val="24"/>
                <w:szCs w:val="24"/>
                <w:lang w:eastAsia="zh-CN"/>
              </w:rPr>
            </w:pPr>
          </w:p>
        </w:tc>
        <w:tc>
          <w:tcPr>
            <w:tcW w:w="547" w:type="dxa"/>
          </w:tcPr>
          <w:p w14:paraId="3AD2E4DE">
            <w:pPr>
              <w:spacing w:line="440" w:lineRule="exact"/>
              <w:rPr>
                <w:rFonts w:ascii="仿宋" w:hAnsi="仿宋" w:eastAsia="仿宋" w:cs="仿宋"/>
                <w:color w:val="auto"/>
                <w:sz w:val="24"/>
                <w:szCs w:val="24"/>
                <w:lang w:eastAsia="zh-CN"/>
              </w:rPr>
            </w:pPr>
          </w:p>
        </w:tc>
        <w:tc>
          <w:tcPr>
            <w:tcW w:w="6649" w:type="dxa"/>
          </w:tcPr>
          <w:p w14:paraId="1FC32512">
            <w:pP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结论：是否通过评审（须填写通过或不通过）</w:t>
            </w:r>
          </w:p>
          <w:p w14:paraId="35341563">
            <w:pP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注：如有一项不合格，作废标处理。</w:t>
            </w:r>
          </w:p>
        </w:tc>
        <w:tc>
          <w:tcPr>
            <w:tcW w:w="1802" w:type="dxa"/>
            <w:gridSpan w:val="2"/>
          </w:tcPr>
          <w:p w14:paraId="4347CD80">
            <w:pPr>
              <w:rPr>
                <w:rFonts w:ascii="仿宋" w:hAnsi="仿宋" w:eastAsia="仿宋" w:cs="仿宋"/>
                <w:color w:val="auto"/>
                <w:sz w:val="24"/>
                <w:szCs w:val="24"/>
                <w:lang w:eastAsia="zh-CN"/>
              </w:rPr>
            </w:pPr>
          </w:p>
        </w:tc>
      </w:tr>
    </w:tbl>
    <w:p w14:paraId="4466E3F0">
      <w:pPr>
        <w:spacing w:line="400" w:lineRule="exact"/>
        <w:ind w:firstLine="590" w:firstLineChars="241"/>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6.2如评标专家在检验电子标书过程中，如果由于投标人自身原因导致评标专家无法查看并检验电子标书中以上相关资料的，否决其投标。即使投标单位将原件携带至现场的，同样按无效投标处理。</w:t>
      </w:r>
    </w:p>
    <w:p w14:paraId="299629F4">
      <w:pPr>
        <w:spacing w:before="156" w:beforeLines="50" w:line="440" w:lineRule="exact"/>
        <w:ind w:firstLine="359" w:firstLineChars="147"/>
        <w:rPr>
          <w:rFonts w:ascii="仿宋" w:hAnsi="仿宋" w:eastAsia="仿宋" w:cs="仿宋"/>
          <w:b/>
          <w:color w:val="auto"/>
          <w:sz w:val="24"/>
          <w:szCs w:val="24"/>
        </w:rPr>
      </w:pPr>
      <w:r>
        <w:rPr>
          <w:rFonts w:hint="eastAsia" w:ascii="仿宋" w:hAnsi="仿宋" w:eastAsia="仿宋" w:cs="仿宋"/>
          <w:b/>
          <w:color w:val="auto"/>
          <w:sz w:val="24"/>
          <w:szCs w:val="24"/>
          <w:lang w:eastAsia="zh-CN"/>
        </w:rPr>
        <w:t>7</w:t>
      </w:r>
      <w:r>
        <w:rPr>
          <w:rFonts w:hint="eastAsia" w:ascii="仿宋" w:hAnsi="仿宋" w:eastAsia="仿宋" w:cs="仿宋"/>
          <w:b/>
          <w:color w:val="auto"/>
          <w:sz w:val="24"/>
          <w:szCs w:val="24"/>
        </w:rPr>
        <w:t>.符合性审查</w:t>
      </w:r>
    </w:p>
    <w:p w14:paraId="05C5663C">
      <w:pPr>
        <w:spacing w:line="440" w:lineRule="exact"/>
        <w:ind w:firstLine="367" w:firstLineChars="150"/>
        <w:rPr>
          <w:rFonts w:ascii="仿宋" w:hAnsi="仿宋" w:eastAsia="仿宋" w:cs="仿宋"/>
          <w:color w:val="auto"/>
          <w:sz w:val="24"/>
          <w:szCs w:val="24"/>
        </w:rPr>
      </w:pPr>
      <w:r>
        <w:rPr>
          <w:rFonts w:hint="eastAsia" w:ascii="仿宋" w:hAnsi="仿宋" w:eastAsia="仿宋" w:cs="仿宋"/>
          <w:color w:val="auto"/>
          <w:sz w:val="24"/>
          <w:szCs w:val="24"/>
          <w:lang w:eastAsia="zh-CN"/>
        </w:rPr>
        <w:t>7</w:t>
      </w:r>
      <w:r>
        <w:rPr>
          <w:rFonts w:hint="eastAsia" w:ascii="仿宋" w:hAnsi="仿宋" w:eastAsia="仿宋" w:cs="仿宋"/>
          <w:color w:val="auto"/>
          <w:sz w:val="24"/>
          <w:szCs w:val="24"/>
        </w:rPr>
        <w:t>．1评审细则</w:t>
      </w:r>
    </w:p>
    <w:tbl>
      <w:tblPr>
        <w:tblStyle w:val="21"/>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4"/>
        <w:gridCol w:w="597"/>
        <w:gridCol w:w="6378"/>
        <w:gridCol w:w="749"/>
        <w:gridCol w:w="617"/>
      </w:tblGrid>
      <w:tr w14:paraId="6F74D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094" w:type="dxa"/>
            <w:vMerge w:val="restart"/>
            <w:tcBorders>
              <w:top w:val="single" w:color="auto" w:sz="4" w:space="0"/>
              <w:left w:val="single" w:color="auto" w:sz="4" w:space="0"/>
            </w:tcBorders>
            <w:vAlign w:val="center"/>
          </w:tcPr>
          <w:p w14:paraId="350AFF93">
            <w:pPr>
              <w:spacing w:line="240" w:lineRule="auto"/>
              <w:jc w:val="center"/>
              <w:rPr>
                <w:rFonts w:ascii="仿宋" w:hAnsi="仿宋" w:eastAsia="仿宋" w:cs="仿宋"/>
                <w:b/>
                <w:color w:val="auto"/>
                <w:highlight w:val="none"/>
              </w:rPr>
            </w:pPr>
            <w:r>
              <w:rPr>
                <w:rFonts w:hint="eastAsia" w:ascii="仿宋" w:hAnsi="仿宋" w:eastAsia="仿宋" w:cs="仿宋"/>
                <w:b/>
                <w:color w:val="auto"/>
                <w:highlight w:val="none"/>
              </w:rPr>
              <w:t>项目</w:t>
            </w:r>
          </w:p>
        </w:tc>
        <w:tc>
          <w:tcPr>
            <w:tcW w:w="6975" w:type="dxa"/>
            <w:gridSpan w:val="2"/>
            <w:vMerge w:val="restart"/>
            <w:tcBorders>
              <w:top w:val="single" w:color="auto" w:sz="4" w:space="0"/>
            </w:tcBorders>
            <w:vAlign w:val="center"/>
          </w:tcPr>
          <w:p w14:paraId="26BBCF05">
            <w:pPr>
              <w:spacing w:line="240" w:lineRule="auto"/>
              <w:jc w:val="center"/>
              <w:rPr>
                <w:rFonts w:ascii="仿宋" w:hAnsi="仿宋" w:eastAsia="仿宋" w:cs="仿宋"/>
                <w:b/>
                <w:color w:val="auto"/>
                <w:highlight w:val="none"/>
              </w:rPr>
            </w:pPr>
            <w:r>
              <w:rPr>
                <w:rFonts w:hint="eastAsia" w:ascii="仿宋" w:hAnsi="仿宋" w:eastAsia="仿宋" w:cs="仿宋"/>
                <w:b/>
                <w:color w:val="auto"/>
                <w:highlight w:val="none"/>
              </w:rPr>
              <w:t>评审内容</w:t>
            </w:r>
          </w:p>
        </w:tc>
        <w:tc>
          <w:tcPr>
            <w:tcW w:w="1366" w:type="dxa"/>
            <w:gridSpan w:val="2"/>
            <w:tcBorders>
              <w:top w:val="single" w:color="auto" w:sz="4" w:space="0"/>
              <w:right w:val="single" w:color="auto" w:sz="4" w:space="0"/>
            </w:tcBorders>
            <w:vAlign w:val="center"/>
          </w:tcPr>
          <w:p w14:paraId="34343EFC">
            <w:pPr>
              <w:spacing w:line="240" w:lineRule="auto"/>
              <w:jc w:val="center"/>
              <w:rPr>
                <w:rFonts w:ascii="仿宋" w:hAnsi="仿宋" w:eastAsia="仿宋" w:cs="仿宋"/>
                <w:b/>
                <w:color w:val="auto"/>
                <w:highlight w:val="none"/>
              </w:rPr>
            </w:pPr>
            <w:r>
              <w:rPr>
                <w:rFonts w:hint="eastAsia" w:ascii="仿宋" w:hAnsi="仿宋" w:eastAsia="仿宋" w:cs="仿宋"/>
                <w:b/>
                <w:color w:val="auto"/>
                <w:highlight w:val="none"/>
              </w:rPr>
              <w:t>评审意见</w:t>
            </w:r>
          </w:p>
        </w:tc>
      </w:tr>
      <w:tr w14:paraId="06A2F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bottom w:val="single" w:color="auto" w:sz="4" w:space="0"/>
            </w:tcBorders>
            <w:vAlign w:val="center"/>
          </w:tcPr>
          <w:p w14:paraId="3DC88D37">
            <w:pPr>
              <w:spacing w:line="240" w:lineRule="auto"/>
              <w:rPr>
                <w:rFonts w:ascii="仿宋" w:hAnsi="仿宋" w:eastAsia="仿宋" w:cs="仿宋"/>
                <w:color w:val="auto"/>
                <w:highlight w:val="none"/>
              </w:rPr>
            </w:pPr>
          </w:p>
        </w:tc>
        <w:tc>
          <w:tcPr>
            <w:tcW w:w="6975" w:type="dxa"/>
            <w:gridSpan w:val="2"/>
            <w:vMerge w:val="continue"/>
            <w:tcBorders>
              <w:bottom w:val="single" w:color="auto" w:sz="4" w:space="0"/>
            </w:tcBorders>
          </w:tcPr>
          <w:p w14:paraId="5388D68D">
            <w:pPr>
              <w:spacing w:line="240" w:lineRule="auto"/>
              <w:rPr>
                <w:rFonts w:ascii="仿宋" w:hAnsi="仿宋" w:eastAsia="仿宋" w:cs="仿宋"/>
                <w:color w:val="auto"/>
                <w:highlight w:val="none"/>
              </w:rPr>
            </w:pPr>
          </w:p>
        </w:tc>
        <w:tc>
          <w:tcPr>
            <w:tcW w:w="749" w:type="dxa"/>
            <w:vAlign w:val="center"/>
          </w:tcPr>
          <w:p w14:paraId="75CE30C4">
            <w:pPr>
              <w:spacing w:line="240" w:lineRule="auto"/>
              <w:jc w:val="center"/>
              <w:rPr>
                <w:rFonts w:ascii="仿宋" w:hAnsi="仿宋" w:eastAsia="仿宋" w:cs="仿宋"/>
                <w:b/>
                <w:color w:val="auto"/>
                <w:highlight w:val="none"/>
              </w:rPr>
            </w:pPr>
            <w:r>
              <w:rPr>
                <w:rFonts w:hint="eastAsia" w:ascii="仿宋" w:hAnsi="仿宋" w:eastAsia="仿宋" w:cs="仿宋"/>
                <w:b/>
                <w:color w:val="auto"/>
                <w:highlight w:val="none"/>
              </w:rPr>
              <w:t>是</w:t>
            </w:r>
          </w:p>
        </w:tc>
        <w:tc>
          <w:tcPr>
            <w:tcW w:w="617" w:type="dxa"/>
            <w:tcBorders>
              <w:right w:val="single" w:color="auto" w:sz="4" w:space="0"/>
            </w:tcBorders>
            <w:vAlign w:val="center"/>
          </w:tcPr>
          <w:p w14:paraId="60ADBBE5">
            <w:pPr>
              <w:spacing w:line="240" w:lineRule="auto"/>
              <w:jc w:val="center"/>
              <w:rPr>
                <w:rFonts w:ascii="仿宋" w:hAnsi="仿宋" w:eastAsia="仿宋" w:cs="仿宋"/>
                <w:b/>
                <w:color w:val="auto"/>
                <w:highlight w:val="none"/>
              </w:rPr>
            </w:pPr>
            <w:r>
              <w:rPr>
                <w:rFonts w:hint="eastAsia" w:ascii="仿宋" w:hAnsi="仿宋" w:eastAsia="仿宋" w:cs="仿宋"/>
                <w:b/>
                <w:color w:val="auto"/>
                <w:highlight w:val="none"/>
              </w:rPr>
              <w:t>否</w:t>
            </w:r>
          </w:p>
        </w:tc>
      </w:tr>
      <w:tr w14:paraId="2F68B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094" w:type="dxa"/>
            <w:vMerge w:val="restart"/>
            <w:tcBorders>
              <w:top w:val="single" w:color="auto" w:sz="4" w:space="0"/>
              <w:left w:val="single" w:color="auto" w:sz="4" w:space="0"/>
              <w:right w:val="single" w:color="auto" w:sz="4" w:space="0"/>
            </w:tcBorders>
            <w:vAlign w:val="center"/>
          </w:tcPr>
          <w:p w14:paraId="162B394B">
            <w:pPr>
              <w:spacing w:line="24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审</w:t>
            </w:r>
          </w:p>
          <w:p w14:paraId="0E1BE86D">
            <w:pPr>
              <w:spacing w:line="24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查</w:t>
            </w:r>
          </w:p>
          <w:p w14:paraId="2FA18209">
            <w:pPr>
              <w:spacing w:line="24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标</w:t>
            </w:r>
          </w:p>
          <w:p w14:paraId="37A58C12">
            <w:pPr>
              <w:spacing w:line="24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准</w:t>
            </w:r>
          </w:p>
        </w:tc>
        <w:tc>
          <w:tcPr>
            <w:tcW w:w="597" w:type="dxa"/>
            <w:tcBorders>
              <w:top w:val="single" w:color="auto" w:sz="4" w:space="0"/>
              <w:left w:val="single" w:color="auto" w:sz="4" w:space="0"/>
              <w:right w:val="single" w:color="auto" w:sz="4" w:space="0"/>
            </w:tcBorders>
            <w:vAlign w:val="center"/>
          </w:tcPr>
          <w:p w14:paraId="265A444E">
            <w:pPr>
              <w:spacing w:line="240" w:lineRule="auto"/>
              <w:jc w:val="center"/>
              <w:rPr>
                <w:rFonts w:ascii="仿宋" w:hAnsi="仿宋" w:eastAsia="仿宋" w:cs="仿宋"/>
                <w:color w:val="auto"/>
                <w:highlight w:val="none"/>
              </w:rPr>
            </w:pPr>
            <w:r>
              <w:rPr>
                <w:rFonts w:hint="eastAsia" w:ascii="仿宋" w:hAnsi="仿宋" w:eastAsia="仿宋" w:cs="仿宋"/>
                <w:color w:val="auto"/>
                <w:highlight w:val="none"/>
              </w:rPr>
              <w:t>1</w:t>
            </w:r>
          </w:p>
        </w:tc>
        <w:tc>
          <w:tcPr>
            <w:tcW w:w="6378" w:type="dxa"/>
            <w:tcBorders>
              <w:top w:val="single" w:color="auto" w:sz="4" w:space="0"/>
              <w:left w:val="single" w:color="auto" w:sz="4" w:space="0"/>
              <w:right w:val="single" w:color="auto" w:sz="4" w:space="0"/>
            </w:tcBorders>
            <w:vAlign w:val="center"/>
          </w:tcPr>
          <w:p w14:paraId="72CFB3BA">
            <w:pPr>
              <w:widowControl/>
              <w:spacing w:line="24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由政府立项核准、审批的采购项目, 报价高于设定的采购预算价的；</w:t>
            </w:r>
          </w:p>
        </w:tc>
        <w:tc>
          <w:tcPr>
            <w:tcW w:w="749" w:type="dxa"/>
            <w:tcBorders>
              <w:left w:val="single" w:color="auto" w:sz="4" w:space="0"/>
              <w:right w:val="single" w:color="auto" w:sz="4" w:space="0"/>
            </w:tcBorders>
          </w:tcPr>
          <w:p w14:paraId="36B192D4">
            <w:pPr>
              <w:spacing w:line="240" w:lineRule="auto"/>
              <w:jc w:val="center"/>
              <w:rPr>
                <w:rFonts w:ascii="仿宋" w:hAnsi="仿宋" w:eastAsia="仿宋" w:cs="仿宋"/>
                <w:b/>
                <w:color w:val="auto"/>
                <w:szCs w:val="21"/>
                <w:highlight w:val="none"/>
                <w:lang w:eastAsia="zh-CN"/>
              </w:rPr>
            </w:pPr>
          </w:p>
        </w:tc>
        <w:tc>
          <w:tcPr>
            <w:tcW w:w="617" w:type="dxa"/>
            <w:tcBorders>
              <w:left w:val="single" w:color="auto" w:sz="4" w:space="0"/>
              <w:right w:val="single" w:color="auto" w:sz="4" w:space="0"/>
            </w:tcBorders>
          </w:tcPr>
          <w:p w14:paraId="6729F74E">
            <w:pPr>
              <w:spacing w:line="240" w:lineRule="auto"/>
              <w:jc w:val="center"/>
              <w:rPr>
                <w:rFonts w:ascii="仿宋" w:hAnsi="仿宋" w:eastAsia="仿宋" w:cs="仿宋"/>
                <w:b/>
                <w:color w:val="auto"/>
                <w:szCs w:val="21"/>
                <w:highlight w:val="none"/>
                <w:lang w:eastAsia="zh-CN"/>
              </w:rPr>
            </w:pPr>
          </w:p>
        </w:tc>
      </w:tr>
      <w:tr w14:paraId="5DA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94" w:type="dxa"/>
            <w:vMerge w:val="continue"/>
            <w:tcBorders>
              <w:left w:val="single" w:color="auto" w:sz="4" w:space="0"/>
              <w:right w:val="single" w:color="auto" w:sz="4" w:space="0"/>
            </w:tcBorders>
            <w:vAlign w:val="center"/>
          </w:tcPr>
          <w:p w14:paraId="27CA2CC3">
            <w:pPr>
              <w:spacing w:line="240" w:lineRule="auto"/>
              <w:rPr>
                <w:rFonts w:ascii="仿宋" w:hAnsi="仿宋" w:eastAsia="仿宋" w:cs="仿宋"/>
                <w:color w:val="auto"/>
                <w:highlight w:val="none"/>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14:paraId="68A98EA7">
            <w:pPr>
              <w:spacing w:line="240" w:lineRule="auto"/>
              <w:jc w:val="center"/>
              <w:rPr>
                <w:rFonts w:ascii="仿宋" w:hAnsi="仿宋" w:eastAsia="仿宋" w:cs="仿宋"/>
                <w:color w:val="auto"/>
                <w:highlight w:val="none"/>
              </w:rPr>
            </w:pPr>
            <w:r>
              <w:rPr>
                <w:rFonts w:hint="eastAsia" w:ascii="仿宋" w:hAnsi="仿宋" w:eastAsia="仿宋" w:cs="仿宋"/>
                <w:color w:val="auto"/>
                <w:highlight w:val="none"/>
              </w:rPr>
              <w:t>2</w:t>
            </w:r>
          </w:p>
        </w:tc>
        <w:tc>
          <w:tcPr>
            <w:tcW w:w="6378" w:type="dxa"/>
            <w:tcBorders>
              <w:top w:val="single" w:color="auto" w:sz="4" w:space="0"/>
              <w:left w:val="single" w:color="auto" w:sz="4" w:space="0"/>
              <w:bottom w:val="single" w:color="auto" w:sz="4" w:space="0"/>
              <w:right w:val="single" w:color="auto" w:sz="4" w:space="0"/>
            </w:tcBorders>
            <w:vAlign w:val="center"/>
          </w:tcPr>
          <w:p w14:paraId="2DF76A1F">
            <w:pPr>
              <w:widowControl/>
              <w:spacing w:line="24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法定代表人身份证明及授权委托书有效，且符合</w:t>
            </w:r>
            <w:r>
              <w:rPr>
                <w:rFonts w:hint="eastAsia" w:ascii="仿宋" w:hAnsi="仿宋" w:eastAsia="仿宋" w:cs="仿宋"/>
                <w:color w:val="auto"/>
                <w:highlight w:val="none"/>
                <w:lang w:val="en-US" w:eastAsia="zh-CN"/>
              </w:rPr>
              <w:t>谈判</w:t>
            </w:r>
            <w:r>
              <w:rPr>
                <w:rFonts w:hint="eastAsia" w:ascii="仿宋" w:hAnsi="仿宋" w:eastAsia="仿宋" w:cs="仿宋"/>
                <w:color w:val="auto"/>
                <w:highlight w:val="none"/>
                <w:lang w:eastAsia="zh-CN"/>
              </w:rPr>
              <w:t>文件规定的格式。</w:t>
            </w:r>
          </w:p>
        </w:tc>
        <w:tc>
          <w:tcPr>
            <w:tcW w:w="749" w:type="dxa"/>
            <w:tcBorders>
              <w:left w:val="single" w:color="auto" w:sz="4" w:space="0"/>
            </w:tcBorders>
          </w:tcPr>
          <w:p w14:paraId="16D1A76E">
            <w:pPr>
              <w:spacing w:line="240" w:lineRule="auto"/>
              <w:rPr>
                <w:rFonts w:ascii="仿宋" w:hAnsi="仿宋" w:eastAsia="仿宋" w:cs="仿宋"/>
                <w:color w:val="auto"/>
                <w:szCs w:val="21"/>
                <w:highlight w:val="none"/>
                <w:lang w:eastAsia="zh-CN"/>
              </w:rPr>
            </w:pPr>
          </w:p>
        </w:tc>
        <w:tc>
          <w:tcPr>
            <w:tcW w:w="617" w:type="dxa"/>
            <w:tcBorders>
              <w:right w:val="single" w:color="auto" w:sz="4" w:space="0"/>
            </w:tcBorders>
          </w:tcPr>
          <w:p w14:paraId="0B4EC851">
            <w:pPr>
              <w:spacing w:line="240" w:lineRule="auto"/>
              <w:rPr>
                <w:rFonts w:ascii="仿宋" w:hAnsi="仿宋" w:eastAsia="仿宋" w:cs="仿宋"/>
                <w:color w:val="auto"/>
                <w:szCs w:val="21"/>
                <w:highlight w:val="none"/>
                <w:lang w:eastAsia="zh-CN"/>
              </w:rPr>
            </w:pPr>
          </w:p>
        </w:tc>
      </w:tr>
      <w:tr w14:paraId="52D02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1094" w:type="dxa"/>
            <w:vMerge w:val="continue"/>
            <w:tcBorders>
              <w:left w:val="single" w:color="auto" w:sz="4" w:space="0"/>
              <w:right w:val="single" w:color="auto" w:sz="4" w:space="0"/>
            </w:tcBorders>
            <w:vAlign w:val="center"/>
          </w:tcPr>
          <w:p w14:paraId="0F5EF8BB">
            <w:pPr>
              <w:spacing w:line="240" w:lineRule="auto"/>
              <w:rPr>
                <w:rFonts w:ascii="仿宋" w:hAnsi="仿宋" w:eastAsia="仿宋" w:cs="仿宋"/>
                <w:color w:val="auto"/>
                <w:highlight w:val="none"/>
                <w:lang w:eastAsia="zh-CN"/>
              </w:rPr>
            </w:pPr>
          </w:p>
        </w:tc>
        <w:tc>
          <w:tcPr>
            <w:tcW w:w="597" w:type="dxa"/>
            <w:tcBorders>
              <w:top w:val="single" w:color="auto" w:sz="4" w:space="0"/>
              <w:left w:val="single" w:color="auto" w:sz="4" w:space="0"/>
              <w:right w:val="single" w:color="auto" w:sz="4" w:space="0"/>
            </w:tcBorders>
            <w:vAlign w:val="center"/>
          </w:tcPr>
          <w:p w14:paraId="3B9CFB79">
            <w:pPr>
              <w:spacing w:line="240" w:lineRule="auto"/>
              <w:jc w:val="center"/>
              <w:rPr>
                <w:rFonts w:ascii="仿宋" w:hAnsi="仿宋" w:eastAsia="仿宋" w:cs="仿宋"/>
                <w:color w:val="auto"/>
                <w:highlight w:val="none"/>
              </w:rPr>
            </w:pPr>
            <w:r>
              <w:rPr>
                <w:rFonts w:hint="eastAsia" w:ascii="仿宋" w:hAnsi="仿宋" w:eastAsia="仿宋" w:cs="仿宋"/>
                <w:color w:val="auto"/>
                <w:highlight w:val="none"/>
              </w:rPr>
              <w:t>3</w:t>
            </w:r>
          </w:p>
        </w:tc>
        <w:tc>
          <w:tcPr>
            <w:tcW w:w="6378" w:type="dxa"/>
            <w:tcBorders>
              <w:top w:val="single" w:color="auto" w:sz="4" w:space="0"/>
              <w:left w:val="single" w:color="auto" w:sz="4" w:space="0"/>
              <w:right w:val="single" w:color="auto" w:sz="4" w:space="0"/>
            </w:tcBorders>
            <w:vAlign w:val="center"/>
          </w:tcPr>
          <w:p w14:paraId="0670F068">
            <w:pPr>
              <w:widowControl/>
              <w:spacing w:line="240" w:lineRule="auto"/>
              <w:textAlignment w:val="center"/>
              <w:rPr>
                <w:rFonts w:ascii="仿宋" w:hAnsi="仿宋" w:eastAsia="仿宋" w:cs="仿宋"/>
                <w:color w:val="auto"/>
                <w:highlight w:val="none"/>
              </w:rPr>
            </w:pPr>
            <w:r>
              <w:rPr>
                <w:rFonts w:hint="eastAsia" w:ascii="仿宋" w:hAnsi="仿宋" w:eastAsia="仿宋" w:cs="仿宋"/>
                <w:color w:val="auto"/>
                <w:highlight w:val="none"/>
              </w:rPr>
              <w:t>只有一个方案投标。</w:t>
            </w:r>
          </w:p>
        </w:tc>
        <w:tc>
          <w:tcPr>
            <w:tcW w:w="749" w:type="dxa"/>
            <w:tcBorders>
              <w:left w:val="single" w:color="auto" w:sz="4" w:space="0"/>
            </w:tcBorders>
          </w:tcPr>
          <w:p w14:paraId="0F06E361">
            <w:pPr>
              <w:spacing w:line="240" w:lineRule="auto"/>
              <w:rPr>
                <w:rFonts w:ascii="仿宋" w:hAnsi="仿宋" w:eastAsia="仿宋" w:cs="仿宋"/>
                <w:color w:val="auto"/>
                <w:szCs w:val="21"/>
                <w:highlight w:val="none"/>
              </w:rPr>
            </w:pPr>
          </w:p>
        </w:tc>
        <w:tc>
          <w:tcPr>
            <w:tcW w:w="617" w:type="dxa"/>
            <w:tcBorders>
              <w:right w:val="single" w:color="auto" w:sz="4" w:space="0"/>
            </w:tcBorders>
          </w:tcPr>
          <w:p w14:paraId="662879C4">
            <w:pPr>
              <w:spacing w:line="240" w:lineRule="auto"/>
              <w:rPr>
                <w:rFonts w:ascii="仿宋" w:hAnsi="仿宋" w:eastAsia="仿宋" w:cs="仿宋"/>
                <w:color w:val="auto"/>
                <w:szCs w:val="21"/>
                <w:highlight w:val="none"/>
              </w:rPr>
            </w:pPr>
          </w:p>
        </w:tc>
      </w:tr>
      <w:tr w14:paraId="3B7D16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trPr>
        <w:tc>
          <w:tcPr>
            <w:tcW w:w="1094" w:type="dxa"/>
            <w:vMerge w:val="continue"/>
            <w:tcBorders>
              <w:left w:val="single" w:color="auto" w:sz="4" w:space="0"/>
              <w:right w:val="single" w:color="auto" w:sz="4" w:space="0"/>
            </w:tcBorders>
            <w:vAlign w:val="center"/>
          </w:tcPr>
          <w:p w14:paraId="55819FC2">
            <w:pPr>
              <w:spacing w:line="240" w:lineRule="auto"/>
              <w:rPr>
                <w:rFonts w:ascii="仿宋" w:hAnsi="仿宋" w:eastAsia="仿宋" w:cs="仿宋"/>
                <w:color w:val="auto"/>
                <w:highlight w:val="none"/>
              </w:rPr>
            </w:pPr>
          </w:p>
        </w:tc>
        <w:tc>
          <w:tcPr>
            <w:tcW w:w="597" w:type="dxa"/>
            <w:tcBorders>
              <w:left w:val="single" w:color="auto" w:sz="4" w:space="0"/>
            </w:tcBorders>
            <w:vAlign w:val="center"/>
          </w:tcPr>
          <w:p w14:paraId="052688E2">
            <w:pPr>
              <w:spacing w:line="240" w:lineRule="auto"/>
              <w:jc w:val="center"/>
              <w:rPr>
                <w:rFonts w:ascii="仿宋" w:hAnsi="仿宋" w:eastAsia="仿宋" w:cs="仿宋"/>
                <w:color w:val="auto"/>
                <w:highlight w:val="none"/>
              </w:rPr>
            </w:pPr>
            <w:r>
              <w:rPr>
                <w:rFonts w:hint="eastAsia" w:ascii="仿宋" w:hAnsi="仿宋" w:eastAsia="仿宋" w:cs="仿宋"/>
                <w:color w:val="auto"/>
                <w:highlight w:val="none"/>
                <w:lang w:eastAsia="zh-CN"/>
              </w:rPr>
              <w:t>4</w:t>
            </w:r>
          </w:p>
        </w:tc>
        <w:tc>
          <w:tcPr>
            <w:tcW w:w="6378" w:type="dxa"/>
            <w:tcBorders>
              <w:right w:val="single" w:color="auto" w:sz="4" w:space="0"/>
            </w:tcBorders>
            <w:vAlign w:val="center"/>
          </w:tcPr>
          <w:p w14:paraId="7E4DBAC7">
            <w:pPr>
              <w:widowControl/>
              <w:spacing w:line="24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响应文件内容齐全、无遗漏。</w:t>
            </w:r>
            <w:bookmarkStart w:id="49" w:name="_GoBack"/>
            <w:bookmarkEnd w:id="49"/>
          </w:p>
        </w:tc>
        <w:tc>
          <w:tcPr>
            <w:tcW w:w="749" w:type="dxa"/>
            <w:tcBorders>
              <w:left w:val="single" w:color="auto" w:sz="4" w:space="0"/>
            </w:tcBorders>
          </w:tcPr>
          <w:p w14:paraId="5148689A">
            <w:pPr>
              <w:spacing w:line="240" w:lineRule="auto"/>
              <w:rPr>
                <w:rFonts w:ascii="仿宋" w:hAnsi="仿宋" w:eastAsia="仿宋" w:cs="仿宋"/>
                <w:color w:val="auto"/>
                <w:szCs w:val="21"/>
                <w:highlight w:val="none"/>
                <w:lang w:eastAsia="zh-CN"/>
              </w:rPr>
            </w:pPr>
          </w:p>
        </w:tc>
        <w:tc>
          <w:tcPr>
            <w:tcW w:w="617" w:type="dxa"/>
            <w:tcBorders>
              <w:right w:val="single" w:color="auto" w:sz="4" w:space="0"/>
            </w:tcBorders>
          </w:tcPr>
          <w:p w14:paraId="6F747DA4">
            <w:pPr>
              <w:spacing w:line="240" w:lineRule="auto"/>
              <w:rPr>
                <w:rFonts w:ascii="仿宋" w:hAnsi="仿宋" w:eastAsia="仿宋" w:cs="仿宋"/>
                <w:color w:val="auto"/>
                <w:szCs w:val="21"/>
                <w:highlight w:val="none"/>
                <w:lang w:eastAsia="zh-CN"/>
              </w:rPr>
            </w:pPr>
          </w:p>
        </w:tc>
      </w:tr>
      <w:tr w14:paraId="76C2C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094" w:type="dxa"/>
            <w:vMerge w:val="continue"/>
            <w:tcBorders>
              <w:left w:val="single" w:color="auto" w:sz="4" w:space="0"/>
              <w:right w:val="single" w:color="auto" w:sz="4" w:space="0"/>
            </w:tcBorders>
            <w:vAlign w:val="center"/>
          </w:tcPr>
          <w:p w14:paraId="791B22D6">
            <w:pPr>
              <w:spacing w:line="240" w:lineRule="auto"/>
              <w:rPr>
                <w:rFonts w:ascii="仿宋" w:hAnsi="仿宋" w:eastAsia="仿宋" w:cs="仿宋"/>
                <w:color w:val="auto"/>
                <w:highlight w:val="none"/>
                <w:lang w:eastAsia="zh-CN"/>
              </w:rPr>
            </w:pPr>
          </w:p>
        </w:tc>
        <w:tc>
          <w:tcPr>
            <w:tcW w:w="597" w:type="dxa"/>
            <w:tcBorders>
              <w:left w:val="single" w:color="auto" w:sz="4" w:space="0"/>
              <w:bottom w:val="single" w:color="auto" w:sz="4" w:space="0"/>
            </w:tcBorders>
            <w:vAlign w:val="center"/>
          </w:tcPr>
          <w:p w14:paraId="7DF13DAE">
            <w:pPr>
              <w:spacing w:line="240" w:lineRule="auto"/>
              <w:jc w:val="center"/>
              <w:rPr>
                <w:rFonts w:ascii="仿宋" w:hAnsi="仿宋" w:eastAsia="仿宋" w:cs="仿宋"/>
                <w:color w:val="auto"/>
                <w:highlight w:val="none"/>
              </w:rPr>
            </w:pPr>
            <w:r>
              <w:rPr>
                <w:rFonts w:hint="eastAsia" w:ascii="仿宋" w:hAnsi="仿宋" w:eastAsia="仿宋" w:cs="仿宋"/>
                <w:color w:val="auto"/>
                <w:highlight w:val="none"/>
              </w:rPr>
              <w:t>5</w:t>
            </w:r>
          </w:p>
        </w:tc>
        <w:tc>
          <w:tcPr>
            <w:tcW w:w="6378" w:type="dxa"/>
            <w:tcBorders>
              <w:bottom w:val="single" w:color="auto" w:sz="4" w:space="0"/>
              <w:right w:val="single" w:color="auto" w:sz="4" w:space="0"/>
            </w:tcBorders>
            <w:vAlign w:val="center"/>
          </w:tcPr>
          <w:p w14:paraId="381FC1B3">
            <w:pPr>
              <w:widowControl/>
              <w:spacing w:line="24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对谈判文件规定的招标内容全部作出响应。（</w:t>
            </w:r>
            <w:r>
              <w:rPr>
                <w:rFonts w:hint="eastAsia" w:ascii="仿宋" w:hAnsi="仿宋" w:eastAsia="仿宋" w:cs="仿宋"/>
                <w:color w:val="auto"/>
                <w:highlight w:val="none"/>
                <w:lang w:val="en-US" w:eastAsia="zh-CN"/>
              </w:rPr>
              <w:t>参数不允许负偏离，若偏离按废标处理</w:t>
            </w:r>
            <w:r>
              <w:rPr>
                <w:rFonts w:hint="eastAsia" w:ascii="仿宋" w:hAnsi="仿宋" w:eastAsia="仿宋" w:cs="仿宋"/>
                <w:color w:val="auto"/>
                <w:highlight w:val="none"/>
                <w:lang w:eastAsia="zh-CN"/>
              </w:rPr>
              <w:t>）</w:t>
            </w:r>
          </w:p>
        </w:tc>
        <w:tc>
          <w:tcPr>
            <w:tcW w:w="749" w:type="dxa"/>
            <w:tcBorders>
              <w:left w:val="single" w:color="auto" w:sz="4" w:space="0"/>
              <w:bottom w:val="single" w:color="auto" w:sz="4" w:space="0"/>
            </w:tcBorders>
          </w:tcPr>
          <w:p w14:paraId="28A9D917">
            <w:pPr>
              <w:spacing w:line="240" w:lineRule="auto"/>
              <w:rPr>
                <w:rFonts w:ascii="仿宋" w:hAnsi="仿宋" w:eastAsia="仿宋" w:cs="仿宋"/>
                <w:color w:val="auto"/>
                <w:szCs w:val="21"/>
                <w:highlight w:val="none"/>
                <w:lang w:eastAsia="zh-CN"/>
              </w:rPr>
            </w:pPr>
          </w:p>
        </w:tc>
        <w:tc>
          <w:tcPr>
            <w:tcW w:w="617" w:type="dxa"/>
            <w:tcBorders>
              <w:bottom w:val="single" w:color="auto" w:sz="4" w:space="0"/>
              <w:right w:val="single" w:color="auto" w:sz="4" w:space="0"/>
            </w:tcBorders>
          </w:tcPr>
          <w:p w14:paraId="00FAA96C">
            <w:pPr>
              <w:spacing w:line="240" w:lineRule="auto"/>
              <w:rPr>
                <w:rFonts w:ascii="仿宋" w:hAnsi="仿宋" w:eastAsia="仿宋" w:cs="仿宋"/>
                <w:color w:val="auto"/>
                <w:szCs w:val="21"/>
                <w:highlight w:val="none"/>
                <w:lang w:eastAsia="zh-CN"/>
              </w:rPr>
            </w:pPr>
          </w:p>
        </w:tc>
      </w:tr>
      <w:tr w14:paraId="1E675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trPr>
        <w:tc>
          <w:tcPr>
            <w:tcW w:w="1094" w:type="dxa"/>
            <w:vMerge w:val="continue"/>
            <w:tcBorders>
              <w:left w:val="single" w:color="auto" w:sz="4" w:space="0"/>
              <w:right w:val="single" w:color="auto" w:sz="4" w:space="0"/>
            </w:tcBorders>
            <w:vAlign w:val="center"/>
          </w:tcPr>
          <w:p w14:paraId="77A2CADB">
            <w:pPr>
              <w:spacing w:line="240" w:lineRule="auto"/>
              <w:rPr>
                <w:rFonts w:ascii="仿宋" w:hAnsi="仿宋" w:eastAsia="仿宋" w:cs="仿宋"/>
                <w:color w:val="auto"/>
                <w:highlight w:val="none"/>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14:paraId="6B7B8D3A">
            <w:pPr>
              <w:spacing w:line="240" w:lineRule="auto"/>
              <w:jc w:val="center"/>
              <w:rPr>
                <w:rFonts w:ascii="仿宋" w:hAnsi="仿宋" w:eastAsia="仿宋" w:cs="仿宋"/>
                <w:color w:val="auto"/>
                <w:highlight w:val="none"/>
              </w:rPr>
            </w:pPr>
            <w:r>
              <w:rPr>
                <w:rFonts w:hint="eastAsia" w:ascii="仿宋" w:hAnsi="仿宋" w:eastAsia="仿宋" w:cs="仿宋"/>
                <w:color w:val="auto"/>
                <w:highlight w:val="none"/>
              </w:rPr>
              <w:t>6</w:t>
            </w:r>
          </w:p>
        </w:tc>
        <w:tc>
          <w:tcPr>
            <w:tcW w:w="6378" w:type="dxa"/>
            <w:tcBorders>
              <w:top w:val="single" w:color="auto" w:sz="4" w:space="0"/>
              <w:left w:val="single" w:color="auto" w:sz="4" w:space="0"/>
              <w:bottom w:val="single" w:color="auto" w:sz="4" w:space="0"/>
              <w:right w:val="single" w:color="auto" w:sz="4" w:space="0"/>
            </w:tcBorders>
            <w:vAlign w:val="center"/>
          </w:tcPr>
          <w:p w14:paraId="413303FA">
            <w:pPr>
              <w:widowControl/>
              <w:spacing w:line="24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满足谈判文件提出的技术和质量要求。</w:t>
            </w:r>
          </w:p>
        </w:tc>
        <w:tc>
          <w:tcPr>
            <w:tcW w:w="749" w:type="dxa"/>
            <w:tcBorders>
              <w:top w:val="single" w:color="auto" w:sz="4" w:space="0"/>
              <w:left w:val="single" w:color="auto" w:sz="4" w:space="0"/>
              <w:bottom w:val="single" w:color="auto" w:sz="4" w:space="0"/>
              <w:right w:val="single" w:color="auto" w:sz="4" w:space="0"/>
            </w:tcBorders>
          </w:tcPr>
          <w:p w14:paraId="0E7CC821">
            <w:pPr>
              <w:spacing w:line="240" w:lineRule="auto"/>
              <w:rPr>
                <w:rFonts w:ascii="仿宋" w:hAnsi="仿宋" w:eastAsia="仿宋" w:cs="仿宋"/>
                <w:color w:val="auto"/>
                <w:szCs w:val="21"/>
                <w:highlight w:val="none"/>
                <w:lang w:eastAsia="zh-CN"/>
              </w:rPr>
            </w:pPr>
          </w:p>
        </w:tc>
        <w:tc>
          <w:tcPr>
            <w:tcW w:w="617" w:type="dxa"/>
            <w:tcBorders>
              <w:top w:val="single" w:color="auto" w:sz="4" w:space="0"/>
              <w:left w:val="single" w:color="auto" w:sz="4" w:space="0"/>
              <w:bottom w:val="single" w:color="auto" w:sz="4" w:space="0"/>
              <w:right w:val="single" w:color="auto" w:sz="4" w:space="0"/>
            </w:tcBorders>
          </w:tcPr>
          <w:p w14:paraId="29D6C21C">
            <w:pPr>
              <w:spacing w:line="240" w:lineRule="auto"/>
              <w:rPr>
                <w:rFonts w:ascii="仿宋" w:hAnsi="仿宋" w:eastAsia="仿宋" w:cs="仿宋"/>
                <w:color w:val="auto"/>
                <w:szCs w:val="21"/>
                <w:highlight w:val="none"/>
                <w:lang w:eastAsia="zh-CN"/>
              </w:rPr>
            </w:pPr>
          </w:p>
        </w:tc>
      </w:tr>
      <w:tr w14:paraId="35C7E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094" w:type="dxa"/>
            <w:vMerge w:val="continue"/>
            <w:tcBorders>
              <w:left w:val="single" w:color="auto" w:sz="4" w:space="0"/>
              <w:right w:val="single" w:color="auto" w:sz="4" w:space="0"/>
            </w:tcBorders>
            <w:vAlign w:val="center"/>
          </w:tcPr>
          <w:p w14:paraId="7FF6519C">
            <w:pPr>
              <w:spacing w:line="240" w:lineRule="auto"/>
              <w:rPr>
                <w:rFonts w:ascii="仿宋" w:hAnsi="仿宋" w:eastAsia="仿宋" w:cs="仿宋"/>
                <w:color w:val="auto"/>
                <w:highlight w:val="none"/>
                <w:lang w:eastAsia="zh-CN"/>
              </w:rPr>
            </w:pPr>
          </w:p>
        </w:tc>
        <w:tc>
          <w:tcPr>
            <w:tcW w:w="597" w:type="dxa"/>
            <w:tcBorders>
              <w:top w:val="single" w:color="auto" w:sz="4" w:space="0"/>
              <w:left w:val="single" w:color="auto" w:sz="4" w:space="0"/>
            </w:tcBorders>
            <w:vAlign w:val="center"/>
          </w:tcPr>
          <w:p w14:paraId="68520DA2">
            <w:pPr>
              <w:spacing w:line="240" w:lineRule="auto"/>
              <w:jc w:val="center"/>
              <w:rPr>
                <w:rFonts w:ascii="仿宋" w:hAnsi="仿宋" w:eastAsia="仿宋" w:cs="仿宋"/>
                <w:color w:val="auto"/>
                <w:highlight w:val="none"/>
              </w:rPr>
            </w:pPr>
            <w:r>
              <w:rPr>
                <w:rFonts w:hint="eastAsia" w:ascii="仿宋" w:hAnsi="仿宋" w:eastAsia="仿宋" w:cs="仿宋"/>
                <w:color w:val="auto"/>
                <w:highlight w:val="none"/>
              </w:rPr>
              <w:t>7</w:t>
            </w:r>
          </w:p>
        </w:tc>
        <w:tc>
          <w:tcPr>
            <w:tcW w:w="6378" w:type="dxa"/>
            <w:tcBorders>
              <w:top w:val="single" w:color="auto" w:sz="4" w:space="0"/>
              <w:right w:val="single" w:color="auto" w:sz="4" w:space="0"/>
            </w:tcBorders>
            <w:vAlign w:val="center"/>
          </w:tcPr>
          <w:p w14:paraId="408A6A9A">
            <w:pPr>
              <w:widowControl/>
              <w:spacing w:line="24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完成期限满足谈判文件要求。</w:t>
            </w:r>
          </w:p>
        </w:tc>
        <w:tc>
          <w:tcPr>
            <w:tcW w:w="749" w:type="dxa"/>
            <w:tcBorders>
              <w:top w:val="single" w:color="auto" w:sz="4" w:space="0"/>
              <w:left w:val="single" w:color="auto" w:sz="4" w:space="0"/>
            </w:tcBorders>
          </w:tcPr>
          <w:p w14:paraId="46602C60">
            <w:pPr>
              <w:spacing w:line="240" w:lineRule="auto"/>
              <w:rPr>
                <w:rFonts w:ascii="仿宋" w:hAnsi="仿宋" w:eastAsia="仿宋" w:cs="仿宋"/>
                <w:color w:val="auto"/>
                <w:szCs w:val="21"/>
                <w:highlight w:val="none"/>
                <w:lang w:eastAsia="zh-CN"/>
              </w:rPr>
            </w:pPr>
          </w:p>
        </w:tc>
        <w:tc>
          <w:tcPr>
            <w:tcW w:w="617" w:type="dxa"/>
            <w:tcBorders>
              <w:top w:val="single" w:color="auto" w:sz="4" w:space="0"/>
              <w:right w:val="single" w:color="auto" w:sz="4" w:space="0"/>
            </w:tcBorders>
          </w:tcPr>
          <w:p w14:paraId="58284B47">
            <w:pPr>
              <w:spacing w:line="240" w:lineRule="auto"/>
              <w:rPr>
                <w:rFonts w:ascii="仿宋" w:hAnsi="仿宋" w:eastAsia="仿宋" w:cs="仿宋"/>
                <w:color w:val="auto"/>
                <w:szCs w:val="21"/>
                <w:highlight w:val="none"/>
                <w:lang w:eastAsia="zh-CN"/>
              </w:rPr>
            </w:pPr>
          </w:p>
        </w:tc>
      </w:tr>
      <w:tr w14:paraId="34BB5E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094" w:type="dxa"/>
            <w:vMerge w:val="continue"/>
            <w:tcBorders>
              <w:left w:val="single" w:color="auto" w:sz="4" w:space="0"/>
              <w:right w:val="single" w:color="auto" w:sz="4" w:space="0"/>
            </w:tcBorders>
            <w:vAlign w:val="center"/>
          </w:tcPr>
          <w:p w14:paraId="229422BF">
            <w:pPr>
              <w:spacing w:line="240" w:lineRule="auto"/>
              <w:rPr>
                <w:rFonts w:ascii="仿宋" w:hAnsi="仿宋" w:eastAsia="仿宋" w:cs="仿宋"/>
                <w:color w:val="auto"/>
                <w:highlight w:val="none"/>
                <w:lang w:eastAsia="zh-CN"/>
              </w:rPr>
            </w:pPr>
          </w:p>
        </w:tc>
        <w:tc>
          <w:tcPr>
            <w:tcW w:w="597" w:type="dxa"/>
            <w:tcBorders>
              <w:left w:val="single" w:color="auto" w:sz="4" w:space="0"/>
            </w:tcBorders>
            <w:vAlign w:val="center"/>
          </w:tcPr>
          <w:p w14:paraId="2397ACE8">
            <w:pPr>
              <w:spacing w:line="240" w:lineRule="auto"/>
              <w:jc w:val="center"/>
              <w:rPr>
                <w:rFonts w:ascii="仿宋" w:hAnsi="仿宋" w:eastAsia="仿宋" w:cs="仿宋"/>
                <w:color w:val="auto"/>
                <w:highlight w:val="none"/>
              </w:rPr>
            </w:pPr>
            <w:r>
              <w:rPr>
                <w:rFonts w:hint="eastAsia" w:ascii="仿宋" w:hAnsi="仿宋" w:eastAsia="仿宋" w:cs="仿宋"/>
                <w:color w:val="auto"/>
                <w:highlight w:val="none"/>
              </w:rPr>
              <w:t>8</w:t>
            </w:r>
          </w:p>
        </w:tc>
        <w:tc>
          <w:tcPr>
            <w:tcW w:w="6378" w:type="dxa"/>
            <w:tcBorders>
              <w:right w:val="single" w:color="auto" w:sz="4" w:space="0"/>
            </w:tcBorders>
            <w:vAlign w:val="center"/>
          </w:tcPr>
          <w:p w14:paraId="03753243">
            <w:pPr>
              <w:widowControl/>
              <w:spacing w:line="24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售后服务满足谈判文件要求。</w:t>
            </w:r>
          </w:p>
        </w:tc>
        <w:tc>
          <w:tcPr>
            <w:tcW w:w="749" w:type="dxa"/>
            <w:tcBorders>
              <w:left w:val="single" w:color="auto" w:sz="4" w:space="0"/>
            </w:tcBorders>
          </w:tcPr>
          <w:p w14:paraId="15B34EBA">
            <w:pPr>
              <w:spacing w:line="240" w:lineRule="auto"/>
              <w:rPr>
                <w:rFonts w:ascii="仿宋" w:hAnsi="仿宋" w:eastAsia="仿宋" w:cs="仿宋"/>
                <w:color w:val="auto"/>
                <w:szCs w:val="21"/>
                <w:highlight w:val="none"/>
                <w:lang w:eastAsia="zh-CN"/>
              </w:rPr>
            </w:pPr>
          </w:p>
        </w:tc>
        <w:tc>
          <w:tcPr>
            <w:tcW w:w="617" w:type="dxa"/>
            <w:tcBorders>
              <w:right w:val="single" w:color="auto" w:sz="4" w:space="0"/>
            </w:tcBorders>
          </w:tcPr>
          <w:p w14:paraId="5E352BE5">
            <w:pPr>
              <w:spacing w:line="240" w:lineRule="auto"/>
              <w:rPr>
                <w:rFonts w:ascii="仿宋" w:hAnsi="仿宋" w:eastAsia="仿宋" w:cs="仿宋"/>
                <w:color w:val="auto"/>
                <w:szCs w:val="21"/>
                <w:highlight w:val="none"/>
                <w:lang w:eastAsia="zh-CN"/>
              </w:rPr>
            </w:pPr>
          </w:p>
        </w:tc>
      </w:tr>
      <w:tr w14:paraId="765010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094" w:type="dxa"/>
            <w:vMerge w:val="continue"/>
            <w:tcBorders>
              <w:left w:val="single" w:color="auto" w:sz="4" w:space="0"/>
              <w:right w:val="single" w:color="auto" w:sz="4" w:space="0"/>
            </w:tcBorders>
            <w:vAlign w:val="center"/>
          </w:tcPr>
          <w:p w14:paraId="6C56A18B">
            <w:pPr>
              <w:spacing w:line="240" w:lineRule="auto"/>
              <w:rPr>
                <w:rFonts w:ascii="仿宋" w:hAnsi="仿宋" w:eastAsia="仿宋" w:cs="仿宋"/>
                <w:color w:val="auto"/>
                <w:highlight w:val="none"/>
                <w:lang w:eastAsia="zh-CN"/>
              </w:rPr>
            </w:pPr>
          </w:p>
        </w:tc>
        <w:tc>
          <w:tcPr>
            <w:tcW w:w="597" w:type="dxa"/>
            <w:tcBorders>
              <w:left w:val="single" w:color="auto" w:sz="4" w:space="0"/>
            </w:tcBorders>
            <w:vAlign w:val="center"/>
          </w:tcPr>
          <w:p w14:paraId="7A1F2E72">
            <w:pPr>
              <w:spacing w:line="240" w:lineRule="auto"/>
              <w:jc w:val="center"/>
              <w:rPr>
                <w:rFonts w:ascii="仿宋" w:hAnsi="仿宋" w:eastAsia="仿宋" w:cs="仿宋"/>
                <w:color w:val="auto"/>
                <w:highlight w:val="none"/>
              </w:rPr>
            </w:pPr>
            <w:r>
              <w:rPr>
                <w:rFonts w:hint="eastAsia" w:ascii="仿宋" w:hAnsi="仿宋" w:eastAsia="仿宋" w:cs="仿宋"/>
                <w:color w:val="auto"/>
                <w:highlight w:val="none"/>
              </w:rPr>
              <w:t>9</w:t>
            </w:r>
          </w:p>
        </w:tc>
        <w:tc>
          <w:tcPr>
            <w:tcW w:w="6378" w:type="dxa"/>
            <w:tcBorders>
              <w:right w:val="single" w:color="auto" w:sz="4" w:space="0"/>
            </w:tcBorders>
            <w:vAlign w:val="center"/>
          </w:tcPr>
          <w:p w14:paraId="5B85BC37">
            <w:pPr>
              <w:widowControl/>
              <w:spacing w:line="24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投标有效期满足谈判文件要求。</w:t>
            </w:r>
          </w:p>
        </w:tc>
        <w:tc>
          <w:tcPr>
            <w:tcW w:w="749" w:type="dxa"/>
            <w:tcBorders>
              <w:left w:val="single" w:color="auto" w:sz="4" w:space="0"/>
            </w:tcBorders>
          </w:tcPr>
          <w:p w14:paraId="37BB51C5">
            <w:pPr>
              <w:spacing w:line="240" w:lineRule="auto"/>
              <w:rPr>
                <w:rFonts w:ascii="仿宋" w:hAnsi="仿宋" w:eastAsia="仿宋" w:cs="仿宋"/>
                <w:color w:val="auto"/>
                <w:szCs w:val="21"/>
                <w:highlight w:val="none"/>
                <w:lang w:eastAsia="zh-CN"/>
              </w:rPr>
            </w:pPr>
          </w:p>
        </w:tc>
        <w:tc>
          <w:tcPr>
            <w:tcW w:w="617" w:type="dxa"/>
            <w:tcBorders>
              <w:right w:val="single" w:color="auto" w:sz="4" w:space="0"/>
            </w:tcBorders>
          </w:tcPr>
          <w:p w14:paraId="47771044">
            <w:pPr>
              <w:spacing w:line="240" w:lineRule="auto"/>
              <w:rPr>
                <w:rFonts w:ascii="仿宋" w:hAnsi="仿宋" w:eastAsia="仿宋" w:cs="仿宋"/>
                <w:color w:val="auto"/>
                <w:szCs w:val="21"/>
                <w:highlight w:val="none"/>
                <w:lang w:eastAsia="zh-CN"/>
              </w:rPr>
            </w:pPr>
          </w:p>
        </w:tc>
      </w:tr>
      <w:tr w14:paraId="068C5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right w:val="single" w:color="auto" w:sz="4" w:space="0"/>
            </w:tcBorders>
            <w:vAlign w:val="center"/>
          </w:tcPr>
          <w:p w14:paraId="5E9AB584">
            <w:pPr>
              <w:spacing w:line="240" w:lineRule="auto"/>
              <w:rPr>
                <w:rFonts w:ascii="仿宋" w:hAnsi="仿宋" w:eastAsia="仿宋" w:cs="仿宋"/>
                <w:color w:val="auto"/>
                <w:highlight w:val="none"/>
                <w:lang w:eastAsia="zh-CN"/>
              </w:rPr>
            </w:pPr>
          </w:p>
        </w:tc>
        <w:tc>
          <w:tcPr>
            <w:tcW w:w="597" w:type="dxa"/>
            <w:tcBorders>
              <w:left w:val="single" w:color="auto" w:sz="4" w:space="0"/>
            </w:tcBorders>
            <w:vAlign w:val="center"/>
          </w:tcPr>
          <w:p w14:paraId="0F697F14">
            <w:pPr>
              <w:spacing w:line="240" w:lineRule="auto"/>
              <w:jc w:val="center"/>
              <w:rPr>
                <w:rFonts w:ascii="仿宋" w:hAnsi="仿宋" w:eastAsia="仿宋" w:cs="仿宋"/>
                <w:color w:val="auto"/>
                <w:highlight w:val="none"/>
              </w:rPr>
            </w:pPr>
            <w:r>
              <w:rPr>
                <w:rFonts w:hint="eastAsia" w:ascii="仿宋" w:hAnsi="仿宋" w:eastAsia="仿宋" w:cs="仿宋"/>
                <w:color w:val="auto"/>
                <w:highlight w:val="none"/>
              </w:rPr>
              <w:t>10</w:t>
            </w:r>
          </w:p>
        </w:tc>
        <w:tc>
          <w:tcPr>
            <w:tcW w:w="6378" w:type="dxa"/>
            <w:tcBorders>
              <w:right w:val="single" w:color="auto" w:sz="4" w:space="0"/>
            </w:tcBorders>
            <w:vAlign w:val="center"/>
          </w:tcPr>
          <w:p w14:paraId="4902D8D6">
            <w:pPr>
              <w:widowControl/>
              <w:spacing w:line="24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供应商详细地址、联系人、电话。</w:t>
            </w:r>
          </w:p>
        </w:tc>
        <w:tc>
          <w:tcPr>
            <w:tcW w:w="749" w:type="dxa"/>
            <w:tcBorders>
              <w:left w:val="single" w:color="auto" w:sz="4" w:space="0"/>
            </w:tcBorders>
          </w:tcPr>
          <w:p w14:paraId="0FE45E73">
            <w:pPr>
              <w:spacing w:line="240" w:lineRule="auto"/>
              <w:rPr>
                <w:rFonts w:ascii="仿宋" w:hAnsi="仿宋" w:eastAsia="仿宋" w:cs="仿宋"/>
                <w:color w:val="auto"/>
                <w:szCs w:val="21"/>
                <w:highlight w:val="none"/>
                <w:lang w:eastAsia="zh-CN"/>
              </w:rPr>
            </w:pPr>
          </w:p>
        </w:tc>
        <w:tc>
          <w:tcPr>
            <w:tcW w:w="617" w:type="dxa"/>
            <w:tcBorders>
              <w:right w:val="single" w:color="auto" w:sz="4" w:space="0"/>
            </w:tcBorders>
          </w:tcPr>
          <w:p w14:paraId="02D7598D">
            <w:pPr>
              <w:spacing w:line="240" w:lineRule="auto"/>
              <w:rPr>
                <w:rFonts w:ascii="仿宋" w:hAnsi="仿宋" w:eastAsia="仿宋" w:cs="仿宋"/>
                <w:color w:val="auto"/>
                <w:szCs w:val="21"/>
                <w:highlight w:val="none"/>
                <w:lang w:eastAsia="zh-CN"/>
              </w:rPr>
            </w:pPr>
          </w:p>
        </w:tc>
      </w:tr>
      <w:tr w14:paraId="46E83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094" w:type="dxa"/>
            <w:tcBorders>
              <w:left w:val="single" w:color="auto" w:sz="4" w:space="0"/>
              <w:bottom w:val="single" w:color="auto" w:sz="4" w:space="0"/>
              <w:right w:val="single" w:color="auto" w:sz="4" w:space="0"/>
            </w:tcBorders>
            <w:vAlign w:val="center"/>
          </w:tcPr>
          <w:p w14:paraId="7614CD42">
            <w:pPr>
              <w:spacing w:line="240" w:lineRule="auto"/>
              <w:jc w:val="center"/>
              <w:rPr>
                <w:rFonts w:ascii="仿宋" w:hAnsi="仿宋" w:eastAsia="仿宋" w:cs="仿宋"/>
                <w:color w:val="auto"/>
                <w:szCs w:val="21"/>
                <w:highlight w:val="none"/>
                <w:lang w:eastAsia="zh-CN"/>
              </w:rPr>
            </w:pPr>
          </w:p>
        </w:tc>
        <w:tc>
          <w:tcPr>
            <w:tcW w:w="6975" w:type="dxa"/>
            <w:gridSpan w:val="2"/>
            <w:tcBorders>
              <w:left w:val="single" w:color="auto" w:sz="4" w:space="0"/>
              <w:bottom w:val="single" w:color="auto" w:sz="4" w:space="0"/>
              <w:right w:val="single" w:color="auto" w:sz="4" w:space="0"/>
            </w:tcBorders>
          </w:tcPr>
          <w:p w14:paraId="133922C1">
            <w:pPr>
              <w:spacing w:line="24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结论：是否通过评审（须填写通过或不通过）</w:t>
            </w:r>
          </w:p>
          <w:p w14:paraId="65B9C2D4">
            <w:pPr>
              <w:spacing w:line="24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注：如有一项不合格，作废标处理。</w:t>
            </w:r>
          </w:p>
        </w:tc>
        <w:tc>
          <w:tcPr>
            <w:tcW w:w="1366" w:type="dxa"/>
            <w:gridSpan w:val="2"/>
            <w:tcBorders>
              <w:left w:val="single" w:color="auto" w:sz="4" w:space="0"/>
              <w:bottom w:val="single" w:color="auto" w:sz="4" w:space="0"/>
              <w:right w:val="single" w:color="auto" w:sz="4" w:space="0"/>
            </w:tcBorders>
          </w:tcPr>
          <w:p w14:paraId="64D35A66">
            <w:pPr>
              <w:spacing w:line="240" w:lineRule="auto"/>
              <w:rPr>
                <w:rFonts w:ascii="仿宋" w:hAnsi="仿宋" w:eastAsia="仿宋" w:cs="仿宋"/>
                <w:color w:val="auto"/>
                <w:szCs w:val="21"/>
                <w:highlight w:val="none"/>
                <w:lang w:eastAsia="zh-CN"/>
              </w:rPr>
            </w:pPr>
          </w:p>
        </w:tc>
      </w:tr>
    </w:tbl>
    <w:p w14:paraId="7462F29A">
      <w:pPr>
        <w:numPr>
          <w:ilvl w:val="0"/>
          <w:numId w:val="0"/>
        </w:numPr>
        <w:spacing w:line="400" w:lineRule="exact"/>
        <w:ind w:firstLine="490" w:firstLineChars="200"/>
        <w:rPr>
          <w:rFonts w:hint="eastAsia" w:ascii="仿宋" w:hAnsi="仿宋" w:eastAsia="仿宋" w:cs="仿宋"/>
          <w:color w:val="auto"/>
          <w:sz w:val="24"/>
          <w:szCs w:val="24"/>
          <w:lang w:val="en-US" w:eastAsia="zh-CN"/>
        </w:rPr>
      </w:pPr>
    </w:p>
    <w:p w14:paraId="7A828C74">
      <w:pPr>
        <w:numPr>
          <w:ilvl w:val="0"/>
          <w:numId w:val="0"/>
        </w:numPr>
        <w:spacing w:line="400" w:lineRule="exact"/>
        <w:ind w:firstLine="490" w:firstLineChars="200"/>
        <w:rPr>
          <w:rFonts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评委会判定</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的响应性只根据</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本身的内容，而不寻求外部的证</w:t>
      </w:r>
    </w:p>
    <w:p w14:paraId="29773295">
      <w:pPr>
        <w:spacing w:line="400" w:lineRule="exact"/>
        <w:rPr>
          <w:rFonts w:ascii="仿宋" w:hAnsi="仿宋" w:eastAsia="仿宋" w:cs="仿宋"/>
          <w:color w:val="auto"/>
          <w:sz w:val="24"/>
          <w:szCs w:val="24"/>
        </w:rPr>
      </w:pPr>
      <w:r>
        <w:rPr>
          <w:rFonts w:hint="eastAsia" w:ascii="仿宋" w:hAnsi="仿宋" w:eastAsia="仿宋" w:cs="仿宋"/>
          <w:color w:val="auto"/>
          <w:sz w:val="24"/>
          <w:szCs w:val="24"/>
        </w:rPr>
        <w:t>据，但投标有不真实不正确的内容时除外。</w:t>
      </w:r>
    </w:p>
    <w:p w14:paraId="44BD07D4">
      <w:pPr>
        <w:spacing w:line="400" w:lineRule="exact"/>
        <w:ind w:left="490" w:leftChars="200"/>
        <w:rPr>
          <w:rFonts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如果</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实质上没有响应</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的要求，评委会将予以拒绝，投标人不得通过修正或撤销不符合要求的偏离或保留，而使其投标成为实质上响应的投标。</w:t>
      </w:r>
    </w:p>
    <w:p w14:paraId="3570FF75">
      <w:pPr>
        <w:spacing w:line="400" w:lineRule="exact"/>
        <w:ind w:firstLine="490" w:firstLineChars="200"/>
        <w:rPr>
          <w:rFonts w:ascii="仿宋" w:hAnsi="仿宋" w:eastAsia="仿宋" w:cs="仿宋"/>
          <w:color w:val="auto"/>
          <w:sz w:val="24"/>
          <w:szCs w:val="24"/>
        </w:rPr>
      </w:pPr>
      <w:r>
        <w:rPr>
          <w:rFonts w:hint="eastAsia" w:ascii="仿宋" w:hAnsi="仿宋" w:eastAsia="仿宋" w:cs="仿宋"/>
          <w:color w:val="auto"/>
          <w:sz w:val="24"/>
          <w:szCs w:val="24"/>
          <w:lang w:eastAsia="zh-CN"/>
        </w:rPr>
        <w:t>3、</w:t>
      </w:r>
      <w:r>
        <w:rPr>
          <w:rFonts w:hint="eastAsia" w:ascii="仿宋" w:hAnsi="仿宋" w:eastAsia="仿宋" w:cs="仿宋"/>
          <w:color w:val="auto"/>
          <w:sz w:val="24"/>
          <w:szCs w:val="24"/>
        </w:rPr>
        <w:t>投标人可在现场20分钟内对评标委员会的评审结论提出异议，评标委员会根据</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及有关规定对投标人的异议进行复议</w:t>
      </w:r>
    </w:p>
    <w:p w14:paraId="51E87DCA">
      <w:pPr>
        <w:spacing w:line="400" w:lineRule="exact"/>
        <w:ind w:firstLine="490" w:firstLineChars="200"/>
        <w:rPr>
          <w:rFonts w:ascii="仿宋" w:hAnsi="仿宋" w:eastAsia="仿宋" w:cs="仿宋"/>
          <w:color w:val="auto"/>
          <w:sz w:val="24"/>
          <w:szCs w:val="24"/>
        </w:rPr>
      </w:pPr>
      <w:r>
        <w:rPr>
          <w:rFonts w:hint="eastAsia" w:ascii="仿宋" w:hAnsi="仿宋" w:eastAsia="仿宋" w:cs="仿宋"/>
          <w:color w:val="auto"/>
          <w:sz w:val="24"/>
          <w:szCs w:val="24"/>
          <w:lang w:eastAsia="zh-CN"/>
        </w:rPr>
        <w:t>4、</w:t>
      </w:r>
      <w:r>
        <w:rPr>
          <w:rFonts w:hint="eastAsia" w:ascii="仿宋" w:hAnsi="仿宋" w:eastAsia="仿宋" w:cs="仿宋"/>
          <w:color w:val="auto"/>
          <w:sz w:val="24"/>
          <w:szCs w:val="24"/>
        </w:rPr>
        <w:t>只有通过初审的投标人才能进入下一步评标程序。</w:t>
      </w:r>
    </w:p>
    <w:p w14:paraId="100A1E30">
      <w:pPr>
        <w:spacing w:line="400" w:lineRule="exact"/>
        <w:ind w:firstLine="490" w:firstLineChars="200"/>
        <w:rPr>
          <w:rFonts w:ascii="仿宋" w:hAnsi="仿宋" w:eastAsia="仿宋" w:cs="仿宋"/>
          <w:color w:val="auto"/>
          <w:sz w:val="24"/>
          <w:szCs w:val="24"/>
        </w:rPr>
      </w:pPr>
      <w:r>
        <w:rPr>
          <w:rFonts w:hint="eastAsia" w:ascii="仿宋" w:hAnsi="仿宋" w:eastAsia="仿宋" w:cs="仿宋"/>
          <w:b/>
          <w:color w:val="auto"/>
          <w:sz w:val="24"/>
          <w:szCs w:val="24"/>
        </w:rPr>
        <w:t>温馨提示：</w:t>
      </w:r>
      <w:r>
        <w:rPr>
          <w:rFonts w:hint="eastAsia" w:ascii="仿宋" w:hAnsi="仿宋" w:eastAsia="仿宋" w:cs="仿宋"/>
          <w:b/>
          <w:color w:val="auto"/>
          <w:sz w:val="24"/>
          <w:szCs w:val="24"/>
          <w:lang w:eastAsia="zh-CN"/>
        </w:rPr>
        <w:t>响应文件</w:t>
      </w:r>
      <w:r>
        <w:rPr>
          <w:rFonts w:hint="eastAsia" w:ascii="仿宋" w:hAnsi="仿宋" w:eastAsia="仿宋" w:cs="仿宋"/>
          <w:b/>
          <w:color w:val="auto"/>
          <w:sz w:val="24"/>
          <w:szCs w:val="24"/>
        </w:rPr>
        <w:t>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14:paraId="6E71D34C">
      <w:pPr>
        <w:spacing w:beforeLines="50" w:line="400" w:lineRule="exact"/>
        <w:jc w:val="center"/>
        <w:outlineLvl w:val="1"/>
        <w:rPr>
          <w:rFonts w:ascii="仿宋" w:hAnsi="仿宋" w:eastAsia="仿宋" w:cs="仿宋"/>
          <w:b/>
          <w:color w:val="auto"/>
          <w:sz w:val="24"/>
          <w:szCs w:val="24"/>
        </w:rPr>
      </w:pPr>
      <w:r>
        <w:rPr>
          <w:rFonts w:hint="eastAsia" w:ascii="仿宋" w:hAnsi="仿宋" w:eastAsia="仿宋" w:cs="仿宋"/>
          <w:b/>
          <w:color w:val="auto"/>
          <w:sz w:val="24"/>
          <w:szCs w:val="24"/>
          <w:lang w:eastAsia="zh-CN"/>
        </w:rPr>
        <w:t>（二）响应文件</w:t>
      </w:r>
      <w:r>
        <w:rPr>
          <w:rFonts w:hint="eastAsia" w:ascii="仿宋" w:hAnsi="仿宋" w:eastAsia="仿宋" w:cs="仿宋"/>
          <w:b/>
          <w:color w:val="auto"/>
          <w:sz w:val="24"/>
          <w:szCs w:val="24"/>
        </w:rPr>
        <w:t>的澄清和补正</w:t>
      </w:r>
    </w:p>
    <w:p w14:paraId="1C585253">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5、澄清、说明或补正的形式</w:t>
      </w:r>
    </w:p>
    <w:p w14:paraId="765B922F">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6、对于响应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6A18F74E">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7、投标供应商的澄清、说明或者补正应当通过“政府采购云平台”在线答复的方式提交，并加盖公章（电子印章），或者由法定代表人（负责人）或其授权的代表签章。投标供应商的澄清、说明或者补正不得超出响应文件的范围或者改变响应文件的实质性内容，不接受投标供应商主动对响应文件的澄清、说明或者补正。</w:t>
      </w:r>
    </w:p>
    <w:p w14:paraId="05217C57">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8、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7519F75A">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9．错误修正的原则</w:t>
      </w:r>
    </w:p>
    <w:p w14:paraId="788B37D9">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电子交易平台客户端里开标一览表录入的投标报价或优惠率与扫描上传的报价文件信息不一致的，以扫描上传的报价文件信息为准进行修正。</w:t>
      </w:r>
    </w:p>
    <w:p w14:paraId="500C08AE">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响应文件报价出现前后不一致的，除谈判文件 另有规定外，按照下列规定修正：</w:t>
      </w:r>
    </w:p>
    <w:p w14:paraId="74145391">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10、投标函中表述的内容与报价表中不一致的，以报价表为准；报价表中的内容与报价明细表不一致的，以报价表为准；</w:t>
      </w:r>
    </w:p>
    <w:p w14:paraId="48B26DC4">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11、响应文件中的大写金额和小写金额不一致的，以大写金额为准；</w:t>
      </w:r>
    </w:p>
    <w:p w14:paraId="0A8BEF10">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12、单价金额小数点或者百分比有明显错位的，以开标一览表的总价为准，并修改单价；</w:t>
      </w:r>
    </w:p>
    <w:p w14:paraId="67852469">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13、总价金额与按单价汇总金额不一致的，以单价金额计算结果为准；</w:t>
      </w:r>
    </w:p>
    <w:p w14:paraId="4EFA583A">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14、若用文字表示的数值与用数字表示的数值不一致，以文字表示的数值为准；</w:t>
      </w:r>
    </w:p>
    <w:p w14:paraId="5D5D35C2">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15、如有多报（指数量超出谈判文件 需求）、重报（指同一货物重复报价），其投标总价在评标过程中不予调整，如其成交，其合同价按其投标单价予以调整；</w:t>
      </w:r>
    </w:p>
    <w:p w14:paraId="1A952C26">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16、对不同文字文本响应文件的解释发生异议的，以中文文本为准；</w:t>
      </w:r>
    </w:p>
    <w:p w14:paraId="1D9A7D3D">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同时出现两种以上不一致的，按照前款规定的顺序修正。按上述修正错误的原则及方法调整或修正响应文件的投标报价，供应商确认后，以调整或修正后的投标报价为准。如供应商拒绝调整或修正的，其响应文件按无效标处理。修正应当采用电子询标的形式，并加盖公章（电子印章）。</w:t>
      </w:r>
    </w:p>
    <w:p w14:paraId="714D89B9">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17、供应商需要注意的其它事项：</w:t>
      </w:r>
    </w:p>
    <w:p w14:paraId="02B6B453">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 供应商必须由法定代表人或其委托全权代理人参加竞争性谈判，法定代表人委托代理人参加竞争性谈判必须保证在开标期间，随时通过政府采购云平台接受谈判小组的询问，并予以解答问题。</w:t>
      </w:r>
    </w:p>
    <w:p w14:paraId="40D8100A">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2、供应商应遵守有关法律、法规，不得采取不正当的竞争手段，否则，其后果由供应商自负。</w:t>
      </w:r>
    </w:p>
    <w:p w14:paraId="63D2157F">
      <w:pPr>
        <w:spacing w:line="440" w:lineRule="exact"/>
        <w:ind w:firstLine="49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3、在谈判会直至宣布结果之前，供应商不得向谈判评审专家询问谈判情况，不得进行旨在影响成交结果的活动，否则，其竞争性谈判无效并追究相应责任。</w:t>
      </w:r>
    </w:p>
    <w:p w14:paraId="6EB4B7FB">
      <w:pPr>
        <w:spacing w:line="440" w:lineRule="exact"/>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4、本谈判文件的未尽事项，按现行的有关法律、法规及规章执行</w:t>
      </w:r>
    </w:p>
    <w:p w14:paraId="0E6D1AED">
      <w:pPr>
        <w:pStyle w:val="29"/>
        <w:rPr>
          <w:color w:val="auto"/>
          <w:sz w:val="24"/>
          <w:szCs w:val="24"/>
        </w:rPr>
      </w:pPr>
    </w:p>
    <w:p w14:paraId="6725931E">
      <w:pPr>
        <w:pStyle w:val="3"/>
        <w:rPr>
          <w:rFonts w:ascii="仿宋" w:hAnsi="仿宋" w:eastAsia="仿宋" w:cs="仿宋"/>
          <w:color w:val="auto"/>
          <w:sz w:val="28"/>
          <w:szCs w:val="28"/>
        </w:rPr>
      </w:pPr>
      <w:r>
        <w:rPr>
          <w:rFonts w:hint="eastAsia" w:ascii="仿宋" w:hAnsi="仿宋" w:eastAsia="仿宋" w:cs="仿宋"/>
          <w:color w:val="auto"/>
          <w:sz w:val="28"/>
          <w:szCs w:val="28"/>
        </w:rPr>
        <w:t>八、成交及合同签订</w:t>
      </w:r>
    </w:p>
    <w:p w14:paraId="5496CBBC">
      <w:pPr>
        <w:snapToGrid w:val="0"/>
        <w:spacing w:line="360" w:lineRule="auto"/>
        <w:ind w:firstLine="490" w:firstLineChars="200"/>
        <w:rPr>
          <w:rFonts w:ascii="仿宋" w:hAnsi="仿宋" w:eastAsia="仿宋" w:cs="仿宋"/>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二十七</w:t>
      </w:r>
      <w:r>
        <w:rPr>
          <w:rFonts w:hint="eastAsia" w:ascii="仿宋" w:hAnsi="仿宋" w:eastAsia="仿宋" w:cs="仿宋"/>
          <w:b/>
          <w:bCs/>
          <w:color w:val="auto"/>
          <w:sz w:val="24"/>
          <w:szCs w:val="24"/>
        </w:rPr>
        <w:t>）成交候选供应商推荐原则</w:t>
      </w:r>
    </w:p>
    <w:p w14:paraId="38FFCCA0">
      <w:pPr>
        <w:numPr>
          <w:ilvl w:val="0"/>
          <w:numId w:val="4"/>
        </w:numPr>
        <w:snapToGrid w:val="0"/>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谈判小组”将根据评标价由低到高排列次序（若评标价相同的，按最低最终报价由低到高顺序排列；若评标价相同，且最低最终报价也相同时，按技术指标优劣顺序排列；如果技术指标也相同，评标委员会应按照少数服从多数的原则进行投票表决，确定成交候选人。）并推荐成交候选供应商名单，可推荐前三名为成交候选供应商，排名第一者为成交供应商，排名第二、第三者为成交候选供应商；</w:t>
      </w:r>
    </w:p>
    <w:p w14:paraId="614C2D28">
      <w:pPr>
        <w:numPr>
          <w:ilvl w:val="0"/>
          <w:numId w:val="0"/>
        </w:num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第一</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候选供应商确定为成交供应商，如第一成交候选供应商放弃</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、或因不可抗力提出不能履行合同，或竞争性谈判采购文件规定应当提交履约保证金而在规定的期限内未能提交的，采购人可确定排名第二的成交候选供应商为成交供应商</w:t>
      </w:r>
      <w:r>
        <w:rPr>
          <w:rFonts w:hint="eastAsia" w:ascii="仿宋" w:hAnsi="仿宋" w:eastAsia="仿宋" w:cs="仿宋"/>
          <w:color w:val="auto"/>
          <w:sz w:val="24"/>
          <w:szCs w:val="24"/>
          <w:lang w:val="en-US" w:eastAsia="zh-CN"/>
        </w:rPr>
        <w:t>或重新组织采购活动</w:t>
      </w:r>
      <w:r>
        <w:rPr>
          <w:rFonts w:hint="eastAsia" w:ascii="仿宋" w:hAnsi="仿宋" w:eastAsia="仿宋" w:cs="仿宋"/>
          <w:color w:val="auto"/>
          <w:sz w:val="24"/>
          <w:szCs w:val="24"/>
        </w:rPr>
        <w:t>。</w:t>
      </w:r>
    </w:p>
    <w:p w14:paraId="1FB45E00">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第二</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候选供应商因前款规定的同样原因不能签订合同的，可确定第三成交候选供应商为成交候应商</w:t>
      </w:r>
      <w:r>
        <w:rPr>
          <w:rFonts w:hint="eastAsia" w:ascii="仿宋" w:hAnsi="仿宋" w:eastAsia="仿宋" w:cs="仿宋"/>
          <w:color w:val="auto"/>
          <w:sz w:val="24"/>
          <w:szCs w:val="24"/>
          <w:lang w:val="en-US" w:eastAsia="zh-CN"/>
        </w:rPr>
        <w:t>或重新组织采购活动</w:t>
      </w:r>
      <w:r>
        <w:rPr>
          <w:rFonts w:hint="eastAsia" w:ascii="仿宋" w:hAnsi="仿宋" w:eastAsia="仿宋" w:cs="仿宋"/>
          <w:color w:val="auto"/>
          <w:sz w:val="24"/>
          <w:szCs w:val="24"/>
        </w:rPr>
        <w:t>。</w:t>
      </w:r>
    </w:p>
    <w:p w14:paraId="21A83B28">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成交候选供应商中所投标商品为同一品牌、性能配置相同时，则以最终报价最低者成交。</w:t>
      </w:r>
    </w:p>
    <w:p w14:paraId="43E3A956">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谈判小组认为，某投标人的有效报价明显不合理或者低于成本，有可能影响商品质量和不能诚信履约的，应要求其在规定的期限内提供书面文件予以解释说明，并提交相关证明材料，否则，谈判小组可以取消该投标人的成交候选资格，按顺序由排在后面的成交候选供应商递补，以此类推。</w:t>
      </w:r>
    </w:p>
    <w:p w14:paraId="6EFCE6EC">
      <w:pPr>
        <w:snapToGrid w:val="0"/>
        <w:spacing w:line="360" w:lineRule="auto"/>
        <w:ind w:firstLine="490" w:firstLineChars="200"/>
        <w:rPr>
          <w:rFonts w:ascii="仿宋" w:hAnsi="仿宋" w:eastAsia="仿宋" w:cs="仿宋"/>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二十八</w:t>
      </w:r>
      <w:r>
        <w:rPr>
          <w:rFonts w:hint="eastAsia" w:ascii="仿宋" w:hAnsi="仿宋" w:eastAsia="仿宋" w:cs="仿宋"/>
          <w:b/>
          <w:bCs/>
          <w:color w:val="auto"/>
          <w:sz w:val="24"/>
          <w:szCs w:val="24"/>
        </w:rPr>
        <w:t>）资格条件</w:t>
      </w:r>
    </w:p>
    <w:p w14:paraId="314C3EBB">
      <w:pPr>
        <w:snapToGrid w:val="0"/>
        <w:spacing w:line="360" w:lineRule="auto"/>
        <w:ind w:firstLine="490" w:firstLineChars="200"/>
        <w:rPr>
          <w:rFonts w:ascii="仿宋" w:hAnsi="仿宋" w:eastAsia="仿宋" w:cs="仿宋"/>
          <w:color w:val="auto"/>
          <w:sz w:val="24"/>
          <w:szCs w:val="24"/>
        </w:rPr>
      </w:pPr>
      <w:r>
        <w:rPr>
          <w:rFonts w:hint="eastAsia" w:ascii="仿宋" w:hAnsi="仿宋" w:eastAsia="仿宋" w:cs="仿宋"/>
          <w:color w:val="auto"/>
          <w:sz w:val="24"/>
          <w:szCs w:val="24"/>
        </w:rPr>
        <w:t>1、采购人将在签订合同前对成交候选供应商是否能圆满地履行合同进行审查。审查包括成交候选供应商响应文件中提供的所有资格证明材料原件，成交候选供应商响应文件及补充承诺中涉及的其他相关资料原件，以及对本项目实施可能存在风险的其他因素。</w:t>
      </w:r>
    </w:p>
    <w:p w14:paraId="4947D523">
      <w:pPr>
        <w:snapToGrid w:val="0"/>
        <w:spacing w:line="360" w:lineRule="auto"/>
        <w:ind w:firstLine="490" w:firstLineChars="200"/>
        <w:rPr>
          <w:rFonts w:ascii="仿宋" w:hAnsi="仿宋" w:eastAsia="仿宋" w:cs="仿宋"/>
          <w:color w:val="auto"/>
          <w:sz w:val="24"/>
          <w:szCs w:val="24"/>
        </w:rPr>
      </w:pPr>
      <w:r>
        <w:rPr>
          <w:rFonts w:hint="eastAsia" w:ascii="仿宋" w:hAnsi="仿宋" w:eastAsia="仿宋" w:cs="仿宋"/>
          <w:color w:val="auto"/>
          <w:sz w:val="24"/>
          <w:szCs w:val="24"/>
        </w:rPr>
        <w:t>2、采购人若发现成交候选供应商在投标过程中提供虚假证明文件，故意隐瞒不良信誉和财务状况，以及存在可能对合同圆满履行造成风险的其他因素等，则按规定取消其成交资格，监管部门依法进行处理。</w:t>
      </w:r>
    </w:p>
    <w:p w14:paraId="7AB17175">
      <w:pPr>
        <w:snapToGrid w:val="0"/>
        <w:spacing w:line="360" w:lineRule="auto"/>
        <w:ind w:firstLine="490" w:firstLineChars="200"/>
        <w:rPr>
          <w:rFonts w:ascii="仿宋" w:hAnsi="仿宋" w:eastAsia="仿宋" w:cs="仿宋"/>
          <w:color w:val="auto"/>
          <w:sz w:val="24"/>
          <w:szCs w:val="24"/>
        </w:rPr>
      </w:pPr>
      <w:r>
        <w:rPr>
          <w:rFonts w:hint="eastAsia" w:ascii="仿宋" w:hAnsi="仿宋" w:eastAsia="仿宋" w:cs="仿宋"/>
          <w:color w:val="auto"/>
          <w:sz w:val="24"/>
          <w:szCs w:val="24"/>
        </w:rPr>
        <w:t>3、如果成交候选供应商被确认为不具备执行合同的能力，采购人将考虑按同样的程序审查下一个成交候选供应商。</w:t>
      </w:r>
    </w:p>
    <w:p w14:paraId="028F624C">
      <w:pPr>
        <w:snapToGrid w:val="0"/>
        <w:spacing w:line="360" w:lineRule="auto"/>
        <w:ind w:firstLine="490" w:firstLineChars="200"/>
        <w:rPr>
          <w:rFonts w:ascii="仿宋" w:hAnsi="仿宋" w:eastAsia="仿宋" w:cs="仿宋"/>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二十九</w:t>
      </w:r>
      <w:r>
        <w:rPr>
          <w:rFonts w:hint="eastAsia" w:ascii="仿宋" w:hAnsi="仿宋" w:eastAsia="仿宋" w:cs="仿宋"/>
          <w:b/>
          <w:bCs/>
          <w:color w:val="auto"/>
          <w:sz w:val="24"/>
          <w:szCs w:val="24"/>
        </w:rPr>
        <w:t>）成交通知书</w:t>
      </w:r>
    </w:p>
    <w:p w14:paraId="6392D3D0">
      <w:pPr>
        <w:snapToGrid w:val="0"/>
        <w:spacing w:line="360" w:lineRule="auto"/>
        <w:ind w:firstLine="490" w:firstLineChars="200"/>
        <w:rPr>
          <w:rFonts w:ascii="仿宋" w:hAnsi="仿宋" w:eastAsia="仿宋" w:cs="仿宋"/>
          <w:color w:val="auto"/>
          <w:sz w:val="24"/>
          <w:szCs w:val="24"/>
        </w:rPr>
      </w:pPr>
      <w:r>
        <w:rPr>
          <w:rFonts w:hint="eastAsia" w:ascii="仿宋" w:hAnsi="仿宋" w:eastAsia="仿宋" w:cs="仿宋"/>
          <w:color w:val="auto"/>
          <w:sz w:val="24"/>
          <w:szCs w:val="24"/>
        </w:rPr>
        <w:t>1、定标后，经采购人同意，采购代理机构应当向</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发出成交通知书。</w:t>
      </w:r>
    </w:p>
    <w:p w14:paraId="5BD80470">
      <w:pPr>
        <w:snapToGrid w:val="0"/>
        <w:spacing w:line="360" w:lineRule="auto"/>
        <w:ind w:firstLine="490" w:firstLineChars="200"/>
        <w:rPr>
          <w:rFonts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应及时到采购代理机构领取成交通知书，成交通知书是签订合同的依据和组成部分。</w:t>
      </w:r>
    </w:p>
    <w:p w14:paraId="0D5ECECF">
      <w:pPr>
        <w:snapToGrid w:val="0"/>
        <w:spacing w:line="360" w:lineRule="auto"/>
        <w:ind w:firstLine="490" w:firstLineChars="200"/>
        <w:rPr>
          <w:rFonts w:ascii="仿宋" w:hAnsi="仿宋" w:eastAsia="仿宋" w:cs="仿宋"/>
          <w:color w:val="auto"/>
          <w:sz w:val="24"/>
          <w:szCs w:val="24"/>
        </w:rPr>
      </w:pPr>
      <w:r>
        <w:rPr>
          <w:rFonts w:hint="eastAsia" w:ascii="仿宋" w:hAnsi="仿宋" w:eastAsia="仿宋" w:cs="仿宋"/>
          <w:b/>
          <w:bCs/>
          <w:color w:val="auto"/>
          <w:sz w:val="24"/>
          <w:szCs w:val="24"/>
        </w:rPr>
        <w:t>（三十）签订合同</w:t>
      </w:r>
    </w:p>
    <w:p w14:paraId="53D29AD7">
      <w:pPr>
        <w:snapToGrid w:val="0"/>
        <w:spacing w:line="360" w:lineRule="auto"/>
        <w:ind w:firstLine="490" w:firstLineChars="200"/>
        <w:rPr>
          <w:rFonts w:ascii="仿宋" w:hAnsi="仿宋" w:eastAsia="仿宋" w:cs="仿宋"/>
          <w:color w:val="auto"/>
          <w:sz w:val="24"/>
          <w:szCs w:val="24"/>
        </w:rPr>
      </w:pP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在自成交通知书发出之日起30日内，依据《中华人民共和国民法典》和有关法规及</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、响应文件与采购人签订合同。</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供应商的响应文件及服务承诺文件以及评标过程中有关澄清文件均作为合同附件，合同经采购人审核盖章后实施。</w:t>
      </w:r>
    </w:p>
    <w:p w14:paraId="59EADC29">
      <w:pPr>
        <w:snapToGrid w:val="0"/>
        <w:spacing w:line="360" w:lineRule="auto"/>
        <w:ind w:firstLine="490" w:firstLineChars="200"/>
        <w:rPr>
          <w:rFonts w:ascii="仿宋" w:hAnsi="仿宋" w:eastAsia="仿宋" w:cs="仿宋"/>
          <w:color w:val="auto"/>
          <w:sz w:val="24"/>
          <w:szCs w:val="24"/>
        </w:rPr>
      </w:pP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未能按</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要求与采购单位签订采购合同，逾期将视为自动放弃</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标资格，采购人将顺延下一</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候选人为</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，依次类推或依法重新进行采购。</w:t>
      </w:r>
    </w:p>
    <w:p w14:paraId="462A4AF2">
      <w:pPr>
        <w:snapToGrid w:val="0"/>
        <w:spacing w:line="360" w:lineRule="auto"/>
        <w:ind w:firstLine="490" w:firstLineChars="200"/>
        <w:rPr>
          <w:rFonts w:ascii="仿宋" w:hAnsi="仿宋" w:eastAsia="仿宋" w:cs="仿宋"/>
          <w:color w:val="auto"/>
          <w:sz w:val="24"/>
          <w:szCs w:val="24"/>
        </w:rPr>
      </w:pPr>
      <w:r>
        <w:rPr>
          <w:rFonts w:hint="eastAsia" w:ascii="仿宋" w:hAnsi="仿宋" w:eastAsia="仿宋" w:cs="仿宋"/>
          <w:color w:val="auto"/>
          <w:sz w:val="24"/>
          <w:szCs w:val="24"/>
        </w:rPr>
        <w:t>采购人若发现</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候</w:t>
      </w:r>
      <w:bookmarkStart w:id="9" w:name="_bookmark10"/>
      <w:bookmarkEnd w:id="9"/>
      <w:r>
        <w:rPr>
          <w:rFonts w:hint="eastAsia" w:ascii="仿宋" w:hAnsi="仿宋" w:eastAsia="仿宋" w:cs="仿宋"/>
          <w:color w:val="auto"/>
          <w:sz w:val="24"/>
          <w:szCs w:val="24"/>
        </w:rPr>
        <w:t>选供应商在竞标过程中提供虚假证明文件，故意隐瞒不良信誉和财务状况，以及存在可能对合同圆满履行造成风险的其他因素等，则按规定取消其</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资格，监管部门依法进行处理。</w:t>
      </w:r>
    </w:p>
    <w:p w14:paraId="5C4A52C4">
      <w:pPr>
        <w:snapToGrid w:val="0"/>
        <w:spacing w:line="360" w:lineRule="auto"/>
        <w:ind w:firstLine="490" w:firstLineChars="200"/>
        <w:rPr>
          <w:rFonts w:ascii="仿宋" w:hAnsi="仿宋" w:eastAsia="仿宋" w:cs="仿宋"/>
          <w:color w:val="auto"/>
          <w:sz w:val="24"/>
          <w:szCs w:val="24"/>
        </w:rPr>
      </w:pPr>
      <w:r>
        <w:rPr>
          <w:rFonts w:hint="eastAsia" w:ascii="仿宋" w:hAnsi="仿宋" w:eastAsia="仿宋" w:cs="仿宋"/>
          <w:color w:val="auto"/>
          <w:sz w:val="24"/>
          <w:szCs w:val="24"/>
        </w:rPr>
        <w:t>如果</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候选供应商被确认为不具备执行合同的能力，采购人将考虑按同样的程序审查下一个</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候选供应商或依法重新招标。</w:t>
      </w:r>
    </w:p>
    <w:p w14:paraId="2B757CC8">
      <w:pPr>
        <w:snapToGrid w:val="0"/>
        <w:spacing w:line="360" w:lineRule="auto"/>
        <w:ind w:firstLine="490"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（三十</w:t>
      </w:r>
      <w:r>
        <w:rPr>
          <w:rFonts w:hint="eastAsia" w:ascii="仿宋" w:hAnsi="仿宋" w:eastAsia="仿宋" w:cs="仿宋"/>
          <w:b/>
          <w:bCs/>
          <w:color w:val="auto"/>
          <w:sz w:val="24"/>
          <w:szCs w:val="24"/>
          <w:lang w:eastAsia="zh-CN"/>
        </w:rPr>
        <w:t>一</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成交</w:t>
      </w:r>
      <w:r>
        <w:rPr>
          <w:rFonts w:hint="eastAsia" w:ascii="仿宋" w:hAnsi="仿宋" w:eastAsia="仿宋" w:cs="仿宋"/>
          <w:b/>
          <w:bCs/>
          <w:color w:val="auto"/>
          <w:sz w:val="24"/>
          <w:szCs w:val="24"/>
        </w:rPr>
        <w:t>服务费计算方法</w:t>
      </w:r>
    </w:p>
    <w:p w14:paraId="1F8F39F6">
      <w:pPr>
        <w:keepNext w:val="0"/>
        <w:keepLines w:val="0"/>
        <w:pageBreakBefore w:val="0"/>
        <w:widowControl w:val="0"/>
        <w:kinsoku/>
        <w:wordWrap/>
        <w:overflowPunct/>
        <w:topLinePunct w:val="0"/>
        <w:autoSpaceDE/>
        <w:autoSpaceDN/>
        <w:bidi w:val="0"/>
        <w:spacing w:line="336" w:lineRule="auto"/>
        <w:ind w:firstLine="490" w:firstLineChars="200"/>
        <w:textAlignment w:val="auto"/>
        <w:rPr>
          <w:rFonts w:ascii="仿宋" w:hAnsi="仿宋" w:eastAsia="仿宋" w:cs="仿宋"/>
          <w:b w:val="0"/>
          <w:bCs w:val="0"/>
          <w:color w:val="auto"/>
          <w:sz w:val="24"/>
          <w:szCs w:val="24"/>
        </w:rPr>
      </w:pPr>
      <w:r>
        <w:rPr>
          <w:rFonts w:hint="eastAsia" w:ascii="仿宋" w:hAnsi="仿宋" w:eastAsia="仿宋" w:cs="仿宋"/>
          <w:b w:val="0"/>
          <w:bCs w:val="0"/>
          <w:color w:val="auto"/>
          <w:sz w:val="24"/>
          <w:szCs w:val="24"/>
        </w:rPr>
        <w:t>由</w:t>
      </w:r>
      <w:r>
        <w:rPr>
          <w:rFonts w:hint="eastAsia" w:ascii="仿宋" w:hAnsi="仿宋" w:eastAsia="仿宋" w:cs="仿宋"/>
          <w:b w:val="0"/>
          <w:bCs w:val="0"/>
          <w:color w:val="auto"/>
          <w:sz w:val="24"/>
          <w:szCs w:val="24"/>
          <w:lang w:eastAsia="zh-CN"/>
        </w:rPr>
        <w:t>成交</w:t>
      </w:r>
      <w:r>
        <w:rPr>
          <w:rFonts w:hint="eastAsia" w:ascii="仿宋" w:hAnsi="仿宋" w:eastAsia="仿宋" w:cs="仿宋"/>
          <w:b w:val="0"/>
          <w:bCs w:val="0"/>
          <w:color w:val="auto"/>
          <w:sz w:val="24"/>
          <w:szCs w:val="24"/>
        </w:rPr>
        <w:t>供应商向招标代理机构支付，详见前附表。</w:t>
      </w:r>
    </w:p>
    <w:p w14:paraId="35556FBE">
      <w:pPr>
        <w:keepNext w:val="0"/>
        <w:keepLines w:val="0"/>
        <w:pageBreakBefore w:val="0"/>
        <w:widowControl w:val="0"/>
        <w:kinsoku/>
        <w:wordWrap/>
        <w:overflowPunct/>
        <w:topLinePunct w:val="0"/>
        <w:autoSpaceDE/>
        <w:autoSpaceDN/>
        <w:bidi w:val="0"/>
        <w:spacing w:line="336" w:lineRule="auto"/>
        <w:textAlignment w:val="auto"/>
        <w:rPr>
          <w:rFonts w:ascii="仿宋" w:hAnsi="仿宋" w:eastAsia="仿宋" w:cs="仿宋"/>
          <w:color w:val="auto"/>
          <w:sz w:val="24"/>
          <w:szCs w:val="24"/>
        </w:rPr>
      </w:pPr>
    </w:p>
    <w:p w14:paraId="4BBC6FCC">
      <w:pPr>
        <w:pStyle w:val="3"/>
        <w:keepNext w:val="0"/>
        <w:keepLines w:val="0"/>
        <w:pageBreakBefore w:val="0"/>
        <w:widowControl w:val="0"/>
        <w:kinsoku/>
        <w:wordWrap/>
        <w:overflowPunct/>
        <w:topLinePunct w:val="0"/>
        <w:autoSpaceDE/>
        <w:autoSpaceDN/>
        <w:bidi w:val="0"/>
        <w:spacing w:line="336" w:lineRule="auto"/>
        <w:textAlignment w:val="auto"/>
        <w:rPr>
          <w:rFonts w:ascii="仿宋" w:hAnsi="仿宋" w:eastAsia="仿宋" w:cs="仿宋"/>
          <w:color w:val="auto"/>
          <w:sz w:val="28"/>
          <w:szCs w:val="28"/>
        </w:rPr>
      </w:pPr>
      <w:r>
        <w:rPr>
          <w:rFonts w:hint="eastAsia" w:ascii="仿宋" w:hAnsi="仿宋" w:eastAsia="仿宋" w:cs="仿宋"/>
          <w:color w:val="auto"/>
          <w:sz w:val="28"/>
          <w:szCs w:val="28"/>
          <w:lang w:eastAsia="zh-CN"/>
        </w:rPr>
        <w:t>九</w:t>
      </w:r>
      <w:r>
        <w:rPr>
          <w:rFonts w:hint="eastAsia" w:ascii="仿宋" w:hAnsi="仿宋" w:eastAsia="仿宋" w:cs="仿宋"/>
          <w:color w:val="auto"/>
          <w:sz w:val="28"/>
          <w:szCs w:val="28"/>
        </w:rPr>
        <w:t>、法律责任</w:t>
      </w:r>
    </w:p>
    <w:p w14:paraId="36923CF3">
      <w:pPr>
        <w:keepNext w:val="0"/>
        <w:keepLines w:val="0"/>
        <w:pageBreakBefore w:val="0"/>
        <w:widowControl w:val="0"/>
        <w:kinsoku/>
        <w:wordWrap/>
        <w:overflowPunct/>
        <w:topLinePunct w:val="0"/>
        <w:autoSpaceDE/>
        <w:autoSpaceDN/>
        <w:bidi w:val="0"/>
        <w:snapToGrid w:val="0"/>
        <w:spacing w:line="336"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供应商有下列情形之一的，处以采购项目采购金额千分之五以上千分之十以下的罚款，列入不良行为记录名单，在一至三年内禁止参加</w:t>
      </w:r>
      <w:r>
        <w:rPr>
          <w:rFonts w:hint="eastAsia" w:ascii="仿宋" w:hAnsi="仿宋" w:eastAsia="仿宋" w:cs="仿宋"/>
          <w:color w:val="auto"/>
          <w:sz w:val="24"/>
          <w:szCs w:val="24"/>
          <w:lang w:eastAsia="zh-CN"/>
        </w:rPr>
        <w:t>政府</w:t>
      </w:r>
      <w:r>
        <w:rPr>
          <w:rFonts w:hint="eastAsia" w:ascii="仿宋" w:hAnsi="仿宋" w:eastAsia="仿宋" w:cs="仿宋"/>
          <w:color w:val="auto"/>
          <w:sz w:val="24"/>
          <w:szCs w:val="24"/>
        </w:rPr>
        <w:t>采购活动，并予以公告，有违法所得的，并处没收违法所得，情节严重的，由行政管理机关吊销营业执照；构成犯罪的，依法追究刑事责任：</w:t>
      </w:r>
    </w:p>
    <w:p w14:paraId="11A596D3">
      <w:pPr>
        <w:keepNext w:val="0"/>
        <w:keepLines w:val="0"/>
        <w:pageBreakBefore w:val="0"/>
        <w:widowControl w:val="0"/>
        <w:kinsoku/>
        <w:wordWrap/>
        <w:overflowPunct/>
        <w:topLinePunct w:val="0"/>
        <w:autoSpaceDE/>
        <w:autoSpaceDN/>
        <w:bidi w:val="0"/>
        <w:snapToGrid w:val="0"/>
        <w:spacing w:line="336"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1、提供虚假材料谋取</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的；</w:t>
      </w:r>
    </w:p>
    <w:p w14:paraId="0FBD853A">
      <w:pPr>
        <w:keepNext w:val="0"/>
        <w:keepLines w:val="0"/>
        <w:pageBreakBefore w:val="0"/>
        <w:widowControl w:val="0"/>
        <w:kinsoku/>
        <w:wordWrap/>
        <w:overflowPunct/>
        <w:topLinePunct w:val="0"/>
        <w:autoSpaceDE/>
        <w:autoSpaceDN/>
        <w:bidi w:val="0"/>
        <w:snapToGrid w:val="0"/>
        <w:spacing w:line="336"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2、采取不正当手段诋毁、排挤其他供应商的；</w:t>
      </w:r>
    </w:p>
    <w:p w14:paraId="4499014E">
      <w:pPr>
        <w:keepNext w:val="0"/>
        <w:keepLines w:val="0"/>
        <w:pageBreakBefore w:val="0"/>
        <w:widowControl w:val="0"/>
        <w:kinsoku/>
        <w:wordWrap/>
        <w:overflowPunct/>
        <w:topLinePunct w:val="0"/>
        <w:autoSpaceDE/>
        <w:autoSpaceDN/>
        <w:bidi w:val="0"/>
        <w:snapToGrid w:val="0"/>
        <w:spacing w:line="336"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3、与采购人、其他供应商或采购代理机构恶意串通的；</w:t>
      </w:r>
    </w:p>
    <w:p w14:paraId="50207E94">
      <w:pPr>
        <w:keepNext w:val="0"/>
        <w:keepLines w:val="0"/>
        <w:pageBreakBefore w:val="0"/>
        <w:widowControl w:val="0"/>
        <w:kinsoku/>
        <w:wordWrap/>
        <w:overflowPunct/>
        <w:topLinePunct w:val="0"/>
        <w:autoSpaceDE/>
        <w:autoSpaceDN/>
        <w:bidi w:val="0"/>
        <w:snapToGrid w:val="0"/>
        <w:spacing w:line="336"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4、向采购人、采购代理机构行贿或者提供其他不正当利益的；</w:t>
      </w:r>
    </w:p>
    <w:p w14:paraId="69B5EE5D">
      <w:pPr>
        <w:keepNext w:val="0"/>
        <w:keepLines w:val="0"/>
        <w:pageBreakBefore w:val="0"/>
        <w:widowControl w:val="0"/>
        <w:kinsoku/>
        <w:wordWrap/>
        <w:overflowPunct/>
        <w:topLinePunct w:val="0"/>
        <w:autoSpaceDE/>
        <w:autoSpaceDN/>
        <w:bidi w:val="0"/>
        <w:snapToGrid w:val="0"/>
        <w:spacing w:line="336"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5、在招标过程中与招标采购单位进行协商谈判、不按照</w:t>
      </w:r>
      <w:r>
        <w:rPr>
          <w:rFonts w:hint="eastAsia" w:ascii="仿宋" w:hAnsi="仿宋" w:eastAsia="仿宋" w:cs="仿宋"/>
          <w:bCs/>
          <w:color w:val="auto"/>
          <w:sz w:val="24"/>
          <w:szCs w:val="24"/>
          <w:lang w:eastAsia="zh-CN"/>
        </w:rPr>
        <w:t>谈判文件</w:t>
      </w:r>
      <w:r>
        <w:rPr>
          <w:rFonts w:hint="eastAsia" w:ascii="仿宋" w:hAnsi="仿宋" w:eastAsia="仿宋" w:cs="仿宋"/>
          <w:color w:val="auto"/>
          <w:sz w:val="24"/>
          <w:szCs w:val="24"/>
        </w:rPr>
        <w:t>和</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的响应文件订立合同，或者与采购人另行订立背离合同实质性内容的协议的；</w:t>
      </w:r>
    </w:p>
    <w:p w14:paraId="60007120">
      <w:pPr>
        <w:keepNext w:val="0"/>
        <w:keepLines w:val="0"/>
        <w:pageBreakBefore w:val="0"/>
        <w:widowControl w:val="0"/>
        <w:kinsoku/>
        <w:wordWrap/>
        <w:overflowPunct/>
        <w:topLinePunct w:val="0"/>
        <w:autoSpaceDE/>
        <w:autoSpaceDN/>
        <w:bidi w:val="0"/>
        <w:snapToGrid w:val="0"/>
        <w:spacing w:line="336"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6、拒绝有关部门监督检查或者提供虚假情况的。供应商有前款情形之一的，</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无效。</w:t>
      </w:r>
    </w:p>
    <w:p w14:paraId="23200CE4">
      <w:pPr>
        <w:keepNext w:val="0"/>
        <w:keepLines w:val="0"/>
        <w:pageBreakBefore w:val="0"/>
        <w:widowControl w:val="0"/>
        <w:kinsoku/>
        <w:wordWrap/>
        <w:overflowPunct/>
        <w:topLinePunct w:val="0"/>
        <w:autoSpaceDE/>
        <w:autoSpaceDN/>
        <w:bidi w:val="0"/>
        <w:snapToGrid w:val="0"/>
        <w:spacing w:line="336"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有下列情形之一的，情节严重的，由财政部门将其列入不良行为记录名单，在一至三年内禁止参加</w:t>
      </w:r>
      <w:r>
        <w:rPr>
          <w:rFonts w:hint="eastAsia" w:ascii="仿宋" w:hAnsi="仿宋" w:eastAsia="仿宋" w:cs="仿宋"/>
          <w:color w:val="auto"/>
          <w:sz w:val="24"/>
          <w:szCs w:val="24"/>
          <w:lang w:eastAsia="zh-CN"/>
        </w:rPr>
        <w:t>政府</w:t>
      </w:r>
      <w:r>
        <w:rPr>
          <w:rFonts w:hint="eastAsia" w:ascii="仿宋" w:hAnsi="仿宋" w:eastAsia="仿宋" w:cs="仿宋"/>
          <w:color w:val="auto"/>
          <w:sz w:val="24"/>
          <w:szCs w:val="24"/>
        </w:rPr>
        <w:t>采购活动，并予以通报：</w:t>
      </w:r>
    </w:p>
    <w:p w14:paraId="337B162B">
      <w:pPr>
        <w:keepNext w:val="0"/>
        <w:keepLines w:val="0"/>
        <w:pageBreakBefore w:val="0"/>
        <w:widowControl w:val="0"/>
        <w:kinsoku/>
        <w:wordWrap/>
        <w:overflowPunct/>
        <w:topLinePunct w:val="0"/>
        <w:autoSpaceDE/>
        <w:autoSpaceDN/>
        <w:bidi w:val="0"/>
        <w:snapToGrid w:val="0"/>
        <w:spacing w:line="336"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后无正当理由不与采购人签订合同，或者与采购人另行订立背离合同实质性内容的协议的；</w:t>
      </w:r>
    </w:p>
    <w:p w14:paraId="0D3B62FD">
      <w:pPr>
        <w:keepNext w:val="0"/>
        <w:keepLines w:val="0"/>
        <w:pageBreakBefore w:val="0"/>
        <w:widowControl w:val="0"/>
        <w:kinsoku/>
        <w:wordWrap/>
        <w:overflowPunct/>
        <w:topLinePunct w:val="0"/>
        <w:autoSpaceDE/>
        <w:autoSpaceDN/>
        <w:bidi w:val="0"/>
        <w:snapToGrid w:val="0"/>
        <w:spacing w:line="336"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2、将</w:t>
      </w:r>
      <w:r>
        <w:rPr>
          <w:rFonts w:hint="eastAsia" w:ascii="仿宋" w:hAnsi="仿宋" w:eastAsia="仿宋" w:cs="仿宋"/>
          <w:color w:val="auto"/>
          <w:sz w:val="24"/>
          <w:szCs w:val="24"/>
          <w:lang w:val="en-US" w:eastAsia="zh-CN"/>
        </w:rPr>
        <w:t>成交</w:t>
      </w:r>
      <w:r>
        <w:rPr>
          <w:rFonts w:hint="eastAsia" w:ascii="仿宋" w:hAnsi="仿宋" w:eastAsia="仿宋" w:cs="仿宋"/>
          <w:color w:val="auto"/>
          <w:sz w:val="24"/>
          <w:szCs w:val="24"/>
        </w:rPr>
        <w:t>项目转让给他人，或者在响应文件中未说明，且未经采购人同意，将</w:t>
      </w:r>
      <w:r>
        <w:rPr>
          <w:rFonts w:hint="eastAsia" w:ascii="仿宋" w:hAnsi="仿宋" w:eastAsia="仿宋" w:cs="仿宋"/>
          <w:color w:val="auto"/>
          <w:sz w:val="24"/>
          <w:szCs w:val="24"/>
          <w:lang w:val="en-US" w:eastAsia="zh-CN"/>
        </w:rPr>
        <w:t>成交</w:t>
      </w:r>
      <w:r>
        <w:rPr>
          <w:rFonts w:hint="eastAsia" w:ascii="仿宋" w:hAnsi="仿宋" w:eastAsia="仿宋" w:cs="仿宋"/>
          <w:color w:val="auto"/>
          <w:sz w:val="24"/>
          <w:szCs w:val="24"/>
        </w:rPr>
        <w:t>项目分包给他人的；</w:t>
      </w:r>
    </w:p>
    <w:p w14:paraId="64ED1F47">
      <w:pPr>
        <w:keepNext w:val="0"/>
        <w:keepLines w:val="0"/>
        <w:pageBreakBefore w:val="0"/>
        <w:widowControl w:val="0"/>
        <w:kinsoku/>
        <w:wordWrap/>
        <w:overflowPunct/>
        <w:topLinePunct w:val="0"/>
        <w:autoSpaceDE/>
        <w:autoSpaceDN/>
        <w:bidi w:val="0"/>
        <w:snapToGrid w:val="0"/>
        <w:spacing w:line="336"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3、拒绝履行合同义务的。</w:t>
      </w:r>
    </w:p>
    <w:p w14:paraId="6CB1F6D2">
      <w:pPr>
        <w:snapToGrid w:val="0"/>
        <w:spacing w:line="360" w:lineRule="auto"/>
        <w:ind w:firstLine="490" w:firstLineChars="200"/>
        <w:outlineLvl w:val="0"/>
        <w:rPr>
          <w:rFonts w:ascii="仿宋" w:hAnsi="仿宋" w:eastAsia="仿宋" w:cs="仿宋"/>
          <w:color w:val="auto"/>
          <w:sz w:val="24"/>
          <w:szCs w:val="24"/>
        </w:rPr>
      </w:pP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有前款情形之一的，</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无效。</w:t>
      </w:r>
    </w:p>
    <w:p w14:paraId="34B147DD">
      <w:pPr>
        <w:snapToGrid w:val="0"/>
        <w:spacing w:line="360" w:lineRule="auto"/>
        <w:ind w:firstLine="490" w:firstLineChars="200"/>
        <w:outlineLvl w:val="0"/>
        <w:rPr>
          <w:rFonts w:hint="eastAsia" w:ascii="仿宋" w:hAnsi="仿宋" w:eastAsia="仿宋" w:cs="仿宋"/>
          <w:color w:val="auto"/>
          <w:sz w:val="24"/>
          <w:szCs w:val="24"/>
        </w:rPr>
      </w:pPr>
      <w:r>
        <w:rPr>
          <w:rFonts w:hint="eastAsia" w:ascii="仿宋" w:hAnsi="仿宋" w:eastAsia="仿宋" w:cs="仿宋"/>
          <w:color w:val="auto"/>
          <w:sz w:val="24"/>
          <w:szCs w:val="24"/>
        </w:rPr>
        <w:t>按照以上条款规定，经同级或其上级财政部门认定</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无效的，可按</w:t>
      </w:r>
      <w:r>
        <w:rPr>
          <w:rFonts w:hint="eastAsia" w:ascii="仿宋" w:hAnsi="仿宋" w:eastAsia="仿宋" w:cs="仿宋"/>
          <w:color w:val="auto"/>
          <w:sz w:val="24"/>
          <w:szCs w:val="24"/>
          <w:lang w:val="en-US" w:eastAsia="zh-CN"/>
        </w:rPr>
        <w:t>成交</w:t>
      </w:r>
      <w:r>
        <w:rPr>
          <w:rFonts w:hint="eastAsia" w:ascii="仿宋" w:hAnsi="仿宋" w:eastAsia="仿宋" w:cs="仿宋"/>
          <w:color w:val="auto"/>
          <w:sz w:val="24"/>
          <w:szCs w:val="24"/>
        </w:rPr>
        <w:t>候选顺序重新确定，或重新进行采购。</w:t>
      </w:r>
      <w:bookmarkStart w:id="10" w:name="_Toc497129227"/>
    </w:p>
    <w:p w14:paraId="78CD3292">
      <w:pPr>
        <w:pStyle w:val="3"/>
        <w:keepNext w:val="0"/>
        <w:keepLines w:val="0"/>
        <w:pageBreakBefore w:val="0"/>
        <w:widowControl w:val="0"/>
        <w:kinsoku/>
        <w:wordWrap/>
        <w:overflowPunct/>
        <w:topLinePunct w:val="0"/>
        <w:autoSpaceDE/>
        <w:autoSpaceDN/>
        <w:bidi w:val="0"/>
        <w:spacing w:line="336" w:lineRule="auto"/>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十</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质疑与投诉</w:t>
      </w:r>
    </w:p>
    <w:p w14:paraId="00305343">
      <w:pPr>
        <w:spacing w:line="360" w:lineRule="exact"/>
        <w:ind w:firstLine="245"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．质疑和投诉</w:t>
      </w:r>
    </w:p>
    <w:p w14:paraId="6E5F17F7">
      <w:pPr>
        <w:spacing w:line="360" w:lineRule="exact"/>
        <w:ind w:firstLine="245"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1供应商认为采购文件、采购过程和成交、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14AC8FEE">
      <w:pPr>
        <w:spacing w:line="360" w:lineRule="exact"/>
        <w:ind w:firstLine="245"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（一）对可以质疑的采购文件提出质疑的，为收到采购文件之日或者采购文件公告期限届满之日；</w:t>
      </w:r>
    </w:p>
    <w:p w14:paraId="47FDDC05">
      <w:pPr>
        <w:spacing w:line="440" w:lineRule="exact"/>
        <w:ind w:firstLine="245"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（二）对采购过程提出质疑的，为各采购程序环节结束之日；</w:t>
      </w:r>
    </w:p>
    <w:p w14:paraId="3A6D30DB">
      <w:pPr>
        <w:spacing w:line="440" w:lineRule="exact"/>
        <w:ind w:firstLine="245"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（三）对成交或者成交结果提出质疑的，为成交或者成交结果公告期限届满之日。</w:t>
      </w:r>
    </w:p>
    <w:p w14:paraId="2203A793">
      <w:pPr>
        <w:spacing w:line="440" w:lineRule="exact"/>
        <w:ind w:firstLine="245"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17C6BBBB">
      <w:pPr>
        <w:spacing w:line="440" w:lineRule="exact"/>
        <w:ind w:firstLine="245"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供应商为自然人的，应当由本人签章；供应商为法人或者其他组织的，应当由法定代表人、主要负责人，或者其授权代表签章或者盖章，并加盖公章。</w:t>
      </w:r>
    </w:p>
    <w:p w14:paraId="31133CE0">
      <w:pPr>
        <w:spacing w:line="440" w:lineRule="exact"/>
        <w:ind w:firstLine="245"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.3供应商质疑、投诉应当有明确的请求和必要的证明材料。供应商投诉的事项不得超出已质疑事项的范围。采购人及采购代理机构按《政府采购质疑和投诉办法》进行处理供应商质疑事项。</w:t>
      </w:r>
    </w:p>
    <w:p w14:paraId="19F5F73C">
      <w:pPr>
        <w:spacing w:line="440" w:lineRule="exact"/>
        <w:ind w:firstLine="245"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.4质疑供应商对采购人、采购代理机构的质疑答复不满意，或者采购人、采购代理机构未在规定期限内作出答复的，供应商可以在答复期满后15个工作日内向同级财政部门提起投诉。</w:t>
      </w:r>
    </w:p>
    <w:p w14:paraId="76F95282">
      <w:pPr>
        <w:spacing w:line="440" w:lineRule="exact"/>
        <w:ind w:firstLine="245"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.5供应商有下列情形之一的，采购代理机构将报告</w:t>
      </w:r>
      <w:r>
        <w:rPr>
          <w:rFonts w:hint="eastAsia" w:ascii="仿宋" w:hAnsi="仿宋" w:eastAsia="仿宋" w:cs="仿宋"/>
          <w:color w:val="auto"/>
          <w:szCs w:val="21"/>
          <w:highlight w:val="none"/>
          <w:lang w:val="en-US" w:eastAsia="zh-CN"/>
        </w:rPr>
        <w:t>克州</w:t>
      </w:r>
      <w:r>
        <w:rPr>
          <w:rFonts w:hint="eastAsia" w:ascii="仿宋" w:hAnsi="仿宋" w:eastAsia="仿宋" w:cs="仿宋"/>
          <w:color w:val="auto"/>
          <w:szCs w:val="21"/>
          <w:highlight w:val="none"/>
          <w:lang w:eastAsia="zh-CN"/>
        </w:rPr>
        <w:t>财政局，将其列入不良行为记录名单：</w:t>
      </w:r>
    </w:p>
    <w:p w14:paraId="57C5DA7D">
      <w:pPr>
        <w:spacing w:line="440" w:lineRule="exact"/>
        <w:ind w:firstLine="245"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（一）一年内三次以上质疑均查无实据的；</w:t>
      </w:r>
    </w:p>
    <w:p w14:paraId="64BF9DD6">
      <w:pPr>
        <w:spacing w:line="440" w:lineRule="exact"/>
        <w:ind w:firstLine="245"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（二）捏造事实或者提供虚假质疑材料的。</w:t>
      </w:r>
    </w:p>
    <w:p w14:paraId="1D6C7C08">
      <w:pPr>
        <w:spacing w:line="440" w:lineRule="exact"/>
        <w:ind w:firstLine="245"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（三）以非法手段取得证明材料。证据来源的合法性存在明显疑问，质疑人无法证明其取得方式合法的，视为以非法手段取得证明材料。</w:t>
      </w:r>
    </w:p>
    <w:p w14:paraId="1B4AAC63">
      <w:pPr>
        <w:spacing w:line="360" w:lineRule="exact"/>
        <w:jc w:val="center"/>
        <w:rPr>
          <w:rFonts w:ascii="仿宋" w:hAnsi="仿宋" w:eastAsia="仿宋" w:cs="仿宋"/>
          <w:color w:val="auto"/>
          <w:sz w:val="30"/>
          <w:szCs w:val="30"/>
          <w:highlight w:val="none"/>
          <w:lang w:eastAsia="zh-CN"/>
        </w:rPr>
      </w:pPr>
    </w:p>
    <w:p w14:paraId="2EB6E4EB">
      <w:pPr>
        <w:pStyle w:val="29"/>
        <w:rPr>
          <w:rFonts w:ascii="仿宋" w:hAnsi="仿宋" w:eastAsia="仿宋" w:cs="仿宋"/>
          <w:color w:val="auto"/>
          <w:sz w:val="30"/>
          <w:szCs w:val="30"/>
          <w:highlight w:val="none"/>
          <w:lang w:eastAsia="zh-CN"/>
        </w:rPr>
      </w:pPr>
    </w:p>
    <w:p w14:paraId="0879DE53">
      <w:pPr>
        <w:pStyle w:val="29"/>
        <w:rPr>
          <w:rFonts w:ascii="仿宋" w:hAnsi="仿宋" w:eastAsia="仿宋" w:cs="仿宋"/>
          <w:color w:val="auto"/>
          <w:sz w:val="30"/>
          <w:szCs w:val="30"/>
          <w:highlight w:val="none"/>
          <w:lang w:eastAsia="zh-CN"/>
        </w:rPr>
      </w:pPr>
    </w:p>
    <w:p w14:paraId="40165FEE">
      <w:pPr>
        <w:pStyle w:val="29"/>
        <w:rPr>
          <w:rFonts w:ascii="仿宋" w:hAnsi="仿宋" w:eastAsia="仿宋" w:cs="仿宋"/>
          <w:color w:val="auto"/>
          <w:sz w:val="30"/>
          <w:szCs w:val="30"/>
          <w:highlight w:val="none"/>
          <w:lang w:eastAsia="zh-CN"/>
        </w:rPr>
      </w:pPr>
    </w:p>
    <w:p w14:paraId="6638222C">
      <w:pPr>
        <w:rPr>
          <w:rFonts w:hint="eastAsia" w:ascii="仿宋" w:hAnsi="仿宋" w:eastAsia="仿宋" w:cs="仿宋"/>
          <w:b/>
          <w:bCs/>
          <w:color w:val="auto"/>
          <w:highlight w:val="none"/>
          <w:lang w:eastAsia="zh-CN"/>
        </w:rPr>
      </w:pPr>
    </w:p>
    <w:p w14:paraId="1AB60F36">
      <w:pPr>
        <w:rPr>
          <w:rFonts w:hint="eastAsia" w:ascii="仿宋" w:hAnsi="仿宋" w:eastAsia="仿宋" w:cs="仿宋"/>
          <w:b/>
          <w:bCs/>
          <w:color w:val="auto"/>
          <w:highlight w:val="none"/>
          <w:lang w:eastAsia="zh-CN"/>
        </w:rPr>
      </w:pPr>
    </w:p>
    <w:p w14:paraId="7E2615F2">
      <w:pPr>
        <w:rPr>
          <w:rFonts w:hint="eastAsia" w:ascii="仿宋" w:hAnsi="仿宋" w:eastAsia="仿宋" w:cs="仿宋"/>
          <w:b/>
          <w:bCs/>
          <w:color w:val="auto"/>
          <w:highlight w:val="none"/>
          <w:lang w:eastAsia="zh-CN"/>
        </w:rPr>
      </w:pPr>
    </w:p>
    <w:p w14:paraId="5D1F2564">
      <w:pPr>
        <w:rPr>
          <w:rFonts w:hint="eastAsia" w:ascii="仿宋" w:hAnsi="仿宋" w:eastAsia="仿宋" w:cs="仿宋"/>
          <w:b/>
          <w:bCs/>
          <w:color w:val="auto"/>
          <w:highlight w:val="none"/>
          <w:lang w:eastAsia="zh-CN"/>
        </w:rPr>
      </w:pPr>
    </w:p>
    <w:p w14:paraId="2D13944F">
      <w:pPr>
        <w:rPr>
          <w:rFonts w:hint="eastAsia" w:ascii="仿宋" w:hAnsi="仿宋" w:eastAsia="仿宋" w:cs="仿宋"/>
          <w:b/>
          <w:bCs/>
          <w:color w:val="auto"/>
          <w:highlight w:val="none"/>
          <w:lang w:eastAsia="zh-CN"/>
        </w:rPr>
      </w:pPr>
    </w:p>
    <w:p w14:paraId="35495A7C">
      <w:pPr>
        <w:rPr>
          <w:rFonts w:hint="eastAsia" w:ascii="仿宋" w:hAnsi="仿宋" w:eastAsia="仿宋" w:cs="仿宋"/>
          <w:b/>
          <w:bCs/>
          <w:color w:val="auto"/>
          <w:highlight w:val="none"/>
          <w:lang w:eastAsia="zh-CN"/>
        </w:rPr>
      </w:pPr>
    </w:p>
    <w:p w14:paraId="3681FAA4">
      <w:pPr>
        <w:rPr>
          <w:rFonts w:hint="eastAsia" w:ascii="仿宋" w:hAnsi="仿宋" w:eastAsia="仿宋" w:cs="仿宋"/>
          <w:b/>
          <w:bCs/>
          <w:color w:val="auto"/>
          <w:highlight w:val="none"/>
          <w:lang w:eastAsia="zh-CN"/>
        </w:rPr>
      </w:pPr>
    </w:p>
    <w:p w14:paraId="5B2AC9E6">
      <w:pPr>
        <w:rPr>
          <w:rFonts w:hint="eastAsia" w:ascii="仿宋" w:hAnsi="仿宋" w:eastAsia="仿宋" w:cs="仿宋"/>
          <w:b/>
          <w:bCs/>
          <w:color w:val="auto"/>
          <w:highlight w:val="none"/>
          <w:lang w:eastAsia="zh-CN"/>
        </w:rPr>
      </w:pPr>
    </w:p>
    <w:p w14:paraId="450A87AC">
      <w:pPr>
        <w:rPr>
          <w:rFonts w:hint="eastAsia" w:ascii="仿宋" w:hAnsi="仿宋" w:eastAsia="仿宋" w:cs="仿宋"/>
          <w:b/>
          <w:bCs/>
          <w:color w:val="auto"/>
          <w:highlight w:val="none"/>
          <w:lang w:eastAsia="zh-CN"/>
        </w:rPr>
      </w:pPr>
    </w:p>
    <w:p w14:paraId="6ECDC296">
      <w:pPr>
        <w:rPr>
          <w:rFonts w:hint="eastAsia" w:ascii="仿宋" w:hAnsi="仿宋" w:eastAsia="仿宋" w:cs="仿宋"/>
          <w:b/>
          <w:bCs/>
          <w:color w:val="auto"/>
          <w:highlight w:val="none"/>
          <w:lang w:eastAsia="zh-CN"/>
        </w:rPr>
      </w:pPr>
    </w:p>
    <w:p w14:paraId="5EDEA242">
      <w:pPr>
        <w:rPr>
          <w:rFonts w:hint="eastAsia" w:ascii="仿宋" w:hAnsi="仿宋" w:eastAsia="仿宋" w:cs="仿宋"/>
          <w:b/>
          <w:bCs/>
          <w:color w:val="auto"/>
          <w:highlight w:val="none"/>
          <w:lang w:eastAsia="zh-CN"/>
        </w:rPr>
      </w:pPr>
    </w:p>
    <w:p w14:paraId="512890AA">
      <w:pPr>
        <w:pStyle w:val="11"/>
        <w:ind w:left="0" w:leftChars="0" w:firstLine="0" w:firstLineChars="0"/>
        <w:rPr>
          <w:rFonts w:hint="eastAsia" w:ascii="仿宋" w:hAnsi="仿宋" w:eastAsia="仿宋" w:cs="仿宋"/>
          <w:b/>
          <w:bCs/>
          <w:color w:val="auto"/>
          <w:highlight w:val="none"/>
          <w:lang w:eastAsia="zh-CN"/>
        </w:rPr>
      </w:pPr>
    </w:p>
    <w:p w14:paraId="0A04298C">
      <w:pPr>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附件：</w:t>
      </w:r>
    </w:p>
    <w:p w14:paraId="7F081A72">
      <w:pPr>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32"/>
          <w:szCs w:val="32"/>
          <w:highlight w:val="none"/>
          <w:lang w:eastAsia="zh-CN"/>
        </w:rPr>
        <w:t>政府采购投诉书（范本）、质疑函范本</w:t>
      </w:r>
    </w:p>
    <w:p w14:paraId="1370E611">
      <w:pPr>
        <w:spacing w:line="400" w:lineRule="exact"/>
        <w:jc w:val="center"/>
        <w:rPr>
          <w:rFonts w:ascii="仿宋" w:hAnsi="仿宋" w:eastAsia="仿宋" w:cs="仿宋"/>
          <w:color w:val="auto"/>
          <w:highlight w:val="none"/>
          <w:u w:val="single"/>
          <w:lang w:eastAsia="zh-CN"/>
        </w:rPr>
      </w:pPr>
      <w:r>
        <w:rPr>
          <w:rFonts w:hint="eastAsia" w:ascii="仿宋" w:hAnsi="仿宋" w:eastAsia="仿宋" w:cs="仿宋"/>
          <w:b/>
          <w:bCs/>
          <w:color w:val="auto"/>
          <w:sz w:val="28"/>
          <w:szCs w:val="28"/>
          <w:highlight w:val="none"/>
          <w:lang w:eastAsia="zh-CN"/>
        </w:rPr>
        <w:t>政府采购投诉书（范本）</w:t>
      </w:r>
    </w:p>
    <w:p w14:paraId="58019548">
      <w:pPr>
        <w:spacing w:line="400" w:lineRule="exact"/>
        <w:rPr>
          <w:rFonts w:ascii="仿宋" w:hAnsi="仿宋" w:eastAsia="仿宋" w:cs="仿宋"/>
          <w:color w:val="auto"/>
          <w:highlight w:val="none"/>
          <w:lang w:eastAsia="zh-CN"/>
        </w:rPr>
      </w:pPr>
    </w:p>
    <w:p w14:paraId="07235F6E">
      <w:pPr>
        <w:spacing w:line="400" w:lineRule="exact"/>
        <w:ind w:firstLine="490"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投诉人：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法定代表人：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val="en-US" w:eastAsia="zh-CN"/>
        </w:rPr>
        <w:t xml:space="preserve">    </w:t>
      </w:r>
    </w:p>
    <w:p w14:paraId="6DEDFA4F">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电话：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4FC39819">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委托代理人姓名：</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职务：</w:t>
      </w:r>
      <w:r>
        <w:rPr>
          <w:rFonts w:hint="eastAsia" w:ascii="仿宋" w:hAnsi="仿宋" w:eastAsia="仿宋" w:cs="仿宋"/>
          <w:color w:val="auto"/>
          <w:highlight w:val="none"/>
          <w:u w:val="single"/>
          <w:lang w:eastAsia="zh-CN"/>
        </w:rPr>
        <w:t xml:space="preserve">               </w:t>
      </w:r>
    </w:p>
    <w:p w14:paraId="7F72CB59">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住址：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联系电话：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011A08EE">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被投诉人：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法定代表人：</w:t>
      </w:r>
      <w:r>
        <w:rPr>
          <w:rFonts w:hint="eastAsia" w:ascii="仿宋" w:hAnsi="仿宋" w:eastAsia="仿宋" w:cs="仿宋"/>
          <w:color w:val="auto"/>
          <w:highlight w:val="none"/>
          <w:u w:val="single"/>
          <w:lang w:eastAsia="zh-CN"/>
        </w:rPr>
        <w:t xml:space="preserve">         </w:t>
      </w:r>
    </w:p>
    <w:p w14:paraId="11822652">
      <w:pPr>
        <w:spacing w:line="400" w:lineRule="exact"/>
        <w:ind w:firstLine="490" w:firstLineChars="200"/>
        <w:rPr>
          <w:rFonts w:hint="default" w:ascii="仿宋" w:hAnsi="仿宋" w:eastAsia="仿宋" w:cs="仿宋"/>
          <w:color w:val="auto"/>
          <w:highlight w:val="none"/>
          <w:u w:val="single"/>
          <w:lang w:val="en-US"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电话：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val="en-US" w:eastAsia="zh-CN"/>
        </w:rPr>
        <w:t xml:space="preserve">          </w:t>
      </w:r>
    </w:p>
    <w:p w14:paraId="7A132C80">
      <w:pPr>
        <w:spacing w:line="400" w:lineRule="exact"/>
        <w:ind w:firstLine="490" w:firstLineChars="200"/>
        <w:rPr>
          <w:rFonts w:ascii="仿宋" w:hAnsi="仿宋" w:eastAsia="仿宋" w:cs="仿宋"/>
          <w:color w:val="auto"/>
          <w:highlight w:val="none"/>
          <w:lang w:eastAsia="zh-CN"/>
        </w:rPr>
      </w:pPr>
    </w:p>
    <w:p w14:paraId="3038F7E6">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我公司参加了</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年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日被投诉人组织的</w:t>
      </w:r>
      <w:r>
        <w:rPr>
          <w:rFonts w:hint="eastAsia" w:ascii="仿宋" w:hAnsi="仿宋" w:eastAsia="仿宋" w:cs="仿宋"/>
          <w:color w:val="auto"/>
          <w:highlight w:val="none"/>
          <w:u w:val="single"/>
          <w:lang w:eastAsia="zh-CN"/>
        </w:rPr>
        <w:t>（采购人）（项目名称）（项目编号）</w:t>
      </w:r>
      <w:r>
        <w:rPr>
          <w:rFonts w:hint="eastAsia" w:ascii="仿宋" w:hAnsi="仿宋" w:eastAsia="仿宋" w:cs="仿宋"/>
          <w:color w:val="auto"/>
          <w:highlight w:val="none"/>
          <w:lang w:eastAsia="zh-CN"/>
        </w:rPr>
        <w:t>的采购活动，我公司认为该项目的</w:t>
      </w:r>
      <w:r>
        <w:rPr>
          <w:rFonts w:hint="eastAsia" w:ascii="仿宋" w:hAnsi="仿宋" w:eastAsia="仿宋" w:cs="仿宋"/>
          <w:color w:val="auto"/>
          <w:highlight w:val="none"/>
          <w:u w:val="single"/>
          <w:lang w:eastAsia="zh-CN"/>
        </w:rPr>
        <w:t>（采购文件/采购过程/中标（成交）结果）</w:t>
      </w:r>
      <w:r>
        <w:rPr>
          <w:rFonts w:hint="eastAsia" w:ascii="仿宋" w:hAnsi="仿宋" w:eastAsia="仿宋" w:cs="仿宋"/>
          <w:color w:val="auto"/>
          <w:highlight w:val="none"/>
          <w:lang w:eastAsia="zh-CN"/>
        </w:rPr>
        <w:t>损害了我公司权益，对此，我公司于</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日向</w:t>
      </w:r>
      <w:r>
        <w:rPr>
          <w:rFonts w:hint="eastAsia" w:ascii="仿宋" w:hAnsi="仿宋" w:eastAsia="仿宋" w:cs="仿宋"/>
          <w:color w:val="auto"/>
          <w:highlight w:val="none"/>
          <w:u w:val="single"/>
          <w:lang w:eastAsia="zh-CN"/>
        </w:rPr>
        <w:t>（采购人或者政府采购代理机构）</w:t>
      </w:r>
      <w:r>
        <w:rPr>
          <w:rFonts w:hint="eastAsia" w:ascii="仿宋" w:hAnsi="仿宋" w:eastAsia="仿宋" w:cs="仿宋"/>
          <w:color w:val="auto"/>
          <w:highlight w:val="none"/>
          <w:lang w:eastAsia="zh-CN"/>
        </w:rPr>
        <w:t>提出了质疑，</w:t>
      </w:r>
      <w:r>
        <w:rPr>
          <w:rFonts w:hint="eastAsia" w:ascii="仿宋" w:hAnsi="仿宋" w:eastAsia="仿宋" w:cs="仿宋"/>
          <w:color w:val="auto"/>
          <w:highlight w:val="none"/>
          <w:u w:val="single"/>
          <w:lang w:eastAsia="zh-CN"/>
        </w:rPr>
        <w:t>（其于    年  月  日作出书面答复，因对其作出的答复不满意）/（被质疑人未在法定期内予以答复，按照政府采购有关规定）</w:t>
      </w:r>
      <w:r>
        <w:rPr>
          <w:rFonts w:hint="eastAsia" w:ascii="仿宋" w:hAnsi="仿宋" w:eastAsia="仿宋" w:cs="仿宋"/>
          <w:color w:val="auto"/>
          <w:highlight w:val="none"/>
          <w:lang w:eastAsia="zh-CN"/>
        </w:rPr>
        <w:t>，现向贵机关提起投诉：</w:t>
      </w:r>
    </w:p>
    <w:p w14:paraId="7D34E7FF">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color w:val="auto"/>
          <w:highlight w:val="none"/>
          <w:u w:val="single"/>
          <w:lang w:eastAsia="zh-CN"/>
        </w:rPr>
        <w:t>具体的投诉事项及事实依据；</w:t>
      </w:r>
    </w:p>
    <w:p w14:paraId="0C783211">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u w:val="single"/>
          <w:lang w:eastAsia="zh-CN"/>
        </w:rPr>
        <w:t>质疑和质疑答复情况简要描述；</w:t>
      </w:r>
    </w:p>
    <w:p w14:paraId="32088876">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w:t>
      </w:r>
      <w:r>
        <w:rPr>
          <w:rFonts w:hint="eastAsia" w:ascii="仿宋" w:hAnsi="仿宋" w:eastAsia="仿宋" w:cs="仿宋"/>
          <w:color w:val="auto"/>
          <w:highlight w:val="none"/>
          <w:u w:val="single"/>
          <w:lang w:eastAsia="zh-CN"/>
        </w:rPr>
        <w:t>投诉请求。</w:t>
      </w:r>
    </w:p>
    <w:p w14:paraId="118E44BF">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附件：</w:t>
      </w:r>
    </w:p>
    <w:p w14:paraId="790251AD">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1.质疑书和质疑答复书；</w:t>
      </w:r>
    </w:p>
    <w:p w14:paraId="6684EB6B">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2.证据材料（需注明证据来源），证人的姓名、住址和联系方式等；</w:t>
      </w:r>
    </w:p>
    <w:p w14:paraId="2C3136AC">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3.营业执照；</w:t>
      </w:r>
    </w:p>
    <w:p w14:paraId="775A9229">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4.法定代表人身份证明函</w:t>
      </w:r>
    </w:p>
    <w:p w14:paraId="3E44A859">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5.法定代表人授权委托书（包含法定代表人和委托代理人的身份证复印件）；</w:t>
      </w:r>
    </w:p>
    <w:p w14:paraId="784AE0B5">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6.政府采购监管部门认为应当提供的其它材料。</w:t>
      </w:r>
    </w:p>
    <w:p w14:paraId="3BAD00D3">
      <w:pPr>
        <w:spacing w:line="400" w:lineRule="exact"/>
        <w:jc w:val="center"/>
        <w:rPr>
          <w:rFonts w:ascii="仿宋" w:hAnsi="仿宋" w:eastAsia="仿宋" w:cs="仿宋"/>
          <w:color w:val="auto"/>
          <w:highlight w:val="none"/>
          <w:lang w:eastAsia="zh-CN"/>
        </w:rPr>
      </w:pPr>
    </w:p>
    <w:p w14:paraId="0BD552E0">
      <w:pPr>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投诉供应商：（盖章）</w:t>
      </w:r>
    </w:p>
    <w:p w14:paraId="50F0AC67">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法定代表人（或主要负责人）：（签章）</w:t>
      </w:r>
    </w:p>
    <w:p w14:paraId="0F4A96D7">
      <w:pPr>
        <w:spacing w:line="400" w:lineRule="exact"/>
        <w:ind w:firstLine="3920" w:firstLineChars="16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w:t>
      </w:r>
    </w:p>
    <w:p w14:paraId="7229067F">
      <w:pPr>
        <w:spacing w:line="400" w:lineRule="exact"/>
        <w:rPr>
          <w:rFonts w:ascii="仿宋" w:hAnsi="仿宋" w:eastAsia="仿宋" w:cs="仿宋"/>
          <w:color w:val="auto"/>
          <w:highlight w:val="none"/>
          <w:lang w:eastAsia="zh-CN"/>
        </w:rPr>
      </w:pPr>
    </w:p>
    <w:p w14:paraId="002CB7D0">
      <w:pPr>
        <w:spacing w:line="400" w:lineRule="exact"/>
        <w:jc w:val="right"/>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本投诉书正本叁份，副本</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份并附电子文档。</w:t>
      </w:r>
    </w:p>
    <w:p w14:paraId="1DFF95D7">
      <w:pPr>
        <w:ind w:left="5783" w:hanging="5850" w:hangingChars="1800"/>
        <w:jc w:val="center"/>
        <w:outlineLvl w:val="0"/>
        <w:rPr>
          <w:rFonts w:hint="eastAsia" w:ascii="仿宋" w:hAnsi="仿宋" w:eastAsia="仿宋" w:cs="仿宋"/>
          <w:b/>
          <w:bCs/>
          <w:color w:val="auto"/>
          <w:sz w:val="32"/>
          <w:szCs w:val="32"/>
          <w:highlight w:val="none"/>
          <w:lang w:eastAsia="zh-CN"/>
        </w:rPr>
      </w:pPr>
      <w:bookmarkStart w:id="11" w:name="_Toc17515"/>
    </w:p>
    <w:p w14:paraId="63AC31D3">
      <w:pPr>
        <w:ind w:left="5783" w:hanging="5850" w:hangingChars="1800"/>
        <w:jc w:val="center"/>
        <w:outlineLvl w:val="0"/>
        <w:rPr>
          <w:rFonts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投诉相关说明</w:t>
      </w:r>
      <w:bookmarkEnd w:id="11"/>
    </w:p>
    <w:p w14:paraId="36FB0B5F">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投诉人应当满足《政府采购法》、《政府采购法实施条例》和《政府采购供应商投诉处理办法》的相关规定。</w:t>
      </w:r>
    </w:p>
    <w:p w14:paraId="3FF2C2CA">
      <w:pPr>
        <w:numPr>
          <w:ilvl w:val="0"/>
          <w:numId w:val="5"/>
        </w:numPr>
        <w:spacing w:line="400" w:lineRule="exact"/>
        <w:ind w:left="4664" w:leftChars="304" w:hanging="3920" w:hangingChars="1600"/>
        <w:outlineLvl w:val="0"/>
        <w:rPr>
          <w:rFonts w:ascii="仿宋" w:hAnsi="仿宋" w:eastAsia="仿宋" w:cs="仿宋"/>
          <w:b/>
          <w:bCs/>
          <w:color w:val="auto"/>
          <w:sz w:val="24"/>
          <w:szCs w:val="24"/>
          <w:highlight w:val="none"/>
        </w:rPr>
      </w:pPr>
      <w:bookmarkStart w:id="12" w:name="_Toc11499"/>
      <w:r>
        <w:rPr>
          <w:rFonts w:hint="eastAsia" w:ascii="仿宋" w:hAnsi="仿宋" w:eastAsia="仿宋" w:cs="仿宋"/>
          <w:b/>
          <w:bCs/>
          <w:color w:val="auto"/>
          <w:sz w:val="24"/>
          <w:szCs w:val="24"/>
          <w:highlight w:val="none"/>
        </w:rPr>
        <w:t>质疑前置及时间要求</w:t>
      </w:r>
      <w:bookmarkEnd w:id="12"/>
    </w:p>
    <w:p w14:paraId="4CAEDB1E">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lang w:eastAsia="zh-CN"/>
        </w:rPr>
        <w:t>《中华人民共和国政府采购法》</w:t>
      </w:r>
      <w:r>
        <w:rPr>
          <w:rFonts w:hint="eastAsia" w:ascii="仿宋" w:hAnsi="仿宋" w:eastAsia="仿宋" w:cs="仿宋"/>
          <w:color w:val="auto"/>
          <w:highlight w:val="none"/>
          <w:shd w:val="clear" w:color="auto" w:fill="FFFFFF"/>
          <w:lang w:eastAsia="zh-CN"/>
        </w:rPr>
        <w:t>第五十一条：供应商对政府采购活动事项有疑问的，可以向采购人提出询问，采购人应当及时作出答复，但答复的内容不得涉及商业秘密。</w:t>
      </w:r>
    </w:p>
    <w:p w14:paraId="568DB62D">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第五十二条：供应商认为采购文件、采购过程和成交、成交结果使自己的权益受到损害的，可以在知道或者应知其权益受到损害之日起七个工作日内，以书面形式向采购人提出质疑。</w:t>
      </w:r>
    </w:p>
    <w:p w14:paraId="3313D1DF">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第五十三条：采购人应当在收到供应商的书面质疑后七个工作日内作出答复，并以书面形式通知质疑供应商和其他有关供应商，但答复的内容不得涉及商业秘密。</w:t>
      </w:r>
    </w:p>
    <w:p w14:paraId="0BE84FBD">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3269A101">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《政府采购实施条例》第五十五条：供应商质疑、投诉应当有明确的请求和必要的证明材料。供应商投诉的事项不得超出质疑事项的范围。</w:t>
      </w:r>
    </w:p>
    <w:p w14:paraId="72B9856F">
      <w:pPr>
        <w:spacing w:line="400" w:lineRule="exact"/>
        <w:ind w:left="3780" w:hanging="3870" w:hangingChars="1800"/>
        <w:outlineLvl w:val="0"/>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 xml:space="preserve"> </w:t>
      </w:r>
      <w:r>
        <w:rPr>
          <w:rFonts w:hint="eastAsia" w:ascii="仿宋" w:hAnsi="仿宋" w:eastAsia="仿宋" w:cs="仿宋"/>
          <w:b/>
          <w:bCs/>
          <w:color w:val="auto"/>
          <w:sz w:val="21"/>
          <w:szCs w:val="21"/>
          <w:highlight w:val="none"/>
          <w:lang w:eastAsia="zh-CN"/>
        </w:rPr>
        <w:t xml:space="preserve">   </w:t>
      </w:r>
      <w:bookmarkStart w:id="13" w:name="_Toc13508"/>
      <w:r>
        <w:rPr>
          <w:rFonts w:hint="eastAsia" w:ascii="仿宋" w:hAnsi="仿宋" w:eastAsia="仿宋" w:cs="仿宋"/>
          <w:b/>
          <w:bCs/>
          <w:color w:val="auto"/>
          <w:sz w:val="21"/>
          <w:szCs w:val="21"/>
          <w:highlight w:val="none"/>
          <w:lang w:eastAsia="zh-CN"/>
        </w:rPr>
        <w:t>二、书面方式</w:t>
      </w:r>
      <w:bookmarkEnd w:id="13"/>
    </w:p>
    <w:p w14:paraId="04E64C07">
      <w:pPr>
        <w:spacing w:line="400" w:lineRule="exact"/>
        <w:ind w:left="3780" w:hanging="3870" w:hangingChars="1800"/>
        <w:rPr>
          <w:rFonts w:ascii="仿宋" w:hAnsi="仿宋" w:eastAsia="仿宋" w:cs="仿宋"/>
          <w:color w:val="auto"/>
          <w:highlight w:val="none"/>
          <w:lang w:eastAsia="zh-CN"/>
        </w:rPr>
      </w:pP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highlight w:val="none"/>
          <w:lang w:eastAsia="zh-CN"/>
        </w:rPr>
        <w:t>政府采购供应商投诉处理办法》第八条：投诉人投诉</w:t>
      </w:r>
    </w:p>
    <w:p w14:paraId="0DE136F1">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时，应当提交投诉书，并按照被投诉人以及与投诉事项有关的供应商数量提供投诉书的副本。</w:t>
      </w:r>
    </w:p>
    <w:p w14:paraId="54434EFF">
      <w:pPr>
        <w:spacing w:line="400" w:lineRule="exact"/>
        <w:ind w:left="4320" w:hanging="4410" w:hangingChars="18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投诉书应当包括下列主要内容：</w:t>
      </w:r>
    </w:p>
    <w:p w14:paraId="4C8A0ABF">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投诉人和被投诉人的名称、地址、电话等；</w:t>
      </w:r>
    </w:p>
    <w:p w14:paraId="5F624F53">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具体的投诉事项及事实依据；</w:t>
      </w:r>
    </w:p>
    <w:p w14:paraId="7EDA26A2">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质疑和质疑答复情况及相关证明材料；</w:t>
      </w:r>
    </w:p>
    <w:p w14:paraId="739F3CDA">
      <w:pPr>
        <w:numPr>
          <w:ilvl w:val="0"/>
          <w:numId w:val="6"/>
        </w:numPr>
        <w:spacing w:line="400" w:lineRule="exact"/>
        <w:rPr>
          <w:rFonts w:ascii="仿宋" w:hAnsi="仿宋" w:eastAsia="仿宋" w:cs="仿宋"/>
          <w:color w:val="auto"/>
          <w:highlight w:val="none"/>
        </w:rPr>
      </w:pPr>
      <w:r>
        <w:rPr>
          <w:rFonts w:hint="eastAsia" w:ascii="仿宋" w:hAnsi="仿宋" w:eastAsia="仿宋" w:cs="仿宋"/>
          <w:color w:val="auto"/>
          <w:highlight w:val="none"/>
        </w:rPr>
        <w:t>提起投诉的日期。</w:t>
      </w:r>
    </w:p>
    <w:p w14:paraId="7E5F4820">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投诉书应当署名。投诉人为自然人，应当由本人签章；投诉人为法人或者其他组织的，应当由法定代表人或者主要负责人签章并加盖公章。</w:t>
      </w:r>
    </w:p>
    <w:p w14:paraId="50E1E74F">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14AFD3C4">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《政府采购供应商投诉处理办法》第十条：投诉人提起投诉应当符合下列条件：</w:t>
      </w:r>
    </w:p>
    <w:p w14:paraId="4ECD3C70">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投诉人是参与所投诉政府采购活动的供应商；</w:t>
      </w:r>
    </w:p>
    <w:p w14:paraId="34603C89">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提起投诉诉前已依法进行质疑；</w:t>
      </w:r>
    </w:p>
    <w:p w14:paraId="53C56003">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投诉书内容符合本办法的规定；</w:t>
      </w:r>
    </w:p>
    <w:p w14:paraId="39220B50">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在投诉有效期内提起投诉；</w:t>
      </w:r>
    </w:p>
    <w:p w14:paraId="2D960997">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属于本级财政部门管辖；</w:t>
      </w:r>
    </w:p>
    <w:p w14:paraId="14D66A83">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同一投诉事项未经财政部门投诉处理；</w:t>
      </w:r>
    </w:p>
    <w:p w14:paraId="479F6472">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国务院财政部门规定的其他条件。</w:t>
      </w:r>
    </w:p>
    <w:p w14:paraId="575DDB4F">
      <w:pPr>
        <w:spacing w:line="400" w:lineRule="exact"/>
        <w:ind w:left="4320" w:hanging="4410" w:hangingChars="18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63F5672A">
      <w:pPr>
        <w:outlineLvl w:val="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b/>
          <w:bCs/>
          <w:color w:val="auto"/>
          <w:highlight w:val="none"/>
          <w:lang w:eastAsia="zh-CN"/>
        </w:rPr>
        <w:t xml:space="preserve">   </w:t>
      </w:r>
      <w:bookmarkStart w:id="14" w:name="_Toc5978"/>
      <w:r>
        <w:rPr>
          <w:rFonts w:hint="eastAsia" w:ascii="仿宋" w:hAnsi="仿宋" w:eastAsia="仿宋" w:cs="仿宋"/>
          <w:b/>
          <w:bCs/>
          <w:color w:val="auto"/>
          <w:highlight w:val="none"/>
          <w:lang w:eastAsia="zh-CN"/>
        </w:rPr>
        <w:t>三、虚假、恶意投诉法律责任</w:t>
      </w:r>
      <w:bookmarkEnd w:id="14"/>
    </w:p>
    <w:p w14:paraId="221BCD3C">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第七十三条：供应商捏造实施、提供虚假材料或者以非法手段取得证明材料进行投诉的，由财政部门列入不良行为记录名单，禁止其1至3年内参加政府采购活动。</w:t>
      </w:r>
    </w:p>
    <w:p w14:paraId="31A3A093">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《政府采购供应商投诉处理办法》第二十六条：投诉人有下列情形之一的，属于虚假、恶意投诉，财政部门应当驳回投诉，将其列入不良行为记录名单，并依法予以处罚：</w:t>
      </w:r>
    </w:p>
    <w:p w14:paraId="16E08915">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（一）1年内3次以上投诉均查无实据的；</w:t>
      </w:r>
    </w:p>
    <w:p w14:paraId="624F69AB">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（二）捏造事实或者提供虚假投诉材料的。</w:t>
      </w:r>
    </w:p>
    <w:p w14:paraId="5180C31D">
      <w:pPr>
        <w:spacing w:line="400" w:lineRule="exact"/>
        <w:rPr>
          <w:rFonts w:ascii="仿宋" w:hAnsi="仿宋" w:eastAsia="仿宋" w:cs="仿宋"/>
          <w:color w:val="auto"/>
          <w:sz w:val="21"/>
          <w:szCs w:val="21"/>
          <w:highlight w:val="none"/>
          <w:lang w:eastAsia="zh-CN"/>
        </w:rPr>
      </w:pPr>
    </w:p>
    <w:p w14:paraId="158D4E04">
      <w:pPr>
        <w:spacing w:line="400" w:lineRule="exact"/>
        <w:rPr>
          <w:rFonts w:ascii="仿宋" w:hAnsi="仿宋" w:eastAsia="仿宋" w:cs="仿宋"/>
          <w:color w:val="auto"/>
          <w:sz w:val="21"/>
          <w:szCs w:val="21"/>
          <w:highlight w:val="none"/>
          <w:lang w:eastAsia="zh-CN"/>
        </w:rPr>
      </w:pPr>
    </w:p>
    <w:p w14:paraId="69957416">
      <w:pPr>
        <w:ind w:firstLine="735" w:firstLineChars="300"/>
        <w:jc w:val="both"/>
        <w:rPr>
          <w:rFonts w:ascii="仿宋" w:hAnsi="仿宋" w:eastAsia="仿宋" w:cs="仿宋"/>
          <w:color w:val="auto"/>
          <w:highlight w:val="none"/>
          <w:lang w:eastAsia="zh-CN"/>
        </w:rPr>
      </w:pPr>
      <w:r>
        <w:rPr>
          <w:rFonts w:hint="eastAsia" w:ascii="仿宋" w:hAnsi="仿宋" w:eastAsia="仿宋" w:cs="仿宋"/>
          <w:color w:val="auto"/>
          <w:highlight w:val="none"/>
          <w:lang w:eastAsia="zh-CN"/>
        </w:rPr>
        <w:t>递交投诉书地址：克州财政局政府采购服务中心</w:t>
      </w:r>
    </w:p>
    <w:p w14:paraId="5709735E">
      <w:pPr>
        <w:jc w:val="right"/>
        <w:rPr>
          <w:rFonts w:ascii="仿宋" w:hAnsi="仿宋" w:eastAsia="仿宋" w:cs="仿宋"/>
          <w:color w:val="auto"/>
          <w:sz w:val="32"/>
          <w:szCs w:val="32"/>
          <w:highlight w:val="none"/>
          <w:lang w:eastAsia="zh-CN"/>
        </w:rPr>
      </w:pPr>
    </w:p>
    <w:p w14:paraId="19B5537C">
      <w:pPr>
        <w:spacing w:line="540" w:lineRule="exact"/>
        <w:jc w:val="center"/>
        <w:rPr>
          <w:rFonts w:ascii="仿宋" w:hAnsi="仿宋" w:eastAsia="仿宋" w:cs="仿宋"/>
          <w:b/>
          <w:bCs/>
          <w:color w:val="auto"/>
          <w:sz w:val="44"/>
          <w:szCs w:val="44"/>
          <w:highlight w:val="none"/>
          <w:lang w:eastAsia="zh-CN"/>
        </w:rPr>
      </w:pPr>
    </w:p>
    <w:p w14:paraId="3762265C">
      <w:pPr>
        <w:spacing w:line="540" w:lineRule="exact"/>
        <w:jc w:val="center"/>
        <w:rPr>
          <w:rFonts w:ascii="仿宋" w:hAnsi="仿宋" w:eastAsia="仿宋" w:cs="仿宋"/>
          <w:b/>
          <w:bCs/>
          <w:color w:val="auto"/>
          <w:sz w:val="44"/>
          <w:szCs w:val="44"/>
          <w:highlight w:val="none"/>
          <w:lang w:eastAsia="zh-CN"/>
        </w:rPr>
      </w:pPr>
    </w:p>
    <w:p w14:paraId="7F5289BB">
      <w:pPr>
        <w:spacing w:line="540" w:lineRule="exact"/>
        <w:jc w:val="center"/>
        <w:rPr>
          <w:rFonts w:ascii="仿宋" w:hAnsi="仿宋" w:eastAsia="仿宋" w:cs="仿宋"/>
          <w:b/>
          <w:bCs/>
          <w:color w:val="auto"/>
          <w:sz w:val="44"/>
          <w:szCs w:val="44"/>
          <w:highlight w:val="none"/>
          <w:lang w:eastAsia="zh-CN"/>
        </w:rPr>
      </w:pPr>
    </w:p>
    <w:p w14:paraId="6D10201F">
      <w:pPr>
        <w:spacing w:line="540" w:lineRule="exact"/>
        <w:jc w:val="center"/>
        <w:rPr>
          <w:rFonts w:ascii="仿宋" w:hAnsi="仿宋" w:eastAsia="仿宋" w:cs="仿宋"/>
          <w:b/>
          <w:bCs/>
          <w:color w:val="auto"/>
          <w:sz w:val="44"/>
          <w:szCs w:val="44"/>
          <w:highlight w:val="none"/>
          <w:lang w:eastAsia="zh-CN"/>
        </w:rPr>
      </w:pPr>
    </w:p>
    <w:p w14:paraId="12494B10">
      <w:pPr>
        <w:spacing w:line="540" w:lineRule="exact"/>
        <w:jc w:val="center"/>
        <w:rPr>
          <w:rFonts w:ascii="仿宋" w:hAnsi="仿宋" w:eastAsia="仿宋" w:cs="仿宋"/>
          <w:b/>
          <w:bCs/>
          <w:color w:val="auto"/>
          <w:sz w:val="44"/>
          <w:szCs w:val="44"/>
          <w:highlight w:val="none"/>
          <w:lang w:eastAsia="zh-CN"/>
        </w:rPr>
      </w:pPr>
    </w:p>
    <w:p w14:paraId="1EBA72E2">
      <w:pPr>
        <w:spacing w:line="540" w:lineRule="exact"/>
        <w:jc w:val="center"/>
        <w:rPr>
          <w:rFonts w:ascii="仿宋" w:hAnsi="仿宋" w:eastAsia="仿宋" w:cs="仿宋"/>
          <w:b/>
          <w:bCs/>
          <w:color w:val="auto"/>
          <w:sz w:val="44"/>
          <w:szCs w:val="44"/>
          <w:highlight w:val="none"/>
          <w:lang w:eastAsia="zh-CN"/>
        </w:rPr>
      </w:pPr>
    </w:p>
    <w:p w14:paraId="44B9767D">
      <w:pPr>
        <w:spacing w:line="540" w:lineRule="exact"/>
        <w:jc w:val="center"/>
        <w:rPr>
          <w:rFonts w:ascii="仿宋" w:hAnsi="仿宋" w:eastAsia="仿宋" w:cs="仿宋"/>
          <w:b/>
          <w:bCs/>
          <w:color w:val="auto"/>
          <w:sz w:val="44"/>
          <w:szCs w:val="44"/>
          <w:highlight w:val="none"/>
          <w:lang w:eastAsia="zh-CN"/>
        </w:rPr>
      </w:pPr>
    </w:p>
    <w:p w14:paraId="4B883FF8">
      <w:pPr>
        <w:spacing w:line="540" w:lineRule="exact"/>
        <w:jc w:val="center"/>
        <w:outlineLvl w:val="0"/>
        <w:rPr>
          <w:rFonts w:hint="eastAsia" w:ascii="仿宋" w:hAnsi="仿宋" w:eastAsia="仿宋" w:cs="仿宋"/>
          <w:b/>
          <w:bCs/>
          <w:color w:val="auto"/>
          <w:sz w:val="32"/>
          <w:szCs w:val="32"/>
          <w:highlight w:val="none"/>
          <w:lang w:eastAsia="zh-CN"/>
        </w:rPr>
      </w:pPr>
      <w:bookmarkStart w:id="15" w:name="_Toc1697"/>
    </w:p>
    <w:p w14:paraId="25F0CA6B">
      <w:pPr>
        <w:spacing w:line="540" w:lineRule="exact"/>
        <w:jc w:val="center"/>
        <w:outlineLvl w:val="0"/>
        <w:rPr>
          <w:rFonts w:hint="eastAsia" w:ascii="仿宋" w:hAnsi="仿宋" w:eastAsia="仿宋" w:cs="仿宋"/>
          <w:b/>
          <w:bCs/>
          <w:color w:val="auto"/>
          <w:sz w:val="32"/>
          <w:szCs w:val="32"/>
          <w:highlight w:val="none"/>
          <w:lang w:eastAsia="zh-CN"/>
        </w:rPr>
      </w:pPr>
    </w:p>
    <w:p w14:paraId="370CF678">
      <w:pPr>
        <w:spacing w:line="540" w:lineRule="exact"/>
        <w:jc w:val="center"/>
        <w:outlineLvl w:val="0"/>
        <w:rPr>
          <w:rFonts w:hint="eastAsia" w:ascii="仿宋" w:hAnsi="仿宋" w:eastAsia="仿宋" w:cs="仿宋"/>
          <w:b/>
          <w:bCs/>
          <w:color w:val="auto"/>
          <w:sz w:val="32"/>
          <w:szCs w:val="32"/>
          <w:highlight w:val="none"/>
          <w:lang w:eastAsia="zh-CN"/>
        </w:rPr>
      </w:pPr>
    </w:p>
    <w:p w14:paraId="7899A411">
      <w:pPr>
        <w:spacing w:line="540" w:lineRule="exact"/>
        <w:jc w:val="center"/>
        <w:outlineLvl w:val="0"/>
        <w:rPr>
          <w:rFonts w:hint="eastAsia" w:ascii="仿宋" w:hAnsi="仿宋" w:eastAsia="仿宋" w:cs="仿宋"/>
          <w:b/>
          <w:bCs/>
          <w:color w:val="auto"/>
          <w:sz w:val="32"/>
          <w:szCs w:val="32"/>
          <w:highlight w:val="none"/>
          <w:lang w:eastAsia="zh-CN"/>
        </w:rPr>
      </w:pPr>
    </w:p>
    <w:p w14:paraId="6F8B1626">
      <w:pPr>
        <w:spacing w:line="540" w:lineRule="exact"/>
        <w:jc w:val="center"/>
        <w:outlineLvl w:val="0"/>
        <w:rPr>
          <w:rFonts w:hint="eastAsia" w:ascii="仿宋" w:hAnsi="仿宋" w:eastAsia="仿宋" w:cs="仿宋"/>
          <w:b/>
          <w:bCs/>
          <w:color w:val="auto"/>
          <w:sz w:val="32"/>
          <w:szCs w:val="32"/>
          <w:highlight w:val="none"/>
          <w:lang w:eastAsia="zh-CN"/>
        </w:rPr>
      </w:pPr>
    </w:p>
    <w:p w14:paraId="61EF65D5">
      <w:pPr>
        <w:spacing w:line="540" w:lineRule="exact"/>
        <w:jc w:val="center"/>
        <w:outlineLvl w:val="0"/>
        <w:rPr>
          <w:rFonts w:hint="eastAsia" w:ascii="仿宋" w:hAnsi="仿宋" w:eastAsia="仿宋" w:cs="仿宋"/>
          <w:b/>
          <w:bCs/>
          <w:color w:val="auto"/>
          <w:sz w:val="32"/>
          <w:szCs w:val="32"/>
          <w:highlight w:val="none"/>
          <w:lang w:eastAsia="zh-CN"/>
        </w:rPr>
      </w:pPr>
    </w:p>
    <w:p w14:paraId="5431C118">
      <w:pPr>
        <w:spacing w:line="540" w:lineRule="exact"/>
        <w:jc w:val="center"/>
        <w:outlineLvl w:val="0"/>
        <w:rPr>
          <w:rFonts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质疑函范本</w:t>
      </w:r>
      <w:bookmarkEnd w:id="15"/>
    </w:p>
    <w:p w14:paraId="1004267E">
      <w:pPr>
        <w:adjustRightInd w:val="0"/>
        <w:snapToGrid w:val="0"/>
        <w:spacing w:beforeLines="100" w:line="540" w:lineRule="exact"/>
        <w:ind w:firstLine="490" w:firstLineChars="200"/>
        <w:outlineLvl w:val="0"/>
        <w:rPr>
          <w:rFonts w:ascii="仿宋" w:hAnsi="仿宋" w:eastAsia="仿宋" w:cs="仿宋"/>
          <w:bCs/>
          <w:color w:val="auto"/>
          <w:highlight w:val="none"/>
          <w:lang w:eastAsia="zh-CN"/>
        </w:rPr>
      </w:pPr>
      <w:bookmarkStart w:id="16" w:name="_Toc9061"/>
      <w:r>
        <w:rPr>
          <w:rFonts w:hint="eastAsia" w:ascii="仿宋" w:hAnsi="仿宋" w:eastAsia="仿宋" w:cs="仿宋"/>
          <w:bCs/>
          <w:color w:val="auto"/>
          <w:highlight w:val="none"/>
          <w:lang w:eastAsia="zh-CN"/>
        </w:rPr>
        <w:t>一、质疑供应商基本信息</w:t>
      </w:r>
      <w:bookmarkEnd w:id="16"/>
    </w:p>
    <w:p w14:paraId="48C879FF">
      <w:pPr>
        <w:adjustRightInd w:val="0"/>
        <w:snapToGrid w:val="0"/>
        <w:spacing w:line="540" w:lineRule="exact"/>
        <w:ind w:firstLine="49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质疑供应商：</w:t>
      </w:r>
      <w:r>
        <w:rPr>
          <w:rFonts w:hint="eastAsia" w:ascii="仿宋" w:hAnsi="仿宋" w:eastAsia="仿宋" w:cs="仿宋"/>
          <w:color w:val="auto"/>
          <w:highlight w:val="none"/>
          <w:u w:val="dotted"/>
          <w:lang w:eastAsia="zh-CN"/>
        </w:rPr>
        <w:t xml:space="preserve">                         </w:t>
      </w:r>
    </w:p>
    <w:p w14:paraId="4E3204E1">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14:paraId="6A9F6342">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联系人：</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14:paraId="71801E91">
      <w:pPr>
        <w:adjustRightInd w:val="0"/>
        <w:snapToGrid w:val="0"/>
        <w:spacing w:line="540" w:lineRule="exact"/>
        <w:ind w:firstLine="49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授权代表：</w:t>
      </w:r>
      <w:r>
        <w:rPr>
          <w:rFonts w:hint="eastAsia" w:ascii="仿宋" w:hAnsi="仿宋" w:eastAsia="仿宋" w:cs="仿宋"/>
          <w:color w:val="auto"/>
          <w:highlight w:val="none"/>
          <w:u w:val="dotted"/>
          <w:lang w:eastAsia="zh-CN"/>
        </w:rPr>
        <w:t xml:space="preserve">                                          </w:t>
      </w:r>
    </w:p>
    <w:p w14:paraId="58844042">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14:paraId="588FEA2D">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地址： </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14:paraId="5A8B2FB0">
      <w:pPr>
        <w:adjustRightInd w:val="0"/>
        <w:snapToGrid w:val="0"/>
        <w:spacing w:line="540" w:lineRule="exact"/>
        <w:ind w:firstLine="490" w:firstLineChars="200"/>
        <w:outlineLvl w:val="0"/>
        <w:rPr>
          <w:rFonts w:ascii="仿宋" w:hAnsi="仿宋" w:eastAsia="仿宋" w:cs="仿宋"/>
          <w:bCs/>
          <w:color w:val="auto"/>
          <w:highlight w:val="none"/>
          <w:lang w:eastAsia="zh-CN"/>
        </w:rPr>
      </w:pPr>
      <w:bookmarkStart w:id="17" w:name="_Toc15938"/>
      <w:r>
        <w:rPr>
          <w:rFonts w:hint="eastAsia" w:ascii="仿宋" w:hAnsi="仿宋" w:eastAsia="仿宋" w:cs="仿宋"/>
          <w:bCs/>
          <w:color w:val="auto"/>
          <w:highlight w:val="none"/>
          <w:lang w:eastAsia="zh-CN"/>
        </w:rPr>
        <w:t>二、质疑项目基本情况</w:t>
      </w:r>
      <w:bookmarkEnd w:id="17"/>
    </w:p>
    <w:p w14:paraId="2975DC34">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质疑项目的名称：</w:t>
      </w:r>
      <w:r>
        <w:rPr>
          <w:rFonts w:hint="eastAsia" w:ascii="仿宋" w:hAnsi="仿宋" w:eastAsia="仿宋" w:cs="仿宋"/>
          <w:color w:val="auto"/>
          <w:highlight w:val="none"/>
          <w:u w:val="dotted"/>
          <w:lang w:eastAsia="zh-CN"/>
        </w:rPr>
        <w:t xml:space="preserve">                                     </w:t>
      </w:r>
    </w:p>
    <w:p w14:paraId="032FCB1A">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质疑项目的编号：</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包号：</w:t>
      </w:r>
      <w:r>
        <w:rPr>
          <w:rFonts w:hint="eastAsia" w:ascii="仿宋" w:hAnsi="仿宋" w:eastAsia="仿宋" w:cs="仿宋"/>
          <w:color w:val="auto"/>
          <w:highlight w:val="none"/>
          <w:u w:val="dotted"/>
          <w:lang w:eastAsia="zh-CN"/>
        </w:rPr>
        <w:t xml:space="preserve">                </w:t>
      </w:r>
    </w:p>
    <w:p w14:paraId="648B1359">
      <w:pPr>
        <w:adjustRightInd w:val="0"/>
        <w:snapToGrid w:val="0"/>
        <w:spacing w:line="540" w:lineRule="exact"/>
        <w:ind w:firstLine="49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采购人名称：</w:t>
      </w:r>
      <w:r>
        <w:rPr>
          <w:rFonts w:hint="eastAsia" w:ascii="仿宋" w:hAnsi="仿宋" w:eastAsia="仿宋" w:cs="仿宋"/>
          <w:color w:val="auto"/>
          <w:highlight w:val="none"/>
          <w:u w:val="dotted"/>
          <w:lang w:eastAsia="zh-CN"/>
        </w:rPr>
        <w:t xml:space="preserve">                                         </w:t>
      </w:r>
    </w:p>
    <w:p w14:paraId="3550B21C">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采购文件获取日期：</w:t>
      </w:r>
      <w:r>
        <w:rPr>
          <w:rFonts w:hint="eastAsia" w:ascii="仿宋" w:hAnsi="仿宋" w:eastAsia="仿宋" w:cs="仿宋"/>
          <w:color w:val="auto"/>
          <w:highlight w:val="none"/>
          <w:u w:val="dotted"/>
          <w:lang w:eastAsia="zh-CN"/>
        </w:rPr>
        <w:t xml:space="preserve">                                   </w:t>
      </w:r>
    </w:p>
    <w:p w14:paraId="17E8B94B">
      <w:pPr>
        <w:adjustRightInd w:val="0"/>
        <w:snapToGrid w:val="0"/>
        <w:spacing w:line="540" w:lineRule="exact"/>
        <w:ind w:firstLine="490" w:firstLineChars="200"/>
        <w:outlineLvl w:val="0"/>
        <w:rPr>
          <w:rFonts w:ascii="仿宋" w:hAnsi="仿宋" w:eastAsia="仿宋" w:cs="仿宋"/>
          <w:bCs/>
          <w:color w:val="auto"/>
          <w:highlight w:val="none"/>
          <w:lang w:eastAsia="zh-CN"/>
        </w:rPr>
      </w:pPr>
      <w:bookmarkStart w:id="18" w:name="_Toc18271"/>
      <w:r>
        <w:rPr>
          <w:rFonts w:hint="eastAsia" w:ascii="仿宋" w:hAnsi="仿宋" w:eastAsia="仿宋" w:cs="仿宋"/>
          <w:bCs/>
          <w:color w:val="auto"/>
          <w:highlight w:val="none"/>
          <w:lang w:eastAsia="zh-CN"/>
        </w:rPr>
        <w:t>三、质疑事项具体内容</w:t>
      </w:r>
      <w:bookmarkEnd w:id="18"/>
    </w:p>
    <w:p w14:paraId="1CBDD487">
      <w:pPr>
        <w:adjustRightInd w:val="0"/>
        <w:snapToGrid w:val="0"/>
        <w:spacing w:line="540" w:lineRule="exact"/>
        <w:ind w:firstLine="49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质疑事项1：</w:t>
      </w:r>
      <w:r>
        <w:rPr>
          <w:rFonts w:hint="eastAsia" w:ascii="仿宋" w:hAnsi="仿宋" w:eastAsia="仿宋" w:cs="仿宋"/>
          <w:color w:val="auto"/>
          <w:highlight w:val="none"/>
          <w:u w:val="dotted"/>
          <w:lang w:eastAsia="zh-CN"/>
        </w:rPr>
        <w:t xml:space="preserve">                                         </w:t>
      </w:r>
    </w:p>
    <w:p w14:paraId="3ED2FCFC">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事实依据：</w:t>
      </w:r>
      <w:r>
        <w:rPr>
          <w:rFonts w:hint="eastAsia" w:ascii="仿宋" w:hAnsi="仿宋" w:eastAsia="仿宋" w:cs="仿宋"/>
          <w:color w:val="auto"/>
          <w:highlight w:val="none"/>
          <w:u w:val="dotted"/>
          <w:lang w:eastAsia="zh-CN"/>
        </w:rPr>
        <w:t xml:space="preserve">                                           </w:t>
      </w:r>
    </w:p>
    <w:p w14:paraId="1EC35DA6">
      <w:pPr>
        <w:adjustRightInd w:val="0"/>
        <w:snapToGrid w:val="0"/>
        <w:spacing w:line="540" w:lineRule="exact"/>
        <w:ind w:firstLine="49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法律依据：</w:t>
      </w:r>
      <w:r>
        <w:rPr>
          <w:rFonts w:hint="eastAsia" w:ascii="仿宋" w:hAnsi="仿宋" w:eastAsia="仿宋" w:cs="仿宋"/>
          <w:color w:val="auto"/>
          <w:highlight w:val="none"/>
          <w:u w:val="dotted"/>
          <w:lang w:eastAsia="zh-CN"/>
        </w:rPr>
        <w:t xml:space="preserve">                                           </w:t>
      </w:r>
    </w:p>
    <w:p w14:paraId="123403E4">
      <w:pPr>
        <w:adjustRightInd w:val="0"/>
        <w:snapToGrid w:val="0"/>
        <w:spacing w:line="540" w:lineRule="exact"/>
        <w:ind w:firstLine="49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质疑事项2</w:t>
      </w:r>
    </w:p>
    <w:p w14:paraId="1DABE38D">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p>
    <w:p w14:paraId="21E12498">
      <w:pPr>
        <w:adjustRightInd w:val="0"/>
        <w:snapToGrid w:val="0"/>
        <w:spacing w:line="540" w:lineRule="exact"/>
        <w:ind w:firstLine="490" w:firstLineChars="200"/>
        <w:outlineLvl w:val="0"/>
        <w:rPr>
          <w:rFonts w:ascii="仿宋" w:hAnsi="仿宋" w:eastAsia="仿宋" w:cs="仿宋"/>
          <w:bCs/>
          <w:color w:val="auto"/>
          <w:highlight w:val="none"/>
          <w:lang w:eastAsia="zh-CN"/>
        </w:rPr>
      </w:pPr>
      <w:bookmarkStart w:id="19" w:name="_Toc22365"/>
      <w:r>
        <w:rPr>
          <w:rFonts w:hint="eastAsia" w:ascii="仿宋" w:hAnsi="仿宋" w:eastAsia="仿宋" w:cs="仿宋"/>
          <w:bCs/>
          <w:color w:val="auto"/>
          <w:highlight w:val="none"/>
          <w:lang w:eastAsia="zh-CN"/>
        </w:rPr>
        <w:t>四、与质疑事项相关的质疑请求</w:t>
      </w:r>
      <w:bookmarkEnd w:id="19"/>
    </w:p>
    <w:p w14:paraId="72AC0C83">
      <w:pPr>
        <w:adjustRightInd w:val="0"/>
        <w:snapToGrid w:val="0"/>
        <w:spacing w:line="540" w:lineRule="exact"/>
        <w:ind w:firstLine="49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请求：</w:t>
      </w:r>
      <w:r>
        <w:rPr>
          <w:rFonts w:hint="eastAsia" w:ascii="仿宋" w:hAnsi="仿宋" w:eastAsia="仿宋" w:cs="仿宋"/>
          <w:color w:val="auto"/>
          <w:highlight w:val="none"/>
          <w:u w:val="dotted"/>
          <w:lang w:eastAsia="zh-CN"/>
        </w:rPr>
        <w:t xml:space="preserve">                                               </w:t>
      </w:r>
    </w:p>
    <w:p w14:paraId="5472B3C5">
      <w:pPr>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签章(签章)：                   公章：                      </w:t>
      </w:r>
    </w:p>
    <w:p w14:paraId="7081C213">
      <w:pPr>
        <w:spacing w:line="540" w:lineRule="exact"/>
        <w:ind w:firstLine="490" w:firstLineChars="200"/>
        <w:rPr>
          <w:rFonts w:ascii="仿宋" w:hAnsi="仿宋" w:eastAsia="仿宋" w:cs="仿宋"/>
          <w:b/>
          <w:bCs/>
          <w:color w:val="auto"/>
          <w:highlight w:val="none"/>
          <w:lang w:eastAsia="zh-CN"/>
        </w:rPr>
      </w:pPr>
      <w:r>
        <w:rPr>
          <w:rFonts w:hint="eastAsia" w:ascii="仿宋" w:hAnsi="仿宋" w:eastAsia="仿宋" w:cs="仿宋"/>
          <w:color w:val="auto"/>
          <w:highlight w:val="none"/>
          <w:lang w:eastAsia="zh-CN"/>
        </w:rPr>
        <w:t xml:space="preserve">日期：    </w:t>
      </w:r>
    </w:p>
    <w:p w14:paraId="493AEE77">
      <w:pPr>
        <w:pStyle w:val="3"/>
        <w:keepNext w:val="0"/>
        <w:keepLines w:val="0"/>
        <w:pageBreakBefore w:val="0"/>
        <w:widowControl w:val="0"/>
        <w:kinsoku/>
        <w:wordWrap/>
        <w:overflowPunct/>
        <w:topLinePunct w:val="0"/>
        <w:autoSpaceDE/>
        <w:autoSpaceDN/>
        <w:bidi w:val="0"/>
        <w:spacing w:line="336" w:lineRule="auto"/>
        <w:textAlignment w:val="auto"/>
        <w:rPr>
          <w:rFonts w:ascii="仿宋" w:hAnsi="仿宋" w:eastAsia="仿宋" w:cs="仿宋"/>
          <w:color w:val="auto"/>
          <w:sz w:val="28"/>
          <w:szCs w:val="28"/>
        </w:rPr>
      </w:pPr>
    </w:p>
    <w:p w14:paraId="11DE94A9">
      <w:pPr>
        <w:pageBreakBefore/>
        <w:spacing w:line="440" w:lineRule="exact"/>
        <w:jc w:val="center"/>
        <w:outlineLvl w:val="0"/>
        <w:rPr>
          <w:rFonts w:hint="eastAsia" w:ascii="仿宋" w:hAnsi="仿宋" w:eastAsia="仿宋" w:cs="仿宋"/>
          <w:b/>
          <w:bCs/>
          <w:color w:val="auto"/>
          <w:highlight w:val="none"/>
          <w:lang w:val="en-US" w:eastAsia="zh-CN"/>
        </w:rPr>
      </w:pPr>
      <w:r>
        <w:rPr>
          <w:rFonts w:hint="eastAsia" w:ascii="仿宋" w:hAnsi="仿宋" w:eastAsia="仿宋" w:cs="仿宋"/>
          <w:b/>
          <w:color w:val="auto"/>
          <w:sz w:val="32"/>
          <w:szCs w:val="32"/>
          <w:lang w:eastAsia="zh-CN"/>
        </w:rPr>
        <w:t>第三部分</w:t>
      </w:r>
      <w:r>
        <w:rPr>
          <w:rFonts w:hint="eastAsia" w:ascii="仿宋" w:hAnsi="仿宋" w:eastAsia="仿宋" w:cs="仿宋"/>
          <w:b/>
          <w:bCs w:val="0"/>
          <w:color w:val="auto"/>
          <w:sz w:val="36"/>
          <w:szCs w:val="36"/>
          <w:highlight w:val="none"/>
          <w:lang w:eastAsia="zh-CN"/>
        </w:rPr>
        <w:t xml:space="preserve"> 技术规格、数量及质量要求</w:t>
      </w:r>
      <w:bookmarkStart w:id="20" w:name="_Toc267320052"/>
      <w:bookmarkStart w:id="21" w:name="_Toc340225294"/>
    </w:p>
    <w:p w14:paraId="66069701">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一、技术要求：</w:t>
      </w:r>
    </w:p>
    <w:tbl>
      <w:tblPr>
        <w:tblStyle w:val="21"/>
        <w:tblpPr w:leftFromText="180" w:rightFromText="180" w:vertAnchor="text" w:horzAnchor="page" w:tblpX="542" w:tblpY="451"/>
        <w:tblOverlap w:val="never"/>
        <w:tblW w:w="5274" w:type="pct"/>
        <w:tblInd w:w="0" w:type="dxa"/>
        <w:tblLayout w:type="fixed"/>
        <w:tblCellMar>
          <w:top w:w="0" w:type="dxa"/>
          <w:left w:w="108" w:type="dxa"/>
          <w:bottom w:w="0" w:type="dxa"/>
          <w:right w:w="108" w:type="dxa"/>
        </w:tblCellMar>
      </w:tblPr>
      <w:tblGrid>
        <w:gridCol w:w="864"/>
        <w:gridCol w:w="1612"/>
        <w:gridCol w:w="5121"/>
        <w:gridCol w:w="750"/>
        <w:gridCol w:w="855"/>
        <w:gridCol w:w="1305"/>
      </w:tblGrid>
      <w:tr w14:paraId="5560C7CE">
        <w:tblPrEx>
          <w:tblCellMar>
            <w:top w:w="0" w:type="dxa"/>
            <w:left w:w="108" w:type="dxa"/>
            <w:bottom w:w="0" w:type="dxa"/>
            <w:right w:w="108" w:type="dxa"/>
          </w:tblCellMar>
        </w:tblPrEx>
        <w:trPr>
          <w:trHeight w:val="928" w:hRule="atLeast"/>
        </w:trPr>
        <w:tc>
          <w:tcPr>
            <w:tcW w:w="411" w:type="pct"/>
            <w:tcBorders>
              <w:top w:val="single" w:color="000000" w:sz="4" w:space="0"/>
              <w:left w:val="single" w:color="000000" w:sz="4" w:space="0"/>
              <w:bottom w:val="single" w:color="000000" w:sz="4" w:space="0"/>
              <w:right w:val="single" w:color="000000" w:sz="4" w:space="0"/>
            </w:tcBorders>
            <w:noWrap w:val="0"/>
            <w:vAlign w:val="center"/>
          </w:tcPr>
          <w:p w14:paraId="1880DF32">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eastAsia="en-US" w:bidi="en-US"/>
              </w:rPr>
            </w:pPr>
            <w:bookmarkStart w:id="22" w:name="OLE_LINK4"/>
            <w:r>
              <w:rPr>
                <w:rFonts w:hint="eastAsia" w:ascii="仿宋" w:hAnsi="仿宋" w:eastAsia="仿宋" w:cs="仿宋"/>
                <w:color w:val="auto"/>
                <w:kern w:val="0"/>
                <w:sz w:val="24"/>
                <w:szCs w:val="24"/>
                <w:highlight w:val="none"/>
                <w:lang w:eastAsia="zh-CN" w:bidi="ar"/>
              </w:rPr>
              <w:t>序号</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4D32818D">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eastAsia="en-US" w:bidi="en-US"/>
              </w:rPr>
            </w:pPr>
            <w:r>
              <w:rPr>
                <w:rFonts w:hint="eastAsia" w:ascii="仿宋" w:hAnsi="仿宋" w:eastAsia="仿宋" w:cs="仿宋"/>
                <w:color w:val="auto"/>
                <w:kern w:val="0"/>
                <w:sz w:val="24"/>
                <w:szCs w:val="24"/>
                <w:highlight w:val="none"/>
                <w:lang w:eastAsia="zh-CN" w:bidi="ar"/>
              </w:rPr>
              <w:t>设备名称</w:t>
            </w:r>
          </w:p>
        </w:tc>
        <w:tc>
          <w:tcPr>
            <w:tcW w:w="2436" w:type="pct"/>
            <w:tcBorders>
              <w:top w:val="single" w:color="000000" w:sz="4" w:space="0"/>
              <w:left w:val="single" w:color="000000" w:sz="4" w:space="0"/>
              <w:bottom w:val="single" w:color="000000" w:sz="4" w:space="0"/>
              <w:right w:val="single" w:color="000000" w:sz="4" w:space="0"/>
            </w:tcBorders>
            <w:noWrap w:val="0"/>
            <w:vAlign w:val="center"/>
          </w:tcPr>
          <w:p w14:paraId="0A2EE17F">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eastAsia="en-US" w:bidi="en-US"/>
              </w:rPr>
            </w:pPr>
            <w:r>
              <w:rPr>
                <w:rFonts w:hint="eastAsia" w:ascii="仿宋" w:hAnsi="仿宋" w:eastAsia="仿宋" w:cs="仿宋"/>
                <w:color w:val="auto"/>
                <w:kern w:val="0"/>
                <w:sz w:val="24"/>
                <w:szCs w:val="24"/>
                <w:highlight w:val="none"/>
                <w:lang w:eastAsia="zh-CN" w:bidi="ar"/>
              </w:rPr>
              <w:t>技术参数与要求</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70911304">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eastAsia="en-US" w:bidi="en-US"/>
              </w:rPr>
            </w:pPr>
            <w:r>
              <w:rPr>
                <w:rFonts w:hint="eastAsia" w:ascii="仿宋" w:hAnsi="仿宋" w:eastAsia="仿宋" w:cs="仿宋"/>
                <w:color w:val="auto"/>
                <w:kern w:val="0"/>
                <w:sz w:val="24"/>
                <w:szCs w:val="24"/>
                <w:highlight w:val="none"/>
                <w:lang w:eastAsia="zh-CN" w:bidi="ar"/>
              </w:rPr>
              <w:t>数量</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4277ED83">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单位</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7504C307">
            <w:pPr>
              <w:pageBreakBefore w:val="0"/>
              <w:widowControl/>
              <w:kinsoku/>
              <w:wordWrap/>
              <w:overflowPunct/>
              <w:topLinePunct w:val="0"/>
              <w:bidi w:val="0"/>
              <w:spacing w:line="400" w:lineRule="exact"/>
              <w:ind w:left="0" w:firstLine="0"/>
              <w:jc w:val="center"/>
              <w:textAlignment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用途</w:t>
            </w:r>
          </w:p>
        </w:tc>
      </w:tr>
      <w:tr w14:paraId="6BA311A8">
        <w:tblPrEx>
          <w:tblCellMar>
            <w:top w:w="0" w:type="dxa"/>
            <w:left w:w="108" w:type="dxa"/>
            <w:bottom w:w="0" w:type="dxa"/>
            <w:right w:w="108" w:type="dxa"/>
          </w:tblCellMar>
        </w:tblPrEx>
        <w:trPr>
          <w:trHeight w:val="590" w:hRule="atLeast"/>
        </w:trPr>
        <w:tc>
          <w:tcPr>
            <w:tcW w:w="411" w:type="pct"/>
            <w:tcBorders>
              <w:top w:val="single" w:color="000000" w:sz="4" w:space="0"/>
              <w:left w:val="single" w:color="000000" w:sz="4" w:space="0"/>
              <w:bottom w:val="single" w:color="000000" w:sz="4" w:space="0"/>
              <w:right w:val="single" w:color="000000" w:sz="4" w:space="0"/>
            </w:tcBorders>
            <w:noWrap w:val="0"/>
            <w:vAlign w:val="center"/>
          </w:tcPr>
          <w:p w14:paraId="6FCAFFE9">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76CE9973">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高倍望远镜</w:t>
            </w:r>
          </w:p>
        </w:tc>
        <w:tc>
          <w:tcPr>
            <w:tcW w:w="2436" w:type="pct"/>
            <w:tcBorders>
              <w:top w:val="single" w:color="000000" w:sz="4" w:space="0"/>
              <w:left w:val="single" w:color="000000" w:sz="4" w:space="0"/>
              <w:bottom w:val="single" w:color="000000" w:sz="4" w:space="0"/>
              <w:right w:val="single" w:color="000000" w:sz="4" w:space="0"/>
            </w:tcBorders>
            <w:noWrap w:val="0"/>
            <w:vAlign w:val="center"/>
          </w:tcPr>
          <w:p w14:paraId="73DBBE8B">
            <w:pPr>
              <w:keepNext w:val="0"/>
              <w:keepLines w:val="0"/>
              <w:widowControl/>
              <w:suppressLineNumbers w:val="0"/>
              <w:jc w:val="left"/>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倍率：20-60x</w:t>
            </w:r>
          </w:p>
          <w:p w14:paraId="75923702">
            <w:pPr>
              <w:keepNext w:val="0"/>
              <w:keepLines w:val="0"/>
              <w:widowControl/>
              <w:suppressLineNumbers w:val="0"/>
              <w:jc w:val="left"/>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口径：22毫米</w:t>
            </w:r>
          </w:p>
          <w:p w14:paraId="13CD5CBB">
            <w:pPr>
              <w:keepNext w:val="0"/>
              <w:keepLines w:val="0"/>
              <w:widowControl/>
              <w:suppressLineNumbers w:val="0"/>
              <w:jc w:val="left"/>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棱镜：BAK4</w:t>
            </w:r>
          </w:p>
          <w:p w14:paraId="54A558D8">
            <w:pPr>
              <w:keepNext w:val="0"/>
              <w:keepLines w:val="0"/>
              <w:widowControl/>
              <w:suppressLineNumbers w:val="0"/>
              <w:jc w:val="left"/>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镀膜：FMC多层镀膜</w:t>
            </w:r>
          </w:p>
          <w:p w14:paraId="4BF3F96A">
            <w:pPr>
              <w:keepNext w:val="0"/>
              <w:keepLines w:val="0"/>
              <w:widowControl/>
              <w:suppressLineNumbers w:val="0"/>
              <w:jc w:val="left"/>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视野：49-96M/1000M</w:t>
            </w:r>
          </w:p>
          <w:p w14:paraId="300E759F">
            <w:pPr>
              <w:keepNext w:val="0"/>
              <w:keepLines w:val="0"/>
              <w:widowControl/>
              <w:suppressLineNumbers w:val="0"/>
              <w:jc w:val="left"/>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镜片：超低色散镜片</w:t>
            </w:r>
          </w:p>
          <w:p w14:paraId="36FFC09B">
            <w:pPr>
              <w:keepNext w:val="0"/>
              <w:keepLines w:val="0"/>
              <w:widowControl/>
              <w:suppressLineNumbers w:val="0"/>
              <w:jc w:val="left"/>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出瞳直径：5.5MM</w:t>
            </w:r>
          </w:p>
          <w:p w14:paraId="08DD9A54">
            <w:pPr>
              <w:keepNext w:val="0"/>
              <w:keepLines w:val="0"/>
              <w:widowControl/>
              <w:suppressLineNumbers w:val="0"/>
              <w:jc w:val="left"/>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出瞳距离：20MM</w:t>
            </w:r>
          </w:p>
          <w:p w14:paraId="5F1B6FB0">
            <w:pPr>
              <w:keepNext w:val="0"/>
              <w:keepLines w:val="0"/>
              <w:widowControl/>
              <w:suppressLineNumbers w:val="0"/>
              <w:jc w:val="left"/>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瞳距：56-72MM</w:t>
            </w:r>
          </w:p>
          <w:p w14:paraId="7A503805">
            <w:pPr>
              <w:keepNext w:val="0"/>
              <w:keepLines w:val="0"/>
              <w:widowControl/>
              <w:suppressLineNumbers w:val="0"/>
              <w:jc w:val="left"/>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主要材质：金属+橡胶</w:t>
            </w:r>
          </w:p>
          <w:p w14:paraId="78F9B87F">
            <w:pPr>
              <w:keepNext w:val="0"/>
              <w:keepLines w:val="0"/>
              <w:widowControl/>
              <w:suppressLineNumbers w:val="0"/>
              <w:jc w:val="left"/>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满足在地面观测100米高塔式起重机安全保护装置试验时的动作情况</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644C8BC0">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1EC9AE91">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10193DB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起重机检验中观察安全保护装置动作试验及相关标识</w:t>
            </w:r>
          </w:p>
        </w:tc>
      </w:tr>
      <w:tr w14:paraId="20FDB5D1">
        <w:tblPrEx>
          <w:tblCellMar>
            <w:top w:w="0" w:type="dxa"/>
            <w:left w:w="108" w:type="dxa"/>
            <w:bottom w:w="0" w:type="dxa"/>
            <w:right w:w="108" w:type="dxa"/>
          </w:tblCellMar>
        </w:tblPrEx>
        <w:trPr>
          <w:trHeight w:val="269" w:hRule="atLeast"/>
        </w:trPr>
        <w:tc>
          <w:tcPr>
            <w:tcW w:w="411" w:type="pct"/>
            <w:tcBorders>
              <w:top w:val="single" w:color="000000" w:sz="4" w:space="0"/>
              <w:left w:val="single" w:color="000000" w:sz="4" w:space="0"/>
              <w:bottom w:val="single" w:color="000000" w:sz="4" w:space="0"/>
              <w:right w:val="single" w:color="000000" w:sz="4" w:space="0"/>
            </w:tcBorders>
            <w:noWrap w:val="0"/>
            <w:vAlign w:val="center"/>
          </w:tcPr>
          <w:p w14:paraId="4B3AD786">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eastAsia="en-US" w:bidi="en-US"/>
              </w:rPr>
            </w:pPr>
            <w:r>
              <w:rPr>
                <w:rFonts w:hint="eastAsia" w:ascii="仿宋" w:hAnsi="仿宋" w:eastAsia="仿宋" w:cs="仿宋"/>
                <w:color w:val="auto"/>
                <w:kern w:val="0"/>
                <w:sz w:val="24"/>
                <w:szCs w:val="24"/>
                <w:highlight w:val="none"/>
                <w:lang w:val="en-US" w:eastAsia="zh-CN" w:bidi="ar"/>
              </w:rPr>
              <w:t>2</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7F66E7BA">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en-US"/>
              </w:rPr>
            </w:pPr>
            <w:r>
              <w:rPr>
                <w:rFonts w:hint="eastAsia" w:ascii="仿宋" w:hAnsi="仿宋" w:eastAsia="仿宋" w:cs="仿宋"/>
                <w:color w:val="auto"/>
                <w:kern w:val="0"/>
                <w:sz w:val="24"/>
                <w:szCs w:val="24"/>
                <w:highlight w:val="none"/>
                <w:lang w:val="en-US" w:eastAsia="zh-CN" w:bidi="en-US"/>
              </w:rPr>
              <w:t>起重机械综合性能检测仪</w:t>
            </w:r>
          </w:p>
        </w:tc>
        <w:tc>
          <w:tcPr>
            <w:tcW w:w="2436" w:type="pct"/>
            <w:tcBorders>
              <w:top w:val="single" w:color="000000" w:sz="4" w:space="0"/>
              <w:left w:val="single" w:color="000000" w:sz="4" w:space="0"/>
              <w:bottom w:val="single" w:color="000000" w:sz="4" w:space="0"/>
              <w:right w:val="single" w:color="000000" w:sz="4" w:space="0"/>
            </w:tcBorders>
            <w:noWrap w:val="0"/>
            <w:vAlign w:val="center"/>
          </w:tcPr>
          <w:p w14:paraId="065EC751">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参数情况                                   </w:t>
            </w:r>
          </w:p>
          <w:p w14:paraId="25AAFB6C">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（一）仪器概述：</w:t>
            </w:r>
          </w:p>
          <w:p w14:paraId="0CEFA0BD">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1、仪器用于测量起重机械的拱度、挠度、静刚度、回弹量、制动下滑量、塔吊垂直度、跨度等，也可用于测量距离。</w:t>
            </w:r>
          </w:p>
          <w:p w14:paraId="251FBA62">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2、适用于工业生产中用到的各种导轨规顶高差、横向偏差、轨道直线性及平顺度的测量。</w:t>
            </w:r>
          </w:p>
          <w:p w14:paraId="7BD0A56A">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（二）硬件要求：</w:t>
            </w:r>
          </w:p>
          <w:p w14:paraId="1F275DB3">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1、主机顶部圆弧设计，两侧为激光发射器支撑臂，激光发射器位于中间并可垂直方向120°旋转。</w:t>
            </w:r>
          </w:p>
          <w:p w14:paraId="224BD9C0">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2、主机壳体上带有电量显示灯，开机可以直接观察剩余电量，可根据检验任务量预估是否需要充电，防止测量过程电量不足导致测量中断。</w:t>
            </w:r>
          </w:p>
          <w:p w14:paraId="6362F7FD">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3、开机按键选用沉降式开关，主机壳体上要根据开关大小做内沉设计，防止误触流失电量。</w:t>
            </w:r>
          </w:p>
          <w:p w14:paraId="0F741499">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4、主机底部采用旋转表盘，可进行水平方向360°旋转，地盘上有水泡，可进行粗调平。</w:t>
            </w:r>
          </w:p>
          <w:p w14:paraId="56F96F6C">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5、主机、手持终端、打印机均为Type-C充电口，可以共用一个充电器。</w:t>
            </w:r>
          </w:p>
          <w:p w14:paraId="197BD659">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6、手持终端为Android操作系统，与主机和打印机之间通过蓝牙通讯，出厂自动匹配，无需检验人员重复操作。</w:t>
            </w:r>
          </w:p>
          <w:p w14:paraId="24228C8B">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7、主机壳体采用铝合金材质，表面经阳极氧化处理，防静电，防干扰，耐腐蚀。</w:t>
            </w:r>
          </w:p>
          <w:p w14:paraId="680BE881">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（三）软件要求：</w:t>
            </w:r>
          </w:p>
          <w:p w14:paraId="6AEE7FAF">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1、软件承载系统：Android系统</w:t>
            </w:r>
          </w:p>
          <w:p w14:paraId="0615BE0C">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2、软件包含打印设置，可直接选择打印机蓝牙名称连接，打印机如果损坏可直接用新的连接，无需返厂。</w:t>
            </w:r>
          </w:p>
          <w:p w14:paraId="594D63B6">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3、软件含有检查更新功能，当软件有更新时可直接点击更新，无需返厂。</w:t>
            </w:r>
          </w:p>
          <w:p w14:paraId="1080606D">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4、软件可通过产品界面直接选择仪器的设备卡片连接设备，卡片上注明设备名称、型号及功能描述。     </w:t>
            </w:r>
          </w:p>
          <w:p w14:paraId="1AD86819">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★5、测量界面实时显示当前距离值或者角度值，整个测量过程无需手动转动仪器，全部通过软件调整，避免影响精度。</w:t>
            </w:r>
          </w:p>
          <w:p w14:paraId="6A056E00">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6、测量完成后自动计算并生成结果，可在线进行多次测量，软件可自动保存并列矩阵形式的多组数据，方便现场查看每次的测量结果并进行对比以减小误差。</w:t>
            </w:r>
          </w:p>
          <w:p w14:paraId="6FCBD696">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测量完成后可直接保存结果、打印结果，并且可以直接查看建议参考值，参考值为当前检规要求的合格数值，保存的数据可以进行打印、删除、导出，导出数据默认PDF格式，可选择储存路径，导出后的文件可在联网的情况下直接分享。</w:t>
            </w:r>
          </w:p>
          <w:p w14:paraId="5ECAD9BF">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（四）技术参数：</w:t>
            </w:r>
          </w:p>
          <w:p w14:paraId="0D210AA5">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1、测量范围：0-100m</w:t>
            </w:r>
          </w:p>
          <w:p w14:paraId="6A9144D9">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★2、测量精度：±1mm</w:t>
            </w:r>
          </w:p>
          <w:p w14:paraId="77B93435">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3、测量分辨率：1mm</w:t>
            </w:r>
          </w:p>
          <w:p w14:paraId="21424727">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4、测量频率：15Hz</w:t>
            </w:r>
          </w:p>
          <w:p w14:paraId="56678229">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5、电池容量：2800mAh</w:t>
            </w:r>
          </w:p>
          <w:p w14:paraId="2F717F0C">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6、充电时间：2h</w:t>
            </w:r>
          </w:p>
          <w:p w14:paraId="749487B5">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7、续航时间：4h       </w:t>
            </w:r>
          </w:p>
          <w:p w14:paraId="378294C8">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8、仪器工作湿度：&lt;90%（RH）</w:t>
            </w:r>
          </w:p>
          <w:p w14:paraId="2ACD0DE2">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9、仪器工作温度：（-10～50）℃</w:t>
            </w:r>
          </w:p>
          <w:p w14:paraId="3B4F3764">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（五）主要配置：测量主机（光靶+光源）、手持终端、专用软件、蓝牙打印机、电源适配器、省级或省级以上法定计量检验检测机构鉴定/校准证书、合格证、保修卡、说明书、装箱单。</w:t>
            </w:r>
          </w:p>
          <w:p w14:paraId="16514D63">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（六）完全满足TSG 51-2023《起重机械安全技术规程》的有关检验要求。</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74946FF4">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en-US" w:bidi="en-US"/>
              </w:rPr>
            </w:pPr>
            <w:r>
              <w:rPr>
                <w:rFonts w:hint="eastAsia" w:ascii="仿宋" w:hAnsi="仿宋" w:eastAsia="仿宋" w:cs="仿宋"/>
                <w:i w:val="0"/>
                <w:iCs w:val="0"/>
                <w:color w:val="000000"/>
                <w:kern w:val="0"/>
                <w:sz w:val="22"/>
                <w:szCs w:val="22"/>
                <w:u w:val="none"/>
                <w:lang w:val="en-US" w:eastAsia="zh-CN" w:bidi="ar"/>
              </w:rPr>
              <w:t>台</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1E7FC6A2">
            <w:pPr>
              <w:keepNext w:val="0"/>
              <w:keepLines w:val="0"/>
              <w:widowControl/>
              <w:suppressLineNumbers w:val="0"/>
              <w:jc w:val="center"/>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i w:val="0"/>
                <w:iCs w:val="0"/>
                <w:color w:val="000000"/>
                <w:kern w:val="0"/>
                <w:sz w:val="22"/>
                <w:szCs w:val="22"/>
                <w:u w:val="none"/>
                <w:lang w:val="en-US" w:eastAsia="zh-CN" w:bidi="ar"/>
              </w:rPr>
              <w:t>1</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09F8BB9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起重机检验中检测拱度、挠度、静刚度、回弹量、制动下滑量、塔吊垂直度、跨度等</w:t>
            </w:r>
          </w:p>
        </w:tc>
      </w:tr>
      <w:tr w14:paraId="2898ABF8">
        <w:tblPrEx>
          <w:tblCellMar>
            <w:top w:w="0" w:type="dxa"/>
            <w:left w:w="108" w:type="dxa"/>
            <w:bottom w:w="0" w:type="dxa"/>
            <w:right w:w="108" w:type="dxa"/>
          </w:tblCellMar>
        </w:tblPrEx>
        <w:trPr>
          <w:trHeight w:val="898" w:hRule="atLeast"/>
        </w:trPr>
        <w:tc>
          <w:tcPr>
            <w:tcW w:w="411" w:type="pct"/>
            <w:tcBorders>
              <w:top w:val="single" w:color="000000" w:sz="4" w:space="0"/>
              <w:left w:val="single" w:color="000000" w:sz="4" w:space="0"/>
              <w:bottom w:val="single" w:color="000000" w:sz="4" w:space="0"/>
              <w:right w:val="single" w:color="000000" w:sz="4" w:space="0"/>
            </w:tcBorders>
            <w:noWrap w:val="0"/>
            <w:vAlign w:val="center"/>
          </w:tcPr>
          <w:p w14:paraId="219E0D65">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2B74CD51">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en-US"/>
              </w:rPr>
            </w:pPr>
            <w:r>
              <w:rPr>
                <w:rFonts w:hint="eastAsia" w:ascii="仿宋" w:hAnsi="仿宋" w:eastAsia="仿宋" w:cs="仿宋"/>
                <w:color w:val="auto"/>
                <w:kern w:val="0"/>
                <w:sz w:val="24"/>
                <w:szCs w:val="24"/>
                <w:highlight w:val="none"/>
                <w:lang w:val="en-US" w:eastAsia="zh-CN" w:bidi="en-US"/>
              </w:rPr>
              <w:t>场内机动车辆电池盖板间隙测量仪</w:t>
            </w:r>
          </w:p>
        </w:tc>
        <w:tc>
          <w:tcPr>
            <w:tcW w:w="2436" w:type="pct"/>
            <w:tcBorders>
              <w:top w:val="single" w:color="000000" w:sz="4" w:space="0"/>
              <w:left w:val="single" w:color="000000" w:sz="4" w:space="0"/>
              <w:bottom w:val="single" w:color="000000" w:sz="4" w:space="0"/>
              <w:right w:val="single" w:color="000000" w:sz="4" w:space="0"/>
            </w:tcBorders>
            <w:noWrap w:val="0"/>
            <w:vAlign w:val="center"/>
          </w:tcPr>
          <w:p w14:paraId="0692D513">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（一）功能要求</w:t>
            </w:r>
          </w:p>
          <w:p w14:paraId="4D5EA830">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1、采用测距传感器与反射镜全反射技术，能够在封闭空间内精确测量蓄电池极柱与金属盖板的间隙距离；</w:t>
            </w:r>
          </w:p>
          <w:p w14:paraId="31FDF2C8">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2、采用了超高精度激光传感器和先进的处理技术实现精确标定，实现对蓄电池安全间隙的精确测量；</w:t>
            </w:r>
          </w:p>
          <w:p w14:paraId="0E6EAF11">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3、测量模式：延迟时间测量；</w:t>
            </w:r>
          </w:p>
          <w:p w14:paraId="204DC397">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（二）技术参数要求</w:t>
            </w:r>
          </w:p>
          <w:p w14:paraId="5845B051">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1、高度测量范围：可覆盖（8-50）mm</w:t>
            </w:r>
          </w:p>
          <w:p w14:paraId="267498F7">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2、分辨率：≤0.1mm</w:t>
            </w:r>
          </w:p>
          <w:p w14:paraId="06B690BA">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3、精度：≤±1mm</w:t>
            </w:r>
          </w:p>
          <w:p w14:paraId="0A0B7E24">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4、测量方法：激光式</w:t>
            </w:r>
          </w:p>
          <w:p w14:paraId="4AA640D4">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5、材质：不锈钢</w:t>
            </w:r>
          </w:p>
          <w:p w14:paraId="1024144A">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6、电池容量：3.7v，不小于500mAh</w:t>
            </w:r>
          </w:p>
          <w:p w14:paraId="06015869">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7、充电接口：TYPE-C</w:t>
            </w:r>
          </w:p>
          <w:p w14:paraId="03A707E5">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8、提示功能：蜂鸣式</w:t>
            </w:r>
          </w:p>
          <w:p w14:paraId="18970CD9">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9、自有软件实现测量功能（响应时提供软件功能截图）</w:t>
            </w:r>
          </w:p>
          <w:p w14:paraId="5FDEABD2">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（三）配置要求</w:t>
            </w:r>
          </w:p>
          <w:p w14:paraId="2CA16309">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测量模块1个、操作说明1份、保修卡1份、合格证1份、省级或省级以上法定计量机构计量证书1份。</w:t>
            </w:r>
          </w:p>
          <w:p w14:paraId="17A015E0">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（四）能够满足TSG 81-2022(场（厂）内专用机动车辆安全技术规程)的有关检验要求</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301BBC8F">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7C5D280F">
            <w:pPr>
              <w:keepNext w:val="0"/>
              <w:keepLines w:val="0"/>
              <w:widowControl/>
              <w:suppressLineNumbers w:val="0"/>
              <w:jc w:val="center"/>
              <w:textAlignment w:val="center"/>
              <w:rPr>
                <w:rFonts w:hint="eastAsia" w:ascii="仿宋" w:hAnsi="仿宋" w:eastAsia="仿宋" w:cs="仿宋"/>
                <w:b w:val="0"/>
                <w:bCs w:val="0"/>
                <w:color w:val="auto"/>
                <w:kern w:val="0"/>
                <w:sz w:val="24"/>
                <w:szCs w:val="24"/>
                <w:highlight w:val="none"/>
                <w:lang w:eastAsia="zh-CN" w:bidi="ar"/>
              </w:rPr>
            </w:pPr>
            <w:r>
              <w:rPr>
                <w:rFonts w:hint="eastAsia" w:ascii="仿宋" w:hAnsi="仿宋" w:eastAsia="仿宋" w:cs="仿宋"/>
                <w:i w:val="0"/>
                <w:iCs w:val="0"/>
                <w:color w:val="000000"/>
                <w:kern w:val="0"/>
                <w:sz w:val="22"/>
                <w:szCs w:val="22"/>
                <w:u w:val="none"/>
                <w:lang w:val="en-US" w:eastAsia="zh-CN" w:bidi="ar"/>
              </w:rPr>
              <w:t>1</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5333B6D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场内机动车检验中检测电动车辆金属盖板与电瓶带电体之间的最小间隙</w:t>
            </w:r>
          </w:p>
        </w:tc>
      </w:tr>
      <w:tr w14:paraId="6000DD18">
        <w:tblPrEx>
          <w:tblCellMar>
            <w:top w:w="0" w:type="dxa"/>
            <w:left w:w="108" w:type="dxa"/>
            <w:bottom w:w="0" w:type="dxa"/>
            <w:right w:w="108" w:type="dxa"/>
          </w:tblCellMar>
        </w:tblPrEx>
        <w:trPr>
          <w:trHeight w:val="821" w:hRule="atLeast"/>
        </w:trPr>
        <w:tc>
          <w:tcPr>
            <w:tcW w:w="411" w:type="pct"/>
            <w:tcBorders>
              <w:top w:val="single" w:color="000000" w:sz="4" w:space="0"/>
              <w:left w:val="single" w:color="000000" w:sz="4" w:space="0"/>
              <w:bottom w:val="single" w:color="000000" w:sz="4" w:space="0"/>
              <w:right w:val="single" w:color="000000" w:sz="4" w:space="0"/>
            </w:tcBorders>
            <w:noWrap w:val="0"/>
            <w:vAlign w:val="center"/>
          </w:tcPr>
          <w:p w14:paraId="07A258BA">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76C7A7D0">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en-US"/>
              </w:rPr>
            </w:pPr>
            <w:r>
              <w:rPr>
                <w:rFonts w:hint="eastAsia" w:ascii="仿宋" w:hAnsi="仿宋" w:eastAsia="仿宋" w:cs="仿宋"/>
                <w:color w:val="auto"/>
                <w:kern w:val="0"/>
                <w:sz w:val="24"/>
                <w:szCs w:val="24"/>
                <w:highlight w:val="none"/>
                <w:lang w:val="en-US" w:eastAsia="zh-CN" w:bidi="en-US"/>
              </w:rPr>
              <w:t>电梯层门门锁啮合深度尺</w:t>
            </w:r>
          </w:p>
        </w:tc>
        <w:tc>
          <w:tcPr>
            <w:tcW w:w="2436" w:type="pct"/>
            <w:tcBorders>
              <w:top w:val="single" w:color="000000" w:sz="4" w:space="0"/>
              <w:left w:val="single" w:color="000000" w:sz="4" w:space="0"/>
              <w:bottom w:val="single" w:color="000000" w:sz="4" w:space="0"/>
              <w:right w:val="single" w:color="000000" w:sz="4" w:space="0"/>
            </w:tcBorders>
            <w:noWrap w:val="0"/>
            <w:vAlign w:val="center"/>
          </w:tcPr>
          <w:p w14:paraId="48FA3FEA">
            <w:pPr>
              <w:autoSpaceDE w:val="0"/>
              <w:autoSpaceDN w:val="0"/>
              <w:adjustRightInd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参数情况                                   </w:t>
            </w:r>
          </w:p>
          <w:p w14:paraId="0421C80D">
            <w:pPr>
              <w:autoSpaceDE w:val="0"/>
              <w:autoSpaceDN w:val="0"/>
              <w:adjustRightInd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（一）</w:t>
            </w:r>
            <w:r>
              <w:rPr>
                <w:rFonts w:hint="eastAsia" w:ascii="仿宋" w:hAnsi="仿宋" w:eastAsia="仿宋" w:cs="仿宋"/>
                <w:b w:val="0"/>
                <w:bCs w:val="0"/>
                <w:color w:val="auto"/>
                <w:sz w:val="24"/>
                <w:szCs w:val="24"/>
                <w:highlight w:val="none"/>
                <w:lang w:val="en-US" w:eastAsia="zh-CN"/>
              </w:rPr>
              <w:t>仪器概述</w:t>
            </w:r>
            <w:r>
              <w:rPr>
                <w:rFonts w:hint="eastAsia" w:ascii="仿宋" w:hAnsi="仿宋" w:eastAsia="仿宋" w:cs="仿宋"/>
                <w:b w:val="0"/>
                <w:bCs w:val="0"/>
                <w:color w:val="auto"/>
                <w:sz w:val="24"/>
                <w:szCs w:val="24"/>
                <w:highlight w:val="none"/>
              </w:rPr>
              <w:t>：</w:t>
            </w:r>
          </w:p>
          <w:p w14:paraId="0419EC99">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1、仪器可测量电梯</w:t>
            </w:r>
            <w:r>
              <w:rPr>
                <w:rFonts w:hint="eastAsia" w:ascii="仿宋" w:hAnsi="仿宋" w:eastAsia="仿宋" w:cs="仿宋"/>
                <w:b w:val="0"/>
                <w:bCs w:val="0"/>
                <w:color w:val="auto"/>
                <w:sz w:val="24"/>
                <w:szCs w:val="24"/>
                <w:highlight w:val="none"/>
              </w:rPr>
              <w:t>钢丝绳直径</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电梯门锁啮合尺寸</w:t>
            </w:r>
            <w:r>
              <w:rPr>
                <w:rFonts w:hint="eastAsia" w:ascii="仿宋" w:hAnsi="仿宋" w:eastAsia="仿宋" w:cs="仿宋"/>
                <w:b w:val="0"/>
                <w:bCs w:val="0"/>
                <w:color w:val="auto"/>
                <w:sz w:val="24"/>
                <w:szCs w:val="24"/>
                <w:highlight w:val="none"/>
                <w:lang w:val="en-US" w:eastAsia="zh-CN"/>
              </w:rPr>
              <w:t>等。</w:t>
            </w:r>
          </w:p>
          <w:p w14:paraId="278BA1C6">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2、适用于监督和定期检验，符合TSG T7001-2023《电梯监督检验和定期检验规则》中尺寸、长度等相关测量要求。</w:t>
            </w:r>
          </w:p>
          <w:p w14:paraId="701178A0">
            <w:pPr>
              <w:autoSpaceDE w:val="0"/>
              <w:autoSpaceDN w:val="0"/>
              <w:adjustRightInd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（二）</w:t>
            </w:r>
            <w:r>
              <w:rPr>
                <w:rFonts w:hint="eastAsia" w:ascii="仿宋" w:hAnsi="仿宋" w:eastAsia="仿宋" w:cs="仿宋"/>
                <w:b w:val="0"/>
                <w:bCs w:val="0"/>
                <w:color w:val="auto"/>
                <w:sz w:val="24"/>
                <w:szCs w:val="24"/>
                <w:highlight w:val="none"/>
                <w:lang w:val="en-US" w:eastAsia="zh-CN"/>
              </w:rPr>
              <w:t>软硬件要求</w:t>
            </w:r>
            <w:r>
              <w:rPr>
                <w:rFonts w:hint="eastAsia" w:ascii="仿宋" w:hAnsi="仿宋" w:eastAsia="仿宋" w:cs="仿宋"/>
                <w:b w:val="0"/>
                <w:bCs w:val="0"/>
                <w:color w:val="auto"/>
                <w:sz w:val="24"/>
                <w:szCs w:val="24"/>
                <w:highlight w:val="none"/>
              </w:rPr>
              <w:t>：</w:t>
            </w:r>
          </w:p>
          <w:p w14:paraId="62F4B548">
            <w:pPr>
              <w:autoSpaceDE w:val="0"/>
              <w:autoSpaceDN w:val="0"/>
              <w:adjustRightInd w:val="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1、采用游标卡尺表头设计，可切换英尺及毫米，可任意处归零。</w:t>
            </w:r>
          </w:p>
          <w:p w14:paraId="71EEAA6A">
            <w:pPr>
              <w:autoSpaceDE w:val="0"/>
              <w:autoSpaceDN w:val="0"/>
              <w:adjustRightInd w:val="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2、主机机身采用高分子材料制作，防水耐磨。</w:t>
            </w:r>
          </w:p>
          <w:p w14:paraId="21199980">
            <w:pPr>
              <w:autoSpaceDE w:val="0"/>
              <w:autoSpaceDN w:val="0"/>
              <w:adjustRightInd w:val="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3、主机集成度高，体积小，探头可随意更换。</w:t>
            </w:r>
          </w:p>
          <w:p w14:paraId="4732F612">
            <w:pPr>
              <w:autoSpaceDE w:val="0"/>
              <w:autoSpaceDN w:val="0"/>
              <w:adjustRightInd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四</w:t>
            </w:r>
            <w:r>
              <w:rPr>
                <w:rFonts w:hint="eastAsia" w:ascii="仿宋" w:hAnsi="仿宋" w:eastAsia="仿宋" w:cs="仿宋"/>
                <w:b w:val="0"/>
                <w:bCs w:val="0"/>
                <w:color w:val="auto"/>
                <w:sz w:val="24"/>
                <w:szCs w:val="24"/>
                <w:highlight w:val="none"/>
              </w:rPr>
              <w:t>）技术参数：</w:t>
            </w:r>
          </w:p>
          <w:p w14:paraId="0E2749FB">
            <w:pPr>
              <w:autoSpaceDE w:val="0"/>
              <w:autoSpaceDN w:val="0"/>
              <w:adjustRightInd w:val="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1、测量范围：（0-50）mm</w:t>
            </w:r>
          </w:p>
          <w:p w14:paraId="7EFF315D">
            <w:pPr>
              <w:autoSpaceDE w:val="0"/>
              <w:autoSpaceDN w:val="0"/>
              <w:adjustRightInd w:val="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2、测量精度：±02mm</w:t>
            </w:r>
          </w:p>
          <w:p w14:paraId="1E55001E">
            <w:pPr>
              <w:autoSpaceDE w:val="0"/>
              <w:autoSpaceDN w:val="0"/>
              <w:adjustRightInd w:val="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3、分辨率：01mm</w:t>
            </w:r>
          </w:p>
          <w:p w14:paraId="18C8930B">
            <w:pPr>
              <w:autoSpaceDE w:val="0"/>
              <w:autoSpaceDN w:val="0"/>
              <w:adjustRightInd w:val="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4、检测结果显示：数字显示</w:t>
            </w:r>
          </w:p>
          <w:p w14:paraId="513360C0">
            <w:pPr>
              <w:autoSpaceDE w:val="0"/>
              <w:autoSpaceDN w:val="0"/>
              <w:adjustRightInd w:val="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5、所有测量头与被测物的接触面均耐磨</w:t>
            </w:r>
          </w:p>
          <w:p w14:paraId="682A4A4B">
            <w:pPr>
              <w:autoSpaceDE w:val="0"/>
              <w:autoSpaceDN w:val="0"/>
              <w:adjustRightInd w:val="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6、仪器工作湿度：&lt;90%RH</w:t>
            </w:r>
          </w:p>
          <w:p w14:paraId="6209C7B3">
            <w:pPr>
              <w:autoSpaceDE w:val="0"/>
              <w:autoSpaceDN w:val="0"/>
              <w:adjustRightInd w:val="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color w:val="auto"/>
                <w:sz w:val="24"/>
                <w:szCs w:val="24"/>
                <w:highlight w:val="none"/>
                <w:lang w:val="en-US" w:eastAsia="zh-CN"/>
              </w:rPr>
              <w:t>7、仪器工作温度：（-10～50）℃</w:t>
            </w:r>
          </w:p>
          <w:p w14:paraId="0F8F21E2">
            <w:pPr>
              <w:pStyle w:val="1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五</w:t>
            </w:r>
            <w:r>
              <w:rPr>
                <w:rFonts w:hint="eastAsia" w:ascii="仿宋" w:hAnsi="仿宋" w:eastAsia="仿宋" w:cs="仿宋"/>
                <w:b w:val="0"/>
                <w:bCs w:val="0"/>
                <w:color w:val="auto"/>
                <w:sz w:val="24"/>
                <w:szCs w:val="24"/>
                <w:highlight w:val="none"/>
              </w:rPr>
              <w:t>）主要配置：</w:t>
            </w:r>
            <w:r>
              <w:rPr>
                <w:rFonts w:hint="eastAsia" w:ascii="仿宋" w:hAnsi="仿宋" w:eastAsia="仿宋" w:cs="仿宋"/>
                <w:b w:val="0"/>
                <w:bCs w:val="0"/>
                <w:color w:val="auto"/>
                <w:sz w:val="24"/>
                <w:szCs w:val="24"/>
                <w:highlight w:val="none"/>
                <w:lang w:val="en-US" w:eastAsia="zh-CN"/>
              </w:rPr>
              <w:t>测量主机、专用配件、省级或省级以上法定计量检验检测机构鉴定/校准证书、合格证、保修卡、说明书</w:t>
            </w:r>
            <w:r>
              <w:rPr>
                <w:rFonts w:hint="eastAsia" w:ascii="仿宋" w:hAnsi="仿宋" w:eastAsia="仿宋" w:cs="仿宋"/>
                <w:b w:val="0"/>
                <w:bCs w:val="0"/>
                <w:color w:val="auto"/>
                <w:sz w:val="24"/>
                <w:szCs w:val="24"/>
                <w:highlight w:val="none"/>
              </w:rPr>
              <w:t>。</w:t>
            </w:r>
          </w:p>
          <w:p w14:paraId="1C9D6A2C">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b w:val="0"/>
                <w:bCs w:val="0"/>
                <w:color w:val="auto"/>
                <w:sz w:val="24"/>
                <w:szCs w:val="24"/>
                <w:highlight w:val="none"/>
                <w:lang w:eastAsia="zh-CN"/>
              </w:rPr>
              <w:t>（六）</w:t>
            </w:r>
            <w:r>
              <w:rPr>
                <w:rFonts w:hint="eastAsia" w:ascii="仿宋" w:hAnsi="仿宋" w:eastAsia="仿宋" w:cs="仿宋"/>
                <w:b w:val="0"/>
                <w:bCs w:val="0"/>
                <w:color w:val="auto"/>
                <w:sz w:val="24"/>
                <w:szCs w:val="24"/>
                <w:highlight w:val="none"/>
                <w:lang w:val="en-US" w:eastAsia="zh-CN"/>
              </w:rPr>
              <w:t>完全满足TSG T7001-2023《电梯监督检验和定期检验规则》的有关检验要求</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68C900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5D9A98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62ECA81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检测电梯层门门锁的最小啮合深度</w:t>
            </w:r>
          </w:p>
        </w:tc>
      </w:tr>
      <w:tr w14:paraId="7F69CAB6">
        <w:tblPrEx>
          <w:tblCellMar>
            <w:top w:w="0" w:type="dxa"/>
            <w:left w:w="108" w:type="dxa"/>
            <w:bottom w:w="0" w:type="dxa"/>
            <w:right w:w="108" w:type="dxa"/>
          </w:tblCellMar>
        </w:tblPrEx>
        <w:trPr>
          <w:trHeight w:val="674" w:hRule="atLeast"/>
        </w:trPr>
        <w:tc>
          <w:tcPr>
            <w:tcW w:w="411" w:type="pct"/>
            <w:tcBorders>
              <w:top w:val="single" w:color="000000" w:sz="4" w:space="0"/>
              <w:left w:val="single" w:color="000000" w:sz="4" w:space="0"/>
              <w:bottom w:val="single" w:color="000000" w:sz="4" w:space="0"/>
              <w:right w:val="single" w:color="000000" w:sz="4" w:space="0"/>
            </w:tcBorders>
            <w:noWrap w:val="0"/>
            <w:vAlign w:val="center"/>
          </w:tcPr>
          <w:p w14:paraId="07F281CB">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6C713CD7">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en-US"/>
              </w:rPr>
            </w:pPr>
            <w:r>
              <w:rPr>
                <w:rFonts w:hint="eastAsia" w:ascii="仿宋" w:hAnsi="仿宋" w:eastAsia="仿宋" w:cs="仿宋"/>
                <w:color w:val="auto"/>
                <w:kern w:val="0"/>
                <w:sz w:val="24"/>
                <w:szCs w:val="24"/>
                <w:highlight w:val="none"/>
                <w:lang w:val="en-US" w:eastAsia="zh-CN" w:bidi="en-US"/>
              </w:rPr>
              <w:t>拉杆式工具箱</w:t>
            </w:r>
          </w:p>
        </w:tc>
        <w:tc>
          <w:tcPr>
            <w:tcW w:w="2436" w:type="pct"/>
            <w:tcBorders>
              <w:top w:val="single" w:color="000000" w:sz="4" w:space="0"/>
              <w:left w:val="single" w:color="000000" w:sz="4" w:space="0"/>
              <w:bottom w:val="single" w:color="000000" w:sz="4" w:space="0"/>
              <w:right w:val="single" w:color="000000" w:sz="4" w:space="0"/>
            </w:tcBorders>
            <w:noWrap w:val="0"/>
            <w:vAlign w:val="center"/>
          </w:tcPr>
          <w:p w14:paraId="07CD4C79">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性能要求：</w:t>
            </w:r>
          </w:p>
          <w:p w14:paraId="43CE857E">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1. 产品类型：防潮拉杆箱，具备密封防潮功能，防爆防摔。</w:t>
            </w:r>
          </w:p>
          <w:p w14:paraId="5E2306C8">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2. 内部结构： 箱内配备可自由组合的海绵隔层，用于设备的防震、防刮保护。箱盖内侧配备多功能文件袋及可放置电脑的专用面板，便于收纳电脑、文件及配件。</w:t>
            </w:r>
          </w:p>
          <w:p w14:paraId="791466F0">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4. 外部尺寸：外尺寸至少为56cm × 36cm × 23cm以上，确保便携性与存储空间的平衡。</w:t>
            </w:r>
          </w:p>
          <w:p w14:paraId="15CE6A61">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5. 材质与防护：箱体采用高强度、耐冲击的工程塑料材质，具备防水、防尘、防摔性能，锁扣及拉杆等五金配件坚固耐用。</w:t>
            </w:r>
          </w:p>
          <w:p w14:paraId="4703FA98">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6. 移动设计：配备可伸缩拉杆与万向滚轮，方便长距离移动与运输，拉杆承重不低于20kg。</w:t>
            </w:r>
          </w:p>
          <w:p w14:paraId="387CC4DE">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7. 密封性能：箱体具备良好的密封结构，可有效隔绝湿气与灰尘，保护内部设备不受潮、不受损。</w:t>
            </w:r>
          </w:p>
          <w:p w14:paraId="2B5A18B3">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8. 颜色与外观：提供黑色等专业配色选项，外观设计简洁硬朗，符合专业设备防护箱的使用场景。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57F9D4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585C0B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55934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327BCBA">
        <w:tblPrEx>
          <w:tblCellMar>
            <w:top w:w="0" w:type="dxa"/>
            <w:left w:w="108" w:type="dxa"/>
            <w:bottom w:w="0" w:type="dxa"/>
            <w:right w:w="108" w:type="dxa"/>
          </w:tblCellMar>
        </w:tblPrEx>
        <w:trPr>
          <w:trHeight w:val="348" w:hRule="atLeast"/>
        </w:trPr>
        <w:tc>
          <w:tcPr>
            <w:tcW w:w="411" w:type="pct"/>
            <w:tcBorders>
              <w:top w:val="single" w:color="000000" w:sz="4" w:space="0"/>
              <w:left w:val="single" w:color="000000" w:sz="4" w:space="0"/>
              <w:bottom w:val="single" w:color="000000" w:sz="4" w:space="0"/>
              <w:right w:val="single" w:color="000000" w:sz="4" w:space="0"/>
            </w:tcBorders>
            <w:noWrap w:val="0"/>
            <w:vAlign w:val="center"/>
          </w:tcPr>
          <w:p w14:paraId="510C5F1B">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256F3519">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en-US"/>
              </w:rPr>
            </w:pPr>
            <w:r>
              <w:rPr>
                <w:rFonts w:hint="eastAsia" w:ascii="仿宋" w:hAnsi="仿宋" w:eastAsia="仿宋" w:cs="仿宋"/>
                <w:color w:val="auto"/>
                <w:kern w:val="0"/>
                <w:sz w:val="24"/>
                <w:szCs w:val="24"/>
                <w:highlight w:val="none"/>
                <w:lang w:val="en-US" w:eastAsia="zh-CN" w:bidi="en-US"/>
              </w:rPr>
              <w:t>全站仪</w:t>
            </w:r>
          </w:p>
        </w:tc>
        <w:tc>
          <w:tcPr>
            <w:tcW w:w="2436" w:type="pct"/>
            <w:tcBorders>
              <w:top w:val="single" w:color="000000" w:sz="4" w:space="0"/>
              <w:left w:val="single" w:color="000000" w:sz="4" w:space="0"/>
              <w:bottom w:val="single" w:color="000000" w:sz="4" w:space="0"/>
              <w:right w:val="single" w:color="000000" w:sz="4" w:space="0"/>
            </w:tcBorders>
            <w:noWrap w:val="0"/>
            <w:vAlign w:val="center"/>
          </w:tcPr>
          <w:p w14:paraId="01226D82">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1. 角度测量</w:t>
            </w:r>
          </w:p>
          <w:p w14:paraId="534150FB">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测角精度：2″</w:t>
            </w:r>
          </w:p>
          <w:p w14:paraId="3368AC35">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测角方式：绝对编码测角（79mm 码盘）</w:t>
            </w:r>
          </w:p>
          <w:p w14:paraId="0734C779">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最小读数：1″/5″可选</w:t>
            </w:r>
          </w:p>
          <w:p w14:paraId="44A36FAF">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探测方式：水平盘 / 竖直盘均为对径探测</w:t>
            </w:r>
          </w:p>
          <w:p w14:paraId="073DB217">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补偿器：双轴液体光电式，补偿范围 ±6′，精度 1″</w:t>
            </w:r>
          </w:p>
          <w:p w14:paraId="63ADB162">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2. 距离测量（有合作目标）</w:t>
            </w:r>
          </w:p>
          <w:p w14:paraId="3C6CB3D6">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棱镜测程：5000m（单棱镜）</w:t>
            </w:r>
          </w:p>
          <w:p w14:paraId="1B77A144">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反射片测程：1000m（60mm×60mm）</w:t>
            </w:r>
          </w:p>
          <w:p w14:paraId="5AE5D1C6">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测距精度：±(2mm + 2×10⁻⁶·D)</w:t>
            </w:r>
          </w:p>
          <w:p w14:paraId="73961F77">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测量时间：精测 0.35s，跟踪 0.25s</w:t>
            </w:r>
          </w:p>
          <w:p w14:paraId="00AA2AFF">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3. 免棱镜测量（无合作目标）</w:t>
            </w:r>
          </w:p>
          <w:p w14:paraId="67091548">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测程：1000m（柯达灰，90% 反射率）</w:t>
            </w:r>
          </w:p>
          <w:p w14:paraId="6397C841">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测距精度：</w:t>
            </w:r>
          </w:p>
          <w:p w14:paraId="4B7B4A65">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0–300m：±(3mm + 2×10⁻⁶·D)</w:t>
            </w:r>
          </w:p>
          <w:p w14:paraId="2121DE79">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300–600m：±(5mm + 2×10⁻⁶·D)</w:t>
            </w:r>
          </w:p>
          <w:p w14:paraId="49EACEE6">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600m：±(10mm + 2×10⁻⁶·D)</w:t>
            </w:r>
          </w:p>
          <w:p w14:paraId="70EF24EF">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测量时间：同有棱镜模式</w:t>
            </w:r>
          </w:p>
          <w:p w14:paraId="7C3CCFAA">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二、望远镜系统</w:t>
            </w:r>
          </w:p>
          <w:p w14:paraId="2872B9CE">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成像：正像</w:t>
            </w:r>
          </w:p>
          <w:p w14:paraId="20967870">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放大倍率：30×</w:t>
            </w:r>
          </w:p>
          <w:p w14:paraId="52876C73">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物镜孔径：望远 45mm / 测距 47mm</w:t>
            </w:r>
          </w:p>
          <w:p w14:paraId="22290CCF">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视场角：1°30′</w:t>
            </w:r>
          </w:p>
          <w:p w14:paraId="40AF4E23">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最小对焦距离：1.5m</w:t>
            </w:r>
          </w:p>
          <w:p w14:paraId="41E0E6E2">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三、其他关键参数</w:t>
            </w:r>
          </w:p>
          <w:p w14:paraId="33CD2E0E">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对中器：光学 / 激光对中（3×，0.5m–∞）</w:t>
            </w:r>
          </w:p>
          <w:p w14:paraId="63AAB3E9">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显示屏：2.6 英寸黑白 LCD，160×96dpi，6 行显示</w:t>
            </w:r>
          </w:p>
          <w:p w14:paraId="1988B71A">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键盘：28 键（数字 + 字母）</w:t>
            </w:r>
          </w:p>
          <w:p w14:paraId="2C0B502E">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数据接口：USB、蓝牙（可选）</w:t>
            </w:r>
          </w:p>
          <w:p w14:paraId="230933B7">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电池：7.4V   锂电池（不小于3000mAh），连续工作约 8 小时</w:t>
            </w:r>
          </w:p>
          <w:p w14:paraId="66D7E087">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防护等级：IP54</w:t>
            </w:r>
          </w:p>
          <w:p w14:paraId="285DA58C">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工作温度：-20℃～+50℃</w:t>
            </w:r>
          </w:p>
          <w:p w14:paraId="4E19629C">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尺寸：约 200×180×350mm</w:t>
            </w:r>
          </w:p>
          <w:p w14:paraId="39D6FBEC">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四、完全满足TSG 51-2023《起重机械安全技术规程》的有关检验要求</w:t>
            </w:r>
          </w:p>
          <w:p w14:paraId="549EAE75">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五、配置要求：</w:t>
            </w:r>
          </w:p>
          <w:p w14:paraId="4E2C1F51">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全站仪1台、说明书一套、保修卡一份、合格证一份、 省级或省级以上法定计量检验检测机构鉴定/校准证书、工具箱一个、三脚架一个、棱镜一套。</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36B698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25E3B2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346548B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起重机检验时测角度偏移量和位移量</w:t>
            </w:r>
          </w:p>
        </w:tc>
      </w:tr>
      <w:tr w14:paraId="4922F30B">
        <w:tblPrEx>
          <w:tblCellMar>
            <w:top w:w="0" w:type="dxa"/>
            <w:left w:w="108" w:type="dxa"/>
            <w:bottom w:w="0" w:type="dxa"/>
            <w:right w:w="108" w:type="dxa"/>
          </w:tblCellMar>
        </w:tblPrEx>
        <w:trPr>
          <w:trHeight w:val="490" w:hRule="atLeast"/>
        </w:trPr>
        <w:tc>
          <w:tcPr>
            <w:tcW w:w="411" w:type="pct"/>
            <w:tcBorders>
              <w:top w:val="single" w:color="000000" w:sz="4" w:space="0"/>
              <w:left w:val="single" w:color="000000" w:sz="4" w:space="0"/>
              <w:bottom w:val="single" w:color="000000" w:sz="4" w:space="0"/>
              <w:right w:val="single" w:color="000000" w:sz="4" w:space="0"/>
            </w:tcBorders>
            <w:noWrap w:val="0"/>
            <w:vAlign w:val="center"/>
          </w:tcPr>
          <w:p w14:paraId="6B0DAB41">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479E9EC3">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en-US"/>
              </w:rPr>
            </w:pPr>
            <w:r>
              <w:rPr>
                <w:rFonts w:hint="eastAsia" w:ascii="仿宋" w:hAnsi="仿宋" w:eastAsia="仿宋" w:cs="仿宋"/>
                <w:color w:val="auto"/>
                <w:kern w:val="0"/>
                <w:sz w:val="24"/>
                <w:szCs w:val="24"/>
                <w:highlight w:val="none"/>
                <w:lang w:val="en-US" w:eastAsia="zh-CN" w:bidi="en-US"/>
              </w:rPr>
              <w:t>铁含量分析仪</w:t>
            </w:r>
          </w:p>
        </w:tc>
        <w:tc>
          <w:tcPr>
            <w:tcW w:w="2436" w:type="pct"/>
            <w:tcBorders>
              <w:top w:val="single" w:color="000000" w:sz="4" w:space="0"/>
              <w:left w:val="single" w:color="000000" w:sz="4" w:space="0"/>
              <w:bottom w:val="single" w:color="000000" w:sz="4" w:space="0"/>
              <w:right w:val="single" w:color="000000" w:sz="4" w:space="0"/>
            </w:tcBorders>
            <w:noWrap w:val="0"/>
            <w:vAlign w:val="center"/>
          </w:tcPr>
          <w:p w14:paraId="55539531">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技术参数要求:</w:t>
            </w:r>
          </w:p>
          <w:p w14:paraId="12B2A1CB">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功能特点</w:t>
            </w:r>
          </w:p>
          <w:p w14:paraId="1F28275C">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光源采用单色冷光源，性能优良，信号稳定，功耗低，寿命长</w:t>
            </w:r>
          </w:p>
          <w:p w14:paraId="0CF76240">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空白校准，消除零点漂移和电气漂移，提高测量精确度空白校准</w:t>
            </w:r>
          </w:p>
          <w:p w14:paraId="4BDE8277">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7.0寸触摸彩色液晶，中、英文可切换显示，操作方便</w:t>
            </w:r>
          </w:p>
          <w:p w14:paraId="0A62867C">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自动计时提醒功能，方便操作者使用，提高工作效率</w:t>
            </w:r>
          </w:p>
          <w:p w14:paraId="7908ED11">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先进贴片工艺及一体化设计，高集成度电路设计稳定耐用</w:t>
            </w:r>
          </w:p>
          <w:p w14:paraId="61382A7D">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先进单片机技术，高性能，低功耗</w:t>
            </w:r>
          </w:p>
          <w:p w14:paraId="2B41B02E">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数据循环存储，自动清除溢出，操作简单，查询方便，断电数据存储时间10年以上</w:t>
            </w:r>
          </w:p>
          <w:p w14:paraId="38884240">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数据输入接口，可连接扫码枪，可以连续扫描样品条码</w:t>
            </w:r>
          </w:p>
          <w:p w14:paraId="381CD913">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仪器自带USB，RJ45和wifi接口，用于数据导出</w:t>
            </w:r>
          </w:p>
          <w:p w14:paraId="31E63A50">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可以计算机通讯，上传数据并进行数据处理（含数据处理软件）</w:t>
            </w:r>
          </w:p>
          <w:p w14:paraId="051E4421">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技术参数</w:t>
            </w:r>
          </w:p>
          <w:p w14:paraId="728E6E86">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显    示： 7.0寸触摸彩色液晶，中、英文可切换显示</w:t>
            </w:r>
          </w:p>
          <w:p w14:paraId="4B8D2E56">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测量范围：(0.0～200.0)μg/L</w:t>
            </w:r>
          </w:p>
          <w:p w14:paraId="14D64538">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精 确 度：±3.0% F.S</w:t>
            </w:r>
          </w:p>
          <w:p w14:paraId="1C22C728">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分 辨 率：0.1μg/L</w:t>
            </w:r>
          </w:p>
          <w:p w14:paraId="4E73B5B8">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重 复 性：≤1.0% F.S</w:t>
            </w:r>
          </w:p>
          <w:p w14:paraId="27B034FA">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稳 定 性：±1.5% F.S/4h</w:t>
            </w:r>
          </w:p>
          <w:p w14:paraId="7AA78103">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环境温度：(5～45)℃</w:t>
            </w:r>
          </w:p>
          <w:p w14:paraId="0E20B38D">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环境湿度：≤85%RH(无冷凝)</w:t>
            </w:r>
          </w:p>
          <w:p w14:paraId="0E59F5F5">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外形尺寸：260mm×200mm×180mm</w:t>
            </w:r>
          </w:p>
          <w:p w14:paraId="44572544">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供电电源：AC(85～265)V  频率 (45～65)Hz</w:t>
            </w:r>
          </w:p>
          <w:p w14:paraId="0C45863C">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完全满足GBT1576-2018&lt;工业锅炉水质&gt;的检验要求。</w:t>
            </w:r>
          </w:p>
          <w:p w14:paraId="5461EBBE">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配置要求：铁含量分析仪1台、说明书一套、保修卡一份、合格证一份、 省级或省级以上法定计量检验检测机构鉴定/校准证书、所需的药品、试剂及耗材。</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5AFF82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3D7872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002C6A1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工业锅炉水质检测设备</w:t>
            </w:r>
          </w:p>
          <w:p w14:paraId="18C625C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1.供应商须</w:t>
            </w:r>
            <w:r>
              <w:rPr>
                <w:rFonts w:hint="eastAsia" w:ascii="仿宋" w:hAnsi="仿宋" w:eastAsia="仿宋" w:cs="仿宋"/>
                <w:i w:val="0"/>
                <w:iCs w:val="0"/>
                <w:color w:val="000000"/>
                <w:kern w:val="0"/>
                <w:sz w:val="22"/>
                <w:szCs w:val="22"/>
                <w:u w:val="none"/>
                <w:lang w:val="en-US" w:eastAsia="zh-CN" w:bidi="ar"/>
              </w:rPr>
              <w:t>提供满足设备正常检测所需的全套药品、试剂及耗材，确保设备到货后无需另行采购即可开展检测工作。</w:t>
            </w:r>
          </w:p>
        </w:tc>
      </w:tr>
      <w:tr w14:paraId="06C31D38">
        <w:tblPrEx>
          <w:tblCellMar>
            <w:top w:w="0" w:type="dxa"/>
            <w:left w:w="108" w:type="dxa"/>
            <w:bottom w:w="0" w:type="dxa"/>
            <w:right w:w="108" w:type="dxa"/>
          </w:tblCellMar>
        </w:tblPrEx>
        <w:trPr>
          <w:trHeight w:val="2377" w:hRule="atLeast"/>
        </w:trPr>
        <w:tc>
          <w:tcPr>
            <w:tcW w:w="411" w:type="pct"/>
            <w:tcBorders>
              <w:top w:val="single" w:color="000000" w:sz="4" w:space="0"/>
              <w:left w:val="single" w:color="000000" w:sz="4" w:space="0"/>
              <w:bottom w:val="single" w:color="000000" w:sz="4" w:space="0"/>
              <w:right w:val="single" w:color="000000" w:sz="4" w:space="0"/>
            </w:tcBorders>
            <w:noWrap w:val="0"/>
            <w:vAlign w:val="center"/>
          </w:tcPr>
          <w:p w14:paraId="2F522BDF">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3C3E5731">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en-US"/>
              </w:rPr>
            </w:pPr>
            <w:r>
              <w:rPr>
                <w:rFonts w:hint="eastAsia" w:ascii="仿宋" w:hAnsi="仿宋" w:eastAsia="仿宋" w:cs="仿宋"/>
                <w:color w:val="auto"/>
                <w:kern w:val="0"/>
                <w:sz w:val="24"/>
                <w:szCs w:val="24"/>
                <w:highlight w:val="none"/>
                <w:lang w:val="en-US" w:eastAsia="zh-CN" w:bidi="en-US"/>
              </w:rPr>
              <w:t>磷酸根分析仪</w:t>
            </w:r>
          </w:p>
        </w:tc>
        <w:tc>
          <w:tcPr>
            <w:tcW w:w="2436" w:type="pct"/>
            <w:tcBorders>
              <w:top w:val="single" w:color="000000" w:sz="4" w:space="0"/>
              <w:left w:val="single" w:color="000000" w:sz="4" w:space="0"/>
              <w:bottom w:val="single" w:color="000000" w:sz="4" w:space="0"/>
              <w:right w:val="single" w:color="000000" w:sz="4" w:space="0"/>
            </w:tcBorders>
            <w:noWrap w:val="0"/>
            <w:vAlign w:val="center"/>
          </w:tcPr>
          <w:p w14:paraId="359A8B04">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功能特点</w:t>
            </w:r>
          </w:p>
          <w:p w14:paraId="279F8F18">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光源采用单色冷光源，性能优良，信号稳定，功耗低，寿命长</w:t>
            </w:r>
          </w:p>
          <w:p w14:paraId="12C180AD">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空白校准，消除零点漂移和电气漂移，提高测量精确度</w:t>
            </w:r>
          </w:p>
          <w:p w14:paraId="6DE0AC50">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7.0寸触摸彩色液晶，中、英文切换显示，操作方便</w:t>
            </w:r>
          </w:p>
          <w:p w14:paraId="528BA464">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自动计时提醒功能，方便操作者使用，提高工作效率</w:t>
            </w:r>
          </w:p>
          <w:p w14:paraId="04949766">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先进贴片工艺及一体化设计，高集成度电路设计稳定耐用</w:t>
            </w:r>
          </w:p>
          <w:p w14:paraId="2F110760">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先进单片机技术，高性能，低功耗</w:t>
            </w:r>
          </w:p>
          <w:p w14:paraId="373A5B41">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数据循环存储，自动清除溢出，操作简单，查询方便，断电数据存储时间10年以上</w:t>
            </w:r>
          </w:p>
          <w:p w14:paraId="749BDE77">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数据输入接口，可连接扫码枪，可以连续扫描样品条码</w:t>
            </w:r>
          </w:p>
          <w:p w14:paraId="5902D8D2">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仪器自带USB，RJ45和wifi接口，用于数据导出</w:t>
            </w:r>
          </w:p>
          <w:p w14:paraId="6BB73A87">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可以计算机通讯，上传数据并进行数据处理（含数据处理软件）</w:t>
            </w:r>
          </w:p>
          <w:p w14:paraId="4A447E2A">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技术参数</w:t>
            </w:r>
          </w:p>
          <w:p w14:paraId="020F1CDF">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显    示：7.0寸触摸彩色液晶，中、英文可切换显示</w:t>
            </w:r>
          </w:p>
          <w:p w14:paraId="5C4FC056">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测量范围：(0.00～20.00)mg/L或(0.00～50.00)mg/L（可选）</w:t>
            </w:r>
          </w:p>
          <w:p w14:paraId="5A2AC1E3">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精 确 度：±2.0% F.S</w:t>
            </w:r>
          </w:p>
          <w:p w14:paraId="2C42EC01">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分 辨 率：0.01mg/L</w:t>
            </w:r>
          </w:p>
          <w:p w14:paraId="68778866">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重 复 性：≤1.0% F.S</w:t>
            </w:r>
          </w:p>
          <w:p w14:paraId="315A8CEF">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稳 定 性：±1% F.S/4h</w:t>
            </w:r>
          </w:p>
          <w:p w14:paraId="5223A4E2">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环境温度：(5～45)℃</w:t>
            </w:r>
          </w:p>
          <w:p w14:paraId="1CF26826">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环境湿度：≤85%RH(无冷凝)</w:t>
            </w:r>
          </w:p>
          <w:p w14:paraId="5D1BCDD5">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外形尺寸：260mm×200mm×180mm</w:t>
            </w:r>
          </w:p>
          <w:p w14:paraId="7002BE33">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供电电源：AC(85～265)V  频率 (45～65)Hz</w:t>
            </w:r>
          </w:p>
          <w:p w14:paraId="4493410F">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完全满足GBT1576-2018&lt;工业锅炉水质&gt;的检验要求。</w:t>
            </w:r>
          </w:p>
          <w:p w14:paraId="5958489C">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配置要求：磷酸根分析仪1台、说明书一套、保修卡一份、合格证一份、 省级或省级以上法定计量检验检测机构鉴定/校准证书、所需的药品、试剂及耗材。</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3CE1F4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7D54AC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583560D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工业锅炉水质检测设备</w:t>
            </w:r>
          </w:p>
          <w:p w14:paraId="5ABD207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1.供</w:t>
            </w:r>
            <w:r>
              <w:rPr>
                <w:rFonts w:hint="eastAsia" w:ascii="仿宋" w:hAnsi="仿宋" w:eastAsia="仿宋" w:cs="仿宋"/>
                <w:i w:val="0"/>
                <w:iCs w:val="0"/>
                <w:color w:val="000000"/>
                <w:kern w:val="0"/>
                <w:sz w:val="22"/>
                <w:szCs w:val="22"/>
                <w:u w:val="none"/>
                <w:lang w:val="en-US" w:eastAsia="zh-CN" w:bidi="ar"/>
              </w:rPr>
              <w:t>应商须提供满足设备正常检测所需的全套药品、试剂及耗材，确保设备到货后无需另行采购即可开展检测工作。</w:t>
            </w:r>
          </w:p>
        </w:tc>
      </w:tr>
      <w:bookmarkEnd w:id="22"/>
    </w:tbl>
    <w:p w14:paraId="4F0E14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p>
    <w:p w14:paraId="4D064A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p>
    <w:p w14:paraId="15E51E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p>
    <w:p w14:paraId="244E26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p>
    <w:p w14:paraId="1D0D85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p>
    <w:p w14:paraId="2BBFD9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p>
    <w:p w14:paraId="0513B5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p>
    <w:p w14:paraId="558795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p>
    <w:p w14:paraId="7419EBAF">
      <w:pPr>
        <w:pStyle w:val="3"/>
        <w:keepNext w:val="0"/>
        <w:keepLines w:val="0"/>
        <w:widowControl/>
        <w:suppressLineNumbers w:val="0"/>
        <w:spacing w:before="260" w:beforeAutospacing="0" w:after="260" w:afterAutospacing="0" w:line="26" w:lineRule="atLeast"/>
        <w:ind w:left="0" w:right="0"/>
        <w:jc w:val="center"/>
        <w:rPr>
          <w:rFonts w:hint="default" w:ascii="仿宋" w:hAnsi="仿宋" w:eastAsia="仿宋" w:cs="仿宋"/>
          <w:lang w:val="en-US" w:eastAsia="zh-CN"/>
        </w:rPr>
      </w:pPr>
      <w:r>
        <w:rPr>
          <w:rFonts w:hint="eastAsia" w:ascii="仿宋" w:hAnsi="仿宋" w:eastAsia="仿宋" w:cs="仿宋"/>
          <w:b/>
          <w:bCs/>
          <w:i w:val="0"/>
          <w:iCs w:val="0"/>
          <w:color w:val="000000"/>
          <w:spacing w:val="0"/>
          <w:w w:val="100"/>
          <w:sz w:val="32"/>
          <w:szCs w:val="32"/>
          <w:vertAlign w:val="baseline"/>
        </w:rPr>
        <w:t>医用数字摄影(CR、DR)系统X射线辐射源检定装置</w:t>
      </w:r>
      <w:r>
        <w:rPr>
          <w:rFonts w:hint="eastAsia" w:ascii="仿宋" w:hAnsi="仿宋" w:eastAsia="仿宋" w:cs="仿宋"/>
          <w:b/>
          <w:bCs/>
          <w:i w:val="0"/>
          <w:iCs w:val="0"/>
          <w:color w:val="000000"/>
          <w:spacing w:val="0"/>
          <w:w w:val="100"/>
          <w:sz w:val="32"/>
          <w:szCs w:val="32"/>
          <w:vertAlign w:val="baseline"/>
          <w:lang w:val="en-US" w:eastAsia="zh-CN"/>
        </w:rPr>
        <w:t>1套</w:t>
      </w:r>
    </w:p>
    <w:p w14:paraId="368EB101">
      <w:pPr>
        <w:pStyle w:val="18"/>
        <w:keepNext w:val="0"/>
        <w:keepLines w:val="0"/>
        <w:widowControl/>
        <w:numPr>
          <w:ilvl w:val="0"/>
          <w:numId w:val="0"/>
        </w:numPr>
        <w:suppressLineNumbers w:val="0"/>
        <w:spacing w:before="0" w:beforeAutospacing="0" w:after="0" w:afterAutospacing="0" w:line="360" w:lineRule="auto"/>
        <w:ind w:right="0" w:rightChars="0" w:firstLine="490" w:firstLineChars="200"/>
        <w:jc w:val="left"/>
        <w:rPr>
          <w:rFonts w:hint="eastAsia" w:ascii="仿宋" w:hAnsi="仿宋" w:eastAsia="仿宋" w:cs="仿宋"/>
          <w:b w:val="0"/>
          <w:bCs w:val="0"/>
          <w:i w:val="0"/>
          <w:iCs w:val="0"/>
          <w:color w:val="FF0000"/>
          <w:spacing w:val="0"/>
          <w:w w:val="100"/>
          <w:sz w:val="24"/>
          <w:szCs w:val="24"/>
          <w:highlight w:val="yellow"/>
          <w:vertAlign w:val="baseline"/>
          <w:lang w:eastAsia="zh-CN"/>
        </w:rPr>
      </w:pPr>
      <w:r>
        <w:rPr>
          <w:rFonts w:hint="eastAsia" w:ascii="仿宋" w:hAnsi="仿宋" w:eastAsia="仿宋" w:cs="仿宋"/>
          <w:b w:val="0"/>
          <w:bCs w:val="0"/>
          <w:i w:val="0"/>
          <w:iCs w:val="0"/>
          <w:color w:val="000000"/>
          <w:spacing w:val="0"/>
          <w:w w:val="100"/>
          <w:sz w:val="24"/>
          <w:szCs w:val="24"/>
          <w:vertAlign w:val="baseline"/>
          <w:lang w:val="en-US" w:eastAsia="zh-CN"/>
        </w:rPr>
        <w:t>1、</w:t>
      </w:r>
      <w:r>
        <w:rPr>
          <w:rFonts w:hint="eastAsia" w:ascii="仿宋" w:hAnsi="仿宋" w:eastAsia="仿宋" w:cs="仿宋"/>
          <w:b w:val="0"/>
          <w:bCs w:val="0"/>
          <w:i w:val="0"/>
          <w:iCs w:val="0"/>
          <w:color w:val="000000"/>
          <w:spacing w:val="0"/>
          <w:w w:val="100"/>
          <w:sz w:val="24"/>
          <w:szCs w:val="24"/>
          <w:vertAlign w:val="baseline"/>
        </w:rPr>
        <w:t>测量软件为全中文界面。设备符合JJG 744-2004 《医用诊断X射线辐射源》检定规程、JJG 1078-20</w:t>
      </w:r>
      <w:r>
        <w:rPr>
          <w:rFonts w:hint="eastAsia" w:ascii="仿宋" w:hAnsi="仿宋" w:eastAsia="仿宋" w:cs="仿宋"/>
          <w:b w:val="0"/>
          <w:bCs w:val="0"/>
          <w:i w:val="0"/>
          <w:iCs w:val="0"/>
          <w:color w:val="000000"/>
          <w:spacing w:val="0"/>
          <w:w w:val="100"/>
          <w:sz w:val="24"/>
          <w:szCs w:val="24"/>
          <w:vertAlign w:val="baseline"/>
          <w:lang w:val="en-US" w:eastAsia="zh-CN"/>
        </w:rPr>
        <w:t>26</w:t>
      </w:r>
      <w:r>
        <w:rPr>
          <w:rFonts w:hint="eastAsia" w:ascii="仿宋" w:hAnsi="仿宋" w:eastAsia="仿宋" w:cs="仿宋"/>
          <w:b w:val="0"/>
          <w:bCs w:val="0"/>
          <w:i w:val="0"/>
          <w:iCs w:val="0"/>
          <w:color w:val="000000"/>
          <w:spacing w:val="0"/>
          <w:w w:val="100"/>
          <w:sz w:val="24"/>
          <w:szCs w:val="24"/>
          <w:vertAlign w:val="baseline"/>
        </w:rPr>
        <w:t xml:space="preserve"> 《医用数字摄影(DR)系统X射线辐射源》检定规程</w:t>
      </w:r>
      <w:r>
        <w:rPr>
          <w:rFonts w:hint="eastAsia" w:ascii="仿宋" w:hAnsi="仿宋" w:eastAsia="仿宋" w:cs="仿宋"/>
          <w:b w:val="0"/>
          <w:bCs w:val="0"/>
          <w:i w:val="0"/>
          <w:iCs w:val="0"/>
          <w:color w:val="000000"/>
          <w:spacing w:val="0"/>
          <w:w w:val="100"/>
          <w:sz w:val="24"/>
          <w:szCs w:val="24"/>
          <w:vertAlign w:val="baseline"/>
          <w:lang w:val="en-US" w:eastAsia="zh-CN"/>
        </w:rPr>
        <w:t>)</w:t>
      </w:r>
      <w:r>
        <w:rPr>
          <w:rFonts w:hint="eastAsia" w:ascii="仿宋" w:hAnsi="仿宋" w:eastAsia="仿宋" w:cs="仿宋"/>
          <w:b w:val="0"/>
          <w:bCs w:val="0"/>
          <w:i w:val="0"/>
          <w:iCs w:val="0"/>
          <w:color w:val="000000"/>
          <w:spacing w:val="0"/>
          <w:w w:val="100"/>
          <w:sz w:val="24"/>
          <w:szCs w:val="24"/>
          <w:vertAlign w:val="baseline"/>
        </w:rPr>
        <w:t>的建标要求。</w:t>
      </w:r>
      <w:r>
        <w:rPr>
          <w:rFonts w:hint="eastAsia" w:ascii="仿宋" w:hAnsi="仿宋" w:eastAsia="仿宋" w:cs="仿宋"/>
          <w:b w:val="0"/>
          <w:bCs w:val="0"/>
          <w:i w:val="0"/>
          <w:iCs w:val="0"/>
          <w:color w:val="auto"/>
          <w:spacing w:val="0"/>
          <w:w w:val="100"/>
          <w:sz w:val="24"/>
          <w:szCs w:val="24"/>
          <w:vertAlign w:val="baseline"/>
        </w:rPr>
        <w:t>制造厂家质量管理体系符合GB/T19001-2016/ISO9001</w:t>
      </w:r>
      <w:r>
        <w:rPr>
          <w:rFonts w:hint="eastAsia" w:ascii="仿宋" w:hAnsi="仿宋" w:eastAsia="仿宋" w:cs="仿宋"/>
          <w:b w:val="0"/>
          <w:bCs w:val="0"/>
          <w:i w:val="0"/>
          <w:iCs w:val="0"/>
          <w:color w:val="auto"/>
          <w:spacing w:val="0"/>
          <w:w w:val="100"/>
          <w:sz w:val="24"/>
          <w:szCs w:val="24"/>
          <w:vertAlign w:val="baseline"/>
          <w:lang w:eastAsia="zh-CN"/>
        </w:rPr>
        <w:t>。</w:t>
      </w:r>
    </w:p>
    <w:p w14:paraId="27345598">
      <w:pPr>
        <w:pStyle w:val="18"/>
        <w:keepNext w:val="0"/>
        <w:keepLines w:val="0"/>
        <w:widowControl/>
        <w:suppressLineNumbers w:val="0"/>
        <w:spacing w:before="0" w:beforeAutospacing="0" w:after="0" w:afterAutospacing="0" w:line="360" w:lineRule="auto"/>
        <w:ind w:left="0" w:right="0" w:firstLine="21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★2、需溯源的仪器含中国计量科学研究院或中国测试技术研究院出具检定证书或校准证书。按照检定规程对人员进行培训；免费提供该项目检定员资格培训（1-2）人。</w:t>
      </w:r>
    </w:p>
    <w:p w14:paraId="44158A22">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3、多功能剂量仪:</w:t>
      </w:r>
    </w:p>
    <w:p w14:paraId="7B1D6B9C">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（1）单次曝光可显示多个参数，包括平均kVp、峰值kV、曝光时间、总剂量、剂量率、HVL等参数；</w:t>
      </w:r>
    </w:p>
    <w:p w14:paraId="63A10339">
      <w:pPr>
        <w:pStyle w:val="18"/>
        <w:keepNext w:val="0"/>
        <w:keepLines w:val="0"/>
        <w:widowControl/>
        <w:suppressLineNumbers w:val="0"/>
        <w:spacing w:before="0" w:beforeAutospacing="0" w:after="0" w:afterAutospacing="0" w:line="360" w:lineRule="auto"/>
        <w:ind w:left="0" w:right="0" w:firstLine="21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★（2）可通过WIFI、蓝牙或其他无线方式连接平板电脑，可将测量数据传至手机或者平板电脑；</w:t>
      </w:r>
    </w:p>
    <w:p w14:paraId="4ED6CC22">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（3）数据采集以及记录均可生成表格，可记录以Excel 形式输出；</w:t>
      </w:r>
    </w:p>
    <w:p w14:paraId="0CBE2D50">
      <w:pPr>
        <w:pStyle w:val="18"/>
        <w:keepNext w:val="0"/>
        <w:keepLines w:val="0"/>
        <w:widowControl/>
        <w:suppressLineNumbers w:val="0"/>
        <w:spacing w:before="0" w:beforeAutospacing="0" w:after="0" w:afterAutospacing="0" w:line="360" w:lineRule="auto"/>
        <w:ind w:left="0" w:right="0" w:firstLine="210"/>
        <w:jc w:val="both"/>
        <w:rPr>
          <w:rFonts w:hint="eastAsia" w:ascii="仿宋" w:hAnsi="仿宋" w:eastAsia="仿宋" w:cs="仿宋"/>
          <w:b w:val="0"/>
          <w:bCs w:val="0"/>
          <w:i w:val="0"/>
          <w:iCs w:val="0"/>
          <w:color w:val="auto"/>
          <w:spacing w:val="0"/>
          <w:w w:val="100"/>
          <w:sz w:val="24"/>
          <w:szCs w:val="24"/>
          <w:highlight w:val="yellow"/>
          <w:vertAlign w:val="baseline"/>
          <w:lang w:eastAsia="zh-CN"/>
        </w:rPr>
      </w:pPr>
      <w:r>
        <w:rPr>
          <w:rFonts w:hint="eastAsia" w:ascii="仿宋" w:hAnsi="仿宋" w:eastAsia="仿宋" w:cs="仿宋"/>
          <w:b w:val="0"/>
          <w:bCs w:val="0"/>
          <w:i w:val="0"/>
          <w:iCs w:val="0"/>
          <w:color w:val="auto"/>
          <w:spacing w:val="0"/>
          <w:w w:val="100"/>
          <w:sz w:val="24"/>
          <w:szCs w:val="24"/>
          <w:vertAlign w:val="baseline"/>
        </w:rPr>
        <w:t>★（4）主机（不含显示屏）:外观尺寸≤12</w:t>
      </w:r>
      <w:r>
        <w:rPr>
          <w:rFonts w:hint="eastAsia" w:ascii="仿宋" w:hAnsi="仿宋" w:eastAsia="仿宋" w:cs="仿宋"/>
          <w:b w:val="0"/>
          <w:bCs w:val="0"/>
          <w:i w:val="0"/>
          <w:iCs w:val="0"/>
          <w:color w:val="auto"/>
          <w:spacing w:val="0"/>
          <w:w w:val="100"/>
          <w:sz w:val="24"/>
          <w:szCs w:val="24"/>
          <w:vertAlign w:val="baseline"/>
          <w:lang w:val="en-US" w:eastAsia="zh-CN"/>
        </w:rPr>
        <w:t>5</w:t>
      </w:r>
      <w:r>
        <w:rPr>
          <w:rFonts w:hint="eastAsia" w:ascii="仿宋" w:hAnsi="仿宋" w:eastAsia="仿宋" w:cs="仿宋"/>
          <w:b w:val="0"/>
          <w:bCs w:val="0"/>
          <w:i w:val="0"/>
          <w:iCs w:val="0"/>
          <w:color w:val="auto"/>
          <w:spacing w:val="0"/>
          <w:w w:val="100"/>
          <w:sz w:val="24"/>
          <w:szCs w:val="24"/>
          <w:vertAlign w:val="baseline"/>
        </w:rPr>
        <w:t>mm×</w:t>
      </w:r>
      <w:r>
        <w:rPr>
          <w:rFonts w:hint="eastAsia" w:ascii="仿宋" w:hAnsi="仿宋" w:eastAsia="仿宋" w:cs="仿宋"/>
          <w:b w:val="0"/>
          <w:bCs w:val="0"/>
          <w:i w:val="0"/>
          <w:iCs w:val="0"/>
          <w:color w:val="auto"/>
          <w:spacing w:val="0"/>
          <w:w w:val="100"/>
          <w:sz w:val="24"/>
          <w:szCs w:val="24"/>
          <w:vertAlign w:val="baseline"/>
          <w:lang w:val="en-US" w:eastAsia="zh-CN"/>
        </w:rPr>
        <w:t>100</w:t>
      </w:r>
      <w:r>
        <w:rPr>
          <w:rFonts w:hint="eastAsia" w:ascii="仿宋" w:hAnsi="仿宋" w:eastAsia="仿宋" w:cs="仿宋"/>
          <w:b w:val="0"/>
          <w:bCs w:val="0"/>
          <w:i w:val="0"/>
          <w:iCs w:val="0"/>
          <w:color w:val="auto"/>
          <w:spacing w:val="0"/>
          <w:w w:val="100"/>
          <w:sz w:val="24"/>
          <w:szCs w:val="24"/>
          <w:vertAlign w:val="baseline"/>
        </w:rPr>
        <w:t>mm×</w:t>
      </w:r>
      <w:r>
        <w:rPr>
          <w:rFonts w:hint="eastAsia" w:ascii="仿宋" w:hAnsi="仿宋" w:eastAsia="仿宋" w:cs="仿宋"/>
          <w:b w:val="0"/>
          <w:bCs w:val="0"/>
          <w:i w:val="0"/>
          <w:iCs w:val="0"/>
          <w:color w:val="auto"/>
          <w:spacing w:val="0"/>
          <w:w w:val="100"/>
          <w:sz w:val="24"/>
          <w:szCs w:val="24"/>
          <w:vertAlign w:val="baseline"/>
          <w:lang w:val="en-US" w:eastAsia="zh-CN"/>
        </w:rPr>
        <w:t>30</w:t>
      </w:r>
      <w:r>
        <w:rPr>
          <w:rFonts w:hint="eastAsia" w:ascii="仿宋" w:hAnsi="仿宋" w:eastAsia="仿宋" w:cs="仿宋"/>
          <w:b w:val="0"/>
          <w:bCs w:val="0"/>
          <w:i w:val="0"/>
          <w:iCs w:val="0"/>
          <w:color w:val="auto"/>
          <w:spacing w:val="0"/>
          <w:w w:val="100"/>
          <w:sz w:val="24"/>
          <w:szCs w:val="24"/>
          <w:vertAlign w:val="baseline"/>
        </w:rPr>
        <w:t>mm；重量：≤</w:t>
      </w:r>
      <w:r>
        <w:rPr>
          <w:rFonts w:hint="eastAsia" w:ascii="仿宋" w:hAnsi="仿宋" w:eastAsia="仿宋" w:cs="仿宋"/>
          <w:b w:val="0"/>
          <w:bCs w:val="0"/>
          <w:i w:val="0"/>
          <w:iCs w:val="0"/>
          <w:color w:val="auto"/>
          <w:spacing w:val="0"/>
          <w:w w:val="100"/>
          <w:sz w:val="24"/>
          <w:szCs w:val="24"/>
          <w:vertAlign w:val="baseline"/>
          <w:lang w:val="en-US" w:eastAsia="zh-CN"/>
        </w:rPr>
        <w:t>250</w:t>
      </w:r>
      <w:r>
        <w:rPr>
          <w:rFonts w:hint="eastAsia" w:ascii="仿宋" w:hAnsi="仿宋" w:eastAsia="仿宋" w:cs="仿宋"/>
          <w:b w:val="0"/>
          <w:bCs w:val="0"/>
          <w:i w:val="0"/>
          <w:iCs w:val="0"/>
          <w:color w:val="auto"/>
          <w:spacing w:val="0"/>
          <w:w w:val="100"/>
          <w:sz w:val="24"/>
          <w:szCs w:val="24"/>
          <w:vertAlign w:val="baseline"/>
        </w:rPr>
        <w:t>g</w:t>
      </w:r>
    </w:p>
    <w:p w14:paraId="71C44F27">
      <w:pPr>
        <w:pStyle w:val="18"/>
        <w:keepNext w:val="0"/>
        <w:keepLines w:val="0"/>
        <w:widowControl/>
        <w:suppressLineNumbers w:val="0"/>
        <w:spacing w:before="0" w:beforeAutospacing="0" w:after="0" w:afterAutospacing="0" w:line="360" w:lineRule="auto"/>
        <w:ind w:left="0" w:right="0" w:firstLine="210"/>
        <w:jc w:val="both"/>
        <w:rPr>
          <w:rFonts w:hint="eastAsia" w:ascii="仿宋" w:hAnsi="仿宋" w:eastAsia="仿宋" w:cs="仿宋"/>
          <w:b w:val="0"/>
          <w:bCs w:val="0"/>
          <w:i w:val="0"/>
          <w:iCs w:val="0"/>
          <w:color w:val="auto"/>
          <w:spacing w:val="0"/>
          <w:w w:val="100"/>
          <w:sz w:val="24"/>
          <w:szCs w:val="24"/>
          <w:vertAlign w:val="baseline"/>
          <w:lang w:eastAsia="zh-CN"/>
        </w:rPr>
      </w:pPr>
      <w:r>
        <w:rPr>
          <w:rFonts w:hint="eastAsia" w:ascii="仿宋" w:hAnsi="仿宋" w:eastAsia="仿宋" w:cs="仿宋"/>
          <w:b w:val="0"/>
          <w:bCs w:val="0"/>
          <w:i w:val="0"/>
          <w:iCs w:val="0"/>
          <w:color w:val="auto"/>
          <w:spacing w:val="0"/>
          <w:w w:val="100"/>
          <w:sz w:val="24"/>
          <w:szCs w:val="24"/>
          <w:vertAlign w:val="baseline"/>
        </w:rPr>
        <w:t>★（5）采集</w:t>
      </w:r>
      <w:r>
        <w:rPr>
          <w:rFonts w:hint="eastAsia" w:ascii="仿宋" w:hAnsi="仿宋" w:eastAsia="仿宋" w:cs="仿宋"/>
          <w:b w:val="0"/>
          <w:bCs w:val="0"/>
          <w:i w:val="0"/>
          <w:iCs w:val="0"/>
          <w:color w:val="auto"/>
          <w:spacing w:val="0"/>
          <w:w w:val="100"/>
          <w:sz w:val="24"/>
          <w:szCs w:val="24"/>
          <w:vertAlign w:val="baseline"/>
          <w:lang w:val="en-US" w:eastAsia="zh-CN"/>
        </w:rPr>
        <w:t>配置</w:t>
      </w:r>
      <w:r>
        <w:rPr>
          <w:rFonts w:hint="eastAsia" w:ascii="仿宋" w:hAnsi="仿宋" w:eastAsia="仿宋" w:cs="仿宋"/>
          <w:b w:val="0"/>
          <w:bCs w:val="0"/>
          <w:i w:val="0"/>
          <w:iCs w:val="0"/>
          <w:color w:val="auto"/>
          <w:spacing w:val="0"/>
          <w:w w:val="100"/>
          <w:sz w:val="24"/>
          <w:szCs w:val="24"/>
          <w:vertAlign w:val="baseline"/>
        </w:rPr>
        <w:t>多功能探测器（摄影、透视、牙科、乳腺）。</w:t>
      </w:r>
    </w:p>
    <w:p w14:paraId="2B535DF6">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4、摄影透视牙科多功能探测器</w:t>
      </w:r>
    </w:p>
    <w:p w14:paraId="56F4CF33">
      <w:pPr>
        <w:pStyle w:val="18"/>
        <w:keepNext w:val="0"/>
        <w:keepLines w:val="0"/>
        <w:widowControl/>
        <w:suppressLineNumbers w:val="0"/>
        <w:spacing w:before="0" w:beforeAutospacing="0" w:after="0" w:afterAutospacing="0" w:line="360" w:lineRule="auto"/>
        <w:ind w:left="556" w:leftChars="227" w:right="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（1）能量范围40kV～150kV，误差：±2%；</w:t>
      </w:r>
    </w:p>
    <w:p w14:paraId="6DB4F8ED">
      <w:pPr>
        <w:pStyle w:val="18"/>
        <w:keepNext w:val="0"/>
        <w:keepLines w:val="0"/>
        <w:widowControl/>
        <w:suppressLineNumbers w:val="0"/>
        <w:spacing w:before="0" w:beforeAutospacing="0" w:after="0" w:afterAutospacing="0" w:line="360" w:lineRule="auto"/>
        <w:ind w:left="556" w:leftChars="227" w:right="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（2）剂量范围100nGy～999Gy；误差：±5%（K≥100μGy/s）</w:t>
      </w:r>
    </w:p>
    <w:p w14:paraId="737BBDC2">
      <w:pPr>
        <w:pStyle w:val="18"/>
        <w:keepNext w:val="0"/>
        <w:keepLines w:val="0"/>
        <w:widowControl/>
        <w:suppressLineNumbers w:val="0"/>
        <w:spacing w:before="0" w:beforeAutospacing="0" w:after="0" w:afterAutospacing="0" w:line="360" w:lineRule="auto"/>
        <w:ind w:left="556" w:leftChars="227" w:right="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（3）剂量率范围100nGy/s～500mGy/s；误差：±5%（K≥100μGy/s）</w:t>
      </w:r>
    </w:p>
    <w:p w14:paraId="627CECF4">
      <w:pPr>
        <w:pStyle w:val="18"/>
        <w:keepNext w:val="0"/>
        <w:keepLines w:val="0"/>
        <w:widowControl/>
        <w:suppressLineNumbers w:val="0"/>
        <w:spacing w:before="0" w:beforeAutospacing="0" w:after="0" w:afterAutospacing="0" w:line="360" w:lineRule="auto"/>
        <w:ind w:left="556" w:leftChars="227" w:right="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（4）曝光时间：1ms～999s，误差±1% ；</w:t>
      </w:r>
    </w:p>
    <w:p w14:paraId="489035CC">
      <w:pPr>
        <w:pStyle w:val="18"/>
        <w:keepNext w:val="0"/>
        <w:keepLines w:val="0"/>
        <w:widowControl/>
        <w:suppressLineNumbers w:val="0"/>
        <w:spacing w:before="0" w:beforeAutospacing="0" w:after="0" w:afterAutospacing="0" w:line="360" w:lineRule="auto"/>
        <w:ind w:left="556" w:leftChars="227" w:right="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（5）半值层：（1.0～14.0）mmAl，误差为±10%</w:t>
      </w:r>
    </w:p>
    <w:p w14:paraId="2E77CD47">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7、专用平板及软件</w:t>
      </w:r>
    </w:p>
    <w:p w14:paraId="735D59A1">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（1）平板电脑：≥8.4英寸/≥4G内存/≥32G；</w:t>
      </w:r>
    </w:p>
    <w:p w14:paraId="478C5CA9">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（2）兼容Windows或Android操作系统；</w:t>
      </w:r>
    </w:p>
    <w:p w14:paraId="367C6AFE">
      <w:pPr>
        <w:pStyle w:val="18"/>
        <w:keepNext w:val="0"/>
        <w:keepLines w:val="0"/>
        <w:widowControl/>
        <w:suppressLineNumbers w:val="0"/>
        <w:spacing w:before="0" w:beforeAutospacing="0" w:after="0" w:afterAutospacing="0" w:line="360" w:lineRule="auto"/>
        <w:ind w:left="0" w:right="0" w:firstLine="21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★（3）软件中文操作界面,软件为APP模式。</w:t>
      </w:r>
    </w:p>
    <w:p w14:paraId="5007A80D">
      <w:pPr>
        <w:pStyle w:val="18"/>
        <w:keepNext w:val="0"/>
        <w:keepLines w:val="0"/>
        <w:widowControl/>
        <w:suppressLineNumbers w:val="0"/>
        <w:spacing w:before="0" w:beforeAutospacing="0" w:after="0" w:afterAutospacing="0" w:line="360" w:lineRule="auto"/>
        <w:ind w:left="276" w:leftChars="113" w:right="0" w:firstLine="21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8、CR/DR综合检测模体</w:t>
      </w:r>
    </w:p>
    <w:p w14:paraId="2840FBA7">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（1）CR/DR综合检测模体材料：99%以上纯铝</w:t>
      </w:r>
    </w:p>
    <w:p w14:paraId="7C6ADFF2">
      <w:pPr>
        <w:pStyle w:val="18"/>
        <w:keepNext w:val="0"/>
        <w:keepLines w:val="0"/>
        <w:widowControl/>
        <w:suppressLineNumbers w:val="0"/>
        <w:spacing w:before="0" w:beforeAutospacing="0" w:after="0" w:afterAutospacing="0" w:line="360" w:lineRule="auto"/>
        <w:ind w:left="276" w:leftChars="113" w:right="0" w:firstLine="21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（2）CR/DR综合检测模体厚度：20mm±0.05mm</w:t>
      </w:r>
    </w:p>
    <w:p w14:paraId="378352C8">
      <w:pPr>
        <w:pStyle w:val="18"/>
        <w:keepNext w:val="0"/>
        <w:keepLines w:val="0"/>
        <w:widowControl/>
        <w:suppressLineNumbers w:val="0"/>
        <w:spacing w:before="0" w:beforeAutospacing="0" w:after="0" w:afterAutospacing="0" w:line="360" w:lineRule="auto"/>
        <w:ind w:left="276" w:leftChars="113" w:right="0" w:firstLine="21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（3）CR/DR综合检测模体孔径：10mm, 孔深偏差不超过±0.02mm</w:t>
      </w:r>
    </w:p>
    <w:p w14:paraId="40A1A926">
      <w:pPr>
        <w:pStyle w:val="18"/>
        <w:keepNext w:val="0"/>
        <w:keepLines w:val="0"/>
        <w:widowControl/>
        <w:suppressLineNumbers w:val="0"/>
        <w:spacing w:before="0" w:beforeAutospacing="0" w:after="0" w:afterAutospacing="0" w:line="360" w:lineRule="auto"/>
        <w:ind w:left="276" w:leftChars="113" w:right="0" w:firstLine="21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（4）低对比度分辨力测量范围： 0.35%至16%</w:t>
      </w:r>
    </w:p>
    <w:p w14:paraId="7CDBD57F">
      <w:pPr>
        <w:pStyle w:val="18"/>
        <w:keepNext w:val="0"/>
        <w:keepLines w:val="0"/>
        <w:widowControl/>
        <w:suppressLineNumbers w:val="0"/>
        <w:spacing w:before="0" w:beforeAutospacing="0" w:after="0" w:afterAutospacing="0" w:line="360" w:lineRule="auto"/>
        <w:ind w:left="276" w:leftChars="113" w:right="0" w:firstLine="21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（5）CR/DR综合检测模体尺寸：170mm×170mm×20mm</w:t>
      </w:r>
    </w:p>
    <w:p w14:paraId="2B802694">
      <w:pPr>
        <w:pStyle w:val="18"/>
        <w:keepNext w:val="0"/>
        <w:keepLines w:val="0"/>
        <w:widowControl/>
        <w:suppressLineNumbers w:val="0"/>
        <w:spacing w:before="0" w:beforeAutospacing="0" w:after="0" w:afterAutospacing="0" w:line="360" w:lineRule="auto"/>
        <w:ind w:left="276" w:leftChars="113" w:right="0" w:firstLine="21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（6）数字影像综合测试卡视野刻线最小分度值：2mm</w:t>
      </w:r>
    </w:p>
    <w:p w14:paraId="0B57DBB2">
      <w:pPr>
        <w:pStyle w:val="18"/>
        <w:keepNext w:val="0"/>
        <w:keepLines w:val="0"/>
        <w:widowControl/>
        <w:suppressLineNumbers w:val="0"/>
        <w:spacing w:before="0" w:beforeAutospacing="0" w:after="0" w:afterAutospacing="0" w:line="360" w:lineRule="auto"/>
        <w:ind w:left="276" w:leftChars="113" w:right="0" w:firstLine="210"/>
        <w:jc w:val="both"/>
        <w:rPr>
          <w:rFonts w:hint="eastAsia" w:ascii="仿宋" w:hAnsi="仿宋" w:eastAsia="仿宋" w:cs="仿宋"/>
          <w:b w:val="0"/>
          <w:bCs w:val="0"/>
          <w:i w:val="0"/>
          <w:iCs w:val="0"/>
          <w:color w:val="000000"/>
          <w:spacing w:val="0"/>
          <w:w w:val="100"/>
          <w:sz w:val="24"/>
          <w:szCs w:val="24"/>
          <w:vertAlign w:val="baseline"/>
        </w:rPr>
      </w:pPr>
      <w:r>
        <w:rPr>
          <w:rFonts w:hint="eastAsia" w:ascii="仿宋" w:hAnsi="仿宋" w:eastAsia="仿宋" w:cs="仿宋"/>
          <w:b w:val="0"/>
          <w:bCs w:val="0"/>
          <w:i w:val="0"/>
          <w:iCs w:val="0"/>
          <w:color w:val="000000"/>
          <w:spacing w:val="0"/>
          <w:w w:val="100"/>
          <w:sz w:val="24"/>
          <w:szCs w:val="24"/>
          <w:vertAlign w:val="baseline"/>
        </w:rPr>
        <w:t>（7）数字影像综合测试卡中心及边界共有5个均匀性测试点标识</w:t>
      </w:r>
      <w:r>
        <w:rPr>
          <w:rFonts w:hint="eastAsia" w:ascii="仿宋" w:hAnsi="仿宋" w:eastAsia="仿宋" w:cs="仿宋"/>
          <w:b w:val="0"/>
          <w:bCs w:val="0"/>
          <w:i w:val="0"/>
          <w:iCs w:val="0"/>
          <w:color w:val="000000"/>
          <w:spacing w:val="0"/>
          <w:w w:val="100"/>
          <w:sz w:val="24"/>
          <w:szCs w:val="24"/>
          <w:vertAlign w:val="baseline"/>
          <w:lang w:val="en-US" w:eastAsia="zh-CN"/>
        </w:rPr>
        <w:t>，测试卡尺寸应不小于(300</w:t>
      </w:r>
      <w:r>
        <w:rPr>
          <w:rFonts w:hint="eastAsia" w:ascii="仿宋" w:hAnsi="仿宋" w:eastAsia="仿宋" w:cs="仿宋"/>
          <w:b w:val="0"/>
          <w:bCs w:val="0"/>
          <w:i w:val="0"/>
          <w:iCs w:val="0"/>
          <w:color w:val="000000"/>
          <w:spacing w:val="0"/>
          <w:w w:val="100"/>
          <w:sz w:val="24"/>
          <w:szCs w:val="24"/>
          <w:vertAlign w:val="baseline"/>
        </w:rPr>
        <w:t>×</w:t>
      </w:r>
      <w:r>
        <w:rPr>
          <w:rFonts w:hint="eastAsia" w:ascii="仿宋" w:hAnsi="仿宋" w:eastAsia="仿宋" w:cs="仿宋"/>
          <w:b w:val="0"/>
          <w:bCs w:val="0"/>
          <w:i w:val="0"/>
          <w:iCs w:val="0"/>
          <w:color w:val="000000"/>
          <w:spacing w:val="0"/>
          <w:w w:val="100"/>
          <w:sz w:val="24"/>
          <w:szCs w:val="24"/>
          <w:vertAlign w:val="baseline"/>
          <w:lang w:val="en-US" w:eastAsia="zh-CN"/>
        </w:rPr>
        <w:t>300)mm2</w:t>
      </w:r>
      <w:r>
        <w:rPr>
          <w:rFonts w:hint="eastAsia" w:ascii="仿宋" w:hAnsi="仿宋" w:eastAsia="仿宋" w:cs="仿宋"/>
          <w:b w:val="0"/>
          <w:bCs w:val="0"/>
          <w:i w:val="0"/>
          <w:iCs w:val="0"/>
          <w:color w:val="000000"/>
          <w:spacing w:val="0"/>
          <w:w w:val="100"/>
          <w:sz w:val="24"/>
          <w:szCs w:val="24"/>
          <w:vertAlign w:val="baseline"/>
        </w:rPr>
        <w:t>.</w:t>
      </w:r>
    </w:p>
    <w:p w14:paraId="7C41646E">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（8）分辨力测试卡：0.1mmPb铅当量，线对数（0.6～5.0）LP/mm</w:t>
      </w:r>
    </w:p>
    <w:p w14:paraId="674FF1ED">
      <w:pPr>
        <w:pStyle w:val="18"/>
        <w:keepNext w:val="0"/>
        <w:keepLines w:val="0"/>
        <w:widowControl/>
        <w:suppressLineNumbers w:val="0"/>
        <w:spacing w:before="0" w:beforeAutospacing="0" w:after="0" w:afterAutospacing="0" w:line="360" w:lineRule="auto"/>
        <w:ind w:left="490" w:leftChars="200" w:right="0"/>
        <w:jc w:val="both"/>
        <w:rPr>
          <w:rFonts w:hint="eastAsia" w:ascii="仿宋" w:hAnsi="仿宋" w:eastAsia="仿宋" w:cs="仿宋"/>
          <w:b w:val="0"/>
          <w:bCs w:val="0"/>
          <w:i w:val="0"/>
          <w:iCs w:val="0"/>
          <w:color w:val="000000"/>
          <w:spacing w:val="0"/>
          <w:w w:val="100"/>
          <w:sz w:val="24"/>
          <w:szCs w:val="24"/>
          <w:vertAlign w:val="baseline"/>
          <w:lang w:eastAsia="zh-CN"/>
        </w:rPr>
      </w:pPr>
      <w:r>
        <w:rPr>
          <w:rFonts w:hint="eastAsia" w:ascii="仿宋" w:hAnsi="仿宋" w:eastAsia="仿宋" w:cs="仿宋"/>
          <w:b w:val="0"/>
          <w:bCs w:val="0"/>
          <w:i w:val="0"/>
          <w:iCs w:val="0"/>
          <w:color w:val="000000"/>
          <w:spacing w:val="0"/>
          <w:w w:val="100"/>
          <w:sz w:val="24"/>
          <w:szCs w:val="24"/>
          <w:vertAlign w:val="baseline"/>
        </w:rPr>
        <w:t>1</w:t>
      </w:r>
      <w:r>
        <w:rPr>
          <w:rFonts w:hint="eastAsia" w:ascii="仿宋" w:hAnsi="仿宋" w:eastAsia="仿宋" w:cs="仿宋"/>
          <w:b w:val="0"/>
          <w:bCs w:val="0"/>
          <w:i w:val="0"/>
          <w:iCs w:val="0"/>
          <w:color w:val="000000"/>
          <w:spacing w:val="0"/>
          <w:w w:val="100"/>
          <w:sz w:val="24"/>
          <w:szCs w:val="24"/>
          <w:vertAlign w:val="baseline"/>
          <w:lang w:val="en-US" w:eastAsia="zh-CN"/>
        </w:rPr>
        <w:t>0</w:t>
      </w:r>
      <w:r>
        <w:rPr>
          <w:rFonts w:hint="eastAsia" w:ascii="仿宋" w:hAnsi="仿宋" w:eastAsia="仿宋" w:cs="仿宋"/>
          <w:b w:val="0"/>
          <w:bCs w:val="0"/>
          <w:i w:val="0"/>
          <w:iCs w:val="0"/>
          <w:color w:val="000000"/>
          <w:spacing w:val="0"/>
          <w:w w:val="100"/>
          <w:sz w:val="24"/>
          <w:szCs w:val="24"/>
          <w:vertAlign w:val="baseline"/>
        </w:rPr>
        <w:t>、主要配置：</w:t>
      </w:r>
      <w:r>
        <w:rPr>
          <w:rFonts w:hint="eastAsia" w:ascii="仿宋" w:hAnsi="仿宋" w:eastAsia="仿宋" w:cs="仿宋"/>
          <w:b w:val="0"/>
          <w:bCs w:val="0"/>
          <w:i w:val="0"/>
          <w:iCs w:val="0"/>
          <w:color w:val="000000"/>
          <w:spacing w:val="0"/>
          <w:w w:val="100"/>
          <w:sz w:val="24"/>
          <w:szCs w:val="24"/>
          <w:highlight w:val="none"/>
          <w:vertAlign w:val="baseline"/>
        </w:rPr>
        <w:t>多功能诊断X射线剂量仪1台</w:t>
      </w:r>
      <w:r>
        <w:rPr>
          <w:rFonts w:hint="eastAsia" w:ascii="仿宋" w:hAnsi="仿宋" w:eastAsia="仿宋" w:cs="仿宋"/>
          <w:b w:val="0"/>
          <w:bCs w:val="0"/>
          <w:i w:val="0"/>
          <w:iCs w:val="0"/>
          <w:color w:val="000000"/>
          <w:spacing w:val="0"/>
          <w:w w:val="100"/>
          <w:sz w:val="24"/>
          <w:szCs w:val="24"/>
          <w:highlight w:val="none"/>
          <w:vertAlign w:val="baseline"/>
          <w:lang w:eastAsia="zh-CN"/>
        </w:rPr>
        <w:t>（</w:t>
      </w:r>
      <w:r>
        <w:rPr>
          <w:rFonts w:hint="eastAsia" w:ascii="仿宋" w:hAnsi="仿宋" w:eastAsia="仿宋" w:cs="仿宋"/>
          <w:b w:val="0"/>
          <w:bCs w:val="0"/>
          <w:i w:val="0"/>
          <w:iCs w:val="0"/>
          <w:color w:val="000000"/>
          <w:spacing w:val="0"/>
          <w:w w:val="100"/>
          <w:sz w:val="24"/>
          <w:szCs w:val="24"/>
          <w:highlight w:val="none"/>
          <w:vertAlign w:val="baseline"/>
          <w:lang w:val="en-US" w:eastAsia="zh-CN"/>
        </w:rPr>
        <w:t>包含主机和多功能探测器）</w:t>
      </w:r>
      <w:r>
        <w:rPr>
          <w:rFonts w:hint="eastAsia" w:ascii="仿宋" w:hAnsi="仿宋" w:eastAsia="仿宋" w:cs="仿宋"/>
          <w:b w:val="0"/>
          <w:bCs w:val="0"/>
          <w:i w:val="0"/>
          <w:iCs w:val="0"/>
          <w:color w:val="000000"/>
          <w:spacing w:val="0"/>
          <w:w w:val="100"/>
          <w:sz w:val="24"/>
          <w:szCs w:val="24"/>
          <w:highlight w:val="none"/>
          <w:vertAlign w:val="baseline"/>
        </w:rPr>
        <w:t>，</w:t>
      </w:r>
      <w:r>
        <w:rPr>
          <w:rFonts w:hint="eastAsia" w:ascii="仿宋" w:hAnsi="仿宋" w:eastAsia="仿宋" w:cs="仿宋"/>
          <w:b w:val="0"/>
          <w:bCs w:val="0"/>
          <w:i w:val="0"/>
          <w:iCs w:val="0"/>
          <w:color w:val="000000"/>
          <w:spacing w:val="0"/>
          <w:w w:val="100"/>
          <w:sz w:val="24"/>
          <w:szCs w:val="24"/>
          <w:vertAlign w:val="baseline"/>
        </w:rPr>
        <w:t>平板电脑（含软件）1台，</w:t>
      </w:r>
      <w:r>
        <w:rPr>
          <w:rFonts w:hint="eastAsia" w:ascii="仿宋" w:hAnsi="仿宋" w:eastAsia="仿宋" w:cs="仿宋"/>
          <w:b w:val="0"/>
          <w:bCs w:val="0"/>
          <w:i w:val="0"/>
          <w:iCs w:val="0"/>
          <w:color w:val="000000"/>
          <w:spacing w:val="0"/>
          <w:w w:val="100"/>
          <w:sz w:val="24"/>
          <w:szCs w:val="24"/>
          <w:vertAlign w:val="baseline"/>
          <w:lang w:val="en-US" w:eastAsia="zh-CN"/>
        </w:rPr>
        <w:t>笔记本电脑1台（标压i7-13620H、24G内存、1TB固态硬盘、14英寸屏），</w:t>
      </w:r>
      <w:r>
        <w:rPr>
          <w:rFonts w:hint="eastAsia" w:ascii="仿宋" w:hAnsi="仿宋" w:eastAsia="仿宋" w:cs="仿宋"/>
          <w:b w:val="0"/>
          <w:bCs w:val="0"/>
          <w:i w:val="0"/>
          <w:iCs w:val="0"/>
          <w:color w:val="000000"/>
          <w:spacing w:val="0"/>
          <w:w w:val="100"/>
          <w:sz w:val="24"/>
          <w:szCs w:val="24"/>
          <w:vertAlign w:val="baseline"/>
        </w:rPr>
        <w:t>说明书1套，专用包装箱1套，0.</w:t>
      </w:r>
      <w:r>
        <w:rPr>
          <w:rFonts w:hint="eastAsia" w:ascii="仿宋" w:hAnsi="仿宋" w:eastAsia="仿宋" w:cs="仿宋"/>
          <w:b w:val="0"/>
          <w:bCs w:val="0"/>
          <w:i w:val="0"/>
          <w:iCs w:val="0"/>
          <w:color w:val="000000"/>
          <w:spacing w:val="0"/>
          <w:w w:val="100"/>
          <w:sz w:val="24"/>
          <w:szCs w:val="24"/>
          <w:vertAlign w:val="baseline"/>
          <w:lang w:val="en-US" w:eastAsia="zh-CN"/>
        </w:rPr>
        <w:t>1</w:t>
      </w:r>
      <w:r>
        <w:rPr>
          <w:rFonts w:hint="eastAsia" w:ascii="仿宋" w:hAnsi="仿宋" w:eastAsia="仿宋" w:cs="仿宋"/>
          <w:b w:val="0"/>
          <w:bCs w:val="0"/>
          <w:i w:val="0"/>
          <w:iCs w:val="0"/>
          <w:color w:val="000000"/>
          <w:spacing w:val="0"/>
          <w:w w:val="100"/>
          <w:sz w:val="24"/>
          <w:szCs w:val="24"/>
          <w:vertAlign w:val="baseline"/>
        </w:rPr>
        <w:t>mmPb分辨力测试卡1个，溯源证书1套</w:t>
      </w:r>
      <w:r>
        <w:rPr>
          <w:rFonts w:hint="eastAsia" w:ascii="仿宋" w:hAnsi="仿宋" w:eastAsia="仿宋" w:cs="仿宋"/>
          <w:b w:val="0"/>
          <w:bCs w:val="0"/>
          <w:i w:val="0"/>
          <w:iCs w:val="0"/>
          <w:color w:val="000000"/>
          <w:spacing w:val="0"/>
          <w:w w:val="100"/>
          <w:sz w:val="24"/>
          <w:szCs w:val="24"/>
          <w:vertAlign w:val="baseline"/>
          <w:lang w:eastAsia="zh-CN"/>
        </w:rPr>
        <w:t>。</w:t>
      </w:r>
    </w:p>
    <w:p w14:paraId="0469E3E3">
      <w:pPr>
        <w:pStyle w:val="3"/>
        <w:keepNext w:val="0"/>
        <w:keepLines w:val="0"/>
        <w:widowControl/>
        <w:suppressLineNumbers w:val="0"/>
        <w:spacing w:before="260" w:beforeAutospacing="0" w:after="260" w:afterAutospacing="0" w:line="360" w:lineRule="auto"/>
        <w:ind w:left="0" w:right="0"/>
        <w:jc w:val="center"/>
        <w:rPr>
          <w:rFonts w:hint="default" w:ascii="仿宋" w:hAnsi="仿宋" w:eastAsia="仿宋" w:cs="仿宋"/>
          <w:lang w:val="en-US" w:eastAsia="zh-CN"/>
        </w:rPr>
      </w:pPr>
      <w:r>
        <w:rPr>
          <w:rFonts w:hint="eastAsia" w:ascii="仿宋" w:hAnsi="仿宋" w:eastAsia="仿宋" w:cs="仿宋"/>
          <w:b/>
          <w:bCs/>
          <w:i w:val="0"/>
          <w:iCs w:val="0"/>
          <w:color w:val="000000"/>
          <w:spacing w:val="0"/>
          <w:w w:val="100"/>
          <w:sz w:val="32"/>
          <w:szCs w:val="32"/>
          <w:vertAlign w:val="baseline"/>
        </w:rPr>
        <w:t>医用CT X射线辐射源检定装置</w:t>
      </w:r>
      <w:r>
        <w:rPr>
          <w:rFonts w:hint="eastAsia" w:ascii="仿宋" w:hAnsi="仿宋" w:eastAsia="仿宋" w:cs="仿宋"/>
          <w:b/>
          <w:bCs/>
          <w:i w:val="0"/>
          <w:iCs w:val="0"/>
          <w:color w:val="000000"/>
          <w:spacing w:val="0"/>
          <w:w w:val="100"/>
          <w:sz w:val="32"/>
          <w:szCs w:val="32"/>
          <w:vertAlign w:val="baseline"/>
          <w:lang w:val="en-US" w:eastAsia="zh-CN"/>
        </w:rPr>
        <w:t>1套</w:t>
      </w:r>
    </w:p>
    <w:p w14:paraId="2BC81FB6">
      <w:pPr>
        <w:pStyle w:val="18"/>
        <w:keepNext w:val="0"/>
        <w:keepLines w:val="0"/>
        <w:widowControl/>
        <w:numPr>
          <w:ilvl w:val="0"/>
          <w:numId w:val="0"/>
        </w:numPr>
        <w:suppressLineNumbers w:val="0"/>
        <w:spacing w:before="0" w:beforeAutospacing="0" w:after="0" w:afterAutospacing="0" w:line="360" w:lineRule="auto"/>
        <w:ind w:right="0" w:rightChars="0" w:firstLine="490" w:firstLineChars="200"/>
        <w:jc w:val="left"/>
        <w:rPr>
          <w:rFonts w:hint="eastAsia" w:ascii="仿宋" w:hAnsi="仿宋" w:eastAsia="仿宋" w:cs="仿宋"/>
          <w:lang w:eastAsia="zh-CN"/>
        </w:rPr>
      </w:pPr>
      <w:r>
        <w:rPr>
          <w:rFonts w:hint="eastAsia" w:ascii="仿宋" w:hAnsi="仿宋" w:eastAsia="仿宋" w:cs="仿宋"/>
          <w:b w:val="0"/>
          <w:bCs w:val="0"/>
          <w:i w:val="0"/>
          <w:iCs w:val="0"/>
          <w:color w:val="000000"/>
          <w:spacing w:val="0"/>
          <w:w w:val="100"/>
          <w:sz w:val="24"/>
          <w:szCs w:val="24"/>
          <w:vertAlign w:val="baseline"/>
        </w:rPr>
        <w:t>1、满足JJG 961-2017《医用诊断螺旋计算机断层摄影装置（CT）X射线辐射源》检定</w:t>
      </w:r>
      <w:r>
        <w:rPr>
          <w:rFonts w:hint="eastAsia" w:ascii="仿宋" w:hAnsi="仿宋" w:eastAsia="仿宋" w:cs="仿宋"/>
          <w:b w:val="0"/>
          <w:bCs w:val="0"/>
          <w:i w:val="0"/>
          <w:iCs w:val="0"/>
          <w:color w:val="auto"/>
          <w:spacing w:val="0"/>
          <w:w w:val="100"/>
          <w:sz w:val="24"/>
          <w:szCs w:val="24"/>
          <w:vertAlign w:val="baseline"/>
        </w:rPr>
        <w:t>规程的建标要求。制造厂家质量管理体系符</w:t>
      </w:r>
      <w:r>
        <w:rPr>
          <w:rFonts w:hint="eastAsia" w:ascii="仿宋" w:hAnsi="仿宋" w:eastAsia="仿宋" w:cs="仿宋"/>
          <w:b w:val="0"/>
          <w:bCs w:val="0"/>
          <w:i w:val="0"/>
          <w:iCs w:val="0"/>
          <w:color w:val="auto"/>
          <w:spacing w:val="0"/>
          <w:w w:val="100"/>
          <w:sz w:val="24"/>
          <w:szCs w:val="24"/>
          <w:vertAlign w:val="baseline"/>
          <w:lang w:val="en-US" w:eastAsia="zh-CN"/>
        </w:rPr>
        <w:t>合</w:t>
      </w:r>
      <w:r>
        <w:rPr>
          <w:rFonts w:hint="eastAsia" w:ascii="仿宋" w:hAnsi="仿宋" w:eastAsia="仿宋" w:cs="仿宋"/>
          <w:b w:val="0"/>
          <w:bCs w:val="0"/>
          <w:i w:val="0"/>
          <w:iCs w:val="0"/>
          <w:color w:val="auto"/>
          <w:spacing w:val="0"/>
          <w:w w:val="100"/>
          <w:sz w:val="24"/>
          <w:szCs w:val="24"/>
          <w:vertAlign w:val="baseline"/>
        </w:rPr>
        <w:t>GB/T19001-2016/ISO9001</w:t>
      </w:r>
      <w:r>
        <w:rPr>
          <w:rFonts w:hint="eastAsia" w:ascii="仿宋" w:hAnsi="仿宋" w:eastAsia="仿宋" w:cs="仿宋"/>
          <w:b w:val="0"/>
          <w:bCs w:val="0"/>
          <w:i w:val="0"/>
          <w:iCs w:val="0"/>
          <w:color w:val="auto"/>
          <w:spacing w:val="0"/>
          <w:w w:val="100"/>
          <w:sz w:val="24"/>
          <w:szCs w:val="24"/>
          <w:vertAlign w:val="baseline"/>
          <w:lang w:eastAsia="zh-CN"/>
        </w:rPr>
        <w:t>。</w:t>
      </w:r>
    </w:p>
    <w:p w14:paraId="1388787B">
      <w:pPr>
        <w:pStyle w:val="18"/>
        <w:keepNext w:val="0"/>
        <w:keepLines w:val="0"/>
        <w:widowControl/>
        <w:suppressLineNumbers w:val="0"/>
        <w:spacing w:before="0" w:beforeAutospacing="0" w:after="0" w:afterAutospacing="0" w:line="360" w:lineRule="auto"/>
        <w:ind w:left="0" w:right="0" w:firstLine="21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★2、需溯源的仪器含中国计量科学研究院或中国测试技术研究院出具检定证书或校准证书。按照检定规程对人员进行培训；免费提供该项目检定员资格培训（1-2）人。</w:t>
      </w:r>
    </w:p>
    <w:p w14:paraId="4A1FCFB6">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color w:val="auto"/>
          <w:lang w:eastAsia="zh-CN"/>
        </w:rPr>
      </w:pPr>
      <w:r>
        <w:rPr>
          <w:rFonts w:hint="eastAsia" w:ascii="仿宋" w:hAnsi="仿宋" w:eastAsia="仿宋" w:cs="仿宋"/>
          <w:b w:val="0"/>
          <w:bCs w:val="0"/>
          <w:i w:val="0"/>
          <w:iCs w:val="0"/>
          <w:color w:val="auto"/>
          <w:spacing w:val="0"/>
          <w:w w:val="100"/>
          <w:sz w:val="24"/>
          <w:szCs w:val="24"/>
          <w:vertAlign w:val="baseline"/>
        </w:rPr>
        <w:t>3、CT剂量仪主机</w:t>
      </w:r>
      <w:r>
        <w:rPr>
          <w:rFonts w:hint="eastAsia" w:ascii="仿宋" w:hAnsi="仿宋" w:eastAsia="仿宋" w:cs="仿宋"/>
          <w:b w:val="0"/>
          <w:bCs w:val="0"/>
          <w:i w:val="0"/>
          <w:iCs w:val="0"/>
          <w:color w:val="auto"/>
          <w:spacing w:val="0"/>
          <w:w w:val="100"/>
          <w:sz w:val="24"/>
          <w:szCs w:val="24"/>
          <w:vertAlign w:val="baseline"/>
          <w:lang w:eastAsia="zh-CN"/>
        </w:rPr>
        <w:t>（</w:t>
      </w:r>
      <w:r>
        <w:rPr>
          <w:rFonts w:hint="eastAsia" w:ascii="仿宋" w:hAnsi="仿宋" w:eastAsia="仿宋" w:cs="仿宋"/>
          <w:b w:val="0"/>
          <w:bCs w:val="0"/>
          <w:i w:val="0"/>
          <w:iCs w:val="0"/>
          <w:color w:val="auto"/>
          <w:spacing w:val="0"/>
          <w:w w:val="100"/>
          <w:sz w:val="24"/>
          <w:szCs w:val="24"/>
          <w:vertAlign w:val="baseline"/>
          <w:lang w:val="en-US" w:eastAsia="zh-CN"/>
        </w:rPr>
        <w:t>带CT探头</w:t>
      </w:r>
      <w:r>
        <w:rPr>
          <w:rFonts w:hint="eastAsia" w:ascii="仿宋" w:hAnsi="仿宋" w:eastAsia="仿宋" w:cs="仿宋"/>
          <w:b w:val="0"/>
          <w:bCs w:val="0"/>
          <w:i w:val="0"/>
          <w:iCs w:val="0"/>
          <w:color w:val="auto"/>
          <w:spacing w:val="0"/>
          <w:w w:val="100"/>
          <w:sz w:val="24"/>
          <w:szCs w:val="24"/>
          <w:vertAlign w:val="baseline"/>
          <w:lang w:eastAsia="zh-CN"/>
        </w:rPr>
        <w:t>）</w:t>
      </w:r>
    </w:p>
    <w:p w14:paraId="0E07E543">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b w:val="0"/>
          <w:bCs w:val="0"/>
          <w:i w:val="0"/>
          <w:iCs w:val="0"/>
          <w:color w:val="auto"/>
          <w:spacing w:val="0"/>
          <w:w w:val="100"/>
          <w:sz w:val="24"/>
          <w:szCs w:val="24"/>
          <w:vertAlign w:val="baseline"/>
          <w:lang w:eastAsia="zh-CN"/>
        </w:rPr>
      </w:pPr>
      <w:r>
        <w:rPr>
          <w:rFonts w:hint="eastAsia" w:ascii="仿宋" w:hAnsi="仿宋" w:eastAsia="仿宋" w:cs="仿宋"/>
          <w:b w:val="0"/>
          <w:bCs w:val="0"/>
          <w:i w:val="0"/>
          <w:iCs w:val="0"/>
          <w:color w:val="auto"/>
          <w:spacing w:val="0"/>
          <w:w w:val="100"/>
          <w:sz w:val="24"/>
          <w:szCs w:val="24"/>
          <w:vertAlign w:val="baseline"/>
        </w:rPr>
        <w:t>（1）CT独立剂量仪，带有CT分析软件，</w:t>
      </w:r>
      <w:r>
        <w:rPr>
          <w:rFonts w:hint="eastAsia" w:ascii="仿宋" w:hAnsi="仿宋" w:eastAsia="仿宋" w:cs="仿宋"/>
          <w:b w:val="0"/>
          <w:bCs w:val="0"/>
          <w:i w:val="0"/>
          <w:iCs w:val="0"/>
          <w:color w:val="auto"/>
          <w:spacing w:val="0"/>
          <w:w w:val="100"/>
          <w:sz w:val="24"/>
          <w:szCs w:val="24"/>
          <w:highlight w:val="none"/>
          <w:vertAlign w:val="baseline"/>
        </w:rPr>
        <w:t>自动计算CT的容积剂量指数和加权剂量指数，</w:t>
      </w:r>
      <w:r>
        <w:rPr>
          <w:rFonts w:hint="eastAsia" w:ascii="仿宋" w:hAnsi="仿宋" w:eastAsia="仿宋" w:cs="仿宋"/>
          <w:b w:val="0"/>
          <w:bCs w:val="0"/>
          <w:i w:val="0"/>
          <w:iCs w:val="0"/>
          <w:color w:val="auto"/>
          <w:spacing w:val="0"/>
          <w:w w:val="100"/>
          <w:sz w:val="24"/>
          <w:szCs w:val="24"/>
          <w:vertAlign w:val="baseline"/>
        </w:rPr>
        <w:t>支持电离室温度气压自动修正功能；</w:t>
      </w:r>
    </w:p>
    <w:p w14:paraId="26E2728F">
      <w:pPr>
        <w:pStyle w:val="18"/>
        <w:keepNext w:val="0"/>
        <w:keepLines w:val="0"/>
        <w:widowControl/>
        <w:suppressLineNumbers w:val="0"/>
        <w:spacing w:before="0" w:beforeAutospacing="0" w:after="0" w:afterAutospacing="0" w:line="360" w:lineRule="auto"/>
        <w:ind w:left="0" w:right="0" w:firstLine="21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★（2）可通过WIFI、蓝牙或其他无线方式连接平板电脑，可将测量数据传至手机或者平板电脑；</w:t>
      </w:r>
    </w:p>
    <w:p w14:paraId="7E5CBA4F">
      <w:pPr>
        <w:pStyle w:val="18"/>
        <w:keepNext w:val="0"/>
        <w:keepLines w:val="0"/>
        <w:widowControl/>
        <w:numPr>
          <w:ilvl w:val="0"/>
          <w:numId w:val="0"/>
        </w:numPr>
        <w:suppressLineNumbers w:val="0"/>
        <w:spacing w:before="0" w:beforeAutospacing="0" w:after="0" w:afterAutospacing="0" w:line="360" w:lineRule="auto"/>
        <w:ind w:left="420" w:leftChars="0" w:right="0" w:rightChars="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w:t>
      </w:r>
      <w:r>
        <w:rPr>
          <w:rFonts w:hint="eastAsia" w:ascii="仿宋" w:hAnsi="仿宋" w:eastAsia="仿宋" w:cs="仿宋"/>
          <w:b w:val="0"/>
          <w:bCs w:val="0"/>
          <w:i w:val="0"/>
          <w:iCs w:val="0"/>
          <w:color w:val="000000"/>
          <w:spacing w:val="0"/>
          <w:w w:val="100"/>
          <w:sz w:val="24"/>
          <w:szCs w:val="24"/>
          <w:vertAlign w:val="baseline"/>
          <w:lang w:val="en-US" w:eastAsia="zh-CN"/>
        </w:rPr>
        <w:t>3</w:t>
      </w:r>
      <w:r>
        <w:rPr>
          <w:rFonts w:hint="eastAsia" w:ascii="仿宋" w:hAnsi="仿宋" w:eastAsia="仿宋" w:cs="仿宋"/>
          <w:b w:val="0"/>
          <w:bCs w:val="0"/>
          <w:i w:val="0"/>
          <w:iCs w:val="0"/>
          <w:color w:val="000000"/>
          <w:spacing w:val="0"/>
          <w:w w:val="100"/>
          <w:sz w:val="24"/>
          <w:szCs w:val="24"/>
          <w:vertAlign w:val="baseline"/>
        </w:rPr>
        <w:t>）</w:t>
      </w:r>
      <w:r>
        <w:rPr>
          <w:rFonts w:hint="eastAsia" w:ascii="仿宋" w:hAnsi="仿宋" w:eastAsia="仿宋" w:cs="仿宋"/>
        </w:rPr>
        <w:t xml:space="preserve"> </w:t>
      </w:r>
      <w:r>
        <w:rPr>
          <w:rFonts w:hint="eastAsia" w:ascii="仿宋" w:hAnsi="仿宋" w:eastAsia="仿宋" w:cs="仿宋"/>
          <w:b w:val="0"/>
          <w:bCs w:val="0"/>
          <w:i w:val="0"/>
          <w:iCs w:val="0"/>
          <w:color w:val="000000"/>
          <w:spacing w:val="0"/>
          <w:w w:val="100"/>
          <w:sz w:val="24"/>
          <w:szCs w:val="24"/>
          <w:vertAlign w:val="baseline"/>
        </w:rPr>
        <w:t>数据采集以及记录均可生成表格，可记录以Excel 形式输出；</w:t>
      </w:r>
    </w:p>
    <w:p w14:paraId="5607CBE7">
      <w:pPr>
        <w:pStyle w:val="18"/>
        <w:keepNext w:val="0"/>
        <w:keepLines w:val="0"/>
        <w:widowControl/>
        <w:suppressLineNumbers w:val="0"/>
        <w:spacing w:before="0" w:beforeAutospacing="0" w:after="0" w:afterAutospacing="0" w:line="360" w:lineRule="auto"/>
        <w:ind w:left="0" w:right="0" w:firstLine="210"/>
        <w:jc w:val="both"/>
        <w:rPr>
          <w:rFonts w:hint="eastAsia" w:ascii="仿宋" w:hAnsi="仿宋" w:eastAsia="仿宋" w:cs="仿宋"/>
          <w:color w:val="FF0000"/>
          <w:lang w:eastAsia="zh-CN"/>
        </w:rPr>
      </w:pPr>
      <w:r>
        <w:rPr>
          <w:rFonts w:hint="eastAsia" w:ascii="仿宋" w:hAnsi="仿宋" w:eastAsia="仿宋" w:cs="仿宋"/>
          <w:b w:val="0"/>
          <w:bCs w:val="0"/>
          <w:i w:val="0"/>
          <w:iCs w:val="0"/>
          <w:color w:val="auto"/>
          <w:spacing w:val="0"/>
          <w:w w:val="100"/>
          <w:sz w:val="24"/>
          <w:szCs w:val="24"/>
          <w:vertAlign w:val="baseline"/>
        </w:rPr>
        <w:t>★（4）主机（不含显示屏）:外观尺寸≤12</w:t>
      </w:r>
      <w:r>
        <w:rPr>
          <w:rFonts w:hint="eastAsia" w:ascii="仿宋" w:hAnsi="仿宋" w:eastAsia="仿宋" w:cs="仿宋"/>
          <w:b w:val="0"/>
          <w:bCs w:val="0"/>
          <w:i w:val="0"/>
          <w:iCs w:val="0"/>
          <w:color w:val="auto"/>
          <w:spacing w:val="0"/>
          <w:w w:val="100"/>
          <w:sz w:val="24"/>
          <w:szCs w:val="24"/>
          <w:vertAlign w:val="baseline"/>
          <w:lang w:val="en-US" w:eastAsia="zh-CN"/>
        </w:rPr>
        <w:t>5</w:t>
      </w:r>
      <w:r>
        <w:rPr>
          <w:rFonts w:hint="eastAsia" w:ascii="仿宋" w:hAnsi="仿宋" w:eastAsia="仿宋" w:cs="仿宋"/>
          <w:b w:val="0"/>
          <w:bCs w:val="0"/>
          <w:i w:val="0"/>
          <w:iCs w:val="0"/>
          <w:color w:val="auto"/>
          <w:spacing w:val="0"/>
          <w:w w:val="100"/>
          <w:sz w:val="24"/>
          <w:szCs w:val="24"/>
          <w:vertAlign w:val="baseline"/>
        </w:rPr>
        <w:t>mm×</w:t>
      </w:r>
      <w:r>
        <w:rPr>
          <w:rFonts w:hint="eastAsia" w:ascii="仿宋" w:hAnsi="仿宋" w:eastAsia="仿宋" w:cs="仿宋"/>
          <w:b w:val="0"/>
          <w:bCs w:val="0"/>
          <w:i w:val="0"/>
          <w:iCs w:val="0"/>
          <w:color w:val="auto"/>
          <w:spacing w:val="0"/>
          <w:w w:val="100"/>
          <w:sz w:val="24"/>
          <w:szCs w:val="24"/>
          <w:vertAlign w:val="baseline"/>
          <w:lang w:val="en-US" w:eastAsia="zh-CN"/>
        </w:rPr>
        <w:t>100</w:t>
      </w:r>
      <w:r>
        <w:rPr>
          <w:rFonts w:hint="eastAsia" w:ascii="仿宋" w:hAnsi="仿宋" w:eastAsia="仿宋" w:cs="仿宋"/>
          <w:b w:val="0"/>
          <w:bCs w:val="0"/>
          <w:i w:val="0"/>
          <w:iCs w:val="0"/>
          <w:color w:val="auto"/>
          <w:spacing w:val="0"/>
          <w:w w:val="100"/>
          <w:sz w:val="24"/>
          <w:szCs w:val="24"/>
          <w:vertAlign w:val="baseline"/>
        </w:rPr>
        <w:t>mm×</w:t>
      </w:r>
      <w:r>
        <w:rPr>
          <w:rFonts w:hint="eastAsia" w:ascii="仿宋" w:hAnsi="仿宋" w:eastAsia="仿宋" w:cs="仿宋"/>
          <w:b w:val="0"/>
          <w:bCs w:val="0"/>
          <w:i w:val="0"/>
          <w:iCs w:val="0"/>
          <w:color w:val="auto"/>
          <w:spacing w:val="0"/>
          <w:w w:val="100"/>
          <w:sz w:val="24"/>
          <w:szCs w:val="24"/>
          <w:vertAlign w:val="baseline"/>
          <w:lang w:val="en-US" w:eastAsia="zh-CN"/>
        </w:rPr>
        <w:t>40</w:t>
      </w:r>
      <w:r>
        <w:rPr>
          <w:rFonts w:hint="eastAsia" w:ascii="仿宋" w:hAnsi="仿宋" w:eastAsia="仿宋" w:cs="仿宋"/>
          <w:b w:val="0"/>
          <w:bCs w:val="0"/>
          <w:i w:val="0"/>
          <w:iCs w:val="0"/>
          <w:color w:val="auto"/>
          <w:spacing w:val="0"/>
          <w:w w:val="100"/>
          <w:sz w:val="24"/>
          <w:szCs w:val="24"/>
          <w:vertAlign w:val="baseline"/>
        </w:rPr>
        <w:t>mm；重量：≤</w:t>
      </w:r>
      <w:r>
        <w:rPr>
          <w:rFonts w:hint="eastAsia" w:ascii="仿宋" w:hAnsi="仿宋" w:eastAsia="仿宋" w:cs="仿宋"/>
          <w:b w:val="0"/>
          <w:bCs w:val="0"/>
          <w:i w:val="0"/>
          <w:iCs w:val="0"/>
          <w:color w:val="auto"/>
          <w:spacing w:val="0"/>
          <w:w w:val="100"/>
          <w:sz w:val="24"/>
          <w:szCs w:val="24"/>
          <w:vertAlign w:val="baseline"/>
          <w:lang w:val="en-US" w:eastAsia="zh-CN"/>
        </w:rPr>
        <w:t>250</w:t>
      </w:r>
      <w:r>
        <w:rPr>
          <w:rFonts w:hint="eastAsia" w:ascii="仿宋" w:hAnsi="仿宋" w:eastAsia="仿宋" w:cs="仿宋"/>
          <w:b w:val="0"/>
          <w:bCs w:val="0"/>
          <w:i w:val="0"/>
          <w:iCs w:val="0"/>
          <w:color w:val="auto"/>
          <w:spacing w:val="0"/>
          <w:w w:val="100"/>
          <w:sz w:val="24"/>
          <w:szCs w:val="24"/>
          <w:vertAlign w:val="baseline"/>
        </w:rPr>
        <w:t>g</w:t>
      </w:r>
    </w:p>
    <w:p w14:paraId="35B6D6E0">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（5）有效探测区：100 mm</w:t>
      </w:r>
    </w:p>
    <w:p w14:paraId="7443A6EC">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（6）剂量范围：（0.01～300）mGy</w:t>
      </w:r>
    </w:p>
    <w:p w14:paraId="6517AD41">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（7）剂量长度乘积范围：（0.1～3000）mGy·cm</w:t>
      </w:r>
    </w:p>
    <w:p w14:paraId="08FB04A6">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（8）误差：±5%</w:t>
      </w:r>
    </w:p>
    <w:p w14:paraId="3F6B6783">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（9）重复性：0.5%</w:t>
      </w:r>
    </w:p>
    <w:p w14:paraId="6E159A96">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（10）非线性：±0.5%</w:t>
      </w:r>
    </w:p>
    <w:p w14:paraId="0ED71B03">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（11）能响：±3%（50kV～150kV）</w:t>
      </w:r>
    </w:p>
    <w:p w14:paraId="292D1A34">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4、专用平板及软件</w:t>
      </w:r>
    </w:p>
    <w:p w14:paraId="75DF9208">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（1）平板电脑：≥8.</w:t>
      </w:r>
      <w:r>
        <w:rPr>
          <w:rFonts w:hint="eastAsia" w:ascii="仿宋" w:hAnsi="仿宋" w:eastAsia="仿宋" w:cs="仿宋"/>
          <w:b w:val="0"/>
          <w:bCs w:val="0"/>
          <w:i w:val="0"/>
          <w:iCs w:val="0"/>
          <w:color w:val="000000"/>
          <w:spacing w:val="0"/>
          <w:w w:val="100"/>
          <w:sz w:val="24"/>
          <w:szCs w:val="24"/>
          <w:vertAlign w:val="baseline"/>
          <w:lang w:val="en-US" w:eastAsia="zh-CN"/>
        </w:rPr>
        <w:t>2</w:t>
      </w:r>
      <w:r>
        <w:rPr>
          <w:rFonts w:hint="eastAsia" w:ascii="仿宋" w:hAnsi="仿宋" w:eastAsia="仿宋" w:cs="仿宋"/>
          <w:b w:val="0"/>
          <w:bCs w:val="0"/>
          <w:i w:val="0"/>
          <w:iCs w:val="0"/>
          <w:color w:val="000000"/>
          <w:spacing w:val="0"/>
          <w:w w:val="100"/>
          <w:sz w:val="24"/>
          <w:szCs w:val="24"/>
          <w:vertAlign w:val="baseline"/>
        </w:rPr>
        <w:t>英寸</w:t>
      </w:r>
      <w:r>
        <w:rPr>
          <w:rFonts w:hint="eastAsia" w:ascii="仿宋" w:hAnsi="仿宋" w:eastAsia="仿宋" w:cs="仿宋"/>
          <w:b w:val="0"/>
          <w:bCs w:val="0"/>
          <w:i w:val="0"/>
          <w:iCs w:val="0"/>
          <w:color w:val="000000"/>
          <w:spacing w:val="0"/>
          <w:w w:val="100"/>
          <w:sz w:val="24"/>
          <w:szCs w:val="24"/>
          <w:vertAlign w:val="baseline"/>
          <w:lang w:eastAsia="zh-CN"/>
        </w:rPr>
        <w:t>，</w:t>
      </w:r>
      <w:r>
        <w:rPr>
          <w:rFonts w:hint="eastAsia" w:ascii="仿宋" w:hAnsi="仿宋" w:eastAsia="仿宋" w:cs="仿宋"/>
          <w:b w:val="0"/>
          <w:bCs w:val="0"/>
          <w:i w:val="0"/>
          <w:iCs w:val="0"/>
          <w:color w:val="000000"/>
          <w:spacing w:val="0"/>
          <w:w w:val="100"/>
          <w:sz w:val="24"/>
          <w:szCs w:val="24"/>
          <w:vertAlign w:val="baseline"/>
        </w:rPr>
        <w:t>内存≥32G；</w:t>
      </w:r>
    </w:p>
    <w:p w14:paraId="4DDDD1B4">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（2）兼容Windows或Android操作系统；</w:t>
      </w:r>
    </w:p>
    <w:p w14:paraId="6BF9BCE5">
      <w:pPr>
        <w:pStyle w:val="18"/>
        <w:keepNext w:val="0"/>
        <w:keepLines w:val="0"/>
        <w:widowControl/>
        <w:suppressLineNumbers w:val="0"/>
        <w:spacing w:before="0" w:beforeAutospacing="0" w:after="0" w:afterAutospacing="0" w:line="360" w:lineRule="auto"/>
        <w:ind w:left="0" w:right="0" w:firstLine="21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★（3）软件中文操作界面,软件为APP模式。</w:t>
      </w:r>
    </w:p>
    <w:p w14:paraId="7DD13C38">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5、CT性能检测模体</w:t>
      </w:r>
    </w:p>
    <w:p w14:paraId="58FB9525">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（1）层厚检测模块：直径15cm，厚2.5cm，内嵌两组23°金属斜线（X方向、Y方向），内嵌三个密度不同的小圆柱体，用于测量层厚、CT值线性参数；</w:t>
      </w:r>
    </w:p>
    <w:p w14:paraId="069AE3D7">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（2）空间分辨力检测模块：直径15cm，厚4cm，内含21组高密度线对结构（放射状分布），用于测量空间分辨力；</w:t>
      </w:r>
    </w:p>
    <w:p w14:paraId="7AF607A1">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（3）低对比度分辨力检测模块：</w:t>
      </w:r>
    </w:p>
    <w:p w14:paraId="446C1B03">
      <w:pPr>
        <w:pStyle w:val="18"/>
        <w:keepNext w:val="0"/>
        <w:keepLines w:val="0"/>
        <w:widowControl/>
        <w:suppressLineNumbers w:val="0"/>
        <w:spacing w:before="0" w:beforeAutospacing="0" w:after="0" w:afterAutospacing="0" w:line="360" w:lineRule="auto"/>
        <w:ind w:left="0" w:right="0" w:firstLine="63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3.1直径15cm，厚4cm， 内外两组低密度孔径结构（放射状分布，所有孔径最大误差±0.05mm）；</w:t>
      </w:r>
    </w:p>
    <w:p w14:paraId="070130D9">
      <w:pPr>
        <w:pStyle w:val="18"/>
        <w:keepNext w:val="0"/>
        <w:keepLines w:val="0"/>
        <w:widowControl/>
        <w:suppressLineNumbers w:val="0"/>
        <w:spacing w:before="0" w:beforeAutospacing="0" w:after="0" w:afterAutospacing="0" w:line="360" w:lineRule="auto"/>
        <w:ind w:left="0" w:right="0" w:firstLine="63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3.2内层孔阵：对比度0.3%、0.5%、1.0%；直径（3、5、7、9）mm；</w:t>
      </w:r>
    </w:p>
    <w:p w14:paraId="7F6FF608">
      <w:pPr>
        <w:pStyle w:val="18"/>
        <w:keepNext w:val="0"/>
        <w:keepLines w:val="0"/>
        <w:widowControl/>
        <w:suppressLineNumbers w:val="0"/>
        <w:spacing w:before="0" w:beforeAutospacing="0" w:after="0" w:afterAutospacing="0" w:line="360" w:lineRule="auto"/>
        <w:ind w:left="0" w:right="0" w:firstLine="63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3.3外层孔阵：对比度0.3%、0.5%、1.0%；直径（2、3、4 、5 、6 、7 、8 、9 、15）mm。</w:t>
      </w:r>
    </w:p>
    <w:p w14:paraId="1D0B390C">
      <w:pPr>
        <w:pStyle w:val="18"/>
        <w:keepNext w:val="0"/>
        <w:keepLines w:val="0"/>
        <w:widowControl/>
        <w:suppressLineNumbers w:val="0"/>
        <w:spacing w:before="0" w:beforeAutospacing="0" w:after="0" w:afterAutospacing="0" w:line="360" w:lineRule="auto"/>
        <w:ind w:left="490" w:leftChars="200" w:right="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（4）水模体模块：直径15cm，厚4.7cm，灌注纯水用于测量均匀性和噪声水平以及水CT值。</w:t>
      </w:r>
    </w:p>
    <w:p w14:paraId="2CCC733B">
      <w:pPr>
        <w:pStyle w:val="18"/>
        <w:keepNext w:val="0"/>
        <w:keepLines w:val="0"/>
        <w:widowControl/>
        <w:suppressLineNumbers w:val="0"/>
        <w:spacing w:before="0" w:beforeAutospacing="0" w:after="0" w:afterAutospacing="0" w:line="360" w:lineRule="auto"/>
        <w:ind w:left="490" w:leftChars="200" w:right="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（5）水等效组织模体：固体均匀材料，用于测量场均匀性和噪声。</w:t>
      </w:r>
    </w:p>
    <w:p w14:paraId="1E88F93C">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6、CT剂量检测模体：</w:t>
      </w:r>
    </w:p>
    <w:p w14:paraId="760F1BFD">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（1）材料：有机玻璃体（PMMA）</w:t>
      </w:r>
    </w:p>
    <w:p w14:paraId="0E7D1412">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（2）外径：头部：160mm，腹部：320mm</w:t>
      </w:r>
    </w:p>
    <w:p w14:paraId="08112874">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（3）厚度：150mm</w:t>
      </w:r>
    </w:p>
    <w:p w14:paraId="5BDEC618">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rPr>
      </w:pPr>
      <w:r>
        <w:rPr>
          <w:rFonts w:hint="eastAsia" w:ascii="仿宋" w:hAnsi="仿宋" w:eastAsia="仿宋" w:cs="仿宋"/>
          <w:b w:val="0"/>
          <w:bCs w:val="0"/>
          <w:i w:val="0"/>
          <w:iCs w:val="0"/>
          <w:color w:val="000000"/>
          <w:spacing w:val="0"/>
          <w:w w:val="100"/>
          <w:sz w:val="24"/>
          <w:szCs w:val="24"/>
          <w:vertAlign w:val="baseline"/>
        </w:rPr>
        <w:t>（4）电离室孔径：13mm</w:t>
      </w:r>
    </w:p>
    <w:p w14:paraId="311A6AF1">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b w:val="0"/>
          <w:bCs w:val="0"/>
          <w:i w:val="0"/>
          <w:iCs w:val="0"/>
          <w:color w:val="000000"/>
          <w:spacing w:val="0"/>
          <w:w w:val="100"/>
          <w:sz w:val="24"/>
          <w:szCs w:val="24"/>
          <w:vertAlign w:val="baseline"/>
        </w:rPr>
      </w:pPr>
      <w:r>
        <w:rPr>
          <w:rFonts w:hint="eastAsia" w:ascii="仿宋" w:hAnsi="仿宋" w:eastAsia="仿宋" w:cs="仿宋"/>
          <w:b w:val="0"/>
          <w:bCs w:val="0"/>
          <w:i w:val="0"/>
          <w:iCs w:val="0"/>
          <w:color w:val="000000"/>
          <w:spacing w:val="0"/>
          <w:w w:val="100"/>
          <w:sz w:val="24"/>
          <w:szCs w:val="24"/>
          <w:vertAlign w:val="baseline"/>
        </w:rPr>
        <w:t>7、主要配置：CT剂量仪主机1台，长杆电离室1支，平板电脑（含软件）1台，CT性能检测模体1套，CT剂量检测模体1套，说明书1套，专用包装箱1套，溯源证书1套。</w:t>
      </w:r>
    </w:p>
    <w:p w14:paraId="498EDF63">
      <w:pPr>
        <w:rPr>
          <w:rFonts w:hint="eastAsia" w:ascii="仿宋" w:hAnsi="仿宋" w:eastAsia="仿宋" w:cs="仿宋"/>
        </w:rPr>
      </w:pPr>
    </w:p>
    <w:p w14:paraId="18FCDAC9">
      <w:pPr>
        <w:jc w:val="center"/>
        <w:rPr>
          <w:rFonts w:hint="default" w:ascii="仿宋" w:hAnsi="仿宋" w:eastAsia="仿宋" w:cs="仿宋"/>
          <w:b/>
          <w:bCs/>
          <w:i w:val="0"/>
          <w:iCs w:val="0"/>
          <w:color w:val="000000"/>
          <w:spacing w:val="0"/>
          <w:w w:val="100"/>
          <w:kern w:val="0"/>
          <w:sz w:val="32"/>
          <w:szCs w:val="32"/>
          <w:vertAlign w:val="baseline"/>
          <w:lang w:val="en-US" w:eastAsia="zh-CN" w:bidi="ar"/>
        </w:rPr>
      </w:pPr>
      <w:r>
        <w:rPr>
          <w:rFonts w:hint="eastAsia" w:ascii="仿宋" w:hAnsi="仿宋" w:eastAsia="仿宋" w:cs="仿宋"/>
          <w:b/>
          <w:bCs/>
          <w:i w:val="0"/>
          <w:iCs w:val="0"/>
          <w:color w:val="000000"/>
          <w:spacing w:val="0"/>
          <w:w w:val="100"/>
          <w:kern w:val="0"/>
          <w:sz w:val="32"/>
          <w:szCs w:val="32"/>
          <w:vertAlign w:val="baseline"/>
          <w:lang w:val="en-US" w:eastAsia="zh-CN" w:bidi="ar"/>
        </w:rPr>
        <w:t>原棉水分测定仪综合校验仪1套</w:t>
      </w:r>
    </w:p>
    <w:p w14:paraId="22337D54">
      <w:pPr>
        <w:pStyle w:val="18"/>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b w:val="0"/>
          <w:bCs w:val="0"/>
          <w:i w:val="0"/>
          <w:iCs w:val="0"/>
          <w:color w:val="000000"/>
          <w:spacing w:val="0"/>
          <w:w w:val="100"/>
          <w:sz w:val="24"/>
          <w:szCs w:val="24"/>
          <w:vertAlign w:val="baseline"/>
        </w:rPr>
      </w:pPr>
      <w:r>
        <w:rPr>
          <w:rFonts w:hint="eastAsia" w:ascii="仿宋" w:hAnsi="仿宋" w:eastAsia="仿宋" w:cs="仿宋"/>
          <w:b w:val="0"/>
          <w:bCs w:val="0"/>
          <w:i w:val="0"/>
          <w:iCs w:val="0"/>
          <w:color w:val="000000"/>
          <w:spacing w:val="0"/>
          <w:w w:val="100"/>
          <w:sz w:val="24"/>
          <w:szCs w:val="24"/>
          <w:vertAlign w:val="baseline"/>
          <w:lang w:val="en-US" w:eastAsia="zh-CN"/>
        </w:rPr>
        <w:t>满足</w:t>
      </w:r>
      <w:r>
        <w:rPr>
          <w:rFonts w:hint="eastAsia" w:ascii="仿宋" w:hAnsi="仿宋" w:eastAsia="仿宋" w:cs="仿宋"/>
          <w:b w:val="0"/>
          <w:bCs w:val="0"/>
          <w:i w:val="0"/>
          <w:iCs w:val="0"/>
          <w:color w:val="000000"/>
          <w:spacing w:val="0"/>
          <w:w w:val="100"/>
          <w:sz w:val="24"/>
          <w:szCs w:val="24"/>
          <w:vertAlign w:val="baseline"/>
        </w:rPr>
        <w:t>国家计量检定规程JJG845-2009《原棉水分测定仪》和JJG(纤检)08 -2006《棉包回潮率在线测定装置》的要求设计的，适用于原棉水分测定仪、快速原棉水分测定仪和棉包回潮率在线测定装置及棉包插入式回潮率测定仪的压力、温度、回潮率的检定和日常校准。</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★1 主要技术指标</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1.1 工作环境 按《原棉水分测定仪检定规程》和《棉包回潮率在线测定装置》要求执行</w:t>
      </w:r>
      <w:r>
        <w:rPr>
          <w:rFonts w:hint="eastAsia" w:ascii="仿宋" w:hAnsi="仿宋" w:eastAsia="仿宋" w:cs="仿宋"/>
          <w:b w:val="0"/>
          <w:bCs w:val="0"/>
          <w:i w:val="0"/>
          <w:iCs w:val="0"/>
          <w:color w:val="000000"/>
          <w:spacing w:val="0"/>
          <w:w w:val="100"/>
          <w:sz w:val="24"/>
          <w:szCs w:val="24"/>
          <w:vertAlign w:val="baseline"/>
          <w:lang w:eastAsia="zh-CN"/>
        </w:rPr>
        <w:t>。</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1.2 电 源 220V±10%，50HZ</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1.3 测量范围 </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1.3.1 测 力：0</w:t>
      </w:r>
      <w:r>
        <w:rPr>
          <w:rFonts w:hint="eastAsia" w:ascii="仿宋" w:hAnsi="仿宋" w:eastAsia="仿宋" w:cs="仿宋"/>
          <w:b w:val="0"/>
          <w:bCs w:val="0"/>
          <w:i w:val="0"/>
          <w:iCs w:val="0"/>
          <w:color w:val="000000"/>
          <w:spacing w:val="0"/>
          <w:w w:val="100"/>
          <w:sz w:val="24"/>
          <w:szCs w:val="24"/>
          <w:vertAlign w:val="baseline"/>
          <w:lang w:val="en-US" w:eastAsia="zh-CN"/>
        </w:rPr>
        <w:t>～</w:t>
      </w:r>
      <w:r>
        <w:rPr>
          <w:rFonts w:hint="eastAsia" w:ascii="仿宋" w:hAnsi="仿宋" w:eastAsia="仿宋" w:cs="仿宋"/>
          <w:b w:val="0"/>
          <w:bCs w:val="0"/>
          <w:i w:val="0"/>
          <w:iCs w:val="0"/>
          <w:color w:val="000000"/>
          <w:spacing w:val="0"/>
          <w:w w:val="100"/>
          <w:sz w:val="24"/>
          <w:szCs w:val="24"/>
          <w:vertAlign w:val="baseline"/>
        </w:rPr>
        <w:t>1000N （仅用于电测器）</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1.3.2 温 度：-30</w:t>
      </w:r>
      <w:r>
        <w:rPr>
          <w:rFonts w:hint="eastAsia" w:ascii="仿宋" w:hAnsi="仿宋" w:eastAsia="仿宋" w:cs="仿宋"/>
          <w:b w:val="0"/>
          <w:bCs w:val="0"/>
          <w:i w:val="0"/>
          <w:iCs w:val="0"/>
          <w:color w:val="000000"/>
          <w:spacing w:val="0"/>
          <w:w w:val="100"/>
          <w:sz w:val="24"/>
          <w:szCs w:val="24"/>
          <w:vertAlign w:val="baseline"/>
          <w:lang w:val="en-US" w:eastAsia="zh-CN"/>
        </w:rPr>
        <w:t>～</w:t>
      </w:r>
      <w:r>
        <w:rPr>
          <w:rFonts w:hint="eastAsia" w:ascii="仿宋" w:hAnsi="仿宋" w:eastAsia="仿宋" w:cs="仿宋"/>
          <w:b w:val="0"/>
          <w:bCs w:val="0"/>
          <w:i w:val="0"/>
          <w:iCs w:val="0"/>
          <w:color w:val="000000"/>
          <w:spacing w:val="0"/>
          <w:w w:val="100"/>
          <w:sz w:val="24"/>
          <w:szCs w:val="24"/>
          <w:vertAlign w:val="baseline"/>
        </w:rPr>
        <w:t>50℃</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1.3.3 直流电压：0</w:t>
      </w:r>
      <w:r>
        <w:rPr>
          <w:rFonts w:hint="eastAsia" w:ascii="仿宋" w:hAnsi="仿宋" w:eastAsia="仿宋" w:cs="仿宋"/>
          <w:b w:val="0"/>
          <w:bCs w:val="0"/>
          <w:i w:val="0"/>
          <w:iCs w:val="0"/>
          <w:color w:val="000000"/>
          <w:spacing w:val="0"/>
          <w:w w:val="100"/>
          <w:sz w:val="24"/>
          <w:szCs w:val="24"/>
          <w:vertAlign w:val="baseline"/>
          <w:lang w:val="en-US" w:eastAsia="zh-CN"/>
        </w:rPr>
        <w:t>～</w:t>
      </w:r>
      <w:r>
        <w:rPr>
          <w:rFonts w:hint="eastAsia" w:ascii="仿宋" w:hAnsi="仿宋" w:eastAsia="仿宋" w:cs="仿宋"/>
          <w:b w:val="0"/>
          <w:bCs w:val="0"/>
          <w:i w:val="0"/>
          <w:iCs w:val="0"/>
          <w:color w:val="000000"/>
          <w:spacing w:val="0"/>
          <w:w w:val="100"/>
          <w:sz w:val="24"/>
          <w:szCs w:val="24"/>
          <w:vertAlign w:val="baseline"/>
        </w:rPr>
        <w:t>1000V</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1.3.4 阻 值</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 1.3.4.1 电测器</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分辨率测力：1N （仅用于电测器）</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rPr>
        <w:t> </w:t>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温 度：0.1℃</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rPr>
        <w:t> </w:t>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直流电压：三位半</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测量精度测力： ±10N（仅用于电测器）</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rPr>
        <w:t> </w:t>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温 度： ±0.3℃</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rPr>
        <w:t> </w:t>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电 阻 箱： 1MΩ以下 ±0.5%</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 1MΩ</w:t>
      </w:r>
      <w:r>
        <w:rPr>
          <w:rFonts w:hint="eastAsia" w:ascii="仿宋" w:hAnsi="仿宋" w:eastAsia="仿宋" w:cs="仿宋"/>
          <w:b w:val="0"/>
          <w:bCs w:val="0"/>
          <w:i w:val="0"/>
          <w:iCs w:val="0"/>
          <w:color w:val="000000"/>
          <w:spacing w:val="0"/>
          <w:w w:val="100"/>
          <w:sz w:val="24"/>
          <w:szCs w:val="24"/>
          <w:vertAlign w:val="baseline"/>
          <w:lang w:val="en-US" w:eastAsia="zh-CN"/>
        </w:rPr>
        <w:t>～</w:t>
      </w:r>
      <w:r>
        <w:rPr>
          <w:rFonts w:hint="eastAsia" w:ascii="仿宋" w:hAnsi="仿宋" w:eastAsia="仿宋" w:cs="仿宋"/>
          <w:b w:val="0"/>
          <w:bCs w:val="0"/>
          <w:i w:val="0"/>
          <w:iCs w:val="0"/>
          <w:color w:val="000000"/>
          <w:spacing w:val="0"/>
          <w:w w:val="100"/>
          <w:sz w:val="24"/>
          <w:szCs w:val="24"/>
          <w:vertAlign w:val="baseline"/>
        </w:rPr>
        <w:t>99.99MΩ ±1%</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 100MΩ</w:t>
      </w:r>
      <w:r>
        <w:rPr>
          <w:rFonts w:hint="eastAsia" w:ascii="仿宋" w:hAnsi="仿宋" w:eastAsia="仿宋" w:cs="仿宋"/>
          <w:b w:val="0"/>
          <w:bCs w:val="0"/>
          <w:i w:val="0"/>
          <w:iCs w:val="0"/>
          <w:color w:val="000000"/>
          <w:spacing w:val="0"/>
          <w:w w:val="100"/>
          <w:sz w:val="24"/>
          <w:szCs w:val="24"/>
          <w:vertAlign w:val="baseline"/>
          <w:lang w:val="en-US" w:eastAsia="zh-CN"/>
        </w:rPr>
        <w:t>～</w:t>
      </w:r>
      <w:r>
        <w:rPr>
          <w:rFonts w:hint="eastAsia" w:ascii="仿宋" w:hAnsi="仿宋" w:eastAsia="仿宋" w:cs="仿宋"/>
          <w:b w:val="0"/>
          <w:bCs w:val="0"/>
          <w:i w:val="0"/>
          <w:iCs w:val="0"/>
          <w:color w:val="000000"/>
          <w:spacing w:val="0"/>
          <w:w w:val="100"/>
          <w:sz w:val="24"/>
          <w:szCs w:val="24"/>
          <w:vertAlign w:val="baseline"/>
        </w:rPr>
        <w:t>9.99GΩ ±5%</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 10GΩ</w:t>
      </w:r>
      <w:r>
        <w:rPr>
          <w:rFonts w:hint="eastAsia" w:ascii="仿宋" w:hAnsi="仿宋" w:eastAsia="仿宋" w:cs="仿宋"/>
          <w:b w:val="0"/>
          <w:bCs w:val="0"/>
          <w:i w:val="0"/>
          <w:iCs w:val="0"/>
          <w:color w:val="000000"/>
          <w:spacing w:val="0"/>
          <w:w w:val="100"/>
          <w:sz w:val="24"/>
          <w:szCs w:val="24"/>
          <w:vertAlign w:val="baseline"/>
          <w:lang w:val="en-US" w:eastAsia="zh-CN"/>
        </w:rPr>
        <w:t>～</w:t>
      </w:r>
      <w:r>
        <w:rPr>
          <w:rFonts w:hint="eastAsia" w:ascii="仿宋" w:hAnsi="仿宋" w:eastAsia="仿宋" w:cs="仿宋"/>
          <w:b w:val="0"/>
          <w:bCs w:val="0"/>
          <w:i w:val="0"/>
          <w:iCs w:val="0"/>
          <w:color w:val="000000"/>
          <w:spacing w:val="0"/>
          <w:w w:val="100"/>
          <w:sz w:val="24"/>
          <w:szCs w:val="24"/>
          <w:vertAlign w:val="baseline"/>
        </w:rPr>
        <w:t>100GΩ ±8%</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rPr>
        <w:t> </w:t>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直流电压： ±(0.15%读数+5 字数) </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lang w:val="en-US" w:eastAsia="zh-CN"/>
        </w:rPr>
        <w:t xml:space="preserve">   </w:t>
      </w:r>
      <w:r>
        <w:rPr>
          <w:rFonts w:hint="eastAsia" w:ascii="仿宋" w:hAnsi="仿宋" w:eastAsia="仿宋" w:cs="仿宋"/>
          <w:b w:val="0"/>
          <w:bCs w:val="0"/>
          <w:i w:val="0"/>
          <w:iCs w:val="0"/>
          <w:color w:val="000000"/>
          <w:spacing w:val="0"/>
          <w:w w:val="100"/>
          <w:sz w:val="24"/>
          <w:szCs w:val="24"/>
          <w:vertAlign w:val="baseline"/>
        </w:rPr>
        <w:t>重量</w:t>
      </w:r>
      <w:r>
        <w:rPr>
          <w:rFonts w:hint="eastAsia" w:ascii="仿宋" w:hAnsi="仿宋" w:eastAsia="仿宋" w:cs="仿宋"/>
          <w:b w:val="0"/>
          <w:bCs w:val="0"/>
          <w:i w:val="0"/>
          <w:iCs w:val="0"/>
          <w:color w:val="000000"/>
          <w:spacing w:val="0"/>
          <w:w w:val="100"/>
          <w:sz w:val="24"/>
          <w:szCs w:val="24"/>
          <w:vertAlign w:val="baseline"/>
          <w:lang w:val="en-US" w:eastAsia="zh-CN"/>
        </w:rPr>
        <w:t>小于等于</w:t>
      </w:r>
      <w:r>
        <w:rPr>
          <w:rFonts w:hint="eastAsia" w:ascii="仿宋" w:hAnsi="仿宋" w:eastAsia="仿宋" w:cs="仿宋"/>
          <w:b w:val="0"/>
          <w:bCs w:val="0"/>
          <w:i w:val="0"/>
          <w:iCs w:val="0"/>
          <w:color w:val="000000"/>
          <w:spacing w:val="0"/>
          <w:w w:val="100"/>
          <w:sz w:val="24"/>
          <w:szCs w:val="24"/>
          <w:vertAlign w:val="baseline"/>
        </w:rPr>
        <w:t>2</w:t>
      </w:r>
      <w:r>
        <w:rPr>
          <w:rFonts w:hint="eastAsia" w:ascii="仿宋" w:hAnsi="仿宋" w:eastAsia="仿宋" w:cs="仿宋"/>
          <w:b w:val="0"/>
          <w:bCs w:val="0"/>
          <w:i w:val="0"/>
          <w:iCs w:val="0"/>
          <w:color w:val="000000"/>
          <w:spacing w:val="0"/>
          <w:w w:val="100"/>
          <w:sz w:val="24"/>
          <w:szCs w:val="24"/>
          <w:vertAlign w:val="baseline"/>
          <w:lang w:val="en-US" w:eastAsia="zh-CN"/>
        </w:rPr>
        <w:t>.1</w:t>
      </w:r>
      <w:r>
        <w:rPr>
          <w:rFonts w:hint="eastAsia" w:ascii="仿宋" w:hAnsi="仿宋" w:eastAsia="仿宋" w:cs="仿宋"/>
          <w:b w:val="0"/>
          <w:bCs w:val="0"/>
          <w:i w:val="0"/>
          <w:iCs w:val="0"/>
          <w:color w:val="000000"/>
          <w:spacing w:val="0"/>
          <w:w w:val="100"/>
          <w:sz w:val="24"/>
          <w:szCs w:val="24"/>
          <w:vertAlign w:val="baseline"/>
        </w:rPr>
        <w:t>Kg</w:t>
      </w:r>
    </w:p>
    <w:p w14:paraId="1BF9C572">
      <w:pPr>
        <w:rPr>
          <w:rFonts w:hint="eastAsia" w:ascii="仿宋" w:hAnsi="仿宋" w:eastAsia="仿宋" w:cs="仿宋"/>
          <w:b/>
          <w:bCs/>
          <w:i w:val="0"/>
          <w:iCs w:val="0"/>
          <w:color w:val="000000"/>
          <w:spacing w:val="0"/>
          <w:w w:val="100"/>
          <w:sz w:val="32"/>
          <w:szCs w:val="32"/>
          <w:vertAlign w:val="baseline"/>
          <w:lang w:val="en-US" w:eastAsia="zh-CN"/>
        </w:rPr>
      </w:pPr>
      <w:r>
        <w:rPr>
          <w:rFonts w:hint="eastAsia" w:ascii="仿宋" w:hAnsi="仿宋" w:eastAsia="仿宋" w:cs="仿宋"/>
          <w:b w:val="0"/>
          <w:bCs w:val="0"/>
          <w:i w:val="0"/>
          <w:iCs w:val="0"/>
          <w:color w:val="000000"/>
          <w:spacing w:val="0"/>
          <w:w w:val="100"/>
          <w:sz w:val="24"/>
          <w:szCs w:val="24"/>
          <w:vertAlign w:val="baseline"/>
        </w:rPr>
        <w:t>★2、需溯源的仪器含中国计量科学研究院或中国测试技术研究院出具检定证书或校准证书。按照检定规程对人员进行培训；</w:t>
      </w:r>
    </w:p>
    <w:p w14:paraId="4C2DB65A">
      <w:pPr>
        <w:jc w:val="center"/>
        <w:rPr>
          <w:rFonts w:hint="default" w:ascii="仿宋" w:hAnsi="仿宋" w:eastAsia="仿宋" w:cs="仿宋"/>
          <w:b/>
          <w:bCs/>
          <w:i w:val="0"/>
          <w:iCs w:val="0"/>
          <w:color w:val="000000"/>
          <w:spacing w:val="0"/>
          <w:w w:val="100"/>
          <w:sz w:val="32"/>
          <w:szCs w:val="32"/>
          <w:vertAlign w:val="baseline"/>
          <w:lang w:val="en-US" w:eastAsia="zh-CN"/>
        </w:rPr>
      </w:pPr>
      <w:r>
        <w:rPr>
          <w:rFonts w:hint="eastAsia" w:ascii="仿宋" w:hAnsi="仿宋" w:eastAsia="仿宋" w:cs="仿宋"/>
          <w:b/>
          <w:bCs/>
          <w:i w:val="0"/>
          <w:iCs w:val="0"/>
          <w:color w:val="000000"/>
          <w:spacing w:val="0"/>
          <w:w w:val="100"/>
          <w:sz w:val="32"/>
          <w:szCs w:val="32"/>
          <w:vertAlign w:val="baseline"/>
          <w:lang w:val="en-US" w:eastAsia="zh-CN"/>
        </w:rPr>
        <w:t>三点式内径千分尺1套</w:t>
      </w:r>
    </w:p>
    <w:p w14:paraId="0FA32100">
      <w:pPr>
        <w:ind w:firstLine="490" w:firstLineChars="200"/>
        <w:rPr>
          <w:rFonts w:hint="eastAsia" w:ascii="仿宋" w:hAnsi="仿宋" w:eastAsia="仿宋" w:cs="仿宋"/>
          <w:b w:val="0"/>
          <w:bCs w:val="0"/>
          <w:i w:val="0"/>
          <w:iCs w:val="0"/>
          <w:color w:val="000000"/>
          <w:spacing w:val="0"/>
          <w:w w:val="100"/>
          <w:sz w:val="24"/>
          <w:szCs w:val="24"/>
          <w:vertAlign w:val="baseline"/>
          <w:lang w:val="en-US" w:eastAsia="zh-CN"/>
        </w:rPr>
      </w:pPr>
      <w:r>
        <w:rPr>
          <w:rFonts w:hint="eastAsia" w:ascii="仿宋" w:hAnsi="仿宋" w:eastAsia="仿宋" w:cs="仿宋"/>
          <w:b w:val="0"/>
          <w:bCs w:val="0"/>
          <w:i w:val="0"/>
          <w:iCs w:val="0"/>
          <w:color w:val="000000"/>
          <w:spacing w:val="0"/>
          <w:w w:val="100"/>
          <w:sz w:val="24"/>
          <w:szCs w:val="24"/>
          <w:vertAlign w:val="baseline"/>
          <w:lang w:val="en-US" w:eastAsia="zh-CN"/>
        </w:rPr>
        <w:t>满足</w:t>
      </w:r>
      <w:r>
        <w:rPr>
          <w:rFonts w:hint="eastAsia" w:ascii="仿宋" w:hAnsi="仿宋" w:eastAsia="仿宋" w:cs="仿宋"/>
          <w:b w:val="0"/>
          <w:bCs w:val="0"/>
          <w:i w:val="0"/>
          <w:iCs w:val="0"/>
          <w:color w:val="000000"/>
          <w:spacing w:val="0"/>
          <w:w w:val="100"/>
          <w:sz w:val="24"/>
          <w:szCs w:val="24"/>
          <w:vertAlign w:val="baseline"/>
        </w:rPr>
        <w:t>国家计量检定规程</w:t>
      </w:r>
      <w:r>
        <w:rPr>
          <w:rFonts w:hint="eastAsia" w:ascii="仿宋" w:hAnsi="仿宋" w:eastAsia="仿宋" w:cs="仿宋"/>
          <w:b w:val="0"/>
          <w:bCs w:val="0"/>
          <w:i w:val="0"/>
          <w:iCs w:val="0"/>
          <w:color w:val="000000"/>
          <w:spacing w:val="0"/>
          <w:w w:val="100"/>
          <w:sz w:val="24"/>
          <w:szCs w:val="24"/>
          <w:vertAlign w:val="baseline"/>
          <w:lang w:val="en-US" w:eastAsia="zh-CN"/>
        </w:rPr>
        <w:t>JJG264-2025</w:t>
      </w:r>
      <w:r>
        <w:rPr>
          <w:rFonts w:hint="eastAsia" w:ascii="仿宋" w:hAnsi="仿宋" w:eastAsia="仿宋" w:cs="仿宋"/>
          <w:b w:val="0"/>
          <w:bCs w:val="0"/>
          <w:i w:val="0"/>
          <w:iCs w:val="0"/>
          <w:color w:val="000000"/>
          <w:spacing w:val="0"/>
          <w:w w:val="100"/>
          <w:sz w:val="24"/>
          <w:szCs w:val="24"/>
          <w:vertAlign w:val="baseline"/>
        </w:rPr>
        <w:t>《</w:t>
      </w:r>
      <w:r>
        <w:rPr>
          <w:rFonts w:hint="eastAsia" w:ascii="仿宋" w:hAnsi="仿宋" w:eastAsia="仿宋" w:cs="仿宋"/>
          <w:b w:val="0"/>
          <w:bCs w:val="0"/>
          <w:i w:val="0"/>
          <w:iCs w:val="0"/>
          <w:color w:val="000000"/>
          <w:spacing w:val="0"/>
          <w:w w:val="100"/>
          <w:sz w:val="24"/>
          <w:szCs w:val="24"/>
          <w:vertAlign w:val="baseline"/>
          <w:lang w:val="en-US" w:eastAsia="zh-CN"/>
        </w:rPr>
        <w:t>谷物容重器</w:t>
      </w:r>
      <w:r>
        <w:rPr>
          <w:rFonts w:hint="eastAsia" w:ascii="仿宋" w:hAnsi="仿宋" w:eastAsia="仿宋" w:cs="仿宋"/>
          <w:b w:val="0"/>
          <w:bCs w:val="0"/>
          <w:i w:val="0"/>
          <w:iCs w:val="0"/>
          <w:color w:val="000000"/>
          <w:spacing w:val="0"/>
          <w:w w:val="100"/>
          <w:sz w:val="24"/>
          <w:szCs w:val="24"/>
          <w:vertAlign w:val="baseline"/>
        </w:rPr>
        <w:t>》</w:t>
      </w:r>
      <w:r>
        <w:rPr>
          <w:rFonts w:hint="eastAsia" w:ascii="仿宋" w:hAnsi="仿宋" w:eastAsia="仿宋" w:cs="仿宋"/>
          <w:b w:val="0"/>
          <w:bCs w:val="0"/>
          <w:i w:val="0"/>
          <w:iCs w:val="0"/>
          <w:color w:val="000000"/>
          <w:spacing w:val="0"/>
          <w:w w:val="100"/>
          <w:sz w:val="24"/>
          <w:szCs w:val="24"/>
          <w:vertAlign w:val="baseline"/>
          <w:lang w:val="en-US" w:eastAsia="zh-CN"/>
        </w:rPr>
        <w:t>检定规程</w:t>
      </w:r>
      <w:r>
        <w:rPr>
          <w:rFonts w:hint="eastAsia" w:ascii="仿宋" w:hAnsi="仿宋" w:eastAsia="仿宋" w:cs="仿宋"/>
          <w:b w:val="0"/>
          <w:bCs w:val="0"/>
          <w:i w:val="0"/>
          <w:iCs w:val="0"/>
          <w:color w:val="000000"/>
          <w:spacing w:val="0"/>
          <w:w w:val="100"/>
          <w:sz w:val="24"/>
          <w:szCs w:val="24"/>
          <w:vertAlign w:val="baseline"/>
        </w:rPr>
        <w:t>要求</w:t>
      </w:r>
      <w:r>
        <w:rPr>
          <w:rFonts w:hint="eastAsia" w:ascii="仿宋" w:hAnsi="仿宋" w:eastAsia="仿宋" w:cs="仿宋"/>
          <w:b w:val="0"/>
          <w:bCs w:val="0"/>
          <w:i w:val="0"/>
          <w:iCs w:val="0"/>
          <w:color w:val="000000"/>
          <w:spacing w:val="0"/>
          <w:w w:val="100"/>
          <w:sz w:val="24"/>
          <w:szCs w:val="24"/>
          <w:vertAlign w:val="baseline"/>
          <w:lang w:val="en-US" w:eastAsia="zh-CN"/>
        </w:rPr>
        <w:t>的技术指标</w:t>
      </w:r>
      <w:r>
        <w:rPr>
          <w:rFonts w:hint="eastAsia" w:ascii="仿宋" w:hAnsi="仿宋" w:eastAsia="仿宋" w:cs="仿宋"/>
          <w:b w:val="0"/>
          <w:bCs w:val="0"/>
          <w:i w:val="0"/>
          <w:iCs w:val="0"/>
          <w:color w:val="000000"/>
          <w:spacing w:val="0"/>
          <w:w w:val="100"/>
          <w:sz w:val="24"/>
          <w:szCs w:val="24"/>
          <w:vertAlign w:val="baseline"/>
        </w:rPr>
        <w:t>，适用于</w:t>
      </w:r>
      <w:r>
        <w:rPr>
          <w:rFonts w:hint="eastAsia" w:ascii="仿宋" w:hAnsi="仿宋" w:eastAsia="仿宋" w:cs="仿宋"/>
          <w:b w:val="0"/>
          <w:bCs w:val="0"/>
          <w:i w:val="0"/>
          <w:iCs w:val="0"/>
          <w:color w:val="000000"/>
          <w:spacing w:val="0"/>
          <w:w w:val="100"/>
          <w:sz w:val="24"/>
          <w:szCs w:val="24"/>
          <w:vertAlign w:val="baseline"/>
          <w:lang w:val="en-US" w:eastAsia="zh-CN"/>
        </w:rPr>
        <w:t>谷物容重器几何测量法</w:t>
      </w:r>
      <w:r>
        <w:rPr>
          <w:rFonts w:hint="eastAsia" w:ascii="仿宋" w:hAnsi="仿宋" w:eastAsia="仿宋" w:cs="仿宋"/>
          <w:b w:val="0"/>
          <w:bCs w:val="0"/>
          <w:i w:val="0"/>
          <w:iCs w:val="0"/>
          <w:color w:val="000000"/>
          <w:spacing w:val="0"/>
          <w:w w:val="100"/>
          <w:sz w:val="24"/>
          <w:szCs w:val="24"/>
          <w:vertAlign w:val="baseline"/>
        </w:rPr>
        <w:t>检定</w:t>
      </w:r>
      <w:r>
        <w:rPr>
          <w:rFonts w:hint="eastAsia" w:ascii="仿宋" w:hAnsi="仿宋" w:eastAsia="仿宋" w:cs="仿宋"/>
          <w:b w:val="0"/>
          <w:bCs w:val="0"/>
          <w:i w:val="0"/>
          <w:iCs w:val="0"/>
          <w:color w:val="000000"/>
          <w:spacing w:val="0"/>
          <w:w w:val="100"/>
          <w:sz w:val="24"/>
          <w:szCs w:val="24"/>
          <w:vertAlign w:val="baseline"/>
          <w:lang w:val="en-US" w:eastAsia="zh-CN"/>
        </w:rPr>
        <w:t>使用</w:t>
      </w:r>
      <w:r>
        <w:rPr>
          <w:rFonts w:hint="eastAsia" w:ascii="仿宋" w:hAnsi="仿宋" w:eastAsia="仿宋" w:cs="仿宋"/>
          <w:b w:val="0"/>
          <w:bCs w:val="0"/>
          <w:i w:val="0"/>
          <w:iCs w:val="0"/>
          <w:color w:val="000000"/>
          <w:spacing w:val="0"/>
          <w:w w:val="100"/>
          <w:sz w:val="24"/>
          <w:szCs w:val="24"/>
          <w:vertAlign w:val="baseline"/>
          <w:lang w:eastAsia="zh-CN"/>
        </w:rPr>
        <w:t>。</w:t>
      </w:r>
      <w:r>
        <w:rPr>
          <w:rFonts w:hint="eastAsia" w:ascii="仿宋" w:hAnsi="仿宋" w:eastAsia="仿宋" w:cs="仿宋"/>
          <w:b w:val="0"/>
          <w:bCs w:val="0"/>
          <w:i w:val="0"/>
          <w:iCs w:val="0"/>
          <w:color w:val="000000"/>
          <w:spacing w:val="0"/>
          <w:w w:val="100"/>
          <w:sz w:val="24"/>
          <w:szCs w:val="24"/>
          <w:vertAlign w:val="baseline"/>
        </w:rPr>
        <w:br w:type="textWrapping"/>
      </w:r>
      <w:r>
        <w:rPr>
          <w:rFonts w:hint="eastAsia" w:ascii="仿宋" w:hAnsi="仿宋" w:eastAsia="仿宋" w:cs="仿宋"/>
          <w:b w:val="0"/>
          <w:bCs w:val="0"/>
          <w:i w:val="0"/>
          <w:iCs w:val="0"/>
          <w:color w:val="000000"/>
          <w:spacing w:val="0"/>
          <w:w w:val="100"/>
          <w:sz w:val="24"/>
          <w:szCs w:val="24"/>
          <w:vertAlign w:val="baseline"/>
        </w:rPr>
        <w:t>★1 主要技术指标</w:t>
      </w:r>
    </w:p>
    <w:p w14:paraId="050C54CE">
      <w:pPr>
        <w:ind w:firstLine="490" w:firstLineChars="200"/>
        <w:rPr>
          <w:rFonts w:hint="eastAsia" w:ascii="仿宋" w:hAnsi="仿宋" w:eastAsia="仿宋" w:cs="仿宋"/>
          <w:b w:val="0"/>
          <w:bCs w:val="0"/>
          <w:i w:val="0"/>
          <w:iCs w:val="0"/>
          <w:color w:val="000000"/>
          <w:spacing w:val="0"/>
          <w:w w:val="100"/>
          <w:sz w:val="24"/>
          <w:szCs w:val="24"/>
          <w:vertAlign w:val="baseline"/>
          <w:lang w:val="en-US" w:eastAsia="zh-CN"/>
        </w:rPr>
      </w:pPr>
      <w:r>
        <w:rPr>
          <w:rFonts w:hint="eastAsia" w:ascii="仿宋" w:hAnsi="仿宋" w:eastAsia="仿宋" w:cs="仿宋"/>
          <w:b w:val="0"/>
          <w:bCs w:val="0"/>
          <w:i w:val="0"/>
          <w:iCs w:val="0"/>
          <w:color w:val="000000"/>
          <w:spacing w:val="0"/>
          <w:w w:val="100"/>
          <w:sz w:val="24"/>
          <w:szCs w:val="24"/>
          <w:vertAlign w:val="baseline"/>
          <w:lang w:val="en-US" w:eastAsia="zh-CN"/>
        </w:rPr>
        <w:t>测量范围：（87～100）mm</w:t>
      </w:r>
    </w:p>
    <w:p w14:paraId="7A66513B">
      <w:pPr>
        <w:ind w:firstLine="490" w:firstLineChars="200"/>
        <w:rPr>
          <w:rFonts w:hint="eastAsia" w:ascii="黑体" w:hAnsi="黑体" w:eastAsia="黑体" w:cs="黑体"/>
          <w:sz w:val="24"/>
          <w:szCs w:val="24"/>
        </w:rPr>
      </w:pPr>
      <w:r>
        <w:rPr>
          <w:rFonts w:hint="eastAsia" w:ascii="仿宋" w:hAnsi="仿宋" w:eastAsia="仿宋" w:cs="仿宋"/>
          <w:b w:val="0"/>
          <w:bCs w:val="0"/>
          <w:i w:val="0"/>
          <w:iCs w:val="0"/>
          <w:color w:val="000000"/>
          <w:spacing w:val="0"/>
          <w:w w:val="100"/>
          <w:sz w:val="24"/>
          <w:szCs w:val="24"/>
          <w:vertAlign w:val="baseline"/>
          <w:lang w:val="en-US" w:eastAsia="zh-CN"/>
        </w:rPr>
        <w:t>最大允许误差：±0.005mm</w:t>
      </w:r>
    </w:p>
    <w:p w14:paraId="5B8E13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二、项目商务要求</w:t>
      </w:r>
    </w:p>
    <w:p w14:paraId="254499C1">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实施（交货）地点：</w:t>
      </w:r>
      <w:r>
        <w:rPr>
          <w:rFonts w:hint="eastAsia" w:ascii="仿宋" w:hAnsi="仿宋" w:eastAsia="仿宋" w:cs="仿宋"/>
          <w:b/>
          <w:bCs/>
          <w:color w:val="FF0000"/>
          <w:highlight w:val="none"/>
          <w:lang w:val="en-US" w:eastAsia="zh-CN"/>
        </w:rPr>
        <w:t>中标方应在合同签订后30个日历日内交货并安装调试完成交予采购人正常使用。（具体以甲乙双方签订采购合同为准，严格按照采购单位的时间及要求按时供货），将货物运输至</w:t>
      </w:r>
      <w:r>
        <w:rPr>
          <w:rFonts w:hint="eastAsia" w:ascii="仿宋_GB2312" w:hAnsi="仿宋_GB2312" w:eastAsia="仿宋_GB2312" w:cs="仿宋_GB2312"/>
          <w:b/>
          <w:bCs/>
          <w:color w:val="FF0000"/>
          <w:sz w:val="24"/>
          <w:szCs w:val="24"/>
        </w:rPr>
        <w:t>甲方指定地点</w:t>
      </w:r>
      <w:r>
        <w:rPr>
          <w:rFonts w:hint="eastAsia" w:ascii="仿宋_GB2312" w:hAnsi="仿宋_GB2312" w:eastAsia="仿宋_GB2312" w:cs="仿宋_GB2312"/>
          <w:b/>
          <w:bCs/>
          <w:color w:val="FF0000"/>
          <w:sz w:val="24"/>
          <w:szCs w:val="24"/>
          <w:lang w:eastAsia="zh-CN"/>
        </w:rPr>
        <w:t>。</w:t>
      </w:r>
    </w:p>
    <w:p w14:paraId="0AE365A1">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报价要求：本次报价为人民币报价，投标报价应包括：</w:t>
      </w:r>
      <w:r>
        <w:rPr>
          <w:rFonts w:hint="eastAsia" w:ascii="仿宋_GB2312" w:hAnsi="仿宋_GB2312" w:eastAsia="仿宋_GB2312" w:cs="仿宋_GB2312"/>
          <w:sz w:val="24"/>
          <w:szCs w:val="24"/>
          <w:lang w:val="en-US" w:eastAsia="zh-CN"/>
        </w:rPr>
        <w:t>服务</w:t>
      </w:r>
      <w:r>
        <w:rPr>
          <w:rFonts w:hint="eastAsia" w:ascii="仿宋_GB2312" w:hAnsi="仿宋_GB2312" w:eastAsia="仿宋_GB2312" w:cs="仿宋_GB2312"/>
          <w:sz w:val="24"/>
          <w:szCs w:val="24"/>
        </w:rPr>
        <w:t>本身价格、包装费、运输费用、二次搬运费、装卸费、专业工具、运输、损耗、保险费用、措施费、税金费用、自检费、人工费、其他配件费及验收合格前和服务期限内发生的一切费用、应当提供的伴随服务／售后服务费用。</w:t>
      </w:r>
    </w:p>
    <w:p w14:paraId="1F7CE7CB">
      <w:pPr>
        <w:spacing w:line="360" w:lineRule="auto"/>
        <w:rPr>
          <w:rFonts w:hint="eastAsia" w:ascii="仿宋" w:hAnsi="仿宋" w:eastAsia="仿宋" w:cs="仿宋"/>
          <w:b/>
          <w:bCs/>
          <w:lang w:val="en-US" w:eastAsia="zh-CN"/>
        </w:rPr>
      </w:pPr>
      <w:r>
        <w:rPr>
          <w:rFonts w:hint="eastAsia" w:ascii="仿宋" w:hAnsi="仿宋" w:eastAsia="仿宋" w:cs="仿宋"/>
          <w:b/>
          <w:bCs/>
          <w:lang w:val="en-US" w:eastAsia="zh-CN"/>
        </w:rPr>
        <w:t>三、质保要求</w:t>
      </w:r>
    </w:p>
    <w:p w14:paraId="2F1DCAA2">
      <w:pPr>
        <w:spacing w:line="360" w:lineRule="auto"/>
        <w:rPr>
          <w:rFonts w:hint="eastAsia" w:ascii="仿宋" w:hAnsi="仿宋" w:eastAsia="仿宋" w:cs="仿宋"/>
          <w:lang w:val="en-US" w:eastAsia="zh-CN"/>
        </w:rPr>
      </w:pPr>
      <w:r>
        <w:rPr>
          <w:rFonts w:hint="eastAsia" w:ascii="仿宋" w:hAnsi="仿宋" w:eastAsia="仿宋" w:cs="仿宋"/>
          <w:lang w:val="en-US" w:eastAsia="zh-CN"/>
        </w:rPr>
        <w:t>1、质量保修期：</w:t>
      </w:r>
      <w:r>
        <w:rPr>
          <w:rFonts w:hint="eastAsia" w:ascii="仿宋" w:hAnsi="仿宋" w:eastAsia="仿宋" w:cs="仿宋"/>
          <w:b/>
          <w:bCs/>
          <w:color w:val="FF0000"/>
          <w:lang w:val="en-US" w:eastAsia="zh-CN"/>
        </w:rPr>
        <w:t>自本项目验收合格之日起，供应商提供2年的免费质保期。</w:t>
      </w:r>
      <w:r>
        <w:rPr>
          <w:rFonts w:hint="eastAsia" w:ascii="仿宋" w:hAnsi="仿宋" w:eastAsia="仿宋" w:cs="仿宋"/>
          <w:lang w:val="en-US" w:eastAsia="zh-CN"/>
        </w:rPr>
        <w:t xml:space="preserve"> </w:t>
      </w:r>
    </w:p>
    <w:p w14:paraId="6C5EC0B5">
      <w:pPr>
        <w:spacing w:line="360" w:lineRule="auto"/>
        <w:rPr>
          <w:rFonts w:hint="eastAsia" w:ascii="仿宋" w:hAnsi="仿宋" w:eastAsia="仿宋" w:cs="仿宋"/>
          <w:lang w:val="en-US" w:eastAsia="zh-CN"/>
        </w:rPr>
      </w:pPr>
      <w:r>
        <w:rPr>
          <w:rFonts w:hint="eastAsia" w:ascii="仿宋" w:hAnsi="仿宋" w:eastAsia="仿宋" w:cs="仿宋"/>
          <w:lang w:val="en-US" w:eastAsia="zh-CN"/>
        </w:rPr>
        <w:t>2.供应方交付的货物的技术标准不低于国家标准。</w:t>
      </w:r>
    </w:p>
    <w:p w14:paraId="57D88E72">
      <w:pPr>
        <w:spacing w:line="360" w:lineRule="auto"/>
        <w:rPr>
          <w:rFonts w:hint="eastAsia" w:ascii="仿宋" w:hAnsi="仿宋" w:eastAsia="仿宋" w:cs="仿宋"/>
          <w:lang w:val="en-US" w:eastAsia="zh-CN"/>
        </w:rPr>
      </w:pPr>
      <w:r>
        <w:rPr>
          <w:rFonts w:hint="eastAsia" w:ascii="仿宋" w:hAnsi="仿宋" w:eastAsia="仿宋" w:cs="仿宋"/>
          <w:lang w:val="en-US" w:eastAsia="zh-CN"/>
        </w:rPr>
        <w:t>3.供应方在交付货物的同时应提供国家规定的检验合格证明等文件。</w:t>
      </w:r>
    </w:p>
    <w:p w14:paraId="43D13497">
      <w:pPr>
        <w:spacing w:line="360" w:lineRule="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4、售后服务内容</w:t>
      </w:r>
    </w:p>
    <w:p w14:paraId="4BC61573">
      <w:pPr>
        <w:spacing w:line="360" w:lineRule="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投标人和制造商在质量保证期内应当为采购人提供以下技术支持和服务：</w:t>
      </w:r>
    </w:p>
    <w:p w14:paraId="3785CB39">
      <w:pPr>
        <w:spacing w:line="360" w:lineRule="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1）电话咨询：中标方和制造商应当为采购人提供技术援助电话，解答采购人在使用中遇到的问题，及时为采购人提出解决问题的建议。</w:t>
      </w:r>
    </w:p>
    <w:p w14:paraId="57FD7088">
      <w:pPr>
        <w:spacing w:line="360" w:lineRule="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2）现场响应：如发生故障及技术问题后，电话咨询不能解决的，中标方需在2小时内响应，6小时内解决故障问题。6小时无法解决的，需在12小时内上门服务解决问题，使采购人能够正常使用。</w:t>
      </w:r>
    </w:p>
    <w:p w14:paraId="7B7A2156">
      <w:pPr>
        <w:spacing w:line="360" w:lineRule="auto"/>
        <w:rPr>
          <w:rFonts w:hint="eastAsia" w:ascii="仿宋" w:hAnsi="仿宋" w:eastAsia="仿宋" w:cs="仿宋"/>
          <w:b/>
          <w:bCs/>
          <w:lang w:val="en-US" w:eastAsia="zh-CN"/>
        </w:rPr>
      </w:pPr>
      <w:r>
        <w:rPr>
          <w:rFonts w:hint="eastAsia" w:ascii="仿宋" w:hAnsi="仿宋" w:eastAsia="仿宋" w:cs="仿宋"/>
          <w:b/>
          <w:bCs/>
          <w:lang w:val="en-US" w:eastAsia="zh-CN"/>
        </w:rPr>
        <w:t>四、质保期外服务要求</w:t>
      </w:r>
    </w:p>
    <w:p w14:paraId="1DFD76E3">
      <w:pPr>
        <w:spacing w:line="360" w:lineRule="auto"/>
        <w:rPr>
          <w:rFonts w:hint="eastAsia" w:ascii="仿宋" w:hAnsi="仿宋" w:eastAsia="仿宋" w:cs="仿宋"/>
          <w:lang w:val="en-US" w:eastAsia="zh-CN"/>
        </w:rPr>
      </w:pPr>
      <w:r>
        <w:rPr>
          <w:rFonts w:hint="eastAsia" w:ascii="仿宋" w:hAnsi="仿宋" w:eastAsia="仿宋" w:cs="仿宋"/>
          <w:lang w:val="en-US" w:eastAsia="zh-CN"/>
        </w:rPr>
        <w:t>1、质量保证期过后，供应商和制造商应同样提供免费电话咨询服务，并应承诺提供产品维护服务。</w:t>
      </w:r>
    </w:p>
    <w:p w14:paraId="1E2E26A9">
      <w:pPr>
        <w:spacing w:line="360" w:lineRule="auto"/>
        <w:rPr>
          <w:rFonts w:hint="eastAsia" w:ascii="仿宋" w:hAnsi="仿宋" w:eastAsia="仿宋" w:cs="仿宋"/>
          <w:lang w:val="en-US" w:eastAsia="zh-CN"/>
        </w:rPr>
      </w:pPr>
      <w:r>
        <w:rPr>
          <w:rFonts w:hint="eastAsia" w:ascii="仿宋" w:hAnsi="仿宋" w:eastAsia="仿宋" w:cs="仿宋"/>
          <w:lang w:val="en-US" w:eastAsia="zh-CN"/>
        </w:rPr>
        <w:t>2、质量保证期过后，采购人需要继续由原供应商和制造商提供售后服务的，该供应商和制造商应以优惠价格提供售后服务。</w:t>
      </w:r>
    </w:p>
    <w:p w14:paraId="21CB1316">
      <w:pPr>
        <w:spacing w:line="360" w:lineRule="auto"/>
        <w:rPr>
          <w:rFonts w:hint="eastAsia" w:ascii="仿宋" w:hAnsi="仿宋" w:eastAsia="仿宋" w:cs="仿宋"/>
          <w:b/>
          <w:bCs/>
          <w:lang w:val="en-US" w:eastAsia="zh-CN"/>
        </w:rPr>
      </w:pPr>
      <w:r>
        <w:rPr>
          <w:rFonts w:hint="eastAsia" w:ascii="仿宋" w:hAnsi="仿宋" w:eastAsia="仿宋" w:cs="仿宋"/>
          <w:b/>
          <w:bCs/>
          <w:lang w:val="en-US" w:eastAsia="zh-CN"/>
        </w:rPr>
        <w:t>五、培训要求</w:t>
      </w:r>
    </w:p>
    <w:p w14:paraId="4E13AD06">
      <w:pPr>
        <w:spacing w:line="360" w:lineRule="auto"/>
        <w:ind w:firstLine="245" w:firstLineChars="100"/>
        <w:rPr>
          <w:rFonts w:hint="eastAsia" w:ascii="仿宋" w:hAnsi="仿宋" w:eastAsia="仿宋" w:cs="仿宋"/>
          <w:lang w:val="en-US" w:eastAsia="zh-CN"/>
        </w:rPr>
      </w:pPr>
      <w:r>
        <w:rPr>
          <w:rFonts w:hint="eastAsia" w:ascii="仿宋" w:hAnsi="仿宋" w:eastAsia="仿宋" w:cs="仿宋"/>
          <w:lang w:val="en-US" w:eastAsia="zh-CN"/>
        </w:rPr>
        <w:t>供应商对其提供产品的使用和操作应尽培训义务。供应商应提供对采购人的基本免费培训，使采购人使用人员能够正常操作。</w:t>
      </w:r>
    </w:p>
    <w:p w14:paraId="12FDBDCA">
      <w:pPr>
        <w:spacing w:line="360" w:lineRule="auto"/>
        <w:rPr>
          <w:rFonts w:hint="eastAsia" w:ascii="仿宋" w:hAnsi="仿宋" w:eastAsia="仿宋" w:cs="仿宋"/>
          <w:b/>
          <w:bCs/>
          <w:lang w:val="en-US" w:eastAsia="zh-CN"/>
        </w:rPr>
      </w:pPr>
      <w:r>
        <w:rPr>
          <w:rFonts w:hint="eastAsia" w:ascii="仿宋" w:hAnsi="仿宋" w:eastAsia="仿宋" w:cs="仿宋"/>
          <w:b/>
          <w:bCs/>
          <w:lang w:val="en-US" w:eastAsia="zh-CN"/>
        </w:rPr>
        <w:t>六、验收保证的承诺</w:t>
      </w:r>
    </w:p>
    <w:p w14:paraId="0A1FC327">
      <w:pPr>
        <w:spacing w:line="360" w:lineRule="auto"/>
        <w:ind w:firstLine="490" w:firstLineChars="200"/>
        <w:rPr>
          <w:rFonts w:hint="eastAsia" w:ascii="仿宋" w:hAnsi="仿宋" w:eastAsia="仿宋" w:cs="仿宋"/>
          <w:lang w:val="en-US" w:eastAsia="zh-CN"/>
        </w:rPr>
      </w:pPr>
      <w:r>
        <w:rPr>
          <w:rFonts w:hint="eastAsia" w:ascii="仿宋" w:hAnsi="仿宋" w:eastAsia="仿宋" w:cs="仿宋"/>
          <w:lang w:val="en-US" w:eastAsia="zh-CN"/>
        </w:rPr>
        <w:t>1、此次招标内容严格按照中标供应商的投标文件中的技术规格、数量及质量要求进行验收（配置参数清单中明确设备等配件辅件的产地、厂家、品牌、型号、数量等）</w:t>
      </w:r>
    </w:p>
    <w:p w14:paraId="5E34B6D1">
      <w:pPr>
        <w:spacing w:line="360" w:lineRule="auto"/>
        <w:ind w:firstLine="490" w:firstLineChars="200"/>
        <w:rPr>
          <w:rFonts w:hint="eastAsia" w:ascii="仿宋" w:hAnsi="仿宋" w:eastAsia="仿宋" w:cs="仿宋"/>
          <w:lang w:val="en-US" w:eastAsia="zh-CN"/>
        </w:rPr>
      </w:pPr>
      <w:r>
        <w:rPr>
          <w:rFonts w:hint="eastAsia" w:ascii="仿宋" w:hAnsi="仿宋" w:eastAsia="仿宋" w:cs="仿宋"/>
          <w:lang w:val="en-US" w:eastAsia="zh-CN"/>
        </w:rPr>
        <w:t>2、货物到达现场后，供应商应在使用单位人员在场情况下当面共同清点、检查，做出质量技术要求检查记录，双方签字确认；</w:t>
      </w:r>
    </w:p>
    <w:p w14:paraId="11EC7F7D">
      <w:pPr>
        <w:spacing w:line="360" w:lineRule="auto"/>
        <w:ind w:firstLine="490" w:firstLineChars="200"/>
        <w:rPr>
          <w:rFonts w:hint="eastAsia" w:ascii="仿宋" w:hAnsi="仿宋" w:eastAsia="仿宋" w:cs="仿宋"/>
          <w:lang w:val="en-US" w:eastAsia="zh-CN"/>
        </w:rPr>
      </w:pPr>
      <w:r>
        <w:rPr>
          <w:rFonts w:hint="eastAsia" w:ascii="仿宋" w:hAnsi="仿宋" w:eastAsia="仿宋" w:cs="仿宋"/>
          <w:lang w:val="en-US" w:eastAsia="zh-CN"/>
        </w:rPr>
        <w:t>3、中标方应保证货物到达采购人所在地完好无损，如有缺漏、损坏，由供应商负责调换、补齐或赔偿。</w:t>
      </w:r>
    </w:p>
    <w:p w14:paraId="3E3C4E15">
      <w:pPr>
        <w:spacing w:line="360" w:lineRule="auto"/>
        <w:ind w:firstLine="490" w:firstLineChars="200"/>
        <w:rPr>
          <w:rFonts w:hint="eastAsia" w:ascii="仿宋" w:hAnsi="仿宋" w:eastAsia="仿宋" w:cs="仿宋"/>
          <w:lang w:val="en-US" w:eastAsia="zh-CN"/>
        </w:rPr>
      </w:pPr>
      <w:r>
        <w:rPr>
          <w:rFonts w:hint="eastAsia" w:ascii="仿宋" w:hAnsi="仿宋" w:eastAsia="仿宋" w:cs="仿宋"/>
          <w:lang w:val="en-US" w:eastAsia="zh-CN"/>
        </w:rPr>
        <w:t>4、中标方应提供完备的技术资料、装箱单和合格证等，货物验收时，招标方向采购人提供生产厂家出具的验收报告、合格证、厂家资格证件等相关文件并派遣专业技术人员进行现场安装调试。验收合格条件如下：</w:t>
      </w:r>
    </w:p>
    <w:p w14:paraId="2E709DBC">
      <w:pPr>
        <w:spacing w:line="360" w:lineRule="auto"/>
        <w:rPr>
          <w:rFonts w:hint="eastAsia" w:ascii="仿宋" w:hAnsi="仿宋" w:eastAsia="仿宋" w:cs="仿宋"/>
          <w:lang w:val="en-US" w:eastAsia="zh-CN"/>
        </w:rPr>
      </w:pPr>
      <w:r>
        <w:rPr>
          <w:rFonts w:hint="eastAsia" w:ascii="仿宋" w:hAnsi="仿宋" w:eastAsia="仿宋" w:cs="仿宋"/>
          <w:lang w:val="en-US" w:eastAsia="zh-CN"/>
        </w:rPr>
        <w:t xml:space="preserve">   设备技术参数与采购合同一致，性能指标达到规定的标准。</w:t>
      </w:r>
    </w:p>
    <w:p w14:paraId="4AA79FD5">
      <w:pPr>
        <w:spacing w:line="360" w:lineRule="auto"/>
        <w:rPr>
          <w:rFonts w:hint="eastAsia" w:ascii="仿宋" w:hAnsi="仿宋" w:eastAsia="仿宋" w:cs="仿宋"/>
          <w:lang w:val="en-US" w:eastAsia="zh-CN"/>
        </w:rPr>
      </w:pPr>
      <w:r>
        <w:rPr>
          <w:rFonts w:hint="eastAsia" w:ascii="仿宋" w:hAnsi="仿宋" w:eastAsia="仿宋" w:cs="仿宋"/>
          <w:lang w:val="en-US" w:eastAsia="zh-CN"/>
        </w:rPr>
        <w:t xml:space="preserve">   货物技术资料、装箱单、合格证等资料齐全。</w:t>
      </w:r>
    </w:p>
    <w:p w14:paraId="2272E337">
      <w:pPr>
        <w:spacing w:line="360" w:lineRule="auto"/>
        <w:rPr>
          <w:rFonts w:hint="eastAsia" w:ascii="仿宋" w:hAnsi="仿宋" w:eastAsia="仿宋" w:cs="仿宋"/>
          <w:lang w:val="en-US" w:eastAsia="zh-CN"/>
        </w:rPr>
      </w:pPr>
      <w:r>
        <w:rPr>
          <w:rFonts w:hint="eastAsia" w:ascii="仿宋" w:hAnsi="仿宋" w:eastAsia="仿宋" w:cs="仿宋"/>
          <w:lang w:val="en-US" w:eastAsia="zh-CN"/>
        </w:rPr>
        <w:t xml:space="preserve">   在系统试运行期间所出现的问题得到解决，并运行正常。</w:t>
      </w:r>
    </w:p>
    <w:p w14:paraId="2F945DE0">
      <w:pPr>
        <w:spacing w:line="360" w:lineRule="auto"/>
        <w:ind w:firstLine="490" w:firstLineChars="200"/>
        <w:rPr>
          <w:rFonts w:hint="eastAsia" w:ascii="仿宋" w:hAnsi="仿宋" w:eastAsia="仿宋" w:cs="仿宋"/>
          <w:lang w:val="en-US" w:eastAsia="zh-CN"/>
        </w:rPr>
      </w:pPr>
      <w:r>
        <w:rPr>
          <w:rFonts w:hint="eastAsia" w:ascii="仿宋" w:hAnsi="仿宋" w:eastAsia="仿宋" w:cs="仿宋"/>
          <w:lang w:val="en-US" w:eastAsia="zh-CN"/>
        </w:rPr>
        <w:t>在规定时间内完成交货并验收，并经采购人确认。</w:t>
      </w:r>
    </w:p>
    <w:p w14:paraId="227495E2">
      <w:pPr>
        <w:spacing w:line="360" w:lineRule="auto"/>
        <w:ind w:firstLine="490" w:firstLineChars="200"/>
        <w:rPr>
          <w:rFonts w:hint="eastAsia" w:ascii="仿宋" w:hAnsi="仿宋" w:eastAsia="仿宋" w:cs="仿宋"/>
          <w:lang w:val="en-US" w:eastAsia="zh-CN"/>
        </w:rPr>
      </w:pPr>
      <w:r>
        <w:rPr>
          <w:rFonts w:hint="eastAsia" w:ascii="仿宋" w:hAnsi="仿宋" w:eastAsia="仿宋" w:cs="仿宋"/>
          <w:lang w:val="en-US" w:eastAsia="zh-CN"/>
        </w:rPr>
        <w:t>5、产品在安装调试并试运行符合要求后，才作为最终验收，试运行期三个月。</w:t>
      </w:r>
    </w:p>
    <w:p w14:paraId="501C03E9">
      <w:pPr>
        <w:spacing w:line="360" w:lineRule="auto"/>
        <w:ind w:firstLine="490" w:firstLineChars="200"/>
        <w:rPr>
          <w:rFonts w:hint="eastAsia" w:ascii="仿宋" w:hAnsi="仿宋" w:eastAsia="仿宋" w:cs="仿宋"/>
          <w:lang w:val="en-US" w:eastAsia="zh-CN"/>
        </w:rPr>
      </w:pPr>
      <w:r>
        <w:rPr>
          <w:rFonts w:hint="eastAsia" w:ascii="仿宋" w:hAnsi="仿宋" w:eastAsia="仿宋" w:cs="仿宋"/>
          <w:lang w:val="en-US" w:eastAsia="zh-CN"/>
        </w:rPr>
        <w:t>6、供应商提供的货物未达到招标文件规定要求，且对采购人造成损失的，由供应商承担一切责任，并赔偿所造成的损失。</w:t>
      </w:r>
    </w:p>
    <w:p w14:paraId="2B2CB94C">
      <w:pPr>
        <w:spacing w:line="360" w:lineRule="auto"/>
        <w:ind w:firstLine="490" w:firstLineChars="200"/>
        <w:rPr>
          <w:rFonts w:hint="eastAsia" w:ascii="仿宋" w:hAnsi="仿宋" w:eastAsia="仿宋" w:cs="仿宋"/>
          <w:lang w:val="en-US" w:eastAsia="zh-CN"/>
        </w:rPr>
      </w:pPr>
      <w:r>
        <w:rPr>
          <w:rFonts w:hint="eastAsia" w:ascii="仿宋" w:hAnsi="仿宋" w:eastAsia="仿宋" w:cs="仿宋"/>
          <w:lang w:val="en-US" w:eastAsia="zh-CN"/>
        </w:rPr>
        <w:t>7、乙方将根据本项目的技术要求提供相关的培训，须具备专业的培训团队为甲方提供系统的免费培训，同时还为乙方提供全面的技术支持和周到的跟踪服务；</w:t>
      </w:r>
    </w:p>
    <w:p w14:paraId="58777285">
      <w:pPr>
        <w:spacing w:line="360" w:lineRule="auto"/>
        <w:ind w:firstLine="490" w:firstLineChars="200"/>
        <w:rPr>
          <w:rFonts w:hint="eastAsia" w:ascii="仿宋" w:hAnsi="仿宋" w:eastAsia="仿宋" w:cs="仿宋"/>
          <w:lang w:val="en-US" w:eastAsia="zh-CN"/>
        </w:rPr>
      </w:pPr>
      <w:r>
        <w:rPr>
          <w:rFonts w:hint="eastAsia" w:ascii="仿宋" w:hAnsi="仿宋" w:eastAsia="仿宋" w:cs="仿宋"/>
          <w:lang w:val="en-US" w:eastAsia="zh-CN"/>
        </w:rPr>
        <w:t>8、产品质量：在合同期内，甲方正常使用乙方所供产品而出现质量问题时，乙方负责。产品使用：甲方在使用乙方所供产品中出现问题需乙方解决时，乙方应无偿解决（退换货）。</w:t>
      </w:r>
    </w:p>
    <w:p w14:paraId="35A1757F">
      <w:pPr>
        <w:keepNext w:val="0"/>
        <w:keepLines w:val="0"/>
        <w:pageBreakBefore w:val="0"/>
        <w:widowControl w:val="0"/>
        <w:kinsoku/>
        <w:wordWrap/>
        <w:overflowPunct/>
        <w:topLinePunct w:val="0"/>
        <w:autoSpaceDE/>
        <w:autoSpaceDN/>
        <w:bidi w:val="0"/>
        <w:adjustRightInd/>
        <w:snapToGrid/>
        <w:spacing w:line="440" w:lineRule="exact"/>
        <w:ind w:firstLine="245" w:firstLineChars="100"/>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七、</w:t>
      </w:r>
      <w:r>
        <w:rPr>
          <w:rFonts w:hint="eastAsia" w:ascii="仿宋" w:hAnsi="仿宋" w:eastAsia="仿宋" w:cs="仿宋"/>
          <w:b/>
          <w:bCs/>
          <w:color w:val="auto"/>
          <w:highlight w:val="none"/>
          <w:lang w:eastAsia="zh-CN"/>
        </w:rPr>
        <w:t>验收</w:t>
      </w:r>
    </w:p>
    <w:p w14:paraId="170D25E0">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1、供应商提供的产品为全新未使用且符合相关法律法规要求的合格产品；</w:t>
      </w:r>
    </w:p>
    <w:p w14:paraId="55D970CE">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2、供应商提供的产品型号、规格等特性需与响应文件、合同规定内容完全一致，且满足采购方提出的采购需求。</w:t>
      </w:r>
    </w:p>
    <w:p w14:paraId="731AF657">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3、货物验收时，供应商向采购人提供生产厂家出具的验收报告、合格证、厂家资格证件等相关文件。</w:t>
      </w:r>
      <w:r>
        <w:rPr>
          <w:rFonts w:ascii="仿宋" w:hAnsi="仿宋" w:eastAsia="仿宋" w:cs="仿宋"/>
          <w:b w:val="0"/>
          <w:bCs w:val="0"/>
          <w:color w:val="auto"/>
          <w:sz w:val="24"/>
          <w:szCs w:val="24"/>
        </w:rPr>
        <w:t>验收中发现货物达不到质量标准或合同的规定，供货商必须及时免费更换全 新合格的货物，并且承担由此给采购人造成的损失。</w:t>
      </w:r>
    </w:p>
    <w:p w14:paraId="5F5A904E">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、供应商提供的产品需经采购人验收小组验收，进行试验检测，按照技术要求逐项进行测试，测试结果应满足相关要求，试验通过并满足要求为验收合格。</w:t>
      </w:r>
    </w:p>
    <w:p w14:paraId="5634312F">
      <w:pPr>
        <w:keepNext w:val="0"/>
        <w:keepLines w:val="0"/>
        <w:pageBreakBefore w:val="0"/>
        <w:widowControl w:val="0"/>
        <w:kinsoku/>
        <w:wordWrap/>
        <w:overflowPunct/>
        <w:topLinePunct w:val="0"/>
        <w:autoSpaceDE/>
        <w:autoSpaceDN/>
        <w:bidi w:val="0"/>
        <w:adjustRightInd/>
        <w:snapToGrid/>
        <w:spacing w:line="440" w:lineRule="exact"/>
        <w:ind w:firstLine="359" w:firstLineChars="147"/>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八、</w:t>
      </w:r>
      <w:r>
        <w:rPr>
          <w:rFonts w:hint="eastAsia" w:ascii="仿宋" w:hAnsi="仿宋" w:eastAsia="仿宋" w:cs="仿宋"/>
          <w:b/>
          <w:bCs/>
          <w:color w:val="auto"/>
          <w:highlight w:val="none"/>
          <w:lang w:eastAsia="zh-CN"/>
        </w:rPr>
        <w:t>付款方式</w:t>
      </w:r>
    </w:p>
    <w:p w14:paraId="7A5B492A">
      <w:pPr>
        <w:keepNext w:val="0"/>
        <w:keepLines w:val="0"/>
        <w:pageBreakBefore w:val="0"/>
        <w:widowControl w:val="0"/>
        <w:kinsoku/>
        <w:wordWrap/>
        <w:overflowPunct/>
        <w:topLinePunct w:val="0"/>
        <w:autoSpaceDE/>
        <w:autoSpaceDN/>
        <w:bidi w:val="0"/>
        <w:adjustRightInd/>
        <w:snapToGrid/>
        <w:spacing w:line="440" w:lineRule="exact"/>
        <w:ind w:firstLine="245" w:firstLineChars="100"/>
        <w:textAlignment w:val="auto"/>
        <w:rPr>
          <w:rFonts w:hint="eastAsia" w:ascii="仿宋" w:hAnsi="仿宋" w:eastAsia="仿宋" w:cs="仿宋"/>
          <w:b/>
          <w:bCs/>
          <w:color w:val="FF0000"/>
          <w:highlight w:val="none"/>
          <w:lang w:val="en-US" w:eastAsia="zh-CN"/>
        </w:rPr>
      </w:pPr>
      <w:r>
        <w:rPr>
          <w:rFonts w:hint="eastAsia" w:ascii="仿宋" w:hAnsi="仿宋" w:eastAsia="仿宋" w:cs="仿宋"/>
          <w:b/>
          <w:bCs/>
          <w:color w:val="FF0000"/>
          <w:highlight w:val="none"/>
          <w:lang w:val="en-US" w:eastAsia="zh-CN"/>
        </w:rPr>
        <w:t>签订合同后，甲方向乙方支付合同总价的30%作为预付款，货物送达到甲方指定地点并验收合格后支付合同价剩余的70%。</w:t>
      </w:r>
    </w:p>
    <w:p w14:paraId="184BE592">
      <w:pPr>
        <w:keepNext w:val="0"/>
        <w:keepLines w:val="0"/>
        <w:pageBreakBefore w:val="0"/>
        <w:widowControl w:val="0"/>
        <w:kinsoku/>
        <w:wordWrap/>
        <w:overflowPunct/>
        <w:topLinePunct w:val="0"/>
        <w:autoSpaceDE/>
        <w:autoSpaceDN/>
        <w:bidi w:val="0"/>
        <w:adjustRightInd/>
        <w:snapToGrid/>
        <w:spacing w:line="440" w:lineRule="exact"/>
        <w:ind w:firstLine="245" w:firstLineChars="100"/>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九、</w:t>
      </w:r>
      <w:r>
        <w:rPr>
          <w:rFonts w:hint="eastAsia" w:ascii="仿宋" w:hAnsi="仿宋" w:eastAsia="仿宋" w:cs="仿宋"/>
          <w:b/>
          <w:bCs/>
          <w:color w:val="auto"/>
          <w:highlight w:val="none"/>
          <w:lang w:eastAsia="zh-CN"/>
        </w:rPr>
        <w:t>知识产权</w:t>
      </w:r>
    </w:p>
    <w:p w14:paraId="03112B25">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采购人在中华人民共和国境内使用供应商提供的货物及服务时免受第三方提出的侵犯其专利权或其它知识产权的起诉。如果第三方提出侵权指控，成交人应承担由此而引起的一切法律责任和费用。</w:t>
      </w:r>
    </w:p>
    <w:bookmarkEnd w:id="20"/>
    <w:bookmarkEnd w:id="21"/>
    <w:p w14:paraId="06432626">
      <w:pPr>
        <w:keepNext w:val="0"/>
        <w:keepLines w:val="0"/>
        <w:pageBreakBefore w:val="0"/>
        <w:widowControl w:val="0"/>
        <w:kinsoku/>
        <w:wordWrap/>
        <w:overflowPunct/>
        <w:topLinePunct w:val="0"/>
        <w:autoSpaceDE/>
        <w:autoSpaceDN/>
        <w:bidi w:val="0"/>
        <w:adjustRightInd/>
        <w:snapToGrid/>
        <w:spacing w:line="440" w:lineRule="exact"/>
        <w:ind w:firstLine="245" w:firstLineChars="100"/>
        <w:textAlignment w:val="auto"/>
        <w:rPr>
          <w:rFonts w:ascii="仿宋" w:hAnsi="仿宋" w:eastAsia="仿宋" w:cs="仿宋"/>
          <w:b/>
          <w:bCs/>
          <w:color w:val="auto"/>
          <w:highlight w:val="none"/>
          <w:lang w:eastAsia="zh-CN"/>
        </w:rPr>
      </w:pPr>
      <w:bookmarkStart w:id="23" w:name="_Toc7598"/>
      <w:bookmarkStart w:id="24" w:name="_Toc20832"/>
      <w:bookmarkStart w:id="25" w:name="_Toc12239"/>
      <w:bookmarkStart w:id="26" w:name="_Toc267320054"/>
      <w:bookmarkStart w:id="27" w:name="_Toc439255252"/>
      <w:bookmarkStart w:id="28" w:name="_Toc12840_WPSOffice_Level1"/>
      <w:bookmarkStart w:id="29" w:name="_Toc469495740"/>
      <w:r>
        <w:rPr>
          <w:rFonts w:hint="eastAsia" w:ascii="仿宋" w:hAnsi="仿宋" w:eastAsia="仿宋" w:cs="仿宋"/>
          <w:b/>
          <w:bCs/>
          <w:color w:val="auto"/>
          <w:highlight w:val="none"/>
          <w:lang w:val="en-US" w:eastAsia="zh-CN"/>
        </w:rPr>
        <w:t>十、</w:t>
      </w:r>
      <w:r>
        <w:rPr>
          <w:rFonts w:hint="eastAsia" w:ascii="仿宋" w:hAnsi="仿宋" w:eastAsia="仿宋" w:cs="仿宋"/>
          <w:b/>
          <w:bCs/>
          <w:color w:val="auto"/>
          <w:highlight w:val="none"/>
          <w:lang w:eastAsia="zh-CN"/>
        </w:rPr>
        <w:t>其他</w:t>
      </w:r>
      <w:bookmarkEnd w:id="23"/>
      <w:bookmarkEnd w:id="24"/>
      <w:bookmarkEnd w:id="25"/>
    </w:p>
    <w:bookmarkEnd w:id="26"/>
    <w:bookmarkEnd w:id="27"/>
    <w:bookmarkEnd w:id="28"/>
    <w:p w14:paraId="60AAF70B">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1、供应商必须在</w:t>
      </w:r>
      <w:r>
        <w:rPr>
          <w:rFonts w:hint="eastAsia" w:ascii="仿宋" w:hAnsi="仿宋" w:eastAsia="仿宋" w:cs="仿宋"/>
          <w:color w:val="auto"/>
          <w:szCs w:val="21"/>
          <w:highlight w:val="none"/>
          <w:lang w:eastAsia="zh-CN"/>
        </w:rPr>
        <w:t>响应</w:t>
      </w:r>
      <w:r>
        <w:rPr>
          <w:rFonts w:hint="eastAsia" w:ascii="仿宋" w:hAnsi="仿宋" w:eastAsia="仿宋" w:cs="仿宋"/>
          <w:color w:val="auto"/>
          <w:highlight w:val="none"/>
          <w:lang w:eastAsia="zh-CN"/>
        </w:rPr>
        <w:t>文件中对以上条款和服务承诺明确列出，承诺内容必须达到本篇及招标文件其他条款的要求。</w:t>
      </w:r>
    </w:p>
    <w:p w14:paraId="08C40C3E">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2、成交人与采购人签订《协议》后，须与用户方签订《货物采购供应合同》（包括供货范围、需求数量、单价等），明确具体供货数量、供货时间、送达地点等内容。</w:t>
      </w:r>
    </w:p>
    <w:p w14:paraId="1E9C559C">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3、其他未尽事宜由供需双方在采购合同中详细约定。</w:t>
      </w:r>
    </w:p>
    <w:p w14:paraId="0437E58D">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4、若供应商不能按招标文件规定的交货期正常交货，采购方有权终止采购合同，并将相关情况上报给采购计划主管部门，取消其</w:t>
      </w:r>
      <w:r>
        <w:rPr>
          <w:rFonts w:hint="eastAsia" w:ascii="仿宋" w:hAnsi="仿宋" w:eastAsia="仿宋" w:cs="仿宋"/>
          <w:color w:val="auto"/>
          <w:highlight w:val="none"/>
          <w:lang w:val="en-US" w:eastAsia="zh-CN"/>
        </w:rPr>
        <w:t>成交</w:t>
      </w:r>
      <w:r>
        <w:rPr>
          <w:rFonts w:hint="eastAsia" w:ascii="仿宋" w:hAnsi="仿宋" w:eastAsia="仿宋" w:cs="仿宋"/>
          <w:color w:val="auto"/>
          <w:highlight w:val="none"/>
          <w:lang w:eastAsia="zh-CN"/>
        </w:rPr>
        <w:t>资格。</w:t>
      </w:r>
    </w:p>
    <w:p w14:paraId="38629B8E">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highlight w:val="none"/>
          <w:lang w:eastAsia="zh-CN"/>
        </w:rPr>
        <w:t>5、</w:t>
      </w:r>
      <w:r>
        <w:rPr>
          <w:rFonts w:hint="eastAsia" w:ascii="仿宋" w:hAnsi="仿宋" w:eastAsia="仿宋" w:cs="仿宋"/>
          <w:color w:val="auto"/>
          <w:kern w:val="2"/>
          <w:highlight w:val="none"/>
          <w:lang w:eastAsia="zh-CN" w:bidi="ar-SA"/>
        </w:rPr>
        <w:t>其他未尽事宜由供需双方在采购合同中详细约定。</w:t>
      </w:r>
      <w:bookmarkEnd w:id="29"/>
    </w:p>
    <w:bookmarkEnd w:id="10"/>
    <w:p w14:paraId="1EAABC56">
      <w:pPr>
        <w:spacing w:line="480" w:lineRule="exact"/>
        <w:jc w:val="center"/>
        <w:outlineLvl w:val="1"/>
        <w:rPr>
          <w:rFonts w:hint="eastAsia" w:ascii="仿宋" w:hAnsi="仿宋" w:eastAsia="仿宋" w:cs="仿宋"/>
          <w:b/>
          <w:color w:val="auto"/>
          <w:sz w:val="32"/>
          <w:szCs w:val="32"/>
          <w:lang w:val="en-US" w:eastAsia="zh-CN"/>
        </w:rPr>
      </w:pPr>
    </w:p>
    <w:p w14:paraId="374316DD">
      <w:pPr>
        <w:spacing w:line="480" w:lineRule="exact"/>
        <w:jc w:val="center"/>
        <w:outlineLvl w:val="1"/>
        <w:rPr>
          <w:rFonts w:hint="eastAsia" w:ascii="仿宋" w:hAnsi="仿宋" w:eastAsia="仿宋" w:cs="仿宋"/>
          <w:b/>
          <w:color w:val="auto"/>
          <w:sz w:val="32"/>
          <w:szCs w:val="32"/>
          <w:lang w:val="en-US" w:eastAsia="zh-CN"/>
        </w:rPr>
      </w:pPr>
    </w:p>
    <w:p w14:paraId="61CC7669">
      <w:pPr>
        <w:spacing w:line="480" w:lineRule="exact"/>
        <w:jc w:val="center"/>
        <w:outlineLvl w:val="1"/>
        <w:rPr>
          <w:rFonts w:hint="eastAsia" w:ascii="仿宋" w:hAnsi="仿宋" w:eastAsia="仿宋" w:cs="仿宋"/>
          <w:b/>
          <w:color w:val="auto"/>
          <w:sz w:val="32"/>
          <w:szCs w:val="32"/>
          <w:lang w:val="en-US" w:eastAsia="zh-CN"/>
        </w:rPr>
      </w:pPr>
    </w:p>
    <w:p w14:paraId="5FBA26BE">
      <w:pPr>
        <w:spacing w:line="480" w:lineRule="exact"/>
        <w:jc w:val="center"/>
        <w:outlineLvl w:val="1"/>
        <w:rPr>
          <w:rFonts w:hint="eastAsia" w:ascii="仿宋" w:hAnsi="仿宋" w:eastAsia="仿宋" w:cs="仿宋"/>
          <w:b/>
          <w:color w:val="auto"/>
          <w:sz w:val="32"/>
          <w:szCs w:val="32"/>
          <w:lang w:val="en-US" w:eastAsia="zh-CN"/>
        </w:rPr>
      </w:pPr>
    </w:p>
    <w:p w14:paraId="6D884741">
      <w:pPr>
        <w:spacing w:line="480" w:lineRule="exact"/>
        <w:jc w:val="center"/>
        <w:outlineLvl w:val="1"/>
        <w:rPr>
          <w:rFonts w:hint="eastAsia" w:ascii="仿宋" w:hAnsi="仿宋" w:eastAsia="仿宋" w:cs="仿宋"/>
          <w:b/>
          <w:color w:val="auto"/>
          <w:sz w:val="32"/>
          <w:szCs w:val="32"/>
          <w:lang w:val="en-US" w:eastAsia="zh-CN"/>
        </w:rPr>
      </w:pPr>
    </w:p>
    <w:p w14:paraId="0AA3D616">
      <w:pPr>
        <w:spacing w:line="480" w:lineRule="exact"/>
        <w:jc w:val="center"/>
        <w:outlineLvl w:val="1"/>
        <w:rPr>
          <w:rFonts w:hint="eastAsia" w:ascii="仿宋" w:hAnsi="仿宋" w:eastAsia="仿宋" w:cs="仿宋"/>
          <w:b/>
          <w:color w:val="auto"/>
          <w:sz w:val="32"/>
          <w:szCs w:val="32"/>
          <w:lang w:val="en-US" w:eastAsia="zh-CN"/>
        </w:rPr>
      </w:pPr>
    </w:p>
    <w:p w14:paraId="6769BAC3">
      <w:pPr>
        <w:spacing w:line="480" w:lineRule="exact"/>
        <w:jc w:val="center"/>
        <w:outlineLvl w:val="1"/>
        <w:rPr>
          <w:rFonts w:hint="eastAsia" w:ascii="仿宋" w:hAnsi="仿宋" w:eastAsia="仿宋" w:cs="仿宋"/>
          <w:b/>
          <w:color w:val="auto"/>
          <w:sz w:val="32"/>
          <w:szCs w:val="32"/>
          <w:lang w:val="en-US" w:eastAsia="zh-CN"/>
        </w:rPr>
      </w:pPr>
    </w:p>
    <w:p w14:paraId="27D63BC6">
      <w:pPr>
        <w:spacing w:line="480" w:lineRule="exact"/>
        <w:ind w:firstLine="2275" w:firstLineChars="700"/>
        <w:jc w:val="both"/>
        <w:outlineLvl w:val="1"/>
        <w:rPr>
          <w:rFonts w:ascii="仿宋" w:hAnsi="仿宋" w:eastAsia="仿宋" w:cs="仿宋"/>
          <w:b/>
          <w:color w:val="auto"/>
          <w:sz w:val="30"/>
          <w:szCs w:val="30"/>
          <w:highlight w:val="none"/>
          <w:lang w:eastAsia="zh-CN"/>
        </w:rPr>
      </w:pPr>
      <w:r>
        <w:rPr>
          <w:rFonts w:hint="eastAsia" w:ascii="仿宋" w:hAnsi="仿宋" w:eastAsia="仿宋" w:cs="仿宋"/>
          <w:b/>
          <w:color w:val="auto"/>
          <w:sz w:val="32"/>
          <w:szCs w:val="32"/>
          <w:lang w:val="en-US" w:eastAsia="zh-CN"/>
        </w:rPr>
        <w:t xml:space="preserve">第四部分  </w:t>
      </w:r>
      <w:r>
        <w:rPr>
          <w:rFonts w:hint="eastAsia" w:ascii="仿宋" w:hAnsi="仿宋" w:eastAsia="仿宋" w:cs="仿宋"/>
          <w:b/>
          <w:color w:val="auto"/>
          <w:sz w:val="30"/>
          <w:szCs w:val="30"/>
          <w:highlight w:val="none"/>
          <w:lang w:eastAsia="zh-CN"/>
        </w:rPr>
        <w:t>合同条款及格式</w:t>
      </w:r>
      <w:bookmarkStart w:id="30" w:name="_Toc20669"/>
    </w:p>
    <w:p w14:paraId="7FB69DA3">
      <w:pPr>
        <w:spacing w:line="480" w:lineRule="exact"/>
        <w:jc w:val="center"/>
        <w:outlineLvl w:val="1"/>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（本合同为合同样稿，最终稿由供需双方协商后确定）</w:t>
      </w:r>
      <w:bookmarkEnd w:id="30"/>
    </w:p>
    <w:p w14:paraId="70C10BBB">
      <w:pPr>
        <w:keepNext w:val="0"/>
        <w:keepLines w:val="0"/>
        <w:pageBreakBefore w:val="0"/>
        <w:widowControl/>
        <w:numPr>
          <w:ilvl w:val="0"/>
          <w:numId w:val="8"/>
        </w:numPr>
        <w:kinsoku/>
        <w:wordWrap/>
        <w:overflowPunct/>
        <w:topLinePunct w:val="0"/>
        <w:autoSpaceDE/>
        <w:autoSpaceDN/>
        <w:bidi w:val="0"/>
        <w:adjustRightInd/>
        <w:snapToGrid/>
        <w:spacing w:line="440" w:lineRule="exact"/>
        <w:jc w:val="center"/>
        <w:textAlignment w:val="baseline"/>
        <w:outlineLvl w:val="1"/>
        <w:rPr>
          <w:rFonts w:ascii="宋体"/>
          <w:color w:val="auto"/>
          <w:highlight w:val="none"/>
        </w:rPr>
      </w:pPr>
      <w:r>
        <w:rPr>
          <w:rFonts w:hint="eastAsia" w:ascii="仿宋" w:hAnsi="仿宋" w:eastAsia="仿宋" w:cs="仿宋"/>
          <w:b/>
          <w:color w:val="auto"/>
          <w:sz w:val="30"/>
          <w:szCs w:val="30"/>
          <w:highlight w:val="none"/>
          <w:lang w:eastAsia="zh-CN"/>
        </w:rPr>
        <w:t xml:space="preserve"> </w:t>
      </w:r>
      <w:bookmarkStart w:id="31" w:name="_Toc469495741"/>
      <w:r>
        <w:rPr>
          <w:rFonts w:hint="eastAsia" w:ascii="仿宋" w:hAnsi="仿宋" w:eastAsia="仿宋" w:cs="仿宋"/>
          <w:b/>
          <w:color w:val="auto"/>
          <w:sz w:val="30"/>
          <w:szCs w:val="30"/>
          <w:highlight w:val="none"/>
        </w:rPr>
        <w:t>合同协议书</w:t>
      </w:r>
      <w:bookmarkEnd w:id="31"/>
      <w:r>
        <w:rPr>
          <w:rFonts w:hint="eastAsia" w:ascii="仿宋" w:hAnsi="仿宋" w:eastAsia="仿宋" w:cs="仿宋"/>
          <w:b/>
          <w:color w:val="auto"/>
          <w:sz w:val="30"/>
          <w:szCs w:val="30"/>
          <w:highlight w:val="none"/>
          <w:lang w:eastAsia="zh-CN"/>
        </w:rPr>
        <w:t xml:space="preserve">      </w:t>
      </w:r>
      <w:r>
        <w:rPr>
          <w:rFonts w:hint="eastAsia" w:ascii="仿宋" w:hAnsi="仿宋" w:eastAsia="仿宋" w:cs="仿宋"/>
          <w:b/>
          <w:color w:val="auto"/>
          <w:sz w:val="32"/>
          <w:szCs w:val="32"/>
          <w:highlight w:val="none"/>
        </w:rPr>
        <w:t>合同名称</w:t>
      </w:r>
      <w:r>
        <w:rPr>
          <w:rFonts w:hint="eastAsia" w:ascii="仿宋" w:hAnsi="仿宋" w:eastAsia="仿宋" w:cs="仿宋"/>
          <w:b/>
          <w:color w:val="auto"/>
          <w:highlight w:val="none"/>
        </w:rPr>
        <w:t xml:space="preserve"> </w:t>
      </w:r>
      <w:r>
        <w:rPr>
          <w:rFonts w:hint="eastAsia" w:ascii="宋体"/>
          <w:b/>
          <w:color w:val="auto"/>
          <w:highlight w:val="none"/>
        </w:rPr>
        <w:t xml:space="preserve"> </w:t>
      </w:r>
    </w:p>
    <w:p w14:paraId="250532C9">
      <w:pPr>
        <w:keepNext w:val="0"/>
        <w:keepLines w:val="0"/>
        <w:pageBreakBefore w:val="0"/>
        <w:widowControl/>
        <w:kinsoku/>
        <w:wordWrap/>
        <w:overflowPunct/>
        <w:topLinePunct w:val="0"/>
        <w:autoSpaceDE/>
        <w:autoSpaceDN/>
        <w:bidi w:val="0"/>
        <w:adjustRightInd/>
        <w:snapToGrid/>
        <w:spacing w:line="440" w:lineRule="exact"/>
        <w:jc w:val="both"/>
        <w:textAlignment w:val="baseline"/>
        <w:outlineLvl w:val="1"/>
        <w:rPr>
          <w:rFonts w:ascii="仿宋" w:hAnsi="仿宋" w:eastAsia="仿宋" w:cs="仿宋"/>
          <w:color w:val="auto"/>
          <w:highlight w:val="none"/>
        </w:rPr>
      </w:pPr>
      <w:r>
        <w:rPr>
          <w:rFonts w:hint="eastAsia" w:ascii="仿宋" w:hAnsi="仿宋" w:eastAsia="仿宋" w:cs="仿宋"/>
          <w:color w:val="auto"/>
          <w:highlight w:val="none"/>
        </w:rPr>
        <w:t>编号</w:t>
      </w:r>
    </w:p>
    <w:p w14:paraId="2B6E28AB">
      <w:pPr>
        <w:keepNext w:val="0"/>
        <w:keepLines w:val="0"/>
        <w:pageBreakBefore w:val="0"/>
        <w:kinsoku/>
        <w:wordWrap/>
        <w:overflowPunct/>
        <w:topLinePunct w:val="0"/>
        <w:autoSpaceDE/>
        <w:autoSpaceDN/>
        <w:bidi w:val="0"/>
        <w:adjustRightInd/>
        <w:snapToGrid/>
        <w:spacing w:line="440" w:lineRule="exact"/>
        <w:ind w:firstLine="490" w:firstLineChars="200"/>
        <w:rPr>
          <w:rFonts w:ascii="仿宋" w:hAnsi="仿宋" w:eastAsia="仿宋" w:cs="仿宋"/>
          <w:color w:val="auto"/>
          <w:highlight w:val="none"/>
        </w:rPr>
      </w:pPr>
      <w:bookmarkStart w:id="32" w:name="_Toc179632628"/>
      <w:bookmarkStart w:id="33" w:name="_Toc469495742"/>
      <w:bookmarkStart w:id="34" w:name="_Toc144974578"/>
      <w:bookmarkStart w:id="35" w:name="_Toc246996253"/>
      <w:bookmarkStart w:id="36" w:name="_Toc152042388"/>
      <w:bookmarkStart w:id="37" w:name="_Toc247085768"/>
      <w:bookmarkStart w:id="38" w:name="_Toc152045610"/>
      <w:bookmarkStart w:id="39" w:name="_Toc296602498"/>
      <w:bookmarkStart w:id="40" w:name="_Toc246996996"/>
      <w:r>
        <w:rPr>
          <w:rFonts w:hint="eastAsia" w:ascii="仿宋" w:hAnsi="仿宋" w:eastAsia="仿宋" w:cs="仿宋"/>
          <w:color w:val="auto"/>
          <w:highlight w:val="none"/>
        </w:rPr>
        <w:t>买    方：                                   卖    方：</w:t>
      </w:r>
    </w:p>
    <w:p w14:paraId="12807829">
      <w:pPr>
        <w:keepNext w:val="0"/>
        <w:keepLines w:val="0"/>
        <w:pageBreakBefore w:val="0"/>
        <w:kinsoku/>
        <w:wordWrap/>
        <w:overflowPunct/>
        <w:topLinePunct w:val="0"/>
        <w:autoSpaceDE/>
        <w:autoSpaceDN/>
        <w:bidi w:val="0"/>
        <w:adjustRightInd/>
        <w:snapToGrid/>
        <w:spacing w:line="440" w:lineRule="exact"/>
        <w:ind w:firstLine="490" w:firstLineChars="200"/>
        <w:rPr>
          <w:rFonts w:ascii="仿宋" w:hAnsi="仿宋" w:eastAsia="仿宋" w:cs="仿宋"/>
          <w:color w:val="auto"/>
          <w:highlight w:val="none"/>
        </w:rPr>
      </w:pPr>
      <w:r>
        <w:rPr>
          <w:rFonts w:hint="eastAsia" w:ascii="仿宋" w:hAnsi="仿宋" w:eastAsia="仿宋" w:cs="仿宋"/>
          <w:color w:val="auto"/>
          <w:highlight w:val="none"/>
        </w:rPr>
        <w:t>电    话：                                   电    话：</w:t>
      </w:r>
    </w:p>
    <w:p w14:paraId="25088EF1">
      <w:pPr>
        <w:keepNext w:val="0"/>
        <w:keepLines w:val="0"/>
        <w:pageBreakBefore w:val="0"/>
        <w:kinsoku/>
        <w:wordWrap/>
        <w:overflowPunct/>
        <w:topLinePunct w:val="0"/>
        <w:autoSpaceDE/>
        <w:autoSpaceDN/>
        <w:bidi w:val="0"/>
        <w:adjustRightInd/>
        <w:snapToGrid/>
        <w:spacing w:line="440" w:lineRule="exact"/>
        <w:ind w:firstLine="490" w:firstLineChars="200"/>
        <w:rPr>
          <w:rFonts w:ascii="仿宋" w:hAnsi="仿宋" w:eastAsia="仿宋" w:cs="仿宋"/>
          <w:color w:val="auto"/>
          <w:highlight w:val="none"/>
        </w:rPr>
      </w:pPr>
      <w:r>
        <w:rPr>
          <w:rFonts w:hint="eastAsia" w:ascii="仿宋" w:hAnsi="仿宋" w:eastAsia="仿宋" w:cs="仿宋"/>
          <w:color w:val="auto"/>
          <w:highlight w:val="none"/>
        </w:rPr>
        <w:t xml:space="preserve">住    所：                                   住    所：                       </w:t>
      </w:r>
    </w:p>
    <w:p w14:paraId="67D8F4B5">
      <w:pPr>
        <w:keepNext w:val="0"/>
        <w:keepLines w:val="0"/>
        <w:pageBreakBefore w:val="0"/>
        <w:kinsoku/>
        <w:wordWrap/>
        <w:overflowPunct/>
        <w:topLinePunct w:val="0"/>
        <w:autoSpaceDE/>
        <w:autoSpaceDN/>
        <w:bidi w:val="0"/>
        <w:adjustRightInd/>
        <w:snapToGrid/>
        <w:spacing w:line="4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（买方）</w:t>
      </w:r>
      <w:r>
        <w:rPr>
          <w:rFonts w:hint="eastAsia" w:ascii="仿宋" w:hAnsi="仿宋" w:eastAsia="仿宋" w:cs="仿宋"/>
          <w:color w:val="auto"/>
          <w:highlight w:val="none"/>
          <w:lang w:eastAsia="zh-CN"/>
        </w:rPr>
        <w:t>的</w:t>
      </w:r>
      <w:r>
        <w:rPr>
          <w:rFonts w:hint="eastAsia" w:ascii="仿宋" w:hAnsi="仿宋" w:eastAsia="仿宋" w:cs="仿宋"/>
          <w:color w:val="auto"/>
          <w:highlight w:val="none"/>
          <w:u w:val="single"/>
          <w:lang w:eastAsia="zh-CN"/>
        </w:rPr>
        <w:t>（项目名称）</w:t>
      </w:r>
      <w:r>
        <w:rPr>
          <w:rFonts w:hint="eastAsia" w:ascii="仿宋" w:hAnsi="仿宋" w:eastAsia="仿宋" w:cs="仿宋"/>
          <w:color w:val="auto"/>
          <w:highlight w:val="none"/>
          <w:lang w:eastAsia="zh-CN"/>
        </w:rPr>
        <w:t>中所需</w:t>
      </w:r>
      <w:r>
        <w:rPr>
          <w:rFonts w:hint="eastAsia" w:ascii="仿宋" w:hAnsi="仿宋" w:eastAsia="仿宋" w:cs="仿宋"/>
          <w:color w:val="auto"/>
          <w:highlight w:val="none"/>
          <w:u w:val="single"/>
          <w:lang w:eastAsia="zh-CN"/>
        </w:rPr>
        <w:t>（产品名称）</w:t>
      </w:r>
      <w:r>
        <w:rPr>
          <w:rFonts w:hint="eastAsia" w:ascii="仿宋" w:hAnsi="仿宋" w:eastAsia="仿宋" w:cs="仿宋"/>
          <w:color w:val="auto"/>
          <w:highlight w:val="none"/>
          <w:lang w:eastAsia="zh-CN"/>
        </w:rPr>
        <w:t xml:space="preserve"> 经公开招标，确定</w:t>
      </w:r>
      <w:r>
        <w:rPr>
          <w:rFonts w:hint="eastAsia" w:ascii="仿宋" w:hAnsi="仿宋" w:eastAsia="仿宋" w:cs="仿宋"/>
          <w:color w:val="auto"/>
          <w:highlight w:val="none"/>
          <w:u w:val="single"/>
          <w:lang w:eastAsia="zh-CN"/>
        </w:rPr>
        <w:t>（卖方）</w:t>
      </w:r>
      <w:r>
        <w:rPr>
          <w:rFonts w:hint="eastAsia" w:ascii="仿宋" w:hAnsi="仿宋" w:eastAsia="仿宋" w:cs="仿宋"/>
          <w:color w:val="auto"/>
          <w:highlight w:val="none"/>
          <w:lang w:eastAsia="zh-CN"/>
        </w:rPr>
        <w:t>为成交人。按照《</w:t>
      </w:r>
      <w:r>
        <w:rPr>
          <w:rFonts w:hint="eastAsia" w:ascii="仿宋" w:hAnsi="仿宋" w:eastAsia="仿宋" w:cs="仿宋"/>
          <w:color w:val="auto"/>
          <w:sz w:val="24"/>
          <w:szCs w:val="24"/>
          <w:lang w:val="en-US" w:eastAsia="zh-CN"/>
        </w:rPr>
        <w:t>中华人民共和国经济民法典</w:t>
      </w:r>
      <w:r>
        <w:rPr>
          <w:rFonts w:hint="eastAsia" w:ascii="仿宋" w:hAnsi="仿宋" w:eastAsia="仿宋" w:cs="仿宋"/>
          <w:color w:val="auto"/>
          <w:highlight w:val="none"/>
          <w:lang w:eastAsia="zh-CN"/>
        </w:rPr>
        <w:t>》的规定，买卖双方同意按照下述的条款和条件，签署本合同。</w:t>
      </w:r>
    </w:p>
    <w:p w14:paraId="73C8C930">
      <w:pPr>
        <w:keepNext w:val="0"/>
        <w:keepLines w:val="0"/>
        <w:pageBreakBefore w:val="0"/>
        <w:kinsoku/>
        <w:wordWrap/>
        <w:overflowPunct/>
        <w:topLinePunct w:val="0"/>
        <w:autoSpaceDE/>
        <w:autoSpaceDN/>
        <w:bidi w:val="0"/>
        <w:adjustRightInd/>
        <w:snapToGrid/>
        <w:spacing w:line="4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1、本合同文件</w:t>
      </w:r>
    </w:p>
    <w:p w14:paraId="5B0209FE">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下列每一文件均应作为合同的组成部分进行阅读和解释：</w:t>
      </w:r>
    </w:p>
    <w:p w14:paraId="381D2DF1">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（1）采购文件（2）响应文件（3）成交通知书</w:t>
      </w:r>
    </w:p>
    <w:p w14:paraId="3FB9A188">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（4）经双方确认进入合同的其它文件、补充条款或说明</w:t>
      </w:r>
    </w:p>
    <w:p w14:paraId="164F51DB">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2、采购标的、数量、质量要求</w:t>
      </w:r>
    </w:p>
    <w:p w14:paraId="35795C5C">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3、合同总价</w:t>
      </w:r>
    </w:p>
    <w:p w14:paraId="377DB4F4">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合同总价为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元人民币。</w:t>
      </w:r>
    </w:p>
    <w:p w14:paraId="15F41289">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ascii="仿宋" w:hAnsi="仿宋" w:eastAsia="仿宋" w:cs="仿宋"/>
          <w:b w:val="0"/>
          <w:bCs w:val="0"/>
          <w:color w:val="auto"/>
          <w:highlight w:val="none"/>
          <w:lang w:eastAsia="zh-CN"/>
        </w:rPr>
      </w:pPr>
      <w:r>
        <w:rPr>
          <w:rFonts w:hint="eastAsia" w:ascii="仿宋" w:hAnsi="仿宋" w:eastAsia="仿宋" w:cs="仿宋"/>
          <w:color w:val="auto"/>
          <w:highlight w:val="none"/>
          <w:lang w:eastAsia="zh-CN"/>
        </w:rPr>
        <w:t>4、付款方式</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u w:val="single"/>
          <w:lang w:val="en-US" w:eastAsia="zh-CN"/>
        </w:rPr>
        <w:t xml:space="preserve">                    </w:t>
      </w:r>
      <w:r>
        <w:rPr>
          <w:rFonts w:hint="eastAsia" w:ascii="仿宋" w:hAnsi="仿宋" w:eastAsia="仿宋" w:cs="仿宋"/>
          <w:b w:val="0"/>
          <w:bCs w:val="0"/>
          <w:color w:val="auto"/>
          <w:highlight w:val="none"/>
          <w:lang w:eastAsia="zh-CN"/>
        </w:rPr>
        <w:t>。</w:t>
      </w:r>
    </w:p>
    <w:p w14:paraId="5DA12D32">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5、合同供货（服务）期限及地点和方式</w:t>
      </w:r>
    </w:p>
    <w:p w14:paraId="05547429">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6、验收要求及违约责任</w:t>
      </w:r>
    </w:p>
    <w:p w14:paraId="75965C66">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7、违约责任及解决争议方法</w:t>
      </w:r>
    </w:p>
    <w:p w14:paraId="67965C7F">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8、合同的生效</w:t>
      </w:r>
    </w:p>
    <w:p w14:paraId="2D7706CF">
      <w:pPr>
        <w:pStyle w:val="9"/>
        <w:spacing w:after="0" w:line="42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合同经双方授权代表签署，买卖双方加盖印章之后生效。</w:t>
      </w:r>
    </w:p>
    <w:p w14:paraId="3D3B5EBB">
      <w:pPr>
        <w:pStyle w:val="9"/>
        <w:spacing w:after="0" w:line="42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本合同一式     份，双方各执     份。</w:t>
      </w:r>
    </w:p>
    <w:p w14:paraId="1271D778">
      <w:pPr>
        <w:pStyle w:val="9"/>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买  方：                            卖  方：</w:t>
      </w:r>
    </w:p>
    <w:p w14:paraId="5090540A">
      <w:pPr>
        <w:pStyle w:val="9"/>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名  称：（盖章）                    名  称：（盖章）</w:t>
      </w:r>
    </w:p>
    <w:p w14:paraId="45053B14">
      <w:pPr>
        <w:pStyle w:val="9"/>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法定代表人（或委托代理人签章）：    法定代表人（或委托代理人签章）：</w:t>
      </w:r>
    </w:p>
    <w:p w14:paraId="78875BE2">
      <w:pPr>
        <w:pStyle w:val="9"/>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地    址：                          地    址：</w:t>
      </w:r>
    </w:p>
    <w:p w14:paraId="1671EC20">
      <w:pPr>
        <w:pStyle w:val="9"/>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邮政编码：                          邮政编码：</w:t>
      </w:r>
    </w:p>
    <w:p w14:paraId="6C58167F">
      <w:pPr>
        <w:pStyle w:val="9"/>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电    话：                          电    话：</w:t>
      </w:r>
    </w:p>
    <w:p w14:paraId="2C38B6E0">
      <w:pPr>
        <w:pStyle w:val="9"/>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开户银行：                          开户银行：</w:t>
      </w:r>
    </w:p>
    <w:p w14:paraId="00D6135B">
      <w:pPr>
        <w:pStyle w:val="9"/>
        <w:spacing w:after="0" w:line="360" w:lineRule="exact"/>
        <w:ind w:left="0" w:leftChars="0" w:firstLine="490" w:firstLineChars="200"/>
        <w:rPr>
          <w:rFonts w:ascii="仿宋" w:hAnsi="仿宋" w:eastAsia="仿宋" w:cs="仿宋"/>
          <w:b/>
          <w:color w:val="auto"/>
          <w:sz w:val="30"/>
          <w:szCs w:val="30"/>
          <w:highlight w:val="none"/>
          <w:lang w:eastAsia="zh-CN"/>
        </w:rPr>
      </w:pPr>
      <w:r>
        <w:rPr>
          <w:rFonts w:hint="eastAsia" w:ascii="仿宋" w:hAnsi="仿宋" w:eastAsia="仿宋" w:cs="仿宋"/>
          <w:color w:val="auto"/>
          <w:highlight w:val="none"/>
          <w:u w:color="000000"/>
          <w:lang w:eastAsia="zh-CN"/>
        </w:rPr>
        <w:t>帐    号：                          帐    号：</w:t>
      </w:r>
    </w:p>
    <w:p w14:paraId="5EF98FF2">
      <w:pPr>
        <w:pStyle w:val="9"/>
        <w:spacing w:after="0" w:line="420" w:lineRule="exact"/>
        <w:ind w:left="0" w:leftChars="0" w:firstLine="610" w:firstLineChars="200"/>
        <w:jc w:val="center"/>
        <w:rPr>
          <w:rFonts w:hint="eastAsia" w:ascii="仿宋" w:hAnsi="仿宋" w:eastAsia="仿宋" w:cs="仿宋"/>
          <w:b/>
          <w:color w:val="auto"/>
          <w:sz w:val="30"/>
          <w:szCs w:val="30"/>
          <w:highlight w:val="none"/>
          <w:lang w:eastAsia="zh-CN"/>
        </w:rPr>
      </w:pPr>
    </w:p>
    <w:p w14:paraId="24A5CC3C">
      <w:pPr>
        <w:pStyle w:val="9"/>
        <w:spacing w:after="0" w:line="420" w:lineRule="exact"/>
        <w:ind w:left="0" w:leftChars="0" w:firstLine="610" w:firstLineChars="200"/>
        <w:jc w:val="center"/>
        <w:rPr>
          <w:rFonts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二  合同条款</w:t>
      </w:r>
      <w:bookmarkEnd w:id="32"/>
      <w:bookmarkEnd w:id="33"/>
      <w:bookmarkEnd w:id="34"/>
      <w:bookmarkEnd w:id="35"/>
      <w:bookmarkEnd w:id="36"/>
      <w:bookmarkEnd w:id="37"/>
      <w:bookmarkEnd w:id="38"/>
      <w:bookmarkEnd w:id="39"/>
      <w:bookmarkEnd w:id="40"/>
    </w:p>
    <w:p w14:paraId="3E449141">
      <w:pPr>
        <w:spacing w:line="440" w:lineRule="exact"/>
        <w:rPr>
          <w:rFonts w:ascii="仿宋" w:hAnsi="仿宋" w:eastAsia="仿宋" w:cs="仿宋"/>
          <w:b/>
          <w:color w:val="auto"/>
          <w:szCs w:val="21"/>
          <w:highlight w:val="none"/>
        </w:rPr>
      </w:pPr>
      <w:r>
        <w:rPr>
          <w:rFonts w:hint="eastAsia" w:ascii="仿宋" w:hAnsi="仿宋" w:eastAsia="仿宋" w:cs="仿宋"/>
          <w:b/>
          <w:color w:val="auto"/>
          <w:szCs w:val="21"/>
          <w:highlight w:val="none"/>
        </w:rPr>
        <w:t>一.合同文件</w:t>
      </w:r>
    </w:p>
    <w:p w14:paraId="61B8A01C">
      <w:pPr>
        <w:spacing w:line="4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1、合同文件适用法律</w:t>
      </w:r>
    </w:p>
    <w:p w14:paraId="2853581C">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适用于合同文件的法律是中华人民共和国现行法律、法规及招标人所在地的地方性法规。</w:t>
      </w:r>
    </w:p>
    <w:p w14:paraId="1FE59C91">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2、合同文件组成和解释顺序</w:t>
      </w:r>
    </w:p>
    <w:p w14:paraId="67744141">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(1)合同文件的组成和解释顺序如下：</w:t>
      </w:r>
    </w:p>
    <w:p w14:paraId="243607D9">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&lt;1&gt;合同的主要条款；</w:t>
      </w:r>
    </w:p>
    <w:p w14:paraId="7B5B19BF">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&lt;2&gt;合同的一般性条款；</w:t>
      </w:r>
    </w:p>
    <w:p w14:paraId="680373FA">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&lt;3&gt;洽商、变更等明确双方权利义务的纪要、协议；</w:t>
      </w:r>
    </w:p>
    <w:p w14:paraId="0B119ADA">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&lt;4&gt;成交通知书、响应文件和采购文件；</w:t>
      </w:r>
    </w:p>
    <w:p w14:paraId="760B9FE8">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&lt;5&gt;有关图纸、标准、规范和其它有关技术资料、技术要求。</w:t>
      </w:r>
    </w:p>
    <w:p w14:paraId="39C12B88">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&lt;6&gt;合同的主要条款的效力优于合同的一般性条款的效力。</w:t>
      </w:r>
    </w:p>
    <w:p w14:paraId="05AF25D7">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3、合同文件使用文字</w:t>
      </w:r>
    </w:p>
    <w:p w14:paraId="1A15F09F">
      <w:pPr>
        <w:pStyle w:val="5"/>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(1)合同文件使用中文书写、解释和说明。</w:t>
      </w:r>
    </w:p>
    <w:p w14:paraId="66FAED08">
      <w:pPr>
        <w:pStyle w:val="5"/>
        <w:overflowPunct w:val="0"/>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(2)合同文件使用技术性条款约定的为国家标准和规范；国家没有相应标准、规范时，可使用行业标准、规范。非标货物应按约定的技术性条款的标准和规范。 </w:t>
      </w:r>
    </w:p>
    <w:p w14:paraId="4F7F9A03">
      <w:pPr>
        <w:spacing w:line="440" w:lineRule="exact"/>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二.标的物的一般条款</w:t>
      </w:r>
    </w:p>
    <w:p w14:paraId="1CBD7E8E">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4、完整物权</w:t>
      </w:r>
    </w:p>
    <w:p w14:paraId="64F1BFB8">
      <w:pPr>
        <w:tabs>
          <w:tab w:val="left" w:pos="660"/>
        </w:tabs>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对于出卖的标的物，卖方应当拥有完整物权，并且卖方负有保证第三人不得向买方主张任何权利（包括知识产权）的义务。</w:t>
      </w:r>
    </w:p>
    <w:p w14:paraId="0FA4778E">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5、质量保证</w:t>
      </w:r>
    </w:p>
    <w:p w14:paraId="7C388FC0">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4C5BB8B0">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11D5B3CB">
      <w:pPr>
        <w:pStyle w:val="5"/>
        <w:tabs>
          <w:tab w:val="left" w:pos="900"/>
        </w:tabs>
        <w:overflowPunct w:val="0"/>
        <w:spacing w:line="440" w:lineRule="exact"/>
        <w:rPr>
          <w:rFonts w:cs="宋体"/>
          <w:color w:val="auto"/>
          <w:sz w:val="21"/>
          <w:szCs w:val="21"/>
          <w:highlight w:val="none"/>
          <w:u w:color="000000"/>
          <w:lang w:eastAsia="zh-CN"/>
        </w:rPr>
      </w:pPr>
      <w:r>
        <w:rPr>
          <w:rFonts w:hint="eastAsia" w:ascii="仿宋" w:hAnsi="仿宋" w:eastAsia="仿宋" w:cs="仿宋"/>
          <w:color w:val="auto"/>
          <w:szCs w:val="24"/>
          <w:highlight w:val="none"/>
          <w:u w:color="000000"/>
          <w:lang w:eastAsia="zh-CN"/>
        </w:rPr>
        <w:t>(3)除合同主要条款规定外，合同条款成交的物的质量保证期均自标的物通过最终验收之日起计算，且质量保证期按不低于国家标准和卖方承诺的高于国家标准的质保期（卖方有特殊要求的除</w:t>
      </w:r>
      <w:r>
        <w:rPr>
          <w:rFonts w:hint="eastAsia" w:cs="宋体"/>
          <w:color w:val="auto"/>
          <w:sz w:val="21"/>
          <w:szCs w:val="21"/>
          <w:highlight w:val="none"/>
          <w:u w:color="000000"/>
          <w:lang w:eastAsia="zh-CN"/>
        </w:rPr>
        <w:t>外）。</w:t>
      </w:r>
    </w:p>
    <w:p w14:paraId="3D39556D">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6、包装</w:t>
      </w:r>
    </w:p>
    <w:p w14:paraId="2773E27C">
      <w:pPr>
        <w:pStyle w:val="5"/>
        <w:tabs>
          <w:tab w:val="left" w:pos="900"/>
        </w:tabs>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3EB69B7C">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7、伴随服务</w:t>
      </w:r>
    </w:p>
    <w:p w14:paraId="6A41DCF1">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(1)卖方除应履行按期按量交付合格标的物的义务之外，还应提供下列服务：</w:t>
      </w:r>
    </w:p>
    <w:p w14:paraId="3D262E89">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&lt;1&gt;标的物的现场安装或指导安装、启动、调试、监督（如果必须安装、调试的话）；</w:t>
      </w:r>
    </w:p>
    <w:p w14:paraId="04442C2C">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&lt;2&gt;提供标的物组装和一般维修所必须的工具；</w:t>
      </w:r>
    </w:p>
    <w:p w14:paraId="2E29A8E0">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&lt;3&gt;在合同规定的期限内对所提供标的物实行运行监督、维修服务的前提条件是该服务并不能免除卖方在质量保证期内所承担的义务；</w:t>
      </w:r>
    </w:p>
    <w:p w14:paraId="351B4C9C">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&lt;4&gt;对买方技术人员的技术指导或培训。</w:t>
      </w:r>
    </w:p>
    <w:p w14:paraId="0857048F">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(2)除合同另有规定之外，伴随服务的费用均已含在合同价款中，买方不再另行进行支付。</w:t>
      </w:r>
    </w:p>
    <w:p w14:paraId="438576A5">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三.标的物的交付、检验和验收</w:t>
      </w:r>
    </w:p>
    <w:p w14:paraId="2DAB6DAE">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8、标的物的交付</w:t>
      </w:r>
    </w:p>
    <w:p w14:paraId="5C29126C">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(1)标的物的所有权自标的物交付时转移。</w:t>
      </w:r>
    </w:p>
    <w:p w14:paraId="5199CB9A">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(2)卖方应当按照约定的期限和约定的地点交付符合采购文件要求的标的物。</w:t>
      </w:r>
    </w:p>
    <w:p w14:paraId="0D6BAFE5">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(3)卖方应当按照约定或者交易习惯向招标人交付提取标的物单证以外的有关单证和资料。</w:t>
      </w:r>
    </w:p>
    <w:p w14:paraId="656295CA">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9、检验和验收</w:t>
      </w:r>
    </w:p>
    <w:p w14:paraId="797C621C">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2A4639B4">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(2)买方根据合同规定的内容和验收标准进行验收，经检验无误后出具验收合格证明，该证明作为最终付款所需文件的组成部分。</w:t>
      </w:r>
    </w:p>
    <w:p w14:paraId="16F221C3">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(3)验收期限自标的物交付之日起三十天内。特殊情况需延长的，双方应在合同条款中约定。</w:t>
      </w:r>
    </w:p>
    <w:p w14:paraId="29659DE4">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四.对标的物提出异议的时间和办法</w:t>
      </w:r>
    </w:p>
    <w:p w14:paraId="644172A2">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10、对标的物提出异议的时间和办法 </w:t>
      </w:r>
    </w:p>
    <w:p w14:paraId="42BEB1E5">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(1)买方在验收过程中，应当于双方约定的检验期间内将标的物的数量或质量不符合约定的情形及处理方式以书面形式通知卖方。</w:t>
      </w:r>
    </w:p>
    <w:p w14:paraId="01768516">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(2)如买方在验收期满后既不出具验收合格证明又未提出书面异议的视为卖方所交标的物符合合同规定。</w:t>
      </w:r>
    </w:p>
    <w:p w14:paraId="3543F488">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(3)卖方应在收到买方书面异议后七天内负责处理问题，否则将视为默认买方提出的异议和处理意见。</w:t>
      </w:r>
    </w:p>
    <w:p w14:paraId="531ABCC4">
      <w:pPr>
        <w:spacing w:line="440" w:lineRule="exact"/>
        <w:rPr>
          <w:rFonts w:ascii="仿宋" w:hAnsi="仿宋" w:eastAsia="仿宋" w:cs="仿宋"/>
          <w:b/>
          <w:color w:val="auto"/>
          <w:highlight w:val="none"/>
        </w:rPr>
      </w:pPr>
      <w:r>
        <w:rPr>
          <w:rFonts w:hint="eastAsia" w:ascii="仿宋" w:hAnsi="仿宋" w:eastAsia="仿宋" w:cs="仿宋"/>
          <w:b/>
          <w:color w:val="auto"/>
          <w:highlight w:val="none"/>
        </w:rPr>
        <w:t>五.合同价款和支付</w:t>
      </w:r>
    </w:p>
    <w:p w14:paraId="0B8D2037">
      <w:pPr>
        <w:spacing w:line="440" w:lineRule="exact"/>
        <w:rPr>
          <w:rFonts w:ascii="仿宋" w:hAnsi="仿宋" w:eastAsia="仿宋" w:cs="仿宋"/>
          <w:color w:val="auto"/>
          <w:highlight w:val="none"/>
        </w:rPr>
      </w:pPr>
      <w:r>
        <w:rPr>
          <w:rFonts w:hint="eastAsia" w:ascii="仿宋" w:hAnsi="仿宋" w:eastAsia="仿宋" w:cs="仿宋"/>
          <w:color w:val="auto"/>
          <w:highlight w:val="none"/>
        </w:rPr>
        <w:t>11、合同价款和支付</w:t>
      </w:r>
    </w:p>
    <w:p w14:paraId="35B1C8C3">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(1)本合同的结算货币为人民币，单位元。</w:t>
      </w:r>
    </w:p>
    <w:p w14:paraId="64744E28">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(2)卖方应按照双方签订的合同规定交货并在合同主要条款规定的期限内持下列单据结算货款：</w:t>
      </w:r>
    </w:p>
    <w:p w14:paraId="27DF01DF">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&lt;1&gt;合格的销售发票；</w:t>
      </w:r>
    </w:p>
    <w:p w14:paraId="5C243FA8">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&lt;2&gt;买方盖章签收后的送货回单和验收合格证明。</w:t>
      </w:r>
    </w:p>
    <w:p w14:paraId="4CA2FB5D">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(3)买方应按合同主要条款规定的期限和方式付款。</w:t>
      </w:r>
    </w:p>
    <w:p w14:paraId="4AFA1F51">
      <w:pPr>
        <w:pStyle w:val="5"/>
        <w:tabs>
          <w:tab w:val="left" w:pos="540"/>
        </w:tabs>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(4)根据现行税法对买方征收的与本合同有关的一切税费均由买方承担；根据现行税法对卖方征收的与本合同有关的一切税费均由卖方承担。</w:t>
      </w:r>
    </w:p>
    <w:p w14:paraId="5FF046F0">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六.违约责任</w:t>
      </w:r>
    </w:p>
    <w:p w14:paraId="066367B5">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12、违约责任</w:t>
      </w:r>
    </w:p>
    <w:p w14:paraId="1223F951">
      <w:pPr>
        <w:pStyle w:val="5"/>
        <w:spacing w:line="440" w:lineRule="exact"/>
        <w:ind w:firstLine="490" w:firstLineChars="200"/>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合同一方不履行合同义务或者履行合同义务不符合约定的，应当承担继续履行、采取补救措施或者赔偿损失等违约责任。</w:t>
      </w:r>
    </w:p>
    <w:p w14:paraId="56B6F459">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13、买方违约责任</w:t>
      </w:r>
    </w:p>
    <w:p w14:paraId="11F0C99B">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(1)在合同生效后，买方要求退货的，应向卖方偿付合同总价款的5%，作为违约金，违约金不足以补偿损失的，卖方有权要求甲方补足。</w:t>
      </w:r>
    </w:p>
    <w:p w14:paraId="6A2292D8">
      <w:pPr>
        <w:pStyle w:val="5"/>
        <w:overflowPunct w:val="0"/>
        <w:spacing w:line="440" w:lineRule="exact"/>
        <w:ind w:right="-389" w:rightChars="-159"/>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(2)买方逾期付款的应按照逾期付款金额的每天万分之四支付逾期付款违约金。</w:t>
      </w:r>
    </w:p>
    <w:p w14:paraId="4E3A0879">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(3)买方违反合同规定，拒绝接收卖方交付的符合采购文件要求的合格标的物，应当承担卖方由此造成的损失。</w:t>
      </w:r>
    </w:p>
    <w:p w14:paraId="09159F7D">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14、卖方违约责任</w:t>
      </w:r>
    </w:p>
    <w:p w14:paraId="38FE7C39">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(1)卖方不能交货（逾期超过五天视为不能交货），或交货不合格从而影响买方按期正常使用的，应向买方偿付合同总价款5%的违约金，违约金不足以补偿损失的，买方有权要求卖方补足。</w:t>
      </w:r>
    </w:p>
    <w:p w14:paraId="0F46C283">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(2)卖方逾期交货的，应在发货前与买方和政府采购管理部门协商，买方仍需求的，卖方应立即发货并应按照逾期交货部分货款的每天万分之四支付逾期交货违约金，同时承担买方因此遭致的损失费用。</w:t>
      </w:r>
    </w:p>
    <w:p w14:paraId="1367F181">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15、不可抗力</w:t>
      </w:r>
    </w:p>
    <w:p w14:paraId="11171945">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(1)因水灾、火灾、地震、战争等不可抗力不能履行合同的，根据不可抗力的影响，部分或者全部免除责任。但合同一方迟延履行后发生不可抗力的，不能免除责任。</w:t>
      </w:r>
    </w:p>
    <w:p w14:paraId="7D9662C5">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(2)合同一方因不可抗力不能履行合同的，应当及时通知对方，以减轻可能给对方造成的损失，并应当在合理期限内提供证明。</w:t>
      </w:r>
    </w:p>
    <w:p w14:paraId="33FED88D">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七.索赔</w:t>
      </w:r>
    </w:p>
    <w:p w14:paraId="0041CAF2">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16、索赔</w:t>
      </w:r>
    </w:p>
    <w:p w14:paraId="170E9DC4">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(1)买方有权根据当地产品质量检验机构或其它有权威部门出具的检验证书向卖方提出索赔。</w:t>
      </w:r>
    </w:p>
    <w:p w14:paraId="09A0D843">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(2)在本合同规定的检验期和质量保证期内，如果卖方对买方提出的索赔或差异有责任，则卖方应按买方同意的下列一种或多种方式解决索赔事宜：</w:t>
      </w:r>
    </w:p>
    <w:p w14:paraId="57C0ABCB">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&lt;1&gt;卖方同意退货，并按合同规定的货币将货款退还给买方，并承担由此发生的一切损失和费用，包括利息、银行手续费、运费、保险费、检验费、仓储费、装卸费以及为保护退回标的物所需的其它必要费用；</w:t>
      </w:r>
    </w:p>
    <w:p w14:paraId="59A741B2">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&lt;2&gt;根据标的物的低劣程度、损坏程度以及甲方遭受损失的数额，经双方协商确定降低标的物的价格；</w:t>
      </w:r>
    </w:p>
    <w:p w14:paraId="512818D3">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69AD88C4">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53B4EC36">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(4)买方提出索赔的书面材料应报当地政府采购管理部门备案。卖方同意的索赔方案应报当地政府采购管理部门审核。</w:t>
      </w:r>
    </w:p>
    <w:p w14:paraId="57754228">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八.履约保证金</w:t>
      </w:r>
    </w:p>
    <w:p w14:paraId="612B952D">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17、履约保证金</w:t>
      </w:r>
    </w:p>
    <w:p w14:paraId="27018840">
      <w:pPr>
        <w:pStyle w:val="5"/>
        <w:overflowPunct w:val="0"/>
        <w:spacing w:line="440" w:lineRule="exact"/>
        <w:ind w:firstLine="612" w:firstLineChars="250"/>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(1)卖方应在本合同签订时，按采购文件的约定提供相应的履约保证金，保证金的有效期应不低于合同有效期。</w:t>
      </w:r>
    </w:p>
    <w:p w14:paraId="0D949E6D">
      <w:pPr>
        <w:pStyle w:val="5"/>
        <w:overflowPunct w:val="0"/>
        <w:spacing w:line="440" w:lineRule="exact"/>
        <w:ind w:right="-389" w:rightChars="-159"/>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(2)如果卖方未能履行合同规定的任何义务，买方有权从履约保证金中取得补偿。</w:t>
      </w:r>
    </w:p>
    <w:p w14:paraId="08D6F815">
      <w:pPr>
        <w:pStyle w:val="5"/>
        <w:overflowPunct w:val="0"/>
        <w:spacing w:line="440" w:lineRule="exact"/>
        <w:ind w:right="-1019" w:rightChars="-416"/>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(3)履约保证金（无息）将在卖方履行完合同义务，买方支付合同价款的五天内</w:t>
      </w:r>
    </w:p>
    <w:p w14:paraId="5D0B57F2">
      <w:pPr>
        <w:pStyle w:val="5"/>
        <w:overflowPunct w:val="0"/>
        <w:spacing w:line="440" w:lineRule="exact"/>
        <w:ind w:right="-1019" w:rightChars="-416" w:firstLine="0"/>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退回。</w:t>
      </w:r>
    </w:p>
    <w:p w14:paraId="1F7AE0B1">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九.合同的解除和转让</w:t>
      </w:r>
    </w:p>
    <w:p w14:paraId="2DBCF4E8">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18、合同的解除</w:t>
      </w:r>
    </w:p>
    <w:p w14:paraId="0694DEC7">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(1)买方和卖方协商一致，可以解除合同。</w:t>
      </w:r>
    </w:p>
    <w:p w14:paraId="4B0F000E">
      <w:pPr>
        <w:pStyle w:val="5"/>
        <w:spacing w:line="440" w:lineRule="exact"/>
        <w:rPr>
          <w:rFonts w:ascii="仿宋" w:hAnsi="仿宋" w:eastAsia="仿宋" w:cs="仿宋"/>
          <w:color w:val="auto"/>
          <w:szCs w:val="24"/>
          <w:highlight w:val="none"/>
          <w:u w:color="000000"/>
        </w:rPr>
      </w:pPr>
      <w:r>
        <w:rPr>
          <w:rFonts w:hint="eastAsia" w:ascii="仿宋" w:hAnsi="仿宋" w:eastAsia="仿宋" w:cs="仿宋"/>
          <w:color w:val="auto"/>
          <w:szCs w:val="24"/>
          <w:highlight w:val="none"/>
          <w:u w:color="000000"/>
        </w:rPr>
        <w:t>(2)有下列情形之一，合同一方可以解除合同：</w:t>
      </w:r>
    </w:p>
    <w:p w14:paraId="7CCF1B7B">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&lt;1&gt;因不可抗力致使不能实现合同目的，未受不可抗力影响的一方有权解除合同；</w:t>
      </w:r>
    </w:p>
    <w:p w14:paraId="4E66A778">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&lt;2&gt;因合同一方违约导致合同不能履行，另一方有权解除合同。</w:t>
      </w:r>
    </w:p>
    <w:p w14:paraId="29721A1B">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(3)有权解除合同的一方，应当在违约事实或不可抗力发生之后三十天内书面通知对方以主张解除合同，合同在书面通知到达对方时解除。</w:t>
      </w:r>
    </w:p>
    <w:p w14:paraId="20A6360B">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19、合同的转让</w:t>
      </w:r>
    </w:p>
    <w:p w14:paraId="402D6686">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合同的部分和全部都不得转让。</w:t>
      </w:r>
    </w:p>
    <w:p w14:paraId="486E77B4">
      <w:pPr>
        <w:spacing w:line="440" w:lineRule="exact"/>
        <w:rPr>
          <w:rFonts w:ascii="仿宋" w:hAnsi="仿宋" w:eastAsia="仿宋" w:cs="仿宋"/>
          <w:b/>
          <w:color w:val="auto"/>
          <w:highlight w:val="none"/>
        </w:rPr>
      </w:pPr>
      <w:r>
        <w:rPr>
          <w:rFonts w:hint="eastAsia" w:ascii="仿宋" w:hAnsi="仿宋" w:eastAsia="仿宋" w:cs="仿宋"/>
          <w:b/>
          <w:color w:val="auto"/>
          <w:highlight w:val="none"/>
        </w:rPr>
        <w:t>十.合同的生效</w:t>
      </w:r>
    </w:p>
    <w:p w14:paraId="4C225D84">
      <w:pPr>
        <w:spacing w:line="440" w:lineRule="exact"/>
        <w:rPr>
          <w:rFonts w:ascii="仿宋" w:hAnsi="仿宋" w:eastAsia="仿宋" w:cs="仿宋"/>
          <w:color w:val="auto"/>
          <w:highlight w:val="none"/>
        </w:rPr>
      </w:pPr>
      <w:r>
        <w:rPr>
          <w:rFonts w:hint="eastAsia" w:ascii="仿宋" w:hAnsi="仿宋" w:eastAsia="仿宋" w:cs="仿宋"/>
          <w:color w:val="auto"/>
          <w:highlight w:val="none"/>
        </w:rPr>
        <w:t>20</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合同的生效</w:t>
      </w:r>
    </w:p>
    <w:p w14:paraId="52C4AE90">
      <w:pPr>
        <w:spacing w:line="4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本合同在双方签字盖章并在招标人收到成交人提交的履约保证金后，经招标采购管理部门备案后生效。</w:t>
      </w:r>
    </w:p>
    <w:p w14:paraId="2DB612B2">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十一. 争议解决</w:t>
      </w:r>
    </w:p>
    <w:p w14:paraId="30D3262F">
      <w:pPr>
        <w:spacing w:line="440" w:lineRule="exact"/>
        <w:ind w:firstLine="245"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21、争议解决</w:t>
      </w:r>
    </w:p>
    <w:p w14:paraId="25C1AD36">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 xml:space="preserve"> 买卖双方因合同发生争议，进行调解，协商不成，可选择：</w:t>
      </w:r>
    </w:p>
    <w:p w14:paraId="58710A9F">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(1)向甲方所在地人民法院提起诉讼；</w:t>
      </w:r>
    </w:p>
    <w:p w14:paraId="50AB1C28">
      <w:pPr>
        <w:pStyle w:val="5"/>
        <w:tabs>
          <w:tab w:val="left" w:pos="900"/>
        </w:tabs>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(2)向买方所在地人民法院提起诉讼。</w:t>
      </w:r>
    </w:p>
    <w:p w14:paraId="0E2CA260">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十二 .附则</w:t>
      </w:r>
    </w:p>
    <w:p w14:paraId="47043EE2">
      <w:pPr>
        <w:spacing w:line="440" w:lineRule="exact"/>
        <w:ind w:firstLine="245"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22、合同份数。</w:t>
      </w:r>
    </w:p>
    <w:p w14:paraId="2E391F6A">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 xml:space="preserve"> 本合同一式陆份，买卖双方各执二份，招标代理机构一份，招标采购管理部门一份。</w:t>
      </w:r>
    </w:p>
    <w:p w14:paraId="51A8D4D0">
      <w:pPr>
        <w:spacing w:line="440" w:lineRule="exact"/>
        <w:ind w:firstLine="245"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23、未尽事宜</w:t>
      </w:r>
    </w:p>
    <w:p w14:paraId="6042943B">
      <w:pPr>
        <w:spacing w:line="440" w:lineRule="exact"/>
        <w:ind w:firstLine="612" w:firstLineChars="250"/>
        <w:rPr>
          <w:rFonts w:ascii="宋体" w:cs="宋体"/>
          <w:color w:val="auto"/>
          <w:szCs w:val="21"/>
          <w:highlight w:val="none"/>
          <w:lang w:eastAsia="zh-CN"/>
        </w:rPr>
      </w:pPr>
      <w:r>
        <w:rPr>
          <w:rFonts w:hint="eastAsia" w:ascii="仿宋" w:hAnsi="仿宋" w:eastAsia="仿宋" w:cs="仿宋"/>
          <w:color w:val="auto"/>
          <w:highlight w:val="none"/>
          <w:lang w:eastAsia="zh-CN"/>
        </w:rPr>
        <w:t>本合同未尽事宜应按《中华人民共和国政府采购法》、《中华人民共和国民法典》、《中华人民共和国产品质量法》之规定解释。</w:t>
      </w:r>
    </w:p>
    <w:p w14:paraId="42EB68AA">
      <w:pPr>
        <w:shd w:val="clear" w:color="auto" w:fill="auto"/>
        <w:spacing w:line="360" w:lineRule="auto"/>
        <w:jc w:val="left"/>
        <w:rPr>
          <w:rFonts w:hint="eastAsia" w:ascii="仿宋" w:hAnsi="仿宋" w:eastAsia="仿宋" w:cs="仿宋"/>
          <w:b w:val="0"/>
          <w:bCs w:val="0"/>
          <w:color w:val="auto"/>
          <w:sz w:val="24"/>
          <w:szCs w:val="24"/>
        </w:rPr>
      </w:pPr>
    </w:p>
    <w:p w14:paraId="75620CD7">
      <w:pPr>
        <w:shd w:val="clear" w:color="auto" w:fill="auto"/>
        <w:spacing w:line="360" w:lineRule="auto"/>
        <w:jc w:val="left"/>
        <w:rPr>
          <w:rFonts w:hint="eastAsia" w:ascii="仿宋" w:hAnsi="仿宋" w:eastAsia="仿宋" w:cs="仿宋"/>
          <w:b w:val="0"/>
          <w:bCs w:val="0"/>
          <w:color w:val="auto"/>
          <w:sz w:val="24"/>
          <w:szCs w:val="24"/>
        </w:rPr>
      </w:pPr>
    </w:p>
    <w:p w14:paraId="7ED7870A">
      <w:pPr>
        <w:shd w:val="clear" w:color="auto" w:fill="auto"/>
        <w:spacing w:line="360" w:lineRule="auto"/>
        <w:jc w:val="left"/>
        <w:rPr>
          <w:rFonts w:hint="eastAsia" w:ascii="仿宋" w:hAnsi="仿宋" w:eastAsia="仿宋" w:cs="仿宋"/>
          <w:b w:val="0"/>
          <w:bCs w:val="0"/>
          <w:color w:val="auto"/>
          <w:sz w:val="24"/>
          <w:szCs w:val="24"/>
        </w:rPr>
      </w:pPr>
    </w:p>
    <w:p w14:paraId="35DA2EFC">
      <w:pPr>
        <w:shd w:val="clear" w:color="auto" w:fill="auto"/>
        <w:spacing w:line="360" w:lineRule="auto"/>
        <w:jc w:val="both"/>
        <w:rPr>
          <w:rFonts w:hint="eastAsia" w:ascii="仿宋" w:hAnsi="仿宋" w:eastAsia="仿宋" w:cs="仿宋"/>
          <w:b/>
          <w:bCs/>
          <w:color w:val="auto"/>
          <w:sz w:val="36"/>
          <w:szCs w:val="36"/>
        </w:rPr>
      </w:pPr>
    </w:p>
    <w:p w14:paraId="1A3F82DA">
      <w:pPr>
        <w:shd w:val="clear" w:color="auto" w:fill="auto"/>
        <w:spacing w:line="360" w:lineRule="auto"/>
        <w:ind w:firstLine="2555" w:firstLineChars="700"/>
        <w:jc w:val="both"/>
        <w:rPr>
          <w:rFonts w:ascii="仿宋" w:hAnsi="仿宋" w:eastAsia="仿宋" w:cs="仿宋"/>
          <w:b/>
          <w:bCs/>
          <w:color w:val="auto"/>
          <w:sz w:val="36"/>
          <w:szCs w:val="36"/>
        </w:rPr>
      </w:pPr>
      <w:r>
        <w:rPr>
          <w:rFonts w:hint="eastAsia" w:ascii="仿宋" w:hAnsi="仿宋" w:eastAsia="仿宋" w:cs="仿宋"/>
          <w:b/>
          <w:bCs/>
          <w:color w:val="auto"/>
          <w:sz w:val="36"/>
          <w:szCs w:val="36"/>
        </w:rPr>
        <w:t>第</w:t>
      </w:r>
      <w:r>
        <w:rPr>
          <w:rFonts w:hint="eastAsia" w:ascii="仿宋" w:hAnsi="仿宋" w:eastAsia="仿宋" w:cs="仿宋"/>
          <w:b/>
          <w:bCs/>
          <w:color w:val="auto"/>
          <w:sz w:val="36"/>
          <w:szCs w:val="36"/>
          <w:lang w:eastAsia="zh-CN"/>
        </w:rPr>
        <w:t>五</w:t>
      </w:r>
      <w:r>
        <w:rPr>
          <w:rFonts w:hint="eastAsia" w:ascii="仿宋" w:hAnsi="仿宋" w:eastAsia="仿宋" w:cs="仿宋"/>
          <w:b/>
          <w:bCs/>
          <w:color w:val="auto"/>
          <w:sz w:val="36"/>
          <w:szCs w:val="36"/>
        </w:rPr>
        <w:t>部分</w:t>
      </w:r>
      <w:r>
        <w:rPr>
          <w:rFonts w:hint="eastAsia" w:ascii="仿宋" w:hAnsi="仿宋" w:eastAsia="仿宋" w:cs="仿宋"/>
          <w:b/>
          <w:bCs/>
          <w:color w:val="auto"/>
          <w:sz w:val="36"/>
          <w:szCs w:val="36"/>
          <w:lang w:val="en-US" w:eastAsia="zh-CN"/>
        </w:rPr>
        <w:t xml:space="preserve"> </w:t>
      </w:r>
      <w:r>
        <w:rPr>
          <w:rFonts w:hint="eastAsia" w:ascii="仿宋" w:hAnsi="仿宋" w:eastAsia="仿宋" w:cs="仿宋"/>
          <w:b/>
          <w:bCs/>
          <w:color w:val="auto"/>
          <w:sz w:val="36"/>
          <w:szCs w:val="36"/>
          <w:lang w:eastAsia="zh-CN"/>
        </w:rPr>
        <w:t>响应文件</w:t>
      </w:r>
      <w:r>
        <w:rPr>
          <w:rFonts w:hint="eastAsia" w:ascii="仿宋" w:hAnsi="仿宋" w:eastAsia="仿宋" w:cs="仿宋"/>
          <w:b/>
          <w:bCs/>
          <w:color w:val="auto"/>
          <w:sz w:val="36"/>
          <w:szCs w:val="36"/>
        </w:rPr>
        <w:t>格式</w:t>
      </w:r>
    </w:p>
    <w:p w14:paraId="3408736B">
      <w:pPr>
        <w:adjustRightInd w:val="0"/>
        <w:snapToGrid w:val="0"/>
        <w:spacing w:line="360" w:lineRule="auto"/>
        <w:ind w:left="602" w:right="70" w:hanging="602"/>
        <w:jc w:val="right"/>
        <w:rPr>
          <w:rFonts w:ascii="仿宋" w:hAnsi="仿宋" w:eastAsia="仿宋" w:cs="仿宋"/>
          <w:b/>
          <w:bCs/>
          <w:color w:val="auto"/>
          <w:sz w:val="28"/>
          <w:szCs w:val="28"/>
          <w:bdr w:val="single" w:color="auto" w:sz="4" w:space="0"/>
        </w:rPr>
      </w:pPr>
      <w:bookmarkStart w:id="41" w:name="bookmark196"/>
      <w:r>
        <w:rPr>
          <w:rFonts w:hint="eastAsia" w:ascii="仿宋" w:hAnsi="仿宋" w:eastAsia="仿宋" w:cs="仿宋"/>
          <w:b/>
          <w:bCs/>
          <w:color w:val="auto"/>
          <w:sz w:val="28"/>
          <w:szCs w:val="28"/>
          <w:bdr w:val="single" w:color="auto" w:sz="4" w:space="0"/>
        </w:rPr>
        <w:t>正/副 本</w:t>
      </w:r>
    </w:p>
    <w:p w14:paraId="4EA47BE0">
      <w:pPr>
        <w:adjustRightInd w:val="0"/>
        <w:snapToGrid w:val="0"/>
        <w:spacing w:line="360" w:lineRule="auto"/>
        <w:jc w:val="center"/>
        <w:rPr>
          <w:rFonts w:ascii="仿宋" w:hAnsi="仿宋" w:eastAsia="仿宋" w:cs="仿宋"/>
          <w:b/>
          <w:caps/>
          <w:color w:val="auto"/>
        </w:rPr>
      </w:pPr>
    </w:p>
    <w:p w14:paraId="783EF2F4">
      <w:pPr>
        <w:adjustRightInd w:val="0"/>
        <w:snapToGrid w:val="0"/>
        <w:spacing w:line="360" w:lineRule="auto"/>
        <w:jc w:val="center"/>
        <w:rPr>
          <w:rFonts w:ascii="仿宋" w:hAnsi="仿宋" w:eastAsia="仿宋" w:cs="仿宋"/>
          <w:bCs/>
          <w:color w:val="auto"/>
          <w:sz w:val="32"/>
          <w:szCs w:val="32"/>
        </w:rPr>
      </w:pPr>
      <w:r>
        <w:rPr>
          <w:rFonts w:hint="eastAsia" w:ascii="仿宋" w:hAnsi="仿宋" w:eastAsia="仿宋" w:cs="仿宋"/>
          <w:b/>
          <w:caps/>
          <w:color w:val="auto"/>
          <w:sz w:val="32"/>
          <w:szCs w:val="32"/>
        </w:rPr>
        <w:t>（项目名称）</w:t>
      </w:r>
    </w:p>
    <w:p w14:paraId="3554A32D">
      <w:pPr>
        <w:adjustRightInd w:val="0"/>
        <w:snapToGrid w:val="0"/>
        <w:spacing w:line="360" w:lineRule="auto"/>
        <w:jc w:val="both"/>
        <w:rPr>
          <w:rFonts w:ascii="仿宋" w:hAnsi="仿宋" w:eastAsia="仿宋" w:cs="仿宋"/>
          <w:bCs/>
          <w:color w:val="auto"/>
          <w:sz w:val="32"/>
          <w:szCs w:val="32"/>
        </w:rPr>
      </w:pPr>
    </w:p>
    <w:p w14:paraId="4DEF1A75">
      <w:pPr>
        <w:adjustRightInd w:val="0"/>
        <w:snapToGrid w:val="0"/>
        <w:spacing w:line="360" w:lineRule="auto"/>
        <w:jc w:val="center"/>
        <w:rPr>
          <w:rFonts w:ascii="仿宋" w:hAnsi="仿宋" w:eastAsia="仿宋" w:cs="仿宋"/>
          <w:bCs/>
          <w:color w:val="auto"/>
          <w:sz w:val="32"/>
          <w:szCs w:val="32"/>
        </w:rPr>
      </w:pPr>
    </w:p>
    <w:p w14:paraId="4CD33C17">
      <w:pPr>
        <w:adjustRightInd w:val="0"/>
        <w:snapToGrid w:val="0"/>
        <w:spacing w:line="360" w:lineRule="auto"/>
        <w:jc w:val="center"/>
        <w:rPr>
          <w:rFonts w:ascii="仿宋" w:hAnsi="仿宋" w:eastAsia="仿宋" w:cs="仿宋"/>
          <w:bCs/>
          <w:color w:val="auto"/>
          <w:sz w:val="32"/>
          <w:szCs w:val="32"/>
        </w:rPr>
      </w:pPr>
      <w:r>
        <w:rPr>
          <w:rFonts w:hint="eastAsia" w:ascii="仿宋" w:hAnsi="仿宋" w:eastAsia="仿宋" w:cs="仿宋"/>
          <w:b/>
          <w:bCs/>
          <w:color w:val="auto"/>
          <w:sz w:val="44"/>
          <w:szCs w:val="44"/>
        </w:rPr>
        <w:t>响应文件</w:t>
      </w:r>
    </w:p>
    <w:p w14:paraId="64A4CC48">
      <w:pPr>
        <w:adjustRightInd w:val="0"/>
        <w:snapToGrid w:val="0"/>
        <w:spacing w:line="360" w:lineRule="auto"/>
        <w:jc w:val="center"/>
        <w:rPr>
          <w:rFonts w:ascii="仿宋" w:hAnsi="仿宋" w:eastAsia="仿宋" w:cs="仿宋"/>
          <w:bCs/>
          <w:color w:val="auto"/>
          <w:sz w:val="32"/>
          <w:szCs w:val="32"/>
        </w:rPr>
      </w:pPr>
    </w:p>
    <w:p w14:paraId="2E827AB0">
      <w:pPr>
        <w:adjustRightInd w:val="0"/>
        <w:snapToGrid w:val="0"/>
        <w:spacing w:line="360" w:lineRule="auto"/>
        <w:jc w:val="both"/>
        <w:rPr>
          <w:rFonts w:ascii="仿宋" w:hAnsi="仿宋" w:eastAsia="仿宋" w:cs="仿宋"/>
          <w:bCs/>
          <w:color w:val="auto"/>
          <w:sz w:val="32"/>
          <w:szCs w:val="32"/>
        </w:rPr>
      </w:pPr>
    </w:p>
    <w:p w14:paraId="2F5583E8">
      <w:pPr>
        <w:adjustRightInd w:val="0"/>
        <w:snapToGrid w:val="0"/>
        <w:spacing w:line="360" w:lineRule="auto"/>
        <w:ind w:right="-156" w:rightChars="-64"/>
        <w:rPr>
          <w:rFonts w:ascii="仿宋" w:hAnsi="仿宋" w:eastAsia="仿宋" w:cs="仿宋"/>
          <w:b/>
          <w:caps/>
          <w:color w:val="auto"/>
          <w:sz w:val="28"/>
          <w:szCs w:val="28"/>
        </w:rPr>
      </w:pPr>
      <w:r>
        <w:rPr>
          <w:rFonts w:hint="eastAsia" w:ascii="仿宋" w:hAnsi="仿宋" w:eastAsia="仿宋" w:cs="仿宋"/>
          <w:b/>
          <w:caps/>
          <w:color w:val="auto"/>
          <w:spacing w:val="0"/>
          <w:kern w:val="0"/>
          <w:sz w:val="28"/>
          <w:szCs w:val="28"/>
          <w:fitText w:val="2810" w:id="202655923"/>
        </w:rPr>
        <w:t>供应商名称（公章）：</w:t>
      </w:r>
    </w:p>
    <w:p w14:paraId="772DC12C">
      <w:pPr>
        <w:adjustRightInd w:val="0"/>
        <w:snapToGrid w:val="0"/>
        <w:spacing w:line="360" w:lineRule="auto"/>
        <w:ind w:right="-156" w:rightChars="-64"/>
        <w:rPr>
          <w:rFonts w:ascii="仿宋" w:hAnsi="仿宋" w:eastAsia="仿宋" w:cs="仿宋"/>
          <w:b/>
          <w:caps/>
          <w:color w:val="auto"/>
          <w:sz w:val="28"/>
          <w:szCs w:val="28"/>
        </w:rPr>
      </w:pPr>
    </w:p>
    <w:p w14:paraId="59F3DBEE">
      <w:pPr>
        <w:adjustRightInd w:val="0"/>
        <w:snapToGrid w:val="0"/>
        <w:spacing w:line="360" w:lineRule="auto"/>
        <w:ind w:right="-156" w:rightChars="-64"/>
        <w:rPr>
          <w:rFonts w:ascii="仿宋" w:hAnsi="仿宋" w:eastAsia="仿宋" w:cs="仿宋"/>
          <w:b/>
          <w:caps/>
          <w:color w:val="auto"/>
          <w:sz w:val="28"/>
          <w:szCs w:val="28"/>
        </w:rPr>
      </w:pPr>
      <w:r>
        <w:rPr>
          <w:rFonts w:hint="eastAsia" w:ascii="仿宋" w:hAnsi="仿宋" w:eastAsia="仿宋" w:cs="仿宋"/>
          <w:b/>
          <w:caps/>
          <w:color w:val="auto"/>
          <w:spacing w:val="0"/>
          <w:w w:val="77"/>
          <w:kern w:val="0"/>
          <w:sz w:val="28"/>
          <w:szCs w:val="28"/>
          <w:fitText w:val="2810" w:id="1"/>
        </w:rPr>
        <w:t>法定代表人（</w:t>
      </w:r>
      <w:r>
        <w:rPr>
          <w:rFonts w:hint="eastAsia" w:ascii="仿宋" w:hAnsi="仿宋" w:eastAsia="仿宋" w:cs="仿宋"/>
          <w:b/>
          <w:caps/>
          <w:color w:val="auto"/>
          <w:spacing w:val="0"/>
          <w:w w:val="77"/>
          <w:kern w:val="0"/>
          <w:sz w:val="28"/>
          <w:szCs w:val="28"/>
          <w:fitText w:val="2810" w:id="1"/>
          <w:lang w:eastAsia="zh-CN"/>
        </w:rPr>
        <w:t>签章</w:t>
      </w:r>
      <w:r>
        <w:rPr>
          <w:rFonts w:hint="eastAsia" w:ascii="仿宋" w:hAnsi="仿宋" w:eastAsia="仿宋" w:cs="仿宋"/>
          <w:b/>
          <w:caps/>
          <w:color w:val="auto"/>
          <w:spacing w:val="0"/>
          <w:w w:val="77"/>
          <w:kern w:val="0"/>
          <w:sz w:val="28"/>
          <w:szCs w:val="28"/>
          <w:fitText w:val="2810" w:id="1"/>
        </w:rPr>
        <w:t>或盖章）</w:t>
      </w:r>
      <w:r>
        <w:rPr>
          <w:rFonts w:hint="eastAsia" w:ascii="仿宋" w:hAnsi="仿宋" w:eastAsia="仿宋" w:cs="仿宋"/>
          <w:b/>
          <w:caps/>
          <w:color w:val="auto"/>
          <w:spacing w:val="-1"/>
          <w:w w:val="77"/>
          <w:kern w:val="0"/>
          <w:sz w:val="28"/>
          <w:szCs w:val="28"/>
          <w:fitText w:val="2810" w:id="1"/>
        </w:rPr>
        <w:t>：</w:t>
      </w:r>
    </w:p>
    <w:p w14:paraId="3558E587">
      <w:pPr>
        <w:adjustRightInd w:val="0"/>
        <w:snapToGrid w:val="0"/>
        <w:spacing w:line="360" w:lineRule="auto"/>
        <w:ind w:right="-156" w:rightChars="-64"/>
        <w:rPr>
          <w:rFonts w:ascii="仿宋" w:hAnsi="仿宋" w:eastAsia="仿宋" w:cs="仿宋"/>
          <w:b/>
          <w:caps/>
          <w:color w:val="auto"/>
          <w:sz w:val="28"/>
          <w:szCs w:val="28"/>
        </w:rPr>
      </w:pPr>
    </w:p>
    <w:p w14:paraId="39581D0A">
      <w:pPr>
        <w:adjustRightInd w:val="0"/>
        <w:snapToGrid w:val="0"/>
        <w:spacing w:line="360" w:lineRule="auto"/>
        <w:ind w:right="-156" w:rightChars="-64"/>
        <w:rPr>
          <w:rFonts w:ascii="仿宋" w:hAnsi="仿宋" w:eastAsia="仿宋" w:cs="仿宋"/>
          <w:b/>
          <w:caps/>
          <w:color w:val="auto"/>
          <w:sz w:val="28"/>
          <w:szCs w:val="28"/>
        </w:rPr>
      </w:pPr>
      <w:r>
        <w:rPr>
          <w:rFonts w:hint="eastAsia" w:ascii="仿宋" w:hAnsi="仿宋" w:eastAsia="仿宋" w:cs="仿宋"/>
          <w:b/>
          <w:caps/>
          <w:color w:val="auto"/>
          <w:spacing w:val="113"/>
          <w:kern w:val="0"/>
          <w:sz w:val="28"/>
          <w:szCs w:val="28"/>
          <w:fitText w:val="2810" w:id="2"/>
        </w:rPr>
        <w:t>供应商地址</w:t>
      </w:r>
      <w:r>
        <w:rPr>
          <w:rFonts w:hint="eastAsia" w:ascii="仿宋" w:hAnsi="仿宋" w:eastAsia="仿宋" w:cs="仿宋"/>
          <w:b/>
          <w:caps/>
          <w:color w:val="auto"/>
          <w:spacing w:val="0"/>
          <w:kern w:val="0"/>
          <w:sz w:val="28"/>
          <w:szCs w:val="28"/>
          <w:fitText w:val="2810" w:id="2"/>
        </w:rPr>
        <w:t>：</w:t>
      </w:r>
    </w:p>
    <w:p w14:paraId="754F6C13">
      <w:pPr>
        <w:adjustRightInd w:val="0"/>
        <w:snapToGrid w:val="0"/>
        <w:spacing w:line="360" w:lineRule="auto"/>
        <w:ind w:right="-156" w:rightChars="-64"/>
        <w:rPr>
          <w:rFonts w:ascii="仿宋" w:hAnsi="仿宋" w:eastAsia="仿宋" w:cs="仿宋"/>
          <w:b/>
          <w:caps/>
          <w:color w:val="auto"/>
          <w:sz w:val="28"/>
          <w:szCs w:val="28"/>
        </w:rPr>
      </w:pPr>
    </w:p>
    <w:p w14:paraId="62103F84">
      <w:pPr>
        <w:adjustRightInd w:val="0"/>
        <w:snapToGrid w:val="0"/>
        <w:spacing w:line="360" w:lineRule="auto"/>
        <w:ind w:right="-156" w:rightChars="-64"/>
        <w:rPr>
          <w:rFonts w:ascii="仿宋" w:hAnsi="仿宋" w:eastAsia="仿宋" w:cs="仿宋"/>
          <w:b/>
          <w:caps/>
          <w:color w:val="auto"/>
          <w:sz w:val="28"/>
          <w:szCs w:val="28"/>
        </w:rPr>
      </w:pPr>
      <w:r>
        <w:rPr>
          <w:rFonts w:hint="eastAsia" w:ascii="仿宋" w:hAnsi="仿宋" w:eastAsia="仿宋" w:cs="仿宋"/>
          <w:b/>
          <w:caps/>
          <w:color w:val="auto"/>
          <w:spacing w:val="281"/>
          <w:kern w:val="0"/>
          <w:sz w:val="28"/>
          <w:szCs w:val="28"/>
          <w:fitText w:val="2810" w:id="3"/>
        </w:rPr>
        <w:t>联系人</w:t>
      </w:r>
      <w:r>
        <w:rPr>
          <w:rFonts w:hint="eastAsia" w:ascii="仿宋" w:hAnsi="仿宋" w:eastAsia="仿宋" w:cs="仿宋"/>
          <w:b/>
          <w:caps/>
          <w:color w:val="auto"/>
          <w:spacing w:val="2"/>
          <w:kern w:val="0"/>
          <w:sz w:val="28"/>
          <w:szCs w:val="28"/>
          <w:fitText w:val="2810" w:id="3"/>
        </w:rPr>
        <w:t>：</w:t>
      </w:r>
    </w:p>
    <w:p w14:paraId="41129FE9">
      <w:pPr>
        <w:adjustRightInd w:val="0"/>
        <w:snapToGrid w:val="0"/>
        <w:spacing w:line="360" w:lineRule="auto"/>
        <w:ind w:right="-156" w:rightChars="-64"/>
        <w:rPr>
          <w:rFonts w:ascii="仿宋" w:hAnsi="仿宋" w:eastAsia="仿宋" w:cs="仿宋"/>
          <w:b/>
          <w:caps/>
          <w:color w:val="auto"/>
          <w:sz w:val="28"/>
          <w:szCs w:val="28"/>
        </w:rPr>
      </w:pPr>
    </w:p>
    <w:p w14:paraId="2F386533">
      <w:pPr>
        <w:adjustRightInd w:val="0"/>
        <w:snapToGrid w:val="0"/>
        <w:spacing w:line="360" w:lineRule="auto"/>
        <w:ind w:right="-156" w:rightChars="-64"/>
        <w:rPr>
          <w:rFonts w:ascii="仿宋" w:hAnsi="仿宋" w:eastAsia="仿宋" w:cs="仿宋"/>
          <w:b/>
          <w:caps/>
          <w:color w:val="auto"/>
          <w:sz w:val="28"/>
          <w:szCs w:val="28"/>
        </w:rPr>
      </w:pPr>
      <w:r>
        <w:rPr>
          <w:rFonts w:hint="eastAsia" w:ascii="仿宋" w:hAnsi="仿宋" w:eastAsia="仿宋" w:cs="仿宋"/>
          <w:b/>
          <w:caps/>
          <w:color w:val="auto"/>
          <w:spacing w:val="176"/>
          <w:kern w:val="0"/>
          <w:sz w:val="28"/>
          <w:szCs w:val="28"/>
          <w:fitText w:val="2810" w:id="4"/>
        </w:rPr>
        <w:t>联系电话</w:t>
      </w:r>
      <w:r>
        <w:rPr>
          <w:rFonts w:hint="eastAsia" w:ascii="仿宋" w:hAnsi="仿宋" w:eastAsia="仿宋" w:cs="仿宋"/>
          <w:b/>
          <w:caps/>
          <w:color w:val="auto"/>
          <w:spacing w:val="1"/>
          <w:kern w:val="0"/>
          <w:sz w:val="28"/>
          <w:szCs w:val="28"/>
          <w:fitText w:val="2810" w:id="4"/>
        </w:rPr>
        <w:t>：</w:t>
      </w:r>
    </w:p>
    <w:p w14:paraId="7DC49C35">
      <w:pPr>
        <w:adjustRightInd w:val="0"/>
        <w:snapToGrid w:val="0"/>
        <w:spacing w:line="360" w:lineRule="auto"/>
        <w:jc w:val="center"/>
        <w:rPr>
          <w:rFonts w:ascii="仿宋" w:hAnsi="仿宋" w:eastAsia="仿宋" w:cs="仿宋"/>
          <w:b/>
          <w:caps/>
          <w:color w:val="auto"/>
          <w:sz w:val="28"/>
          <w:szCs w:val="28"/>
        </w:rPr>
      </w:pPr>
    </w:p>
    <w:p w14:paraId="19549B42">
      <w:pPr>
        <w:adjustRightInd w:val="0"/>
        <w:snapToGrid w:val="0"/>
        <w:spacing w:line="36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_</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_年__</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_月__</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_日</w:t>
      </w:r>
    </w:p>
    <w:p w14:paraId="772EC775">
      <w:pPr>
        <w:pStyle w:val="34"/>
        <w:keepNext w:val="0"/>
        <w:keepLines w:val="0"/>
        <w:pageBreakBefore w:val="0"/>
        <w:widowControl w:val="0"/>
        <w:wordWrap/>
        <w:topLinePunct w:val="0"/>
        <w:autoSpaceDE/>
        <w:autoSpaceDN/>
        <w:bidi w:val="0"/>
        <w:adjustRightInd/>
        <w:spacing w:after="340" w:line="480" w:lineRule="auto"/>
        <w:ind w:firstLine="0"/>
        <w:jc w:val="center"/>
        <w:textAlignment w:val="auto"/>
        <w:rPr>
          <w:rFonts w:hint="eastAsia" w:ascii="仿宋" w:hAnsi="仿宋" w:eastAsia="仿宋" w:cs="仿宋"/>
          <w:b/>
          <w:color w:val="auto"/>
          <w:sz w:val="28"/>
          <w:szCs w:val="28"/>
        </w:rPr>
      </w:pPr>
    </w:p>
    <w:p w14:paraId="20703CE2">
      <w:pPr>
        <w:pStyle w:val="34"/>
        <w:keepNext w:val="0"/>
        <w:keepLines w:val="0"/>
        <w:pageBreakBefore w:val="0"/>
        <w:widowControl w:val="0"/>
        <w:wordWrap/>
        <w:topLinePunct w:val="0"/>
        <w:autoSpaceDE/>
        <w:autoSpaceDN/>
        <w:bidi w:val="0"/>
        <w:adjustRightInd/>
        <w:spacing w:after="340" w:line="480" w:lineRule="auto"/>
        <w:ind w:firstLine="0"/>
        <w:jc w:val="center"/>
        <w:textAlignment w:val="auto"/>
        <w:rPr>
          <w:rFonts w:hint="eastAsia" w:ascii="仿宋" w:hAnsi="仿宋" w:eastAsia="仿宋" w:cs="仿宋"/>
          <w:b/>
          <w:color w:val="auto"/>
          <w:sz w:val="28"/>
          <w:szCs w:val="28"/>
        </w:rPr>
      </w:pPr>
    </w:p>
    <w:p w14:paraId="271D3882">
      <w:pPr>
        <w:pStyle w:val="34"/>
        <w:keepNext w:val="0"/>
        <w:keepLines w:val="0"/>
        <w:pageBreakBefore w:val="0"/>
        <w:widowControl w:val="0"/>
        <w:wordWrap/>
        <w:topLinePunct w:val="0"/>
        <w:autoSpaceDE/>
        <w:autoSpaceDN/>
        <w:bidi w:val="0"/>
        <w:adjustRightInd/>
        <w:spacing w:after="340" w:line="480" w:lineRule="auto"/>
        <w:ind w:firstLine="0"/>
        <w:jc w:val="center"/>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资格证明文件</w:t>
      </w:r>
    </w:p>
    <w:bookmarkEnd w:id="41"/>
    <w:p w14:paraId="48884D44">
      <w:pPr>
        <w:keepNext w:val="0"/>
        <w:keepLines w:val="0"/>
        <w:pageBreakBefore w:val="0"/>
        <w:widowControl w:val="0"/>
        <w:numPr>
          <w:ilvl w:val="0"/>
          <w:numId w:val="9"/>
        </w:numPr>
        <w:wordWrap/>
        <w:topLinePunct w:val="0"/>
        <w:autoSpaceDE/>
        <w:autoSpaceDN/>
        <w:bidi w:val="0"/>
        <w:adjustRightInd/>
        <w:snapToGrid w:val="0"/>
        <w:spacing w:line="480" w:lineRule="auto"/>
        <w:ind w:firstLine="490"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具备三证合一营业执照副本；</w:t>
      </w:r>
    </w:p>
    <w:p w14:paraId="23D0B75A">
      <w:pPr>
        <w:keepNext w:val="0"/>
        <w:keepLines w:val="0"/>
        <w:pageBreakBefore w:val="0"/>
        <w:widowControl w:val="0"/>
        <w:numPr>
          <w:ilvl w:val="0"/>
          <w:numId w:val="0"/>
        </w:numPr>
        <w:wordWrap/>
        <w:topLinePunct w:val="0"/>
        <w:autoSpaceDE/>
        <w:autoSpaceDN/>
        <w:bidi w:val="0"/>
        <w:adjustRightInd/>
        <w:snapToGrid w:val="0"/>
        <w:spacing w:line="480" w:lineRule="auto"/>
        <w:ind w:firstLine="490" w:firstLineChars="200"/>
        <w:textAlignment w:val="auto"/>
        <w:rPr>
          <w:rFonts w:hint="eastAsia" w:ascii="仿宋" w:hAnsi="仿宋" w:eastAsia="仿宋" w:cs="仿宋"/>
          <w:b/>
          <w:color w:val="auto"/>
          <w:lang w:eastAsia="zh-CN"/>
        </w:rPr>
      </w:pPr>
      <w:r>
        <w:rPr>
          <w:rFonts w:hint="eastAsia" w:ascii="仿宋" w:hAnsi="仿宋" w:eastAsia="仿宋" w:cs="仿宋"/>
          <w:b/>
          <w:color w:val="auto"/>
          <w:lang w:eastAsia="zh-CN"/>
        </w:rPr>
        <w:t>2、法定代表人资格证明书；</w:t>
      </w:r>
    </w:p>
    <w:p w14:paraId="1E09DD25">
      <w:pPr>
        <w:keepNext w:val="0"/>
        <w:keepLines w:val="0"/>
        <w:pageBreakBefore w:val="0"/>
        <w:widowControl w:val="0"/>
        <w:wordWrap/>
        <w:topLinePunct w:val="0"/>
        <w:autoSpaceDE/>
        <w:autoSpaceDN/>
        <w:bidi w:val="0"/>
        <w:adjustRightInd/>
        <w:snapToGrid w:val="0"/>
        <w:spacing w:line="480" w:lineRule="auto"/>
        <w:ind w:firstLine="490" w:firstLineChars="200"/>
        <w:textAlignment w:val="auto"/>
        <w:rPr>
          <w:rFonts w:hint="eastAsia" w:ascii="仿宋" w:hAnsi="仿宋" w:eastAsia="仿宋" w:cs="仿宋"/>
          <w:b/>
          <w:color w:val="auto"/>
          <w:lang w:eastAsia="zh-CN"/>
        </w:rPr>
      </w:pPr>
      <w:r>
        <w:rPr>
          <w:rFonts w:hint="eastAsia" w:ascii="仿宋" w:hAnsi="仿宋" w:eastAsia="仿宋" w:cs="仿宋"/>
          <w:b/>
          <w:color w:val="auto"/>
          <w:lang w:eastAsia="zh-CN"/>
        </w:rPr>
        <w:t>3、法定代表人授权书；</w:t>
      </w:r>
    </w:p>
    <w:p w14:paraId="03320E9E">
      <w:pPr>
        <w:keepNext w:val="0"/>
        <w:keepLines w:val="0"/>
        <w:pageBreakBefore w:val="0"/>
        <w:widowControl w:val="0"/>
        <w:wordWrap/>
        <w:topLinePunct w:val="0"/>
        <w:autoSpaceDE/>
        <w:autoSpaceDN/>
        <w:bidi w:val="0"/>
        <w:adjustRightInd/>
        <w:snapToGrid w:val="0"/>
        <w:spacing w:line="480" w:lineRule="auto"/>
        <w:ind w:firstLine="490" w:firstLineChars="200"/>
        <w:textAlignment w:val="auto"/>
        <w:rPr>
          <w:rFonts w:hint="eastAsia" w:ascii="仿宋" w:hAnsi="仿宋" w:eastAsia="仿宋" w:cs="仿宋"/>
          <w:b/>
          <w:color w:val="auto"/>
          <w:lang w:eastAsia="zh-CN"/>
        </w:rPr>
      </w:pPr>
      <w:r>
        <w:rPr>
          <w:rFonts w:hint="eastAsia" w:ascii="仿宋" w:hAnsi="仿宋" w:eastAsia="仿宋" w:cs="仿宋"/>
          <w:b/>
          <w:color w:val="auto"/>
          <w:lang w:eastAsia="zh-CN"/>
        </w:rPr>
        <w:t>4、</w:t>
      </w:r>
      <w:r>
        <w:rPr>
          <w:rFonts w:hint="eastAsia" w:ascii="仿宋" w:hAnsi="仿宋" w:eastAsia="仿宋" w:cs="仿宋"/>
          <w:b/>
          <w:color w:val="auto"/>
          <w:lang w:val="en-US" w:eastAsia="zh-CN"/>
        </w:rPr>
        <w:t>投标保证金缴纳凭证或投标担保函</w:t>
      </w:r>
      <w:r>
        <w:rPr>
          <w:rFonts w:hint="eastAsia" w:ascii="仿宋" w:hAnsi="仿宋" w:eastAsia="仿宋" w:cs="仿宋"/>
          <w:b/>
          <w:color w:val="auto"/>
          <w:lang w:eastAsia="zh-CN"/>
        </w:rPr>
        <w:t>；</w:t>
      </w:r>
    </w:p>
    <w:p w14:paraId="1B9BF942">
      <w:pPr>
        <w:keepNext w:val="0"/>
        <w:keepLines w:val="0"/>
        <w:pageBreakBefore w:val="0"/>
        <w:widowControl w:val="0"/>
        <w:wordWrap/>
        <w:topLinePunct w:val="0"/>
        <w:autoSpaceDE/>
        <w:autoSpaceDN/>
        <w:bidi w:val="0"/>
        <w:adjustRightInd/>
        <w:snapToGrid w:val="0"/>
        <w:spacing w:line="480" w:lineRule="auto"/>
        <w:ind w:firstLine="490" w:firstLineChars="200"/>
        <w:textAlignment w:val="auto"/>
        <w:rPr>
          <w:rFonts w:hint="eastAsia" w:ascii="仿宋" w:hAnsi="仿宋" w:eastAsia="仿宋" w:cs="仿宋"/>
          <w:b/>
          <w:color w:val="auto"/>
          <w:lang w:eastAsia="zh-CN"/>
        </w:rPr>
      </w:pPr>
      <w:r>
        <w:rPr>
          <w:rFonts w:hint="eastAsia" w:ascii="仿宋" w:hAnsi="仿宋" w:eastAsia="仿宋" w:cs="仿宋"/>
          <w:b/>
          <w:color w:val="auto"/>
          <w:lang w:eastAsia="zh-CN"/>
        </w:rPr>
        <w:t>5、投标企业须提供投标人（被授权在职人员）近6个月内任意一个月有效的社保证明；</w:t>
      </w:r>
    </w:p>
    <w:p w14:paraId="35FFA7CA">
      <w:pPr>
        <w:keepNext w:val="0"/>
        <w:keepLines w:val="0"/>
        <w:pageBreakBefore w:val="0"/>
        <w:widowControl w:val="0"/>
        <w:wordWrap/>
        <w:topLinePunct w:val="0"/>
        <w:autoSpaceDE/>
        <w:autoSpaceDN/>
        <w:bidi w:val="0"/>
        <w:adjustRightInd/>
        <w:snapToGrid w:val="0"/>
        <w:spacing w:line="480" w:lineRule="auto"/>
        <w:ind w:firstLine="490" w:firstLineChars="200"/>
        <w:textAlignment w:val="auto"/>
        <w:rPr>
          <w:rFonts w:hint="eastAsia" w:ascii="仿宋" w:hAnsi="仿宋" w:eastAsia="仿宋" w:cs="仿宋"/>
          <w:b/>
          <w:color w:val="auto"/>
          <w:lang w:eastAsia="zh-CN"/>
        </w:rPr>
      </w:pPr>
      <w:r>
        <w:rPr>
          <w:rFonts w:hint="eastAsia" w:ascii="仿宋" w:hAnsi="仿宋" w:eastAsia="仿宋" w:cs="仿宋"/>
          <w:b/>
          <w:color w:val="auto"/>
          <w:lang w:val="en-US" w:eastAsia="zh-CN"/>
        </w:rPr>
        <w:t>6</w:t>
      </w:r>
      <w:r>
        <w:rPr>
          <w:rFonts w:hint="eastAsia" w:ascii="仿宋" w:hAnsi="仿宋" w:eastAsia="仿宋" w:cs="仿宋"/>
          <w:b/>
          <w:color w:val="auto"/>
          <w:lang w:eastAsia="zh-CN"/>
        </w:rPr>
        <w:t>、参加政府采购活动前三年内，在经营活动中没有重大违法记录；未被“信用中国”（www.creditchina.gov.cn）、中国政府采购网（www.ccgp.gov.cn）列入失信被执行人、税收违法黑名单、政府采购严重违法失信行为记录名单</w:t>
      </w:r>
      <w:r>
        <w:rPr>
          <w:rFonts w:hint="eastAsia" w:ascii="仿宋" w:hAnsi="仿宋" w:eastAsia="仿宋" w:cs="仿宋"/>
          <w:b/>
          <w:color w:val="auto"/>
          <w:lang w:val="en-US" w:eastAsia="zh-CN"/>
        </w:rPr>
        <w:t>；</w:t>
      </w:r>
    </w:p>
    <w:p w14:paraId="5A02AEFF">
      <w:pPr>
        <w:keepNext w:val="0"/>
        <w:keepLines w:val="0"/>
        <w:pageBreakBefore w:val="0"/>
        <w:widowControl w:val="0"/>
        <w:wordWrap/>
        <w:topLinePunct w:val="0"/>
        <w:autoSpaceDE/>
        <w:autoSpaceDN/>
        <w:bidi w:val="0"/>
        <w:adjustRightInd/>
        <w:snapToGrid w:val="0"/>
        <w:spacing w:line="480" w:lineRule="auto"/>
        <w:ind w:firstLine="490" w:firstLineChars="200"/>
        <w:textAlignment w:val="auto"/>
        <w:rPr>
          <w:rFonts w:hint="eastAsia" w:ascii="仿宋" w:hAnsi="仿宋" w:eastAsia="仿宋" w:cs="仿宋"/>
          <w:b/>
          <w:color w:val="auto"/>
          <w:highlight w:val="none"/>
          <w:lang w:val="en-US" w:eastAsia="zh-CN"/>
        </w:rPr>
      </w:pPr>
      <w:r>
        <w:rPr>
          <w:rFonts w:hint="eastAsia" w:ascii="仿宋" w:hAnsi="仿宋" w:eastAsia="仿宋" w:cs="仿宋"/>
          <w:b/>
          <w:color w:val="auto"/>
          <w:highlight w:val="none"/>
          <w:lang w:val="en-US" w:eastAsia="zh-CN"/>
        </w:rPr>
        <w:t>7、具有良好的商业信誉和健全的财务会计制度（由具备资质的中介机构出具2023年或2024年的财务审计报告（报告中须包括资产负债表、利润表、现金流量表及财务报表附注）复印件加盖公章或近一年内银行提供的资信证明（新公司从成立之日起算）；成立不满一年企业提供财务报表（复印件加盖公章）；</w:t>
      </w:r>
    </w:p>
    <w:p w14:paraId="5275F921">
      <w:pPr>
        <w:keepNext w:val="0"/>
        <w:keepLines w:val="0"/>
        <w:pageBreakBefore w:val="0"/>
        <w:widowControl w:val="0"/>
        <w:wordWrap/>
        <w:topLinePunct w:val="0"/>
        <w:autoSpaceDE/>
        <w:autoSpaceDN/>
        <w:bidi w:val="0"/>
        <w:adjustRightInd/>
        <w:snapToGrid w:val="0"/>
        <w:spacing w:line="480" w:lineRule="auto"/>
        <w:ind w:firstLine="490" w:firstLineChars="200"/>
        <w:textAlignment w:val="auto"/>
        <w:rPr>
          <w:rFonts w:hint="default" w:ascii="仿宋" w:hAnsi="仿宋" w:eastAsia="仿宋" w:cs="仿宋"/>
          <w:b/>
          <w:color w:val="auto"/>
          <w:highlight w:val="none"/>
          <w:lang w:val="en-US" w:eastAsia="zh-CN"/>
        </w:rPr>
      </w:pPr>
      <w:r>
        <w:rPr>
          <w:rFonts w:hint="eastAsia" w:ascii="仿宋" w:hAnsi="仿宋" w:eastAsia="仿宋" w:cs="仿宋"/>
          <w:b/>
          <w:color w:val="auto"/>
          <w:highlight w:val="none"/>
          <w:lang w:val="en-US" w:eastAsia="zh-CN"/>
        </w:rPr>
        <w:t>8、中小企业声明函</w:t>
      </w:r>
    </w:p>
    <w:p w14:paraId="7EE4B32A">
      <w:pPr>
        <w:keepNext w:val="0"/>
        <w:keepLines w:val="0"/>
        <w:pageBreakBefore w:val="0"/>
        <w:widowControl w:val="0"/>
        <w:wordWrap/>
        <w:topLinePunct w:val="0"/>
        <w:autoSpaceDE/>
        <w:autoSpaceDN/>
        <w:bidi w:val="0"/>
        <w:adjustRightInd/>
        <w:snapToGrid w:val="0"/>
        <w:spacing w:line="480" w:lineRule="auto"/>
        <w:ind w:firstLine="490" w:firstLineChars="200"/>
        <w:textAlignment w:val="auto"/>
        <w:rPr>
          <w:rFonts w:hint="eastAsia" w:ascii="仿宋" w:hAnsi="仿宋" w:eastAsia="仿宋" w:cs="仿宋"/>
          <w:b/>
          <w:color w:val="auto"/>
          <w:lang w:eastAsia="zh-CN"/>
        </w:rPr>
      </w:pPr>
      <w:r>
        <w:rPr>
          <w:rFonts w:hint="eastAsia" w:ascii="仿宋" w:hAnsi="仿宋" w:eastAsia="仿宋" w:cs="仿宋"/>
          <w:b/>
          <w:color w:val="auto"/>
          <w:lang w:val="en-US" w:eastAsia="zh-CN"/>
        </w:rPr>
        <w:t>9、</w:t>
      </w:r>
      <w:r>
        <w:rPr>
          <w:rFonts w:hint="eastAsia" w:ascii="仿宋" w:hAnsi="仿宋" w:eastAsia="仿宋" w:cs="仿宋"/>
          <w:b/>
          <w:color w:val="auto"/>
          <w:lang w:eastAsia="zh-CN"/>
        </w:rPr>
        <w:t>投标人须知资料表要求的其他资格证明文件。</w:t>
      </w:r>
    </w:p>
    <w:p w14:paraId="1F50ACEA">
      <w:pPr>
        <w:pStyle w:val="7"/>
        <w:keepNext w:val="0"/>
        <w:keepLines w:val="0"/>
        <w:pageBreakBefore w:val="0"/>
        <w:widowControl w:val="0"/>
        <w:numPr>
          <w:ilvl w:val="0"/>
          <w:numId w:val="0"/>
        </w:numPr>
        <w:tabs>
          <w:tab w:val="clear" w:pos="780"/>
        </w:tabs>
        <w:kinsoku w:val="0"/>
        <w:wordWrap/>
        <w:overflowPunct w:val="0"/>
        <w:topLinePunct w:val="0"/>
        <w:autoSpaceDE/>
        <w:autoSpaceDN/>
        <w:bidi w:val="0"/>
        <w:adjustRightInd/>
        <w:spacing w:before="130" w:line="480" w:lineRule="auto"/>
        <w:ind w:left="480" w:right="7"/>
        <w:jc w:val="both"/>
        <w:textAlignment w:val="auto"/>
        <w:rPr>
          <w:rFonts w:hint="eastAsia" w:ascii="仿宋" w:hAnsi="仿宋" w:eastAsia="仿宋" w:cs="仿宋"/>
          <w:b/>
          <w:bCs/>
          <w:color w:val="auto"/>
          <w:sz w:val="36"/>
          <w:szCs w:val="36"/>
        </w:rPr>
      </w:pPr>
    </w:p>
    <w:p w14:paraId="6F898B8A">
      <w:pPr>
        <w:pStyle w:val="19"/>
        <w:numPr>
          <w:ilvl w:val="0"/>
          <w:numId w:val="0"/>
        </w:numPr>
        <w:tabs>
          <w:tab w:val="clear" w:pos="780"/>
        </w:tabs>
        <w:ind w:leftChars="100"/>
        <w:rPr>
          <w:rFonts w:hint="eastAsia"/>
          <w:color w:val="auto"/>
        </w:rPr>
      </w:pPr>
    </w:p>
    <w:p w14:paraId="4C8EE427">
      <w:pPr>
        <w:rPr>
          <w:rFonts w:hint="eastAsia"/>
          <w:color w:val="auto"/>
        </w:rPr>
      </w:pPr>
    </w:p>
    <w:p w14:paraId="4B3258AE">
      <w:pPr>
        <w:pStyle w:val="14"/>
        <w:rPr>
          <w:rFonts w:hint="eastAsia"/>
          <w:color w:val="auto"/>
        </w:rPr>
      </w:pPr>
    </w:p>
    <w:p w14:paraId="6041DA1B">
      <w:pPr>
        <w:rPr>
          <w:rFonts w:hint="eastAsia" w:ascii="仿宋" w:hAnsi="仿宋" w:eastAsia="仿宋" w:cs="仿宋"/>
          <w:b/>
          <w:bCs/>
          <w:color w:val="auto"/>
          <w:sz w:val="36"/>
          <w:szCs w:val="36"/>
        </w:rPr>
      </w:pPr>
    </w:p>
    <w:p w14:paraId="70CEA4DC">
      <w:pPr>
        <w:pStyle w:val="14"/>
        <w:rPr>
          <w:rFonts w:hint="eastAsia"/>
          <w:color w:val="auto"/>
        </w:rPr>
      </w:pPr>
    </w:p>
    <w:p w14:paraId="3DFC9940">
      <w:pPr>
        <w:pStyle w:val="7"/>
        <w:numPr>
          <w:ilvl w:val="0"/>
          <w:numId w:val="0"/>
        </w:numPr>
        <w:tabs>
          <w:tab w:val="clear" w:pos="780"/>
        </w:tabs>
        <w:kinsoku w:val="0"/>
        <w:overflowPunct w:val="0"/>
        <w:spacing w:before="130" w:line="355" w:lineRule="auto"/>
        <w:ind w:left="480" w:right="7"/>
        <w:jc w:val="center"/>
        <w:rPr>
          <w:rFonts w:hint="eastAsia" w:ascii="仿宋" w:hAnsi="仿宋" w:eastAsia="仿宋" w:cs="仿宋"/>
          <w:b/>
          <w:bCs/>
          <w:color w:val="auto"/>
          <w:sz w:val="36"/>
          <w:szCs w:val="36"/>
        </w:rPr>
      </w:pPr>
    </w:p>
    <w:p w14:paraId="4F9588FE">
      <w:pPr>
        <w:pStyle w:val="7"/>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right="126" w:rightChars="0"/>
        <w:jc w:val="both"/>
        <w:textAlignment w:val="auto"/>
        <w:rPr>
          <w:rFonts w:hint="eastAsia" w:ascii="仿宋" w:hAnsi="仿宋" w:eastAsia="仿宋" w:cs="仿宋"/>
          <w:b/>
          <w:bCs/>
          <w:color w:val="auto"/>
          <w:sz w:val="36"/>
          <w:szCs w:val="36"/>
          <w:lang w:val="en-US" w:eastAsia="zh-CN"/>
        </w:rPr>
      </w:pPr>
    </w:p>
    <w:p w14:paraId="5020ADAC">
      <w:pPr>
        <w:pStyle w:val="7"/>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right="126" w:rightChars="0"/>
        <w:jc w:val="both"/>
        <w:textAlignment w:val="auto"/>
        <w:rPr>
          <w:rFonts w:hint="eastAsia" w:ascii="仿宋" w:hAnsi="仿宋" w:eastAsia="仿宋" w:cs="仿宋"/>
          <w:b/>
          <w:bCs/>
          <w:color w:val="auto"/>
          <w:sz w:val="36"/>
          <w:szCs w:val="36"/>
          <w:lang w:val="en-US" w:eastAsia="zh-CN"/>
        </w:rPr>
      </w:pPr>
    </w:p>
    <w:p w14:paraId="0CE1D468">
      <w:pPr>
        <w:pStyle w:val="7"/>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1、 具备三证合一营业执照副本；</w:t>
      </w:r>
    </w:p>
    <w:p w14:paraId="74D5AF20">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9" w:leftChars="257" w:hanging="540"/>
        <w:jc w:val="center"/>
        <w:rPr>
          <w:rFonts w:hint="eastAsia" w:ascii="仿宋" w:hAnsi="仿宋" w:eastAsia="仿宋" w:cs="仿宋"/>
          <w:b/>
          <w:color w:val="auto"/>
          <w:sz w:val="24"/>
          <w:highlight w:val="none"/>
        </w:rPr>
      </w:pPr>
    </w:p>
    <w:p w14:paraId="407678F7">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9" w:leftChars="257" w:hanging="540"/>
        <w:rPr>
          <w:rFonts w:hint="eastAsia" w:ascii="仿宋" w:hAnsi="仿宋" w:eastAsia="仿宋" w:cs="仿宋"/>
          <w:b/>
          <w:color w:val="auto"/>
          <w:sz w:val="24"/>
          <w:highlight w:val="none"/>
        </w:rPr>
      </w:pPr>
    </w:p>
    <w:p w14:paraId="265BD4B4">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9" w:leftChars="257" w:hanging="540"/>
        <w:rPr>
          <w:rFonts w:hint="eastAsia" w:ascii="仿宋" w:hAnsi="仿宋" w:eastAsia="仿宋" w:cs="仿宋"/>
          <w:b/>
          <w:color w:val="auto"/>
          <w:sz w:val="24"/>
          <w:highlight w:val="none"/>
        </w:rPr>
      </w:pPr>
    </w:p>
    <w:p w14:paraId="5B83D6CB">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说明：提供有效的营业执照等证明文件复印件，复印件上应加盖本单位章。</w:t>
      </w:r>
    </w:p>
    <w:p w14:paraId="10427E60">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F109775">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6212AEC9">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6890908">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2FBC5C11">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9A6B9F6">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36860E7C">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29DE84AA">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63F3806C">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40EB31F2">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9C6D932">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267FA1D6">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5EA07B32">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309A57D3">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759FDEF3">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594391F2">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2E072E25">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0836E898">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7588FA8C">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8D8AB78">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2F292C1">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776ACC1">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44CC3BC">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right="126" w:rightChars="0"/>
        <w:jc w:val="both"/>
        <w:textAlignment w:val="auto"/>
        <w:rPr>
          <w:rFonts w:hint="eastAsia" w:ascii="仿宋" w:hAnsi="仿宋" w:eastAsia="仿宋" w:cs="仿宋"/>
          <w:b/>
          <w:bCs/>
          <w:color w:val="auto"/>
          <w:sz w:val="36"/>
          <w:szCs w:val="36"/>
          <w:lang w:val="en-US" w:eastAsia="zh-CN"/>
        </w:rPr>
      </w:pPr>
    </w:p>
    <w:p w14:paraId="20E20173">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2、</w:t>
      </w:r>
      <w:r>
        <w:rPr>
          <w:rFonts w:hint="eastAsia" w:ascii="仿宋" w:hAnsi="仿宋" w:eastAsia="仿宋" w:cs="仿宋"/>
          <w:b/>
          <w:bCs/>
          <w:color w:val="auto"/>
          <w:sz w:val="36"/>
          <w:szCs w:val="36"/>
        </w:rPr>
        <w:t>法定代表人身份证明</w:t>
      </w:r>
    </w:p>
    <w:p w14:paraId="16F80E01">
      <w:pPr>
        <w:pStyle w:val="4"/>
        <w:rPr>
          <w:rFonts w:hint="eastAsia"/>
          <w:color w:val="auto"/>
        </w:rPr>
      </w:pPr>
    </w:p>
    <w:p w14:paraId="45EED6D6">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投标单位名称：</w:t>
      </w:r>
      <w:r>
        <w:rPr>
          <w:rFonts w:hint="eastAsia" w:ascii="仿宋" w:hAnsi="仿宋" w:eastAsia="仿宋" w:cs="仿宋"/>
          <w:color w:val="auto"/>
          <w:kern w:val="0"/>
          <w:sz w:val="24"/>
          <w:u w:val="single"/>
        </w:rPr>
        <w:t xml:space="preserve">                       </w:t>
      </w:r>
    </w:p>
    <w:p w14:paraId="516C81C1">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单位性质：</w:t>
      </w:r>
      <w:r>
        <w:rPr>
          <w:rFonts w:hint="eastAsia" w:ascii="仿宋" w:hAnsi="仿宋" w:eastAsia="仿宋" w:cs="仿宋"/>
          <w:color w:val="auto"/>
          <w:kern w:val="0"/>
          <w:sz w:val="24"/>
          <w:u w:val="single"/>
        </w:rPr>
        <w:t xml:space="preserve">                           </w:t>
      </w:r>
    </w:p>
    <w:p w14:paraId="49EDB9FF">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地址：</w:t>
      </w:r>
      <w:r>
        <w:rPr>
          <w:rFonts w:hint="eastAsia" w:ascii="仿宋" w:hAnsi="仿宋" w:eastAsia="仿宋" w:cs="仿宋"/>
          <w:color w:val="auto"/>
          <w:kern w:val="0"/>
          <w:sz w:val="24"/>
          <w:u w:val="single"/>
        </w:rPr>
        <w:t xml:space="preserve">                               </w:t>
      </w:r>
    </w:p>
    <w:p w14:paraId="54B26868">
      <w:pPr>
        <w:spacing w:line="42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成立时间：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14:paraId="0DDFBBFD">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经营期限：</w:t>
      </w:r>
      <w:r>
        <w:rPr>
          <w:rFonts w:hint="eastAsia" w:ascii="仿宋" w:hAnsi="仿宋" w:eastAsia="仿宋" w:cs="仿宋"/>
          <w:color w:val="auto"/>
          <w:kern w:val="0"/>
          <w:sz w:val="24"/>
          <w:u w:val="single"/>
        </w:rPr>
        <w:t xml:space="preserve">             </w:t>
      </w:r>
    </w:p>
    <w:p w14:paraId="17960422">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姓名：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性别：</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年龄：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职务：</w:t>
      </w:r>
      <w:r>
        <w:rPr>
          <w:rFonts w:hint="eastAsia" w:ascii="仿宋" w:hAnsi="仿宋" w:eastAsia="仿宋" w:cs="仿宋"/>
          <w:color w:val="auto"/>
          <w:kern w:val="0"/>
          <w:sz w:val="24"/>
          <w:u w:val="single"/>
        </w:rPr>
        <w:t xml:space="preserve">           </w:t>
      </w:r>
    </w:p>
    <w:p w14:paraId="01436468">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身份证号码：</w:t>
      </w:r>
      <w:r>
        <w:rPr>
          <w:rFonts w:hint="eastAsia" w:ascii="仿宋" w:hAnsi="仿宋" w:eastAsia="仿宋" w:cs="仿宋"/>
          <w:color w:val="auto"/>
          <w:kern w:val="0"/>
          <w:sz w:val="24"/>
          <w:u w:val="single"/>
        </w:rPr>
        <w:t xml:space="preserve">                                  </w:t>
      </w:r>
    </w:p>
    <w:p w14:paraId="53FE7A55">
      <w:pPr>
        <w:spacing w:line="42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系</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（投标单位名称）的法定代表人。</w:t>
      </w:r>
    </w:p>
    <w:p w14:paraId="69645B57">
      <w:pPr>
        <w:spacing w:line="420" w:lineRule="exact"/>
        <w:ind w:firstLine="980" w:firstLineChars="400"/>
        <w:rPr>
          <w:rFonts w:hint="eastAsia" w:ascii="仿宋" w:hAnsi="仿宋" w:eastAsia="仿宋" w:cs="仿宋"/>
          <w:color w:val="auto"/>
          <w:kern w:val="0"/>
          <w:sz w:val="24"/>
        </w:rPr>
      </w:pPr>
      <w:r>
        <w:rPr>
          <w:rFonts w:hint="eastAsia" w:ascii="仿宋" w:hAnsi="仿宋" w:eastAsia="仿宋" w:cs="仿宋"/>
          <w:color w:val="auto"/>
          <w:kern w:val="0"/>
          <w:sz w:val="24"/>
        </w:rPr>
        <w:t>特此证明。</w:t>
      </w:r>
    </w:p>
    <w:p w14:paraId="1A5443BE">
      <w:pPr>
        <w:pStyle w:val="7"/>
        <w:numPr>
          <w:ilvl w:val="0"/>
          <w:numId w:val="0"/>
        </w:numPr>
        <w:kinsoku w:val="0"/>
        <w:overflowPunct w:val="0"/>
        <w:ind w:leftChars="0" w:right="0" w:rightChars="0"/>
        <w:rPr>
          <w:rFonts w:hint="eastAsia" w:ascii="仿宋" w:hAnsi="仿宋" w:eastAsia="仿宋" w:cs="仿宋"/>
          <w:color w:val="auto"/>
          <w:sz w:val="20"/>
          <w:szCs w:val="20"/>
        </w:rPr>
      </w:pPr>
    </w:p>
    <w:p w14:paraId="3F481026">
      <w:pPr>
        <w:pStyle w:val="7"/>
        <w:numPr>
          <w:ilvl w:val="0"/>
          <w:numId w:val="0"/>
        </w:numPr>
        <w:kinsoku w:val="0"/>
        <w:overflowPunct w:val="0"/>
        <w:spacing w:before="7"/>
        <w:ind w:leftChars="0" w:right="0" w:rightChars="0"/>
        <w:rPr>
          <w:rFonts w:hint="eastAsia" w:ascii="仿宋" w:hAnsi="仿宋" w:eastAsia="仿宋" w:cs="仿宋"/>
          <w:color w:val="auto"/>
          <w:sz w:val="25"/>
          <w:szCs w:val="25"/>
        </w:rPr>
      </w:pPr>
    </w:p>
    <w:p w14:paraId="52340458">
      <w:pPr>
        <w:pStyle w:val="7"/>
        <w:numPr>
          <w:ilvl w:val="0"/>
          <w:numId w:val="0"/>
        </w:numPr>
        <w:kinsoku w:val="0"/>
        <w:overflowPunct w:val="0"/>
        <w:spacing w:line="200" w:lineRule="atLeast"/>
        <w:ind w:right="0" w:rightChars="0"/>
        <w:rPr>
          <w:rFonts w:hint="eastAsia" w:ascii="仿宋" w:hAnsi="仿宋" w:eastAsia="仿宋" w:cs="仿宋"/>
          <w:color w:val="auto"/>
          <w:sz w:val="20"/>
          <w:szCs w:val="20"/>
        </w:rPr>
      </w:pPr>
      <w:r>
        <w:rPr>
          <w:rFonts w:hint="eastAsia" w:ascii="仿宋" w:hAnsi="仿宋" w:eastAsia="仿宋" w:cs="仿宋"/>
          <w:color w:val="auto"/>
          <w:sz w:val="20"/>
          <w:szCs w:val="20"/>
        </w:rPr>
        <mc:AlternateContent>
          <mc:Choice Requires="wpg">
            <w:drawing>
              <wp:inline distT="0" distB="0" distL="0" distR="0">
                <wp:extent cx="5196205" cy="1461770"/>
                <wp:effectExtent l="0" t="3175" r="24130" b="1905"/>
                <wp:docPr id="1027" name="组合 34"/>
                <wp:cNvGraphicFramePr/>
                <a:graphic xmlns:a="http://schemas.openxmlformats.org/drawingml/2006/main">
                  <a:graphicData uri="http://schemas.microsoft.com/office/word/2010/wordprocessingGroup">
                    <wpg:wgp>
                      <wpg:cNvGrpSpPr/>
                      <wpg:grpSpPr>
                        <a:xfrm rot="0">
                          <a:off x="0" y="0"/>
                          <a:ext cx="5196205" cy="1461770"/>
                          <a:chOff x="4" y="4"/>
                          <a:chExt cx="8183" cy="2302"/>
                        </a:xfrm>
                      </wpg:grpSpPr>
                      <wps:wsp>
                        <wps:cNvPr id="1" name="任意多边形 1"/>
                        <wps:cNvSpPr/>
                        <wps:spPr>
                          <a:xfrm>
                            <a:off x="4" y="9"/>
                            <a:ext cx="8079" cy="20"/>
                          </a:xfrm>
                          <a:custGeom>
                            <a:avLst/>
                            <a:gdLst/>
                            <a:ahLst/>
                            <a:cxnLst/>
                            <a:rect l="l" t="t" r="r" b="b"/>
                            <a:pathLst>
                              <a:path w="8079" h="20">
                                <a:moveTo>
                                  <a:pt x="0" y="0"/>
                                </a:moveTo>
                                <a:lnTo>
                                  <a:pt x="8078" y="0"/>
                                </a:lnTo>
                              </a:path>
                            </a:pathLst>
                          </a:custGeom>
                          <a:solidFill>
                            <a:srgbClr val="CCE8CF"/>
                          </a:solidFill>
                          <a:ln>
                            <a:noFill/>
                          </a:ln>
                        </wps:spPr>
                        <wps:bodyPr/>
                      </wps:wsp>
                      <wps:wsp>
                        <wps:cNvPr id="2" name="任意多边形 2"/>
                        <wps:cNvSpPr/>
                        <wps:spPr>
                          <a:xfrm>
                            <a:off x="24" y="28"/>
                            <a:ext cx="8041" cy="20"/>
                          </a:xfrm>
                          <a:custGeom>
                            <a:avLst/>
                            <a:gdLst/>
                            <a:ahLst/>
                            <a:cxnLst/>
                            <a:rect l="l" t="t" r="r" b="b"/>
                            <a:pathLst>
                              <a:path w="8041" h="20">
                                <a:moveTo>
                                  <a:pt x="0" y="0"/>
                                </a:moveTo>
                                <a:lnTo>
                                  <a:pt x="8040" y="0"/>
                                </a:lnTo>
                              </a:path>
                            </a:pathLst>
                          </a:custGeom>
                          <a:solidFill>
                            <a:srgbClr val="CCE8CF"/>
                          </a:solidFill>
                          <a:ln>
                            <a:noFill/>
                          </a:ln>
                        </wps:spPr>
                        <wps:bodyPr/>
                      </wps:wsp>
                      <wps:wsp>
                        <wps:cNvPr id="3" name="任意多边形 3"/>
                        <wps:cNvSpPr/>
                        <wps:spPr>
                          <a:xfrm>
                            <a:off x="24" y="2267"/>
                            <a:ext cx="8041" cy="20"/>
                          </a:xfrm>
                          <a:custGeom>
                            <a:avLst/>
                            <a:gdLst/>
                            <a:ahLst/>
                            <a:cxnLst/>
                            <a:rect l="l" t="t" r="r" b="b"/>
                            <a:pathLst>
                              <a:path w="8041" h="20">
                                <a:moveTo>
                                  <a:pt x="0" y="0"/>
                                </a:moveTo>
                                <a:lnTo>
                                  <a:pt x="8040" y="0"/>
                                </a:lnTo>
                              </a:path>
                            </a:pathLst>
                          </a:custGeom>
                          <a:solidFill>
                            <a:srgbClr val="CCE8CF"/>
                          </a:solidFill>
                          <a:ln>
                            <a:noFill/>
                          </a:ln>
                        </wps:spPr>
                        <wps:bodyPr/>
                      </wps:wsp>
                      <wps:wsp>
                        <wps:cNvPr id="4" name="任意多边形 4"/>
                        <wps:cNvSpPr/>
                        <wps:spPr>
                          <a:xfrm>
                            <a:off x="4" y="2286"/>
                            <a:ext cx="8079" cy="20"/>
                          </a:xfrm>
                          <a:custGeom>
                            <a:avLst/>
                            <a:gdLst/>
                            <a:ahLst/>
                            <a:cxnLst/>
                            <a:rect l="l" t="t" r="r" b="b"/>
                            <a:pathLst>
                              <a:path w="8079" h="20">
                                <a:moveTo>
                                  <a:pt x="0" y="0"/>
                                </a:moveTo>
                                <a:lnTo>
                                  <a:pt x="8078" y="0"/>
                                </a:lnTo>
                              </a:path>
                            </a:pathLst>
                          </a:custGeom>
                          <a:solidFill>
                            <a:srgbClr val="CCE8CF"/>
                          </a:solidFill>
                          <a:ln>
                            <a:noFill/>
                          </a:ln>
                        </wps:spPr>
                        <wps:bodyPr/>
                      </wps:wsp>
                      <wps:wsp>
                        <wps:cNvPr id="5" name="任意多边形 5"/>
                        <wps:cNvSpPr/>
                        <wps:spPr>
                          <a:xfrm>
                            <a:off x="9" y="4"/>
                            <a:ext cx="20" cy="2287"/>
                          </a:xfrm>
                          <a:custGeom>
                            <a:avLst/>
                            <a:gdLst/>
                            <a:ahLst/>
                            <a:cxnLst/>
                            <a:rect l="l" t="t" r="r" b="b"/>
                            <a:pathLst>
                              <a:path w="20" h="2287">
                                <a:moveTo>
                                  <a:pt x="0" y="0"/>
                                </a:moveTo>
                                <a:lnTo>
                                  <a:pt x="0" y="2286"/>
                                </a:lnTo>
                              </a:path>
                            </a:pathLst>
                          </a:custGeom>
                          <a:solidFill>
                            <a:srgbClr val="CCE8CF"/>
                          </a:solidFill>
                          <a:ln>
                            <a:noFill/>
                          </a:ln>
                        </wps:spPr>
                        <wps:bodyPr/>
                      </wps:wsp>
                      <wps:wsp>
                        <wps:cNvPr id="6" name="任意多边形 6"/>
                        <wps:cNvSpPr/>
                        <wps:spPr>
                          <a:xfrm>
                            <a:off x="28" y="24"/>
                            <a:ext cx="20" cy="2249"/>
                          </a:xfrm>
                          <a:custGeom>
                            <a:avLst/>
                            <a:gdLst/>
                            <a:ahLst/>
                            <a:cxnLst/>
                            <a:rect l="l" t="t" r="r" b="b"/>
                            <a:pathLst>
                              <a:path w="20" h="2249">
                                <a:moveTo>
                                  <a:pt x="0" y="0"/>
                                </a:moveTo>
                                <a:lnTo>
                                  <a:pt x="0" y="2248"/>
                                </a:lnTo>
                              </a:path>
                            </a:pathLst>
                          </a:custGeom>
                          <a:solidFill>
                            <a:srgbClr val="CCE8CF"/>
                          </a:solidFill>
                          <a:ln>
                            <a:noFill/>
                          </a:ln>
                        </wps:spPr>
                        <wps:bodyPr/>
                      </wps:wsp>
                      <wps:wsp>
                        <wps:cNvPr id="7" name="任意多边形 7"/>
                        <wps:cNvSpPr/>
                        <wps:spPr>
                          <a:xfrm>
                            <a:off x="4034" y="24"/>
                            <a:ext cx="20" cy="2239"/>
                          </a:xfrm>
                          <a:custGeom>
                            <a:avLst/>
                            <a:gdLst/>
                            <a:ahLst/>
                            <a:cxnLst/>
                            <a:rect l="l" t="t" r="r" b="b"/>
                            <a:pathLst>
                              <a:path w="20" h="2239">
                                <a:moveTo>
                                  <a:pt x="0" y="0"/>
                                </a:moveTo>
                                <a:lnTo>
                                  <a:pt x="0" y="2238"/>
                                </a:lnTo>
                              </a:path>
                            </a:pathLst>
                          </a:custGeom>
                          <a:solidFill>
                            <a:srgbClr val="CCE8CF"/>
                          </a:solidFill>
                          <a:ln>
                            <a:noFill/>
                          </a:ln>
                        </wps:spPr>
                        <wps:bodyPr/>
                      </wps:wsp>
                      <wps:wsp>
                        <wps:cNvPr id="8" name="任意多边形 8"/>
                        <wps:cNvSpPr/>
                        <wps:spPr>
                          <a:xfrm>
                            <a:off x="4053" y="24"/>
                            <a:ext cx="20" cy="2239"/>
                          </a:xfrm>
                          <a:custGeom>
                            <a:avLst/>
                            <a:gdLst/>
                            <a:ahLst/>
                            <a:cxnLst/>
                            <a:rect l="l" t="t" r="r" b="b"/>
                            <a:pathLst>
                              <a:path w="20" h="2239">
                                <a:moveTo>
                                  <a:pt x="0" y="0"/>
                                </a:moveTo>
                                <a:lnTo>
                                  <a:pt x="0" y="2238"/>
                                </a:lnTo>
                              </a:path>
                            </a:pathLst>
                          </a:custGeom>
                          <a:solidFill>
                            <a:srgbClr val="CCE8CF"/>
                          </a:solidFill>
                          <a:ln>
                            <a:noFill/>
                          </a:ln>
                        </wps:spPr>
                        <wps:bodyPr/>
                      </wps:wsp>
                      <wps:wsp>
                        <wps:cNvPr id="9" name="任意多边形 9"/>
                        <wps:cNvSpPr/>
                        <wps:spPr>
                          <a:xfrm>
                            <a:off x="8059" y="33"/>
                            <a:ext cx="20" cy="2239"/>
                          </a:xfrm>
                          <a:custGeom>
                            <a:avLst/>
                            <a:gdLst/>
                            <a:ahLst/>
                            <a:cxnLst/>
                            <a:rect l="l" t="t" r="r" b="b"/>
                            <a:pathLst>
                              <a:path w="20" h="2239">
                                <a:moveTo>
                                  <a:pt x="0" y="0"/>
                                </a:moveTo>
                                <a:lnTo>
                                  <a:pt x="0" y="2238"/>
                                </a:lnTo>
                              </a:path>
                            </a:pathLst>
                          </a:custGeom>
                          <a:solidFill>
                            <a:srgbClr val="CCE8CF"/>
                          </a:solidFill>
                          <a:ln>
                            <a:noFill/>
                          </a:ln>
                        </wps:spPr>
                        <wps:bodyPr/>
                      </wps:wsp>
                      <wps:wsp>
                        <wps:cNvPr id="10" name="任意多边形 10"/>
                        <wps:cNvSpPr/>
                        <wps:spPr>
                          <a:xfrm>
                            <a:off x="8078" y="14"/>
                            <a:ext cx="20" cy="2278"/>
                          </a:xfrm>
                          <a:custGeom>
                            <a:avLst/>
                            <a:gdLst/>
                            <a:ahLst/>
                            <a:cxnLst/>
                            <a:rect l="l" t="t" r="r" b="b"/>
                            <a:pathLst>
                              <a:path w="20" h="2278">
                                <a:moveTo>
                                  <a:pt x="0" y="0"/>
                                </a:moveTo>
                                <a:lnTo>
                                  <a:pt x="0" y="2277"/>
                                </a:lnTo>
                              </a:path>
                            </a:pathLst>
                          </a:custGeom>
                          <a:solidFill>
                            <a:srgbClr val="CCE8CF"/>
                          </a:solidFill>
                          <a:ln>
                            <a:noFill/>
                          </a:ln>
                        </wps:spPr>
                        <wps:bodyPr/>
                      </wps:wsp>
                      <wps:wsp>
                        <wps:cNvPr id="11" name="矩形 11"/>
                        <wps:cNvSpPr/>
                        <wps:spPr>
                          <a:xfrm>
                            <a:off x="838" y="19"/>
                            <a:ext cx="7349" cy="2258"/>
                          </a:xfrm>
                          <a:prstGeom prst="rect">
                            <a:avLst/>
                          </a:prstGeom>
                          <a:ln w="25400" cap="flat" cmpd="sng">
                            <a:solidFill>
                              <a:srgbClr val="000000"/>
                            </a:solidFill>
                            <a:prstDash val="solid"/>
                            <a:round/>
                          </a:ln>
                        </wps:spPr>
                        <wps:txbx>
                          <w:txbxContent>
                            <w:p w14:paraId="37670133">
                              <w:pPr>
                                <w:pStyle w:val="7"/>
                                <w:numPr>
                                  <w:ilvl w:val="0"/>
                                  <w:numId w:val="0"/>
                                </w:numPr>
                                <w:kinsoku w:val="0"/>
                                <w:overflowPunct w:val="0"/>
                                <w:spacing w:before="13"/>
                                <w:ind w:leftChars="0" w:right="0" w:rightChars="0"/>
                                <w:rPr>
                                  <w:rFonts w:hint="eastAsia"/>
                                  <w:sz w:val="28"/>
                                  <w:szCs w:val="28"/>
                                </w:rPr>
                              </w:pPr>
                            </w:p>
                            <w:p w14:paraId="7A610E32">
                              <w:pPr>
                                <w:pStyle w:val="7"/>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w:t>
                              </w:r>
                              <w:r>
                                <w:rPr>
                                  <w:rFonts w:hint="eastAsia" w:ascii="仿宋" w:hAnsi="仿宋" w:eastAsia="仿宋" w:cs="仿宋"/>
                                  <w:b/>
                                  <w:bCs/>
                                  <w:sz w:val="24"/>
                                  <w:szCs w:val="24"/>
                                  <w:lang w:val="en-US" w:eastAsia="zh-CN"/>
                                </w:rPr>
                                <w:t>/反</w:t>
                              </w:r>
                              <w:r>
                                <w:rPr>
                                  <w:rFonts w:hint="eastAsia" w:ascii="仿宋" w:hAnsi="仿宋" w:eastAsia="仿宋" w:cs="仿宋"/>
                                  <w:b/>
                                  <w:bCs/>
                                  <w:sz w:val="24"/>
                                  <w:szCs w:val="24"/>
                                </w:rPr>
                                <w:t>面）</w:t>
                              </w:r>
                            </w:p>
                          </w:txbxContent>
                        </wps:txbx>
                        <wps:bodyPr lIns="0" tIns="0" rIns="0" bIns="0" upright="1"/>
                      </wps:wsp>
                    </wpg:wgp>
                  </a:graphicData>
                </a:graphic>
              </wp:inline>
            </w:drawing>
          </mc:Choice>
          <mc:Fallback>
            <w:pict>
              <v:group id="组合 34" o:spid="_x0000_s1026" o:spt="203" style="height:115.1pt;width:409.15pt;" coordorigin="4,4" coordsize="8183,2302" o:gfxdata="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">
                <o:lock v:ext="edit" aspectratio="f"/>
                <v:shape id="_x0000_s1026" o:spid="_x0000_s1026" o:spt="100" style="position:absolute;left:4;top:9;height:20;width:8079;" fillcolor="#CCE8CF" filled="t" stroked="f" coordsize="8079,20" o:gfxdata="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QiN6atwAAANoAAAAP&#10;AAAAAAAAAAEAIAAAACIAAABkcnMvZG93bnJldi54bWxQSwECFAAUAAAACACHTuJAMy8FnjsAAAA5&#10;AAAAEAAAAAAAAAABACAAAAAGAQAAZHJzL3NoYXBleG1sLnhtbFBLBQYAAAAABgAGAFsBAACwAwAA&#10;AAA=&#10;" path="m0,0l8078,0e">
                  <v:fill on="t" focussize="0,0"/>
                  <v:stroke on="f"/>
                  <v:imagedata o:title=""/>
                  <o:lock v:ext="edit" aspectratio="f"/>
                </v:shape>
                <v:shape id="_x0000_s1026" o:spid="_x0000_s1026" o:spt="100" style="position:absolute;left:24;top:28;height:20;width:8041;" fillcolor="#CCE8CF" filled="t" stroked="f" coordsize="8041,20" o:gfxdata="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f6we8AAAA&#10;2gAAAA8AAAAAAAAAAQAgAAAAIgAAAGRycy9kb3ducmV2LnhtbFBLAQIUABQAAAAIAIdO4kAzLwWe&#10;OwAAADkAAAAQAAAAAAAAAAEAIAAAAAsBAABkcnMvc2hhcGV4bWwueG1sUEsFBgAAAAAGAAYAWwEA&#10;ALUDAAAAAA==&#10;" path="m0,0l8040,0e">
                  <v:fill on="t" focussize="0,0"/>
                  <v:stroke on="f"/>
                  <v:imagedata o:title=""/>
                  <o:lock v:ext="edit" aspectratio="f"/>
                </v:shape>
                <v:shape id="_x0000_s1026" o:spid="_x0000_s1026" o:spt="100" style="position:absolute;left:24;top:2267;height:20;width:8041;" fillcolor="#CCE8CF" filled="t" stroked="f" coordsize="8041,20" o:gfxdata="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lNOnLsAAADa&#10;AAAADwAAAAAAAAABACAAAAAiAAAAZHJzL2Rvd25yZXYueG1sUEsBAhQAFAAAAAgAh07iQDMvBZ47&#10;AAAAOQAAABAAAAAAAAAAAQAgAAAACgEAAGRycy9zaGFwZXhtbC54bWxQSwUGAAAAAAYABgBbAQAA&#10;tAMAAAAA&#10;" path="m0,0l8040,0e">
                  <v:fill on="t" focussize="0,0"/>
                  <v:stroke on="f"/>
                  <v:imagedata o:title=""/>
                  <o:lock v:ext="edit" aspectratio="f"/>
                </v:shape>
                <v:shape id="_x0000_s1026" o:spid="_x0000_s1026" o:spt="100" style="position:absolute;left:4;top:2286;height:20;width:8079;" fillcolor="#CCE8CF" filled="t" stroked="f" coordsize="8079,20" o:gfxdata="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99ArsAAADa&#10;AAAADwAAAAAAAAABACAAAAAiAAAAZHJzL2Rvd25yZXYueG1sUEsBAhQAFAAAAAgAh07iQDMvBZ47&#10;AAAAOQAAABAAAAAAAAAAAQAgAAAACgEAAGRycy9zaGFwZXhtbC54bWxQSwUGAAAAAAYABgBbAQAA&#10;tAMAAAAA&#10;" path="m0,0l8078,0e">
                  <v:fill on="t" focussize="0,0"/>
                  <v:stroke on="f"/>
                  <v:imagedata o:title=""/>
                  <o:lock v:ext="edit" aspectratio="f"/>
                </v:shape>
                <v:shape id="_x0000_s1026" o:spid="_x0000_s1026" o:spt="100" style="position:absolute;left:9;top:4;height:2287;width:20;" fillcolor="#CCE8CF" filled="t" stroked="f" coordsize="20,2287" o:gfxdata="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W/KrrsAAADa&#10;AAAADwAAAAAAAAABACAAAAAiAAAAZHJzL2Rvd25yZXYueG1sUEsBAhQAFAAAAAgAh07iQDMvBZ47&#10;AAAAOQAAABAAAAAAAAAAAQAgAAAACgEAAGRycy9zaGFwZXhtbC54bWxQSwUGAAAAAAYABgBbAQAA&#10;tAMAAAAA&#10;" path="m0,0l0,2286e">
                  <v:fill on="t" focussize="0,0"/>
                  <v:stroke on="f"/>
                  <v:imagedata o:title=""/>
                  <o:lock v:ext="edit" aspectratio="f"/>
                </v:shape>
                <v:shape id="_x0000_s1026" o:spid="_x0000_s1026" o:spt="100" style="position:absolute;left:28;top:24;height:2249;width:20;" fillcolor="#CCE8CF" filled="t" stroked="f" coordsize="20,2249" o:gfxdata="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yPlj28AAAA&#10;2gAAAA8AAAAAAAAAAQAgAAAAIgAAAGRycy9kb3ducmV2LnhtbFBLAQIUABQAAAAIAIdO4kAzLwWe&#10;OwAAADkAAAAQAAAAAAAAAAEAIAAAAAsBAABkcnMvc2hhcGV4bWwueG1sUEsFBgAAAAAGAAYAWwEA&#10;ALUDAAAAAA==&#10;" path="m0,0l0,2248e">
                  <v:fill on="t" focussize="0,0"/>
                  <v:stroke on="f"/>
                  <v:imagedata o:title=""/>
                  <o:lock v:ext="edit" aspectratio="f"/>
                </v:shape>
                <v:shape id="_x0000_s1026" o:spid="_x0000_s1026" o:spt="100" style="position:absolute;left:4034;top:24;height:2239;width:20;" fillcolor="#CCE8CF" filled="t" stroked="f" coordsize="20,2239" o:gfxdata="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LicvQAA&#10;ANoAAAAPAAAAAAAAAAEAIAAAACIAAABkcnMvZG93bnJldi54bWxQSwECFAAUAAAACACHTuJAMy8F&#10;njsAAAA5AAAAEAAAAAAAAAABACAAAAAMAQAAZHJzL3NoYXBleG1sLnhtbFBLBQYAAAAABgAGAFsB&#10;AAC2AwAAAAA=&#10;" path="m0,0l0,2238e">
                  <v:fill on="t" focussize="0,0"/>
                  <v:stroke on="f"/>
                  <v:imagedata o:title=""/>
                  <o:lock v:ext="edit" aspectratio="f"/>
                </v:shape>
                <v:shape id="_x0000_s1026" o:spid="_x0000_s1026" o:spt="100" style="position:absolute;left:4053;top:24;height:2239;width:20;" fillcolor="#CCE8CF" filled="t" stroked="f" coordsize="20,2239" o:gfxdata="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08s7rgAAADaAAAA&#10;DwAAAAAAAAABACAAAAAiAAAAZHJzL2Rvd25yZXYueG1sUEsBAhQAFAAAAAgAh07iQDMvBZ47AAAA&#10;OQAAABAAAAAAAAAAAQAgAAAABwEAAGRycy9zaGFwZXhtbC54bWxQSwUGAAAAAAYABgBbAQAAsQMA&#10;AAAA&#10;" path="m0,0l0,2238e">
                  <v:fill on="t" focussize="0,0"/>
                  <v:stroke on="f"/>
                  <v:imagedata o:title=""/>
                  <o:lock v:ext="edit" aspectratio="f"/>
                </v:shape>
                <v:shape id="_x0000_s1026" o:spid="_x0000_s1026" o:spt="100" style="position:absolute;left:8059;top:33;height:2239;width:20;" fillcolor="#CCE8CF" filled="t" stroked="f" coordsize="20,2239" o:gfxdata="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A4l1vQAA&#10;ANoAAAAPAAAAAAAAAAEAIAAAACIAAABkcnMvZG93bnJldi54bWxQSwECFAAUAAAACACHTuJAMy8F&#10;njsAAAA5AAAAEAAAAAAAAAABACAAAAAMAQAAZHJzL3NoYXBleG1sLnhtbFBLBQYAAAAABgAGAFsB&#10;AAC2AwAAAAA=&#10;" path="m0,0l0,2238e">
                  <v:fill on="t" focussize="0,0"/>
                  <v:stroke on="f"/>
                  <v:imagedata o:title=""/>
                  <o:lock v:ext="edit" aspectratio="f"/>
                </v:shape>
                <v:shape id="_x0000_s1026" o:spid="_x0000_s1026" o:spt="100" style="position:absolute;left:8078;top:14;height:2278;width:20;" fillcolor="#CCE8CF" filled="t" stroked="f" coordsize="20,2278" o:gfxdata="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EqoW/&#10;AAAA2wAAAA8AAAAAAAAAAQAgAAAAIgAAAGRycy9kb3ducmV2LnhtbFBLAQIUABQAAAAIAIdO4kAz&#10;LwWeOwAAADkAAAAQAAAAAAAAAAEAIAAAAA4BAABkcnMvc2hhcGV4bWwueG1sUEsFBgAAAAAGAAYA&#10;WwEAALgDAAAAAA==&#10;" path="m0,0l0,2277e">
                  <v:fill on="t" focussize="0,0"/>
                  <v:stroke on="f"/>
                  <v:imagedata o:title=""/>
                  <o:lock v:ext="edit" aspectratio="f"/>
                </v:shape>
                <v:rect id="_x0000_s1026" o:spid="_x0000_s1026" o:spt="1" style="position:absolute;left:838;top:19;height:2258;width:7349;" filled="f" stroked="t" coordsize="21600,21600" o:gfxdata="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Hf1rgAAADbAAAA&#10;DwAAAAAAAAABACAAAAAiAAAAZHJzL2Rvd25yZXYueG1sUEsBAhQAFAAAAAgAh07iQDMvBZ47AAAA&#10;OQAAABAAAAAAAAAAAQAgAAAABwEAAGRycy9zaGFwZXhtbC54bWxQSwUGAAAAAAYABgBbAQAAsQMA&#10;AAAA&#10;">
                  <v:fill on="f" focussize="0,0"/>
                  <v:stroke weight="2pt" color="#000000" joinstyle="round"/>
                  <v:imagedata o:title=""/>
                  <o:lock v:ext="edit" aspectratio="f"/>
                  <v:textbox inset="0mm,0mm,0mm,0mm">
                    <w:txbxContent>
                      <w:p w14:paraId="37670133">
                        <w:pPr>
                          <w:pStyle w:val="7"/>
                          <w:numPr>
                            <w:ilvl w:val="0"/>
                            <w:numId w:val="0"/>
                          </w:numPr>
                          <w:kinsoku w:val="0"/>
                          <w:overflowPunct w:val="0"/>
                          <w:spacing w:before="13"/>
                          <w:ind w:leftChars="0" w:right="0" w:rightChars="0"/>
                          <w:rPr>
                            <w:rFonts w:hint="eastAsia"/>
                            <w:sz w:val="28"/>
                            <w:szCs w:val="28"/>
                          </w:rPr>
                        </w:pPr>
                      </w:p>
                      <w:p w14:paraId="7A610E32">
                        <w:pPr>
                          <w:pStyle w:val="7"/>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w:t>
                        </w:r>
                        <w:r>
                          <w:rPr>
                            <w:rFonts w:hint="eastAsia" w:ascii="仿宋" w:hAnsi="仿宋" w:eastAsia="仿宋" w:cs="仿宋"/>
                            <w:b/>
                            <w:bCs/>
                            <w:sz w:val="24"/>
                            <w:szCs w:val="24"/>
                            <w:lang w:val="en-US" w:eastAsia="zh-CN"/>
                          </w:rPr>
                          <w:t>/反</w:t>
                        </w:r>
                        <w:r>
                          <w:rPr>
                            <w:rFonts w:hint="eastAsia" w:ascii="仿宋" w:hAnsi="仿宋" w:eastAsia="仿宋" w:cs="仿宋"/>
                            <w:b/>
                            <w:bCs/>
                            <w:sz w:val="24"/>
                            <w:szCs w:val="24"/>
                          </w:rPr>
                          <w:t>面）</w:t>
                        </w:r>
                      </w:p>
                    </w:txbxContent>
                  </v:textbox>
                </v:rect>
                <w10:wrap type="none"/>
                <w10:anchorlock/>
              </v:group>
            </w:pict>
          </mc:Fallback>
        </mc:AlternateContent>
      </w:r>
    </w:p>
    <w:p w14:paraId="6C3EE52A">
      <w:pPr>
        <w:wordWrap w:val="0"/>
        <w:spacing w:line="420" w:lineRule="exact"/>
        <w:ind w:firstLine="490" w:firstLineChars="200"/>
        <w:jc w:val="right"/>
        <w:rPr>
          <w:rFonts w:hint="eastAsia" w:ascii="仿宋" w:hAnsi="仿宋" w:eastAsia="仿宋" w:cs="仿宋"/>
          <w:color w:val="auto"/>
          <w:kern w:val="0"/>
          <w:sz w:val="24"/>
        </w:rPr>
      </w:pPr>
    </w:p>
    <w:p w14:paraId="7C9FC593">
      <w:pPr>
        <w:spacing w:line="420" w:lineRule="exact"/>
        <w:ind w:firstLine="490" w:firstLineChars="200"/>
        <w:jc w:val="right"/>
        <w:rPr>
          <w:rFonts w:hint="eastAsia" w:ascii="仿宋" w:hAnsi="仿宋" w:eastAsia="仿宋" w:cs="仿宋"/>
          <w:color w:val="auto"/>
          <w:kern w:val="0"/>
          <w:sz w:val="24"/>
        </w:rPr>
      </w:pPr>
    </w:p>
    <w:p w14:paraId="4CC5E5DA">
      <w:pPr>
        <w:pStyle w:val="14"/>
        <w:rPr>
          <w:rFonts w:hint="eastAsia" w:ascii="仿宋" w:hAnsi="仿宋" w:eastAsia="仿宋" w:cs="仿宋"/>
          <w:color w:val="auto"/>
          <w:kern w:val="0"/>
          <w:sz w:val="24"/>
        </w:rPr>
      </w:pPr>
    </w:p>
    <w:p w14:paraId="7BC35230">
      <w:pPr>
        <w:pStyle w:val="14"/>
        <w:rPr>
          <w:rFonts w:hint="eastAsia" w:ascii="仿宋" w:hAnsi="仿宋" w:eastAsia="仿宋" w:cs="仿宋"/>
          <w:color w:val="auto"/>
          <w:kern w:val="0"/>
          <w:sz w:val="24"/>
        </w:rPr>
      </w:pPr>
    </w:p>
    <w:p w14:paraId="695D48AF">
      <w:pPr>
        <w:spacing w:line="420" w:lineRule="exact"/>
        <w:ind w:firstLine="490" w:firstLineChars="200"/>
        <w:jc w:val="center"/>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投标人：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（公章）</w:t>
      </w:r>
    </w:p>
    <w:p w14:paraId="54E9F0FC">
      <w:pPr>
        <w:wordWrap w:val="0"/>
        <w:spacing w:line="420" w:lineRule="exact"/>
        <w:ind w:right="480" w:firstLine="490" w:firstLineChars="200"/>
        <w:jc w:val="center"/>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日 </w:t>
      </w:r>
    </w:p>
    <w:p w14:paraId="748584F6">
      <w:pPr>
        <w:pStyle w:val="7"/>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auto"/>
          <w:szCs w:val="21"/>
        </w:rPr>
      </w:pPr>
      <w:r>
        <w:rPr>
          <w:rFonts w:hint="eastAsia" w:ascii="仿宋" w:hAnsi="仿宋" w:eastAsia="仿宋" w:cs="仿宋"/>
          <w:color w:val="auto"/>
        </w:rPr>
        <w:br w:type="page"/>
      </w:r>
      <w:r>
        <w:rPr>
          <w:rFonts w:hint="eastAsia" w:ascii="仿宋" w:hAnsi="仿宋" w:eastAsia="仿宋" w:cs="仿宋"/>
          <w:b/>
          <w:bCs/>
          <w:color w:val="auto"/>
          <w:sz w:val="36"/>
          <w:szCs w:val="36"/>
          <w:lang w:val="en-US" w:eastAsia="zh-CN"/>
        </w:rPr>
        <w:t>3</w:t>
      </w:r>
      <w:r>
        <w:rPr>
          <w:rFonts w:hint="eastAsia" w:ascii="仿宋" w:hAnsi="仿宋" w:eastAsia="仿宋" w:cs="仿宋"/>
          <w:b/>
          <w:bCs/>
          <w:color w:val="auto"/>
          <w:sz w:val="36"/>
          <w:szCs w:val="36"/>
        </w:rPr>
        <w:t>、授权委托书</w:t>
      </w:r>
    </w:p>
    <w:p w14:paraId="79675CBC">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致：采购人名称 </w:t>
      </w:r>
    </w:p>
    <w:p w14:paraId="2912F90A">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本授权书声明：注册于（投标人地址）的（投标人名称）法定代表人（负责人）姓名、职务或职称）代表本公司授权（姓名）为本单位的合法代理人，参与贵方组织的（项目名称及项目编号） 的投标、谈判、签约等具体工作，并签署全部有关文件、协议及合同。</w:t>
      </w:r>
    </w:p>
    <w:p w14:paraId="298C5626">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我单位对被授权人的上述经济活动负全部责任。在撤销授权的书面通知前，本授权书一直有效。被授权人在授权书有效期内签署的所有文件不因授权的撤消而失效。</w:t>
      </w:r>
    </w:p>
    <w:p w14:paraId="0A654E01">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mc:AlternateContent>
          <mc:Choice Requires="wps">
            <w:drawing>
              <wp:anchor distT="0" distB="0" distL="114300" distR="114300" simplePos="0" relativeHeight="251661312" behindDoc="0" locked="0" layoutInCell="1" allowOverlap="1">
                <wp:simplePos x="0" y="0"/>
                <wp:positionH relativeFrom="column">
                  <wp:posOffset>544195</wp:posOffset>
                </wp:positionH>
                <wp:positionV relativeFrom="paragraph">
                  <wp:posOffset>90805</wp:posOffset>
                </wp:positionV>
                <wp:extent cx="4652010" cy="1448435"/>
                <wp:effectExtent l="12700" t="12700" r="21590" b="24765"/>
                <wp:wrapNone/>
                <wp:docPr id="39" name="矩形 39"/>
                <wp:cNvGraphicFramePr/>
                <a:graphic xmlns:a="http://schemas.openxmlformats.org/drawingml/2006/main">
                  <a:graphicData uri="http://schemas.microsoft.com/office/word/2010/wordprocessingShape">
                    <wps:wsp>
                      <wps:cNvSpPr/>
                      <wps:spPr>
                        <a:xfrm>
                          <a:off x="0" y="0"/>
                          <a:ext cx="4652010" cy="1448435"/>
                        </a:xfrm>
                        <a:prstGeom prst="rect">
                          <a:avLst/>
                        </a:prstGeom>
                        <a:ln w="25400" cap="flat" cmpd="sng">
                          <a:solidFill>
                            <a:srgbClr val="000000"/>
                          </a:solidFill>
                          <a:prstDash val="solid"/>
                          <a:round/>
                        </a:ln>
                      </wps:spPr>
                      <wps:txbx>
                        <w:txbxContent>
                          <w:p w14:paraId="4F166228">
                            <w:pPr>
                              <w:pStyle w:val="7"/>
                              <w:numPr>
                                <w:ilvl w:val="0"/>
                                <w:numId w:val="0"/>
                              </w:numPr>
                              <w:kinsoku w:val="0"/>
                              <w:overflowPunct w:val="0"/>
                              <w:spacing w:before="13"/>
                              <w:ind w:leftChars="0" w:right="0" w:rightChars="0"/>
                              <w:rPr>
                                <w:rFonts w:hint="eastAsia"/>
                                <w:sz w:val="28"/>
                                <w:szCs w:val="28"/>
                              </w:rPr>
                            </w:pPr>
                          </w:p>
                          <w:p w14:paraId="18E8763E">
                            <w:pPr>
                              <w:pStyle w:val="7"/>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w:t>
                            </w:r>
                            <w:r>
                              <w:rPr>
                                <w:rFonts w:hint="eastAsia" w:ascii="仿宋" w:hAnsi="仿宋" w:eastAsia="仿宋" w:cs="仿宋"/>
                                <w:b/>
                                <w:bCs/>
                                <w:sz w:val="24"/>
                                <w:szCs w:val="24"/>
                                <w:lang w:val="en-US" w:eastAsia="zh-CN"/>
                              </w:rPr>
                              <w:t>/反</w:t>
                            </w:r>
                            <w:r>
                              <w:rPr>
                                <w:rFonts w:hint="eastAsia" w:ascii="仿宋" w:hAnsi="仿宋" w:eastAsia="仿宋" w:cs="仿宋"/>
                                <w:b/>
                                <w:bCs/>
                                <w:sz w:val="24"/>
                                <w:szCs w:val="24"/>
                              </w:rPr>
                              <w:t>面）</w:t>
                            </w:r>
                          </w:p>
                        </w:txbxContent>
                      </wps:txbx>
                      <wps:bodyPr lIns="0" tIns="0" rIns="0" bIns="0" upright="1"/>
                    </wps:wsp>
                  </a:graphicData>
                </a:graphic>
              </wp:anchor>
            </w:drawing>
          </mc:Choice>
          <mc:Fallback>
            <w:pict>
              <v:rect id="_x0000_s1026" o:spid="_x0000_s1026" o:spt="1" style="position:absolute;left:0pt;margin-left:42.85pt;margin-top:7.15pt;height:114.05pt;width:366.3pt;z-index:251661312;mso-width-relative:page;mso-height-relative:page;" filled="f" stroked="t" coordsize="21600,21600" o:gfxdata="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QDKNR1gAA&#10;AAkBAAAPAAAAAAAAAAEAIAAAACIAAABkcnMvZG93bnJldi54bWxQSwECFAAUAAAACACHTuJAJ1cs&#10;yucBAADJAwAADgAAAAAAAAABACAAAAAlAQAAZHJzL2Uyb0RvYy54bWxQSwUGAAAAAAYABgBZAQAA&#10;fgUAAAAA&#10;">
                <v:fill on="f" focussize="0,0"/>
                <v:stroke weight="2pt" color="#000000" joinstyle="round"/>
                <v:imagedata o:title=""/>
                <o:lock v:ext="edit" aspectratio="f"/>
                <v:textbox inset="0mm,0mm,0mm,0mm">
                  <w:txbxContent>
                    <w:p w14:paraId="4F166228">
                      <w:pPr>
                        <w:pStyle w:val="7"/>
                        <w:numPr>
                          <w:ilvl w:val="0"/>
                          <w:numId w:val="0"/>
                        </w:numPr>
                        <w:kinsoku w:val="0"/>
                        <w:overflowPunct w:val="0"/>
                        <w:spacing w:before="13"/>
                        <w:ind w:leftChars="0" w:right="0" w:rightChars="0"/>
                        <w:rPr>
                          <w:rFonts w:hint="eastAsia"/>
                          <w:sz w:val="28"/>
                          <w:szCs w:val="28"/>
                        </w:rPr>
                      </w:pPr>
                    </w:p>
                    <w:p w14:paraId="18E8763E">
                      <w:pPr>
                        <w:pStyle w:val="7"/>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w:t>
                      </w:r>
                      <w:r>
                        <w:rPr>
                          <w:rFonts w:hint="eastAsia" w:ascii="仿宋" w:hAnsi="仿宋" w:eastAsia="仿宋" w:cs="仿宋"/>
                          <w:b/>
                          <w:bCs/>
                          <w:sz w:val="24"/>
                          <w:szCs w:val="24"/>
                          <w:lang w:val="en-US" w:eastAsia="zh-CN"/>
                        </w:rPr>
                        <w:t>/反</w:t>
                      </w:r>
                      <w:r>
                        <w:rPr>
                          <w:rFonts w:hint="eastAsia" w:ascii="仿宋" w:hAnsi="仿宋" w:eastAsia="仿宋" w:cs="仿宋"/>
                          <w:b/>
                          <w:bCs/>
                          <w:sz w:val="24"/>
                          <w:szCs w:val="24"/>
                        </w:rPr>
                        <w:t>面）</w:t>
                      </w:r>
                    </w:p>
                  </w:txbxContent>
                </v:textbox>
              </v:rect>
            </w:pict>
          </mc:Fallback>
        </mc:AlternateContent>
      </w:r>
    </w:p>
    <w:p w14:paraId="07E83DA5">
      <w:pPr>
        <w:pStyle w:val="7"/>
        <w:kinsoku w:val="0"/>
        <w:overflowPunct w:val="0"/>
        <w:adjustRightInd w:val="0"/>
        <w:snapToGrid w:val="0"/>
        <w:spacing w:before="12"/>
        <w:rPr>
          <w:rFonts w:hint="eastAsia" w:ascii="仿宋" w:hAnsi="仿宋" w:eastAsia="仿宋" w:cs="仿宋"/>
          <w:color w:val="auto"/>
          <w:sz w:val="4"/>
          <w:szCs w:val="4"/>
        </w:rPr>
      </w:pPr>
    </w:p>
    <w:p w14:paraId="15A40437">
      <w:pPr>
        <w:pStyle w:val="7"/>
        <w:numPr>
          <w:ilvl w:val="0"/>
          <w:numId w:val="0"/>
        </w:numPr>
        <w:kinsoku w:val="0"/>
        <w:overflowPunct w:val="0"/>
        <w:adjustRightInd w:val="0"/>
        <w:snapToGrid w:val="0"/>
        <w:spacing w:line="200" w:lineRule="atLeast"/>
        <w:ind w:right="1947" w:rightChars="795"/>
        <w:jc w:val="center"/>
        <w:rPr>
          <w:rFonts w:hint="eastAsia" w:ascii="仿宋" w:hAnsi="仿宋" w:eastAsia="仿宋" w:cs="仿宋"/>
          <w:color w:val="auto"/>
          <w:sz w:val="18"/>
          <w:szCs w:val="20"/>
        </w:rPr>
      </w:pPr>
    </w:p>
    <w:p w14:paraId="23EEF3C6">
      <w:pPr>
        <w:pStyle w:val="7"/>
        <w:numPr>
          <w:ilvl w:val="0"/>
          <w:numId w:val="0"/>
        </w:numPr>
        <w:kinsoku w:val="0"/>
        <w:overflowPunct w:val="0"/>
        <w:adjustRightInd w:val="0"/>
        <w:snapToGrid w:val="0"/>
        <w:spacing w:line="200" w:lineRule="atLeast"/>
        <w:ind w:right="0" w:rightChars="0"/>
        <w:rPr>
          <w:rFonts w:hint="eastAsia" w:ascii="仿宋" w:hAnsi="仿宋" w:eastAsia="仿宋" w:cs="仿宋"/>
          <w:color w:val="auto"/>
          <w:sz w:val="18"/>
          <w:szCs w:val="20"/>
        </w:rPr>
      </w:pPr>
    </w:p>
    <w:p w14:paraId="613B8B26">
      <w:pPr>
        <w:rPr>
          <w:rFonts w:hint="eastAsia" w:ascii="仿宋" w:hAnsi="仿宋" w:eastAsia="仿宋" w:cs="仿宋"/>
          <w:color w:val="auto"/>
          <w:sz w:val="18"/>
          <w:szCs w:val="20"/>
        </w:rPr>
      </w:pPr>
    </w:p>
    <w:p w14:paraId="5CE37775">
      <w:pPr>
        <w:rPr>
          <w:rFonts w:hint="eastAsia" w:ascii="仿宋" w:hAnsi="仿宋" w:eastAsia="仿宋" w:cs="仿宋"/>
          <w:color w:val="auto"/>
          <w:sz w:val="18"/>
          <w:szCs w:val="20"/>
        </w:rPr>
      </w:pPr>
    </w:p>
    <w:p w14:paraId="075DB217">
      <w:pPr>
        <w:pStyle w:val="7"/>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14:paraId="4C647EB2">
      <w:pPr>
        <w:pStyle w:val="7"/>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mc:AlternateContent>
          <mc:Choice Requires="wps">
            <w:drawing>
              <wp:anchor distT="0" distB="0" distL="114300" distR="114300" simplePos="0" relativeHeight="251662336" behindDoc="0" locked="0" layoutInCell="1" allowOverlap="1">
                <wp:simplePos x="0" y="0"/>
                <wp:positionH relativeFrom="column">
                  <wp:posOffset>521970</wp:posOffset>
                </wp:positionH>
                <wp:positionV relativeFrom="paragraph">
                  <wp:posOffset>286385</wp:posOffset>
                </wp:positionV>
                <wp:extent cx="4666615" cy="1433830"/>
                <wp:effectExtent l="12700" t="12700" r="26035" b="20320"/>
                <wp:wrapNone/>
                <wp:docPr id="41" name="矩形 41"/>
                <wp:cNvGraphicFramePr/>
                <a:graphic xmlns:a="http://schemas.openxmlformats.org/drawingml/2006/main">
                  <a:graphicData uri="http://schemas.microsoft.com/office/word/2010/wordprocessingShape">
                    <wps:wsp>
                      <wps:cNvSpPr/>
                      <wps:spPr>
                        <a:xfrm>
                          <a:off x="0" y="0"/>
                          <a:ext cx="4666615" cy="1433830"/>
                        </a:xfrm>
                        <a:prstGeom prst="rect">
                          <a:avLst/>
                        </a:prstGeom>
                        <a:ln w="25400" cap="flat" cmpd="sng">
                          <a:solidFill>
                            <a:srgbClr val="000000"/>
                          </a:solidFill>
                          <a:prstDash val="solid"/>
                          <a:round/>
                        </a:ln>
                      </wps:spPr>
                      <wps:txbx>
                        <w:txbxContent>
                          <w:p w14:paraId="76A9DC53">
                            <w:pPr>
                              <w:pStyle w:val="7"/>
                              <w:numPr>
                                <w:ilvl w:val="0"/>
                                <w:numId w:val="0"/>
                              </w:numPr>
                              <w:kinsoku w:val="0"/>
                              <w:overflowPunct w:val="0"/>
                              <w:spacing w:before="13"/>
                              <w:ind w:leftChars="0" w:right="0" w:rightChars="0"/>
                              <w:rPr>
                                <w:rFonts w:hint="eastAsia"/>
                                <w:sz w:val="28"/>
                                <w:szCs w:val="28"/>
                              </w:rPr>
                            </w:pPr>
                          </w:p>
                          <w:p w14:paraId="2F81420F">
                            <w:pPr>
                              <w:pStyle w:val="7"/>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lang w:eastAsia="zh-CN"/>
                              </w:rPr>
                              <w:t>授权</w:t>
                            </w:r>
                            <w:r>
                              <w:rPr>
                                <w:rFonts w:hint="eastAsia" w:ascii="仿宋" w:hAnsi="仿宋" w:eastAsia="仿宋" w:cs="仿宋"/>
                                <w:b/>
                                <w:bCs/>
                                <w:sz w:val="24"/>
                                <w:szCs w:val="24"/>
                              </w:rPr>
                              <w:t>代表人身份证复印件（正</w:t>
                            </w:r>
                            <w:r>
                              <w:rPr>
                                <w:rFonts w:hint="eastAsia" w:ascii="仿宋" w:hAnsi="仿宋" w:eastAsia="仿宋" w:cs="仿宋"/>
                                <w:b/>
                                <w:bCs/>
                                <w:sz w:val="24"/>
                                <w:szCs w:val="24"/>
                                <w:lang w:val="en-US" w:eastAsia="zh-CN"/>
                              </w:rPr>
                              <w:t>/反</w:t>
                            </w:r>
                            <w:r>
                              <w:rPr>
                                <w:rFonts w:hint="eastAsia" w:ascii="仿宋" w:hAnsi="仿宋" w:eastAsia="仿宋" w:cs="仿宋"/>
                                <w:b/>
                                <w:bCs/>
                                <w:sz w:val="24"/>
                                <w:szCs w:val="24"/>
                              </w:rPr>
                              <w:t>面）</w:t>
                            </w:r>
                          </w:p>
                        </w:txbxContent>
                      </wps:txbx>
                      <wps:bodyPr lIns="0" tIns="0" rIns="0" bIns="0" upright="1"/>
                    </wps:wsp>
                  </a:graphicData>
                </a:graphic>
              </wp:anchor>
            </w:drawing>
          </mc:Choice>
          <mc:Fallback>
            <w:pict>
              <v:rect id="_x0000_s1026" o:spid="_x0000_s1026" o:spt="1" style="position:absolute;left:0pt;margin-left:41.1pt;margin-top:22.55pt;height:112.9pt;width:367.45pt;z-index:251662336;mso-width-relative:page;mso-height-relative:page;" filled="f" stroked="t" coordsize="21600,21600" o:gfxdata="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PvHJTVAAAA&#10;CQEAAA8AAAAAAAAAAQAgAAAAIgAAAGRycy9kb3ducmV2LnhtbFBLAQIUABQAAAAIAIdO4kDAgdIE&#10;5wEAAMkDAAAOAAAAAAAAAAEAIAAAACQBAABkcnMvZTJvRG9jLnhtbFBLBQYAAAAABgAGAFkBAAB9&#10;BQAAAAA=&#10;">
                <v:fill on="f" focussize="0,0"/>
                <v:stroke weight="2pt" color="#000000" joinstyle="round"/>
                <v:imagedata o:title=""/>
                <o:lock v:ext="edit" aspectratio="f"/>
                <v:textbox inset="0mm,0mm,0mm,0mm">
                  <w:txbxContent>
                    <w:p w14:paraId="76A9DC53">
                      <w:pPr>
                        <w:pStyle w:val="7"/>
                        <w:numPr>
                          <w:ilvl w:val="0"/>
                          <w:numId w:val="0"/>
                        </w:numPr>
                        <w:kinsoku w:val="0"/>
                        <w:overflowPunct w:val="0"/>
                        <w:spacing w:before="13"/>
                        <w:ind w:leftChars="0" w:right="0" w:rightChars="0"/>
                        <w:rPr>
                          <w:rFonts w:hint="eastAsia"/>
                          <w:sz w:val="28"/>
                          <w:szCs w:val="28"/>
                        </w:rPr>
                      </w:pPr>
                    </w:p>
                    <w:p w14:paraId="2F81420F">
                      <w:pPr>
                        <w:pStyle w:val="7"/>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lang w:eastAsia="zh-CN"/>
                        </w:rPr>
                        <w:t>授权</w:t>
                      </w:r>
                      <w:r>
                        <w:rPr>
                          <w:rFonts w:hint="eastAsia" w:ascii="仿宋" w:hAnsi="仿宋" w:eastAsia="仿宋" w:cs="仿宋"/>
                          <w:b/>
                          <w:bCs/>
                          <w:sz w:val="24"/>
                          <w:szCs w:val="24"/>
                        </w:rPr>
                        <w:t>代表人身份证复印件（正</w:t>
                      </w:r>
                      <w:r>
                        <w:rPr>
                          <w:rFonts w:hint="eastAsia" w:ascii="仿宋" w:hAnsi="仿宋" w:eastAsia="仿宋" w:cs="仿宋"/>
                          <w:b/>
                          <w:bCs/>
                          <w:sz w:val="24"/>
                          <w:szCs w:val="24"/>
                          <w:lang w:val="en-US" w:eastAsia="zh-CN"/>
                        </w:rPr>
                        <w:t>/反</w:t>
                      </w:r>
                      <w:r>
                        <w:rPr>
                          <w:rFonts w:hint="eastAsia" w:ascii="仿宋" w:hAnsi="仿宋" w:eastAsia="仿宋" w:cs="仿宋"/>
                          <w:b/>
                          <w:bCs/>
                          <w:sz w:val="24"/>
                          <w:szCs w:val="24"/>
                        </w:rPr>
                        <w:t>面）</w:t>
                      </w:r>
                    </w:p>
                  </w:txbxContent>
                </v:textbox>
              </v:rect>
            </w:pict>
          </mc:Fallback>
        </mc:AlternateContent>
      </w:r>
    </w:p>
    <w:p w14:paraId="6231382F">
      <w:pPr>
        <w:pStyle w:val="7"/>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14:paraId="7090B40A">
      <w:pPr>
        <w:pStyle w:val="7"/>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14:paraId="2E0BE4D6">
      <w:pPr>
        <w:pStyle w:val="7"/>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14:paraId="36B86DE4">
      <w:pPr>
        <w:pStyle w:val="7"/>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14:paraId="481CDF26">
      <w:pPr>
        <w:pStyle w:val="7"/>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14:paraId="464D3BB1">
      <w:pPr>
        <w:pStyle w:val="7"/>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14:paraId="324BE0A0">
      <w:pPr>
        <w:pStyle w:val="7"/>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14:paraId="35047218">
      <w:pPr>
        <w:pStyle w:val="7"/>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被授权代表（</w:t>
      </w:r>
      <w:r>
        <w:rPr>
          <w:rFonts w:hint="eastAsia" w:ascii="仿宋" w:hAnsi="仿宋" w:eastAsia="仿宋" w:cs="仿宋"/>
          <w:color w:val="auto"/>
          <w:sz w:val="24"/>
          <w:lang w:eastAsia="zh-CN"/>
        </w:rPr>
        <w:t>签字或盖章</w:t>
      </w:r>
      <w:r>
        <w:rPr>
          <w:rFonts w:hint="eastAsia" w:ascii="仿宋" w:hAnsi="仿宋" w:eastAsia="仿宋" w:cs="仿宋"/>
          <w:color w:val="auto"/>
          <w:sz w:val="24"/>
        </w:rPr>
        <w:t>）：</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投标人法定代表人（</w:t>
      </w:r>
      <w:r>
        <w:rPr>
          <w:rFonts w:hint="eastAsia" w:ascii="仿宋" w:hAnsi="仿宋" w:eastAsia="仿宋" w:cs="仿宋"/>
          <w:color w:val="auto"/>
          <w:sz w:val="24"/>
          <w:lang w:eastAsia="zh-CN"/>
        </w:rPr>
        <w:t>签字或盖章</w:t>
      </w:r>
      <w:r>
        <w:rPr>
          <w:rFonts w:hint="eastAsia" w:ascii="仿宋" w:hAnsi="仿宋" w:eastAsia="仿宋" w:cs="仿宋"/>
          <w:color w:val="auto"/>
          <w:sz w:val="24"/>
        </w:rPr>
        <w:t>）：</w:t>
      </w:r>
    </w:p>
    <w:p w14:paraId="39BC3323">
      <w:pPr>
        <w:pStyle w:val="7"/>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职</w:t>
      </w:r>
      <w:r>
        <w:rPr>
          <w:rFonts w:hint="eastAsia" w:ascii="仿宋" w:hAnsi="仿宋" w:eastAsia="仿宋" w:cs="仿宋"/>
          <w:color w:val="auto"/>
          <w:sz w:val="24"/>
        </w:rPr>
        <w:tab/>
      </w:r>
      <w:r>
        <w:rPr>
          <w:rFonts w:hint="eastAsia" w:ascii="仿宋" w:hAnsi="仿宋" w:eastAsia="仿宋" w:cs="仿宋"/>
          <w:color w:val="auto"/>
          <w:sz w:val="24"/>
        </w:rPr>
        <w:t>务：</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职</w:t>
      </w:r>
      <w:r>
        <w:rPr>
          <w:rFonts w:hint="eastAsia" w:ascii="仿宋" w:hAnsi="仿宋" w:eastAsia="仿宋" w:cs="仿宋"/>
          <w:color w:val="auto"/>
          <w:sz w:val="24"/>
        </w:rPr>
        <w:tab/>
      </w:r>
      <w:r>
        <w:rPr>
          <w:rFonts w:hint="eastAsia" w:ascii="仿宋" w:hAnsi="仿宋" w:eastAsia="仿宋" w:cs="仿宋"/>
          <w:color w:val="auto"/>
          <w:sz w:val="24"/>
        </w:rPr>
        <w:t>务：</w:t>
      </w:r>
    </w:p>
    <w:p w14:paraId="4CF3C056">
      <w:pPr>
        <w:pStyle w:val="7"/>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电</w:t>
      </w:r>
      <w:r>
        <w:rPr>
          <w:rFonts w:hint="eastAsia" w:ascii="仿宋" w:hAnsi="仿宋" w:eastAsia="仿宋" w:cs="仿宋"/>
          <w:color w:val="auto"/>
          <w:sz w:val="24"/>
        </w:rPr>
        <w:tab/>
      </w:r>
      <w:r>
        <w:rPr>
          <w:rFonts w:hint="eastAsia" w:ascii="仿宋" w:hAnsi="仿宋" w:eastAsia="仿宋" w:cs="仿宋"/>
          <w:color w:val="auto"/>
          <w:sz w:val="24"/>
        </w:rPr>
        <w:t>话：</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电</w:t>
      </w:r>
      <w:r>
        <w:rPr>
          <w:rFonts w:hint="eastAsia" w:ascii="仿宋" w:hAnsi="仿宋" w:eastAsia="仿宋" w:cs="仿宋"/>
          <w:color w:val="auto"/>
          <w:sz w:val="24"/>
        </w:rPr>
        <w:tab/>
      </w:r>
      <w:r>
        <w:rPr>
          <w:rFonts w:hint="eastAsia" w:ascii="仿宋" w:hAnsi="仿宋" w:eastAsia="仿宋" w:cs="仿宋"/>
          <w:color w:val="auto"/>
          <w:sz w:val="24"/>
        </w:rPr>
        <w:t>话：</w:t>
      </w:r>
    </w:p>
    <w:p w14:paraId="7D77E994">
      <w:pPr>
        <w:pStyle w:val="7"/>
        <w:numPr>
          <w:ilvl w:val="0"/>
          <w:numId w:val="0"/>
        </w:numPr>
        <w:tabs>
          <w:tab w:val="clear" w:pos="780"/>
        </w:tabs>
        <w:kinsoku w:val="0"/>
        <w:overflowPunct w:val="0"/>
        <w:adjustRightInd w:val="0"/>
        <w:snapToGrid w:val="0"/>
        <w:spacing w:line="360" w:lineRule="auto"/>
        <w:ind w:left="709" w:leftChars="0" w:right="238" w:rightChars="0"/>
        <w:rPr>
          <w:rFonts w:hint="eastAsia" w:ascii="仿宋" w:hAnsi="仿宋" w:eastAsia="仿宋" w:cs="仿宋"/>
          <w:color w:val="auto"/>
          <w:sz w:val="24"/>
        </w:rPr>
      </w:pPr>
      <w:r>
        <w:rPr>
          <w:rFonts w:hint="eastAsia" w:ascii="仿宋" w:hAnsi="仿宋" w:eastAsia="仿宋" w:cs="仿宋"/>
          <w:color w:val="auto"/>
          <w:sz w:val="24"/>
        </w:rPr>
        <w:t>投标人：</w:t>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rPr>
        <w:t>（盖章）</w:t>
      </w:r>
    </w:p>
    <w:p w14:paraId="58EA2449">
      <w:pPr>
        <w:pStyle w:val="7"/>
        <w:numPr>
          <w:ilvl w:val="0"/>
          <w:numId w:val="0"/>
        </w:numPr>
        <w:tabs>
          <w:tab w:val="clear" w:pos="780"/>
        </w:tabs>
        <w:kinsoku w:val="0"/>
        <w:overflowPunct w:val="0"/>
        <w:adjustRightInd w:val="0"/>
        <w:snapToGrid w:val="0"/>
        <w:spacing w:line="360" w:lineRule="auto"/>
        <w:ind w:leftChars="50" w:right="238" w:rightChars="0" w:firstLine="2940" w:firstLineChars="1200"/>
        <w:jc w:val="both"/>
        <w:rPr>
          <w:rFonts w:hint="eastAsia" w:ascii="仿宋" w:hAnsi="仿宋" w:eastAsia="仿宋" w:cs="仿宋"/>
          <w:color w:val="auto"/>
          <w:sz w:val="24"/>
        </w:rPr>
      </w:pPr>
    </w:p>
    <w:p w14:paraId="12BBC73C">
      <w:pPr>
        <w:pStyle w:val="7"/>
        <w:numPr>
          <w:ilvl w:val="0"/>
          <w:numId w:val="0"/>
        </w:numPr>
        <w:tabs>
          <w:tab w:val="clear" w:pos="780"/>
        </w:tabs>
        <w:kinsoku w:val="0"/>
        <w:overflowPunct w:val="0"/>
        <w:adjustRightInd w:val="0"/>
        <w:snapToGrid w:val="0"/>
        <w:spacing w:line="360" w:lineRule="auto"/>
        <w:ind w:leftChars="50" w:right="238" w:rightChars="0" w:firstLine="2940" w:firstLineChars="1200"/>
        <w:jc w:val="both"/>
        <w:rPr>
          <w:rFonts w:hint="eastAsia" w:ascii="仿宋" w:hAnsi="仿宋" w:eastAsia="仿宋" w:cs="仿宋"/>
          <w:color w:val="auto"/>
          <w:sz w:val="20"/>
        </w:rPr>
      </w:pPr>
      <w:r>
        <w:rPr>
          <w:rFonts w:hint="eastAsia" w:ascii="仿宋" w:hAnsi="仿宋" w:eastAsia="仿宋" w:cs="仿宋"/>
          <w:color w:val="auto"/>
          <w:sz w:val="24"/>
        </w:rPr>
        <w:t xml:space="preserve"> 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日 </w:t>
      </w:r>
      <w:r>
        <w:rPr>
          <w:rFonts w:hint="eastAsia" w:ascii="仿宋" w:hAnsi="仿宋" w:eastAsia="仿宋" w:cs="仿宋"/>
          <w:color w:val="auto"/>
          <w:sz w:val="20"/>
        </w:rPr>
        <w:t xml:space="preserve">               </w:t>
      </w:r>
    </w:p>
    <w:p w14:paraId="2A0F5611">
      <w:pPr>
        <w:pStyle w:val="7"/>
        <w:numPr>
          <w:ilvl w:val="0"/>
          <w:numId w:val="0"/>
        </w:numPr>
        <w:tabs>
          <w:tab w:val="clear" w:pos="780"/>
        </w:tabs>
        <w:kinsoku w:val="0"/>
        <w:overflowPunct w:val="0"/>
        <w:spacing w:before="34" w:line="357" w:lineRule="auto"/>
        <w:ind w:left="480" w:right="126"/>
        <w:jc w:val="center"/>
        <w:rPr>
          <w:rFonts w:hint="eastAsia" w:ascii="仿宋" w:hAnsi="仿宋" w:eastAsia="仿宋" w:cs="仿宋"/>
          <w:b/>
          <w:bCs/>
          <w:color w:val="auto"/>
          <w:sz w:val="36"/>
          <w:szCs w:val="36"/>
        </w:rPr>
      </w:pPr>
    </w:p>
    <w:p w14:paraId="3C1FC511">
      <w:pPr>
        <w:pStyle w:val="3"/>
        <w:numPr>
          <w:ilvl w:val="0"/>
          <w:numId w:val="0"/>
        </w:numPr>
        <w:shd w:val="clear" w:color="auto" w:fill="auto"/>
        <w:spacing w:before="0" w:line="240" w:lineRule="atLeast"/>
        <w:rPr>
          <w:rFonts w:hint="eastAsia" w:ascii="仿宋" w:hAnsi="仿宋" w:eastAsia="仿宋" w:cs="仿宋"/>
          <w:b/>
          <w:bCs/>
          <w:color w:val="auto"/>
          <w:spacing w:val="0"/>
          <w:w w:val="100"/>
          <w:position w:val="0"/>
          <w:sz w:val="36"/>
          <w:szCs w:val="36"/>
          <w:shd w:val="clear" w:color="auto" w:fill="auto"/>
          <w:lang w:val="en-US" w:eastAsia="zh-CN" w:bidi="en-US"/>
        </w:rPr>
      </w:pPr>
    </w:p>
    <w:p w14:paraId="2CBC180C">
      <w:pPr>
        <w:pStyle w:val="3"/>
        <w:numPr>
          <w:ilvl w:val="0"/>
          <w:numId w:val="0"/>
        </w:numPr>
        <w:shd w:val="clear" w:color="auto" w:fill="auto"/>
        <w:spacing w:before="0" w:line="240" w:lineRule="atLeast"/>
        <w:rPr>
          <w:rFonts w:hint="eastAsia" w:ascii="仿宋" w:hAnsi="仿宋" w:eastAsia="仿宋" w:cs="仿宋"/>
          <w:b/>
          <w:bCs/>
          <w:color w:val="auto"/>
          <w:spacing w:val="0"/>
          <w:w w:val="100"/>
          <w:position w:val="0"/>
          <w:sz w:val="36"/>
          <w:szCs w:val="36"/>
          <w:shd w:val="clear" w:color="auto" w:fill="auto"/>
          <w:lang w:val="en-US" w:eastAsia="en-US" w:bidi="en-US"/>
        </w:rPr>
      </w:pPr>
      <w:r>
        <w:rPr>
          <w:rFonts w:hint="eastAsia" w:ascii="仿宋" w:hAnsi="仿宋" w:eastAsia="仿宋" w:cs="仿宋"/>
          <w:b/>
          <w:bCs/>
          <w:color w:val="auto"/>
          <w:spacing w:val="0"/>
          <w:w w:val="100"/>
          <w:position w:val="0"/>
          <w:sz w:val="36"/>
          <w:szCs w:val="36"/>
          <w:shd w:val="clear" w:color="auto" w:fill="auto"/>
          <w:lang w:val="en-US" w:eastAsia="zh-CN" w:bidi="en-US"/>
        </w:rPr>
        <w:t>4、</w:t>
      </w:r>
      <w:r>
        <w:rPr>
          <w:rFonts w:hint="eastAsia" w:ascii="仿宋" w:hAnsi="仿宋" w:eastAsia="仿宋" w:cs="仿宋"/>
          <w:b/>
          <w:bCs/>
          <w:color w:val="auto"/>
          <w:spacing w:val="0"/>
          <w:w w:val="100"/>
          <w:position w:val="0"/>
          <w:sz w:val="36"/>
          <w:szCs w:val="36"/>
          <w:shd w:val="clear" w:color="auto" w:fill="auto"/>
          <w:lang w:val="en-US" w:eastAsia="en-US" w:bidi="en-US"/>
        </w:rPr>
        <w:t>投标保证金缴纳凭证或投标担保函</w:t>
      </w:r>
    </w:p>
    <w:p w14:paraId="7FA8ADFC">
      <w:pPr>
        <w:shd w:val="clear" w:color="auto" w:fill="auto"/>
        <w:ind w:firstLine="490" w:firstLineChars="200"/>
        <w:rPr>
          <w:rFonts w:hint="eastAsia" w:ascii="仿宋" w:hAnsi="仿宋" w:eastAsia="仿宋" w:cs="仿宋"/>
          <w:color w:val="auto"/>
          <w:sz w:val="24"/>
          <w:highlight w:val="none"/>
        </w:rPr>
      </w:pPr>
    </w:p>
    <w:p w14:paraId="55FDCFCC">
      <w:pPr>
        <w:pStyle w:val="5"/>
        <w:shd w:val="clear" w:color="auto" w:fill="auto"/>
        <w:rPr>
          <w:rFonts w:hint="eastAsia" w:ascii="仿宋" w:hAnsi="仿宋" w:eastAsia="仿宋" w:cs="仿宋"/>
          <w:color w:val="auto"/>
          <w:highlight w:val="none"/>
        </w:rPr>
      </w:pPr>
    </w:p>
    <w:p w14:paraId="471680DF">
      <w:pPr>
        <w:pStyle w:val="5"/>
        <w:shd w:val="clear" w:color="auto" w:fill="auto"/>
        <w:rPr>
          <w:rFonts w:hint="eastAsia" w:ascii="仿宋" w:hAnsi="仿宋" w:eastAsia="仿宋" w:cs="仿宋"/>
          <w:color w:val="auto"/>
          <w:highlight w:val="none"/>
        </w:rPr>
      </w:pPr>
    </w:p>
    <w:p w14:paraId="463D3976">
      <w:pPr>
        <w:shd w:val="clear" w:color="auto" w:fill="auto"/>
        <w:spacing w:line="240" w:lineRule="atLeast"/>
        <w:ind w:left="1169" w:leftChars="257" w:hanging="540"/>
        <w:jc w:val="center"/>
        <w:rPr>
          <w:rFonts w:hint="eastAsia" w:ascii="仿宋" w:hAnsi="仿宋" w:eastAsia="仿宋" w:cs="仿宋"/>
          <w:color w:val="auto"/>
          <w:sz w:val="24"/>
          <w:highlight w:val="none"/>
        </w:rPr>
      </w:pPr>
    </w:p>
    <w:p w14:paraId="44C75F1D">
      <w:pPr>
        <w:shd w:val="clear" w:color="auto" w:fill="auto"/>
        <w:rPr>
          <w:rFonts w:hint="eastAsia" w:ascii="仿宋" w:hAnsi="仿宋" w:eastAsia="仿宋" w:cs="仿宋"/>
          <w:color w:val="auto"/>
          <w:sz w:val="28"/>
          <w:szCs w:val="28"/>
          <w:highlight w:val="none"/>
        </w:rPr>
      </w:pPr>
    </w:p>
    <w:tbl>
      <w:tblPr>
        <w:tblStyle w:val="21"/>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3017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14:paraId="55BD3A3E">
            <w:pPr>
              <w:shd w:val="clear" w:color="auto" w:fill="auto"/>
              <w:rPr>
                <w:rFonts w:hint="eastAsia" w:ascii="仿宋" w:hAnsi="仿宋" w:eastAsia="仿宋" w:cs="仿宋"/>
                <w:b/>
                <w:bCs/>
                <w:color w:val="auto"/>
                <w:sz w:val="30"/>
                <w:szCs w:val="30"/>
                <w:highlight w:val="none"/>
              </w:rPr>
            </w:pPr>
          </w:p>
          <w:p w14:paraId="7F837EB6">
            <w:pPr>
              <w:shd w:val="clear" w:color="auto" w:fill="auto"/>
              <w:jc w:val="center"/>
              <w:rPr>
                <w:rFonts w:hint="eastAsia" w:ascii="仿宋" w:hAnsi="仿宋" w:eastAsia="仿宋" w:cs="仿宋"/>
                <w:b/>
                <w:bCs/>
                <w:color w:val="auto"/>
                <w:sz w:val="30"/>
                <w:szCs w:val="30"/>
                <w:highlight w:val="none"/>
                <w:lang w:eastAsia="zh-CN"/>
              </w:rPr>
            </w:pPr>
          </w:p>
          <w:p w14:paraId="0E28DEB3">
            <w:pPr>
              <w:shd w:val="clear" w:color="auto" w:fill="auto"/>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打款凭证</w:t>
            </w:r>
          </w:p>
        </w:tc>
      </w:tr>
    </w:tbl>
    <w:p w14:paraId="3F5EDC6C">
      <w:pPr>
        <w:pStyle w:val="5"/>
        <w:shd w:val="clear" w:color="auto" w:fill="auto"/>
        <w:rPr>
          <w:rFonts w:hint="eastAsia" w:ascii="仿宋" w:hAnsi="仿宋" w:eastAsia="仿宋" w:cs="仿宋"/>
          <w:color w:val="auto"/>
          <w:highlight w:val="none"/>
        </w:rPr>
      </w:pPr>
    </w:p>
    <w:p w14:paraId="6984B740">
      <w:pPr>
        <w:pStyle w:val="5"/>
        <w:shd w:val="clear" w:color="auto" w:fill="auto"/>
        <w:rPr>
          <w:rFonts w:hint="eastAsia" w:ascii="仿宋" w:hAnsi="仿宋" w:eastAsia="仿宋" w:cs="仿宋"/>
          <w:color w:val="auto"/>
          <w:highlight w:val="none"/>
        </w:rPr>
      </w:pPr>
    </w:p>
    <w:p w14:paraId="2419490B">
      <w:pPr>
        <w:pStyle w:val="5"/>
        <w:shd w:val="clear" w:color="auto" w:fill="auto"/>
        <w:rPr>
          <w:rFonts w:hint="eastAsia" w:ascii="仿宋" w:hAnsi="仿宋" w:eastAsia="仿宋" w:cs="仿宋"/>
          <w:color w:val="auto"/>
          <w:highlight w:val="none"/>
        </w:rPr>
      </w:pPr>
    </w:p>
    <w:p w14:paraId="3B1432A6">
      <w:pPr>
        <w:pStyle w:val="5"/>
        <w:shd w:val="clear" w:color="auto" w:fill="auto"/>
        <w:rPr>
          <w:rFonts w:hint="eastAsia" w:ascii="仿宋" w:hAnsi="仿宋" w:eastAsia="仿宋" w:cs="仿宋"/>
          <w:color w:val="auto"/>
          <w:highlight w:val="none"/>
        </w:rPr>
      </w:pPr>
    </w:p>
    <w:p w14:paraId="5B56E422">
      <w:pPr>
        <w:pStyle w:val="5"/>
        <w:shd w:val="clear" w:color="auto" w:fill="auto"/>
        <w:rPr>
          <w:rFonts w:hint="eastAsia" w:ascii="仿宋" w:hAnsi="仿宋" w:eastAsia="仿宋" w:cs="仿宋"/>
          <w:color w:val="auto"/>
          <w:highlight w:val="none"/>
        </w:rPr>
      </w:pPr>
    </w:p>
    <w:p w14:paraId="397C70DF">
      <w:pPr>
        <w:pStyle w:val="5"/>
        <w:shd w:val="clear" w:color="auto" w:fill="auto"/>
        <w:rPr>
          <w:rFonts w:hint="eastAsia" w:ascii="仿宋" w:hAnsi="仿宋" w:eastAsia="仿宋" w:cs="仿宋"/>
          <w:color w:val="auto"/>
          <w:highlight w:val="none"/>
        </w:rPr>
      </w:pPr>
    </w:p>
    <w:p w14:paraId="4ECB1CE3">
      <w:pPr>
        <w:rPr>
          <w:rFonts w:hint="eastAsia" w:ascii="仿宋" w:hAnsi="仿宋" w:eastAsia="仿宋" w:cs="仿宋"/>
          <w:color w:val="auto"/>
        </w:rPr>
      </w:pPr>
    </w:p>
    <w:p w14:paraId="73AEAC19">
      <w:pPr>
        <w:pStyle w:val="4"/>
        <w:rPr>
          <w:rFonts w:hint="eastAsia" w:ascii="仿宋" w:hAnsi="仿宋" w:eastAsia="仿宋" w:cs="仿宋"/>
          <w:color w:val="auto"/>
        </w:rPr>
      </w:pPr>
    </w:p>
    <w:p w14:paraId="245B7C49">
      <w:pPr>
        <w:rPr>
          <w:rFonts w:hint="eastAsia" w:ascii="仿宋" w:hAnsi="仿宋" w:eastAsia="仿宋" w:cs="仿宋"/>
          <w:color w:val="auto"/>
        </w:rPr>
      </w:pPr>
    </w:p>
    <w:p w14:paraId="39841A72">
      <w:pPr>
        <w:rPr>
          <w:rFonts w:hint="eastAsia" w:ascii="仿宋" w:hAnsi="仿宋" w:eastAsia="仿宋" w:cs="仿宋"/>
          <w:color w:val="auto"/>
        </w:rPr>
      </w:pPr>
    </w:p>
    <w:p w14:paraId="17EE62B1">
      <w:pPr>
        <w:rPr>
          <w:rFonts w:hint="eastAsia" w:ascii="仿宋" w:hAnsi="仿宋" w:eastAsia="仿宋" w:cs="仿宋"/>
          <w:color w:val="auto"/>
        </w:rPr>
      </w:pPr>
    </w:p>
    <w:p w14:paraId="1F9BA983">
      <w:pPr>
        <w:shd w:val="clear" w:color="auto" w:fill="auto"/>
        <w:jc w:val="center"/>
        <w:rPr>
          <w:rFonts w:hint="eastAsia" w:ascii="仿宋" w:hAnsi="仿宋" w:eastAsia="仿宋" w:cs="仿宋"/>
          <w:color w:val="auto"/>
          <w:sz w:val="28"/>
          <w:szCs w:val="28"/>
          <w:highlight w:val="none"/>
        </w:rPr>
      </w:pPr>
    </w:p>
    <w:p w14:paraId="66AB31C6">
      <w:pPr>
        <w:shd w:val="clear" w:color="auto" w:fill="auto"/>
        <w:jc w:val="center"/>
        <w:rPr>
          <w:rFonts w:hint="eastAsia" w:ascii="仿宋" w:hAnsi="仿宋" w:eastAsia="仿宋" w:cs="仿宋"/>
          <w:color w:val="auto"/>
          <w:sz w:val="28"/>
          <w:szCs w:val="28"/>
          <w:highlight w:val="none"/>
        </w:rPr>
      </w:pPr>
    </w:p>
    <w:p w14:paraId="0CEDA6B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14:paraId="7E1ACF7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14:paraId="0519258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14:paraId="41FABE8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14:paraId="094D89D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14:paraId="7FC06A5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14:paraId="4CA4F32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14:paraId="697B6F2F">
      <w:pPr>
        <w:ind w:left="4777" w:leftChars="200" w:hanging="4287" w:hangingChars="1750"/>
        <w:rPr>
          <w:rFonts w:hint="eastAsia" w:ascii="宋体" w:hAnsi="宋体" w:eastAsia="宋体" w:cs="宋体"/>
          <w:color w:val="auto"/>
        </w:rPr>
      </w:pPr>
    </w:p>
    <w:p w14:paraId="282A32FA">
      <w:pPr>
        <w:shd w:val="clear" w:color="auto" w:fill="auto"/>
        <w:jc w:val="center"/>
        <w:rPr>
          <w:rFonts w:hint="eastAsia" w:ascii="仿宋" w:hAnsi="仿宋" w:eastAsia="仿宋" w:cs="仿宋"/>
          <w:b/>
          <w:bCs/>
          <w:color w:val="auto"/>
          <w:sz w:val="28"/>
          <w:szCs w:val="28"/>
          <w:highlight w:val="none"/>
        </w:rPr>
      </w:pPr>
      <w:bookmarkStart w:id="42" w:name="bookmark225"/>
      <w:bookmarkStart w:id="43" w:name="bookmark235"/>
      <w:bookmarkStart w:id="44" w:name="bookmark226"/>
      <w:bookmarkStart w:id="45" w:name="bookmark228"/>
      <w:bookmarkStart w:id="46" w:name="bookmark233"/>
      <w:bookmarkStart w:id="47" w:name="bookmark236"/>
      <w:bookmarkStart w:id="48" w:name="bookmark234"/>
    </w:p>
    <w:p w14:paraId="2902A556">
      <w:pPr>
        <w:shd w:val="clear" w:color="auto" w:fill="auto"/>
        <w:jc w:val="center"/>
        <w:rPr>
          <w:rFonts w:hint="eastAsia" w:ascii="仿宋" w:hAnsi="仿宋" w:eastAsia="仿宋" w:cs="仿宋"/>
          <w:b/>
          <w:bCs/>
          <w:color w:val="auto"/>
          <w:sz w:val="28"/>
          <w:szCs w:val="28"/>
          <w:highlight w:val="none"/>
        </w:rPr>
      </w:pPr>
    </w:p>
    <w:p w14:paraId="7EB58163">
      <w:pPr>
        <w:shd w:val="clear" w:color="auto" w:fill="auto"/>
        <w:jc w:val="center"/>
        <w:rPr>
          <w:rFonts w:hint="eastAsia" w:ascii="仿宋" w:hAnsi="仿宋" w:eastAsia="仿宋" w:cs="仿宋"/>
          <w:b/>
          <w:bCs/>
          <w:color w:val="auto"/>
          <w:sz w:val="28"/>
          <w:szCs w:val="28"/>
          <w:highlight w:val="none"/>
        </w:rPr>
      </w:pPr>
    </w:p>
    <w:p w14:paraId="77846051">
      <w:pPr>
        <w:shd w:val="clear" w:color="auto" w:fill="auto"/>
        <w:jc w:val="center"/>
        <w:rPr>
          <w:rFonts w:hint="eastAsia" w:ascii="仿宋" w:hAnsi="仿宋" w:eastAsia="仿宋" w:cs="仿宋"/>
          <w:b/>
          <w:bCs/>
          <w:color w:val="auto"/>
          <w:sz w:val="28"/>
          <w:szCs w:val="28"/>
          <w:highlight w:val="none"/>
        </w:rPr>
      </w:pPr>
    </w:p>
    <w:p w14:paraId="476EC1F5">
      <w:pPr>
        <w:shd w:val="clear" w:color="auto" w:fill="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政府采购投标担保函 （项目用）</w:t>
      </w:r>
    </w:p>
    <w:p w14:paraId="50EF63E3">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编号：</w:t>
      </w:r>
    </w:p>
    <w:p w14:paraId="56D6F642">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default"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（采购人或采购代理机构）：  </w:t>
      </w:r>
    </w:p>
    <w:p w14:paraId="38D2A0C2">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鉴于               （以下简称“投标人”）拟参加编号为                 的                                       </w:t>
      </w:r>
    </w:p>
    <w:p w14:paraId="0FE3AD98">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项目（以下简称“本项目”）投标，根据本项目谈判文件，供应商参加投标时应向你方交纳投标保证金，且可以投标担保函的形式交纳投标保证金。应供应商的申请，我方以保证的方式向你方提供如下投标保证金担保：</w:t>
      </w:r>
    </w:p>
    <w:p w14:paraId="21E42B75">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一、保证责任的情形及保证金额</w:t>
      </w:r>
    </w:p>
    <w:p w14:paraId="01B2FBE5">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（一）在投标人出现下列情形之一时，我方承担保证责任：</w:t>
      </w:r>
    </w:p>
    <w:p w14:paraId="79E6DAD3">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1．成交后投标人无正当理由不与采购人或者采购代理机构签订《政府采购合同》；</w:t>
      </w:r>
    </w:p>
    <w:p w14:paraId="292491DD">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2．谈判文件规定的投标人应当缴纳保证金的其他情形。</w:t>
      </w:r>
    </w:p>
    <w:p w14:paraId="182A7731">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（二）我方承担保证责任的最高金额为人民币      元（大写            ），即本项目的投标保证金金额。</w:t>
      </w:r>
    </w:p>
    <w:p w14:paraId="2E5A7785">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二、保证的方式及保证期间</w:t>
      </w:r>
    </w:p>
    <w:p w14:paraId="452C3AA5">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我方保证的方式为：连带责任保证。</w:t>
      </w:r>
    </w:p>
    <w:p w14:paraId="09E49286">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我方的保证期间为：自本保函生效之日起    个月止。</w:t>
      </w:r>
    </w:p>
    <w:p w14:paraId="4BC1C1BF">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三、承担保证责任的程序</w:t>
      </w:r>
    </w:p>
    <w:p w14:paraId="6E760C56">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1B1CE7DF">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2．我方在收到索赔通知及相关证明材料后，在　　　个工作日内进行审查，符合应承担保证责任情形的，我方应按照你方的要求代投标人向你方支付投标保证金。</w:t>
      </w:r>
    </w:p>
    <w:p w14:paraId="3BC070E8">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四、保证责任的终止</w:t>
      </w:r>
    </w:p>
    <w:p w14:paraId="4E9D2B41">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1．保证期间届满你方未向我方书面主张保证责任的，自保证期间届满次日起，我方保证责任自动终止。</w:t>
      </w:r>
    </w:p>
    <w:p w14:paraId="41E86E11">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2．我方按照本保函向你贵方履行了保证责任后，自我方向你贵方支付款项（支付款项从我方账户划出）之日起，保证责任终止。</w:t>
      </w:r>
    </w:p>
    <w:p w14:paraId="41C19A1D">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3．按照法律法规的规定或出现我方保证责任终止的其它情形的，我方在本保函项下的保证责任亦终止。</w:t>
      </w:r>
    </w:p>
    <w:p w14:paraId="10C076C4">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五、免责条款</w:t>
      </w:r>
    </w:p>
    <w:p w14:paraId="1F1BB9F7">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1．依照法律规定或你方与投标人的另行约定，全部或者部分免除投标人投标保证金义务时，我方亦免除相应的保证责任。</w:t>
      </w:r>
    </w:p>
    <w:p w14:paraId="47343E41">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2．因你方原因致使投标人发生本保函第一条第（一）款约定情形的，我方不承担保证责任。</w:t>
      </w:r>
    </w:p>
    <w:p w14:paraId="68E2AA2D">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3．因不可抗力造成投标人发生本保函第一条约定情形的，我方不承担保证责任。</w:t>
      </w:r>
    </w:p>
    <w:p w14:paraId="12083B50">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4．你方或其他有权机关对谈判文件进行任何澄清或修改，加重我方保证责任的，我方对加重部分不承担保证责任，但该澄清或修改经我方事先书面同意的除外。</w:t>
      </w:r>
    </w:p>
    <w:p w14:paraId="50BCD6F0">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六、争议的解决</w:t>
      </w:r>
    </w:p>
    <w:p w14:paraId="6DFE3E5A">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因本保函发生的纠纷，由你我双方协商解决，协商不成的，通过诉讼程序解决，诉讼管辖地法院为          法院。</w:t>
      </w:r>
    </w:p>
    <w:p w14:paraId="70E04CB4">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七、保函的生效</w:t>
      </w:r>
    </w:p>
    <w:p w14:paraId="167BDAC8">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本保函自我方加盖公章之日起生效。</w:t>
      </w:r>
    </w:p>
    <w:p w14:paraId="0D5026E3">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14:paraId="495FDDAC">
      <w:pPr>
        <w:keepNext w:val="0"/>
        <w:keepLines w:val="0"/>
        <w:pageBreakBefore w:val="0"/>
        <w:widowControl w:val="0"/>
        <w:shd w:val="clear" w:color="auto" w:fill="auto"/>
        <w:tabs>
          <w:tab w:val="left" w:pos="5580"/>
          <w:tab w:val="left" w:pos="7010"/>
          <w:tab w:val="right" w:pos="9116"/>
        </w:tabs>
        <w:kinsoku/>
        <w:wordWrap/>
        <w:overflowPunct/>
        <w:topLinePunct w:val="0"/>
        <w:autoSpaceDE/>
        <w:autoSpaceDN/>
        <w:bidi w:val="0"/>
        <w:adjustRightInd/>
        <w:snapToGrid/>
        <w:spacing w:line="500" w:lineRule="atLeast"/>
        <w:jc w:val="left"/>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ab/>
      </w: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保证人：（公章）</w:t>
      </w:r>
    </w:p>
    <w:p w14:paraId="2E074CBC">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w:t>
      </w:r>
    </w:p>
    <w:p w14:paraId="6BB8D78A">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jc w:val="center"/>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sectPr>
          <w:footerReference r:id="rId4" w:type="default"/>
          <w:pgSz w:w="11905" w:h="16838"/>
          <w:pgMar w:top="1440" w:right="1080" w:bottom="1440" w:left="1080" w:header="850" w:footer="992" w:gutter="0"/>
          <w:pgNumType w:fmt="decimal" w:start="1"/>
          <w:cols w:space="0" w:num="1"/>
          <w:rtlGutter w:val="0"/>
          <w:docGrid w:type="linesAndChars" w:linePitch="332" w:charSpace="1057"/>
        </w:sect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年     月     日  </w:t>
      </w:r>
    </w:p>
    <w:p w14:paraId="480266B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566" w:firstLineChars="2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5、投标企业须提供投标人（被授权在职人员）近6个月内任意一个月有效的社保证明；</w:t>
      </w:r>
    </w:p>
    <w:p w14:paraId="57817B7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6" w:firstLineChars="200"/>
        <w:jc w:val="left"/>
        <w:textAlignment w:val="auto"/>
        <w:rPr>
          <w:rFonts w:hint="eastAsia" w:ascii="仿宋" w:hAnsi="仿宋" w:eastAsia="仿宋" w:cs="仿宋"/>
          <w:color w:val="auto"/>
          <w:lang w:val="en-US" w:eastAsia="zh-CN"/>
        </w:rPr>
      </w:pPr>
    </w:p>
    <w:p w14:paraId="402053F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6"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说明：复印件上应加盖本单位章</w:t>
      </w:r>
    </w:p>
    <w:p w14:paraId="3FFD676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auto"/>
          <w:sz w:val="32"/>
          <w:szCs w:val="32"/>
          <w:lang w:val="en-US" w:eastAsia="zh-CN"/>
        </w:rPr>
      </w:pPr>
    </w:p>
    <w:p w14:paraId="04D659A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auto"/>
          <w:sz w:val="32"/>
          <w:szCs w:val="32"/>
          <w:lang w:val="en-US" w:eastAsia="zh-CN"/>
        </w:rPr>
      </w:pPr>
    </w:p>
    <w:p w14:paraId="596E82F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auto"/>
          <w:sz w:val="32"/>
          <w:szCs w:val="32"/>
          <w:lang w:val="en-US" w:eastAsia="zh-CN"/>
        </w:rPr>
      </w:pPr>
    </w:p>
    <w:p w14:paraId="3B479ED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auto"/>
          <w:sz w:val="32"/>
          <w:szCs w:val="32"/>
          <w:lang w:val="en-US" w:eastAsia="zh-CN"/>
        </w:rPr>
      </w:pPr>
    </w:p>
    <w:p w14:paraId="57ACA79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566" w:firstLineChars="200"/>
        <w:jc w:val="left"/>
        <w:textAlignment w:val="auto"/>
        <w:rPr>
          <w:rFonts w:hint="eastAsia" w:ascii="仿宋" w:hAnsi="仿宋" w:eastAsia="仿宋" w:cs="仿宋"/>
          <w:b/>
          <w:bCs/>
          <w:color w:val="auto"/>
          <w:sz w:val="28"/>
          <w:szCs w:val="28"/>
          <w:lang w:val="en-US" w:eastAsia="zh-CN"/>
        </w:rPr>
      </w:pPr>
    </w:p>
    <w:p w14:paraId="70742F6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566" w:firstLineChars="2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6、参加政府采购活动前三年内，在经营活动中没有重大违法记录；未被“信用中国”（www.creditchina.gov.cn）、中国政府采购网（www.ccgp.gov.cn）列入失信被执行人、税收违法黑名单、政府采购严重违法失信行为记录名单；</w:t>
      </w:r>
    </w:p>
    <w:p w14:paraId="6F1C05E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auto"/>
          <w:sz w:val="32"/>
          <w:szCs w:val="32"/>
          <w:lang w:val="en-US" w:eastAsia="zh-CN"/>
        </w:rPr>
      </w:pPr>
    </w:p>
    <w:p w14:paraId="6AB023B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566" w:firstLineChars="200"/>
        <w:jc w:val="left"/>
        <w:textAlignment w:val="auto"/>
        <w:rPr>
          <w:rFonts w:hint="eastAsia" w:ascii="仿宋" w:hAnsi="仿宋" w:eastAsia="仿宋" w:cs="仿宋"/>
          <w:b/>
          <w:bCs/>
          <w:color w:val="auto"/>
          <w:sz w:val="28"/>
          <w:szCs w:val="28"/>
          <w:lang w:val="en-US" w:eastAsia="zh-CN"/>
        </w:rPr>
      </w:pPr>
    </w:p>
    <w:p w14:paraId="6D2B29D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566" w:firstLineChars="200"/>
        <w:jc w:val="left"/>
        <w:textAlignment w:val="auto"/>
        <w:rPr>
          <w:rFonts w:hint="eastAsia" w:ascii="仿宋" w:hAnsi="仿宋" w:eastAsia="仿宋" w:cs="仿宋"/>
          <w:b/>
          <w:bCs/>
          <w:color w:val="auto"/>
          <w:sz w:val="28"/>
          <w:szCs w:val="28"/>
          <w:highlight w:val="none"/>
          <w:lang w:val="en-US" w:eastAsia="zh-CN"/>
        </w:rPr>
      </w:pPr>
    </w:p>
    <w:p w14:paraId="74023E9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566" w:firstLineChars="200"/>
        <w:jc w:val="left"/>
        <w:textAlignment w:val="auto"/>
        <w:rPr>
          <w:rFonts w:hint="eastAsia" w:ascii="仿宋" w:hAnsi="仿宋" w:eastAsia="仿宋" w:cs="仿宋"/>
          <w:b/>
          <w:bCs/>
          <w:color w:val="auto"/>
          <w:sz w:val="28"/>
          <w:szCs w:val="28"/>
          <w:highlight w:val="none"/>
          <w:lang w:val="en-US" w:eastAsia="zh-CN"/>
        </w:rPr>
      </w:pPr>
    </w:p>
    <w:p w14:paraId="43C22EC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566" w:firstLineChars="200"/>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7、具有良好的商业信誉和健全的财务会计制度（由具备资质的中介机构出具2023年或2024年的财务审计报告（报告中须包括资产负债表、利润表、现金流量表及财务报表附注）复印件加盖公章或近一年内银行提供的资信证明（新公司从成立之日起算）；成立不满一年企业提供财务报表（复印件加盖公章）；</w:t>
      </w:r>
    </w:p>
    <w:p w14:paraId="67D2D601">
      <w:pPr>
        <w:pStyle w:val="11"/>
        <w:rPr>
          <w:rFonts w:hint="eastAsia" w:ascii="仿宋" w:hAnsi="仿宋" w:eastAsia="仿宋" w:cs="仿宋"/>
          <w:b/>
          <w:bCs/>
          <w:color w:val="auto"/>
          <w:sz w:val="32"/>
          <w:szCs w:val="32"/>
          <w:lang w:val="en-US" w:eastAsia="zh-CN"/>
        </w:rPr>
      </w:pPr>
    </w:p>
    <w:p w14:paraId="2D638F33">
      <w:pPr>
        <w:pStyle w:val="11"/>
        <w:rPr>
          <w:rFonts w:hint="eastAsia" w:ascii="仿宋" w:hAnsi="仿宋" w:eastAsia="仿宋" w:cs="仿宋"/>
          <w:b/>
          <w:bCs/>
          <w:color w:val="auto"/>
          <w:sz w:val="32"/>
          <w:szCs w:val="32"/>
          <w:lang w:val="en-US" w:eastAsia="zh-CN"/>
        </w:rPr>
      </w:pPr>
    </w:p>
    <w:p w14:paraId="7E3DD051">
      <w:pPr>
        <w:pStyle w:val="11"/>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8、中小企业声明函</w:t>
      </w:r>
    </w:p>
    <w:p w14:paraId="76014B04">
      <w:pPr>
        <w:pStyle w:val="11"/>
        <w:ind w:left="0" w:leftChars="0" w:firstLine="0" w:firstLineChars="0"/>
        <w:rPr>
          <w:rFonts w:hint="eastAsia" w:ascii="仿宋" w:hAnsi="仿宋" w:eastAsia="仿宋" w:cs="仿宋"/>
          <w:b/>
          <w:bCs/>
          <w:color w:val="auto"/>
          <w:sz w:val="32"/>
          <w:szCs w:val="32"/>
          <w:lang w:val="en-US" w:eastAsia="zh-CN"/>
        </w:rPr>
      </w:pPr>
    </w:p>
    <w:p w14:paraId="330B626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566" w:firstLineChars="200"/>
        <w:jc w:val="left"/>
        <w:textAlignment w:val="auto"/>
        <w:rPr>
          <w:rFonts w:hint="eastAsia" w:ascii="仿宋" w:hAnsi="仿宋" w:eastAsia="仿宋" w:cs="仿宋"/>
          <w:b/>
          <w:bCs/>
          <w:color w:val="auto"/>
          <w:sz w:val="28"/>
          <w:szCs w:val="28"/>
          <w:lang w:val="en-US" w:eastAsia="zh-CN"/>
        </w:rPr>
      </w:pPr>
    </w:p>
    <w:p w14:paraId="5BB2E70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566" w:firstLineChars="200"/>
        <w:jc w:val="left"/>
        <w:textAlignment w:val="auto"/>
        <w:rPr>
          <w:rFonts w:hint="eastAsia" w:ascii="仿宋" w:hAnsi="仿宋" w:eastAsia="仿宋" w:cs="仿宋"/>
          <w:b/>
          <w:bCs/>
          <w:color w:val="auto"/>
          <w:sz w:val="28"/>
          <w:szCs w:val="28"/>
          <w:lang w:val="en-US" w:eastAsia="zh-CN"/>
        </w:rPr>
      </w:pPr>
    </w:p>
    <w:p w14:paraId="71A2C93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566" w:firstLineChars="2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9、投标人须知资料表要求的其他资格证明文件。</w:t>
      </w:r>
    </w:p>
    <w:p w14:paraId="02F5D235">
      <w:pPr>
        <w:snapToGrid w:val="0"/>
        <w:spacing w:line="360" w:lineRule="auto"/>
        <w:rPr>
          <w:rFonts w:hint="eastAsia" w:ascii="仿宋" w:hAnsi="仿宋" w:eastAsia="仿宋" w:cs="仿宋"/>
          <w:b/>
          <w:color w:val="auto"/>
          <w:lang w:val="en-US" w:eastAsia="zh-CN"/>
        </w:rPr>
      </w:pPr>
    </w:p>
    <w:p w14:paraId="4BC4EAB6">
      <w:pPr>
        <w:snapToGrid w:val="0"/>
        <w:spacing w:line="360" w:lineRule="auto"/>
        <w:jc w:val="both"/>
        <w:rPr>
          <w:rFonts w:hint="eastAsia" w:ascii="仿宋" w:hAnsi="仿宋" w:eastAsia="仿宋" w:cs="仿宋"/>
          <w:b/>
          <w:color w:val="auto"/>
          <w:sz w:val="28"/>
          <w:szCs w:val="28"/>
          <w:lang w:val="en-US" w:eastAsia="zh-CN"/>
        </w:rPr>
      </w:pPr>
    </w:p>
    <w:p w14:paraId="5D0F7492">
      <w:pPr>
        <w:snapToGrid w:val="0"/>
        <w:spacing w:line="360" w:lineRule="auto"/>
        <w:jc w:val="center"/>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商务及技术文件</w:t>
      </w:r>
    </w:p>
    <w:p w14:paraId="2A00323D">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1、投标函</w:t>
      </w:r>
    </w:p>
    <w:p w14:paraId="231309BD">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2、开标一览表</w:t>
      </w:r>
    </w:p>
    <w:p w14:paraId="51B65C69">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default" w:ascii="仿宋" w:hAnsi="仿宋" w:eastAsia="仿宋" w:cs="仿宋"/>
          <w:b/>
          <w:color w:val="auto"/>
          <w:lang w:val="en-US" w:eastAsia="zh-CN"/>
        </w:rPr>
      </w:pPr>
      <w:r>
        <w:rPr>
          <w:rFonts w:hint="eastAsia" w:ascii="仿宋" w:hAnsi="仿宋" w:eastAsia="仿宋" w:cs="仿宋"/>
          <w:b/>
          <w:color w:val="auto"/>
          <w:lang w:val="en-US" w:eastAsia="zh-CN"/>
        </w:rPr>
        <w:t>3、货物说明一览表</w:t>
      </w:r>
    </w:p>
    <w:p w14:paraId="5D5F9290">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4、投标分项报价明细表</w:t>
      </w:r>
    </w:p>
    <w:p w14:paraId="684D1D91">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5、技术规格偏离表</w:t>
      </w:r>
    </w:p>
    <w:p w14:paraId="461283D5">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6、商务条款偏离表</w:t>
      </w:r>
    </w:p>
    <w:p w14:paraId="768C47B5">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7、投标人基本情况表</w:t>
      </w:r>
    </w:p>
    <w:p w14:paraId="1530151C">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default" w:ascii="仿宋" w:hAnsi="仿宋" w:eastAsia="仿宋" w:cs="仿宋"/>
          <w:b/>
          <w:color w:val="auto"/>
          <w:lang w:val="en-US" w:eastAsia="zh-CN"/>
        </w:rPr>
      </w:pPr>
      <w:r>
        <w:rPr>
          <w:rFonts w:hint="eastAsia" w:ascii="仿宋" w:hAnsi="仿宋" w:eastAsia="仿宋" w:cs="仿宋"/>
          <w:b/>
          <w:color w:val="auto"/>
          <w:lang w:val="en-US" w:eastAsia="zh-CN"/>
        </w:rPr>
        <w:t>8、成交服务费支付承诺书</w:t>
      </w:r>
    </w:p>
    <w:p w14:paraId="533E5F9D">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9、中小企业声明函(货物)</w:t>
      </w:r>
    </w:p>
    <w:p w14:paraId="13699DB2">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10、残疾人福利性单位声明函</w:t>
      </w:r>
    </w:p>
    <w:p w14:paraId="560F298E">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highlight w:val="none"/>
          <w:lang w:val="en-US" w:eastAsia="zh-CN"/>
        </w:rPr>
      </w:pPr>
      <w:r>
        <w:rPr>
          <w:rFonts w:hint="eastAsia" w:ascii="仿宋" w:hAnsi="仿宋" w:eastAsia="仿宋" w:cs="仿宋"/>
          <w:b/>
          <w:color w:val="auto"/>
          <w:sz w:val="24"/>
          <w:szCs w:val="24"/>
          <w:highlight w:val="none"/>
          <w:lang w:val="en-US" w:eastAsia="zh-CN"/>
        </w:rPr>
        <w:t>11、质量保证及售后服务（格式自拟）</w:t>
      </w:r>
    </w:p>
    <w:p w14:paraId="12BE4039">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sz w:val="24"/>
          <w:szCs w:val="24"/>
          <w:lang w:val="en-US" w:eastAsia="zh-CN" w:bidi="en-US"/>
        </w:rPr>
      </w:pPr>
      <w:r>
        <w:rPr>
          <w:rFonts w:hint="eastAsia" w:ascii="仿宋" w:hAnsi="仿宋" w:eastAsia="仿宋" w:cs="仿宋"/>
          <w:b/>
          <w:color w:val="auto"/>
          <w:sz w:val="24"/>
          <w:szCs w:val="24"/>
          <w:lang w:val="en-US" w:eastAsia="zh-CN" w:bidi="en-US"/>
        </w:rPr>
        <w:t>12、投标人认为有必要提供的其他证明材料</w:t>
      </w:r>
    </w:p>
    <w:p w14:paraId="5DB1FD6A">
      <w:pPr>
        <w:pStyle w:val="29"/>
        <w:rPr>
          <w:color w:val="auto"/>
        </w:rPr>
      </w:pPr>
    </w:p>
    <w:p w14:paraId="411021B9">
      <w:pPr>
        <w:pStyle w:val="7"/>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14:paraId="2516E378">
      <w:pPr>
        <w:pStyle w:val="7"/>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14:paraId="526211FF">
      <w:pPr>
        <w:pStyle w:val="7"/>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14:paraId="798B46C2">
      <w:pPr>
        <w:pStyle w:val="7"/>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14:paraId="30A6F8AD">
      <w:pPr>
        <w:pStyle w:val="7"/>
        <w:numPr>
          <w:ilvl w:val="0"/>
          <w:numId w:val="0"/>
        </w:numPr>
        <w:kinsoku w:val="0"/>
        <w:overflowPunct w:val="0"/>
        <w:spacing w:before="130" w:line="355" w:lineRule="auto"/>
        <w:ind w:right="7" w:rightChars="0" w:firstLine="2904" w:firstLineChars="800"/>
        <w:jc w:val="both"/>
        <w:rPr>
          <w:rFonts w:hint="eastAsia" w:ascii="仿宋" w:hAnsi="仿宋" w:eastAsia="仿宋" w:cs="仿宋"/>
          <w:b/>
          <w:bCs/>
          <w:color w:val="auto"/>
          <w:sz w:val="36"/>
          <w:szCs w:val="36"/>
          <w:lang w:val="en-US" w:eastAsia="zh-CN"/>
        </w:rPr>
      </w:pPr>
    </w:p>
    <w:p w14:paraId="293C402B">
      <w:pPr>
        <w:pStyle w:val="7"/>
        <w:numPr>
          <w:ilvl w:val="0"/>
          <w:numId w:val="0"/>
        </w:numPr>
        <w:kinsoku w:val="0"/>
        <w:overflowPunct w:val="0"/>
        <w:spacing w:before="130" w:line="355" w:lineRule="auto"/>
        <w:ind w:right="7" w:rightChars="0" w:firstLine="2904" w:firstLineChars="800"/>
        <w:jc w:val="both"/>
        <w:rPr>
          <w:rFonts w:hint="eastAsia" w:ascii="仿宋" w:hAnsi="仿宋" w:eastAsia="仿宋" w:cs="仿宋"/>
          <w:b/>
          <w:bCs/>
          <w:color w:val="auto"/>
          <w:sz w:val="36"/>
          <w:szCs w:val="36"/>
          <w:lang w:val="en-US" w:eastAsia="zh-CN"/>
        </w:rPr>
      </w:pPr>
    </w:p>
    <w:p w14:paraId="42DD0276">
      <w:pPr>
        <w:pStyle w:val="7"/>
        <w:numPr>
          <w:ilvl w:val="0"/>
          <w:numId w:val="0"/>
        </w:numPr>
        <w:kinsoku w:val="0"/>
        <w:overflowPunct w:val="0"/>
        <w:spacing w:before="130" w:line="355" w:lineRule="auto"/>
        <w:ind w:right="7" w:rightChars="0" w:firstLine="2904" w:firstLineChars="800"/>
        <w:jc w:val="both"/>
        <w:rPr>
          <w:rFonts w:hint="eastAsia" w:ascii="仿宋" w:hAnsi="仿宋" w:eastAsia="仿宋" w:cs="仿宋"/>
          <w:b/>
          <w:bCs/>
          <w:color w:val="auto"/>
          <w:sz w:val="36"/>
          <w:szCs w:val="36"/>
          <w:lang w:val="en-US" w:eastAsia="zh-CN"/>
        </w:rPr>
      </w:pPr>
    </w:p>
    <w:p w14:paraId="3ADD8AEA">
      <w:pPr>
        <w:pStyle w:val="7"/>
        <w:numPr>
          <w:ilvl w:val="0"/>
          <w:numId w:val="0"/>
        </w:numPr>
        <w:kinsoku w:val="0"/>
        <w:overflowPunct w:val="0"/>
        <w:spacing w:before="130" w:line="355" w:lineRule="auto"/>
        <w:ind w:right="7" w:rightChars="0" w:firstLine="2904" w:firstLineChars="800"/>
        <w:jc w:val="both"/>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1</w:t>
      </w:r>
      <w:r>
        <w:rPr>
          <w:rFonts w:hint="eastAsia" w:ascii="仿宋" w:hAnsi="仿宋" w:eastAsia="仿宋" w:cs="仿宋"/>
          <w:b/>
          <w:bCs/>
          <w:color w:val="auto"/>
          <w:sz w:val="36"/>
          <w:szCs w:val="36"/>
        </w:rPr>
        <w:t>、投标函</w:t>
      </w:r>
    </w:p>
    <w:p w14:paraId="080688EC">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u w:val="single"/>
        </w:rPr>
      </w:pPr>
      <w:r>
        <w:rPr>
          <w:rFonts w:hint="eastAsia" w:ascii="仿宋" w:hAnsi="仿宋" w:eastAsia="仿宋" w:cs="仿宋"/>
          <w:color w:val="auto"/>
          <w:kern w:val="0"/>
          <w:sz w:val="24"/>
        </w:rPr>
        <w:t>致：</w:t>
      </w:r>
      <w:r>
        <w:rPr>
          <w:rFonts w:hint="eastAsia" w:ascii="仿宋" w:hAnsi="仿宋" w:eastAsia="仿宋" w:cs="仿宋"/>
          <w:color w:val="auto"/>
          <w:kern w:val="0"/>
          <w:sz w:val="24"/>
          <w:u w:val="single"/>
        </w:rPr>
        <w:t xml:space="preserve">                     </w:t>
      </w:r>
    </w:p>
    <w:p w14:paraId="45EE9989">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为响应你方组织的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项目的招标[项目编号为：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]，我方愿参与投标。</w:t>
      </w:r>
    </w:p>
    <w:p w14:paraId="6A5EFF92">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我方确认收到贵方提供的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none"/>
          <w:lang w:eastAsia="zh-CN"/>
        </w:rPr>
        <w:t>谈判文件</w:t>
      </w:r>
      <w:r>
        <w:rPr>
          <w:rFonts w:hint="eastAsia" w:ascii="仿宋" w:hAnsi="仿宋" w:eastAsia="仿宋" w:cs="仿宋"/>
          <w:color w:val="auto"/>
          <w:kern w:val="0"/>
          <w:sz w:val="24"/>
        </w:rPr>
        <w:t>的全部内容。</w:t>
      </w:r>
    </w:p>
    <w:p w14:paraId="7104E252">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我方在参与投标前已详细研究了</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的所有内容，包括澄清、修改文件（如果有）和所有已提供的参考资料以及有关附件，我方完全明白并认为此</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没有倾向性，也不存在排斥潜在报价投标人的内容，我方同意</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的相关条款，放弃对</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提出误解和质疑的一切权力。</w:t>
      </w:r>
    </w:p>
    <w:p w14:paraId="77C68C3A">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u w:val="single"/>
        </w:rPr>
        <w:t xml:space="preserve">      (投标人名称)      </w:t>
      </w:r>
      <w:r>
        <w:rPr>
          <w:rFonts w:hint="eastAsia" w:ascii="仿宋" w:hAnsi="仿宋" w:eastAsia="仿宋" w:cs="仿宋"/>
          <w:color w:val="auto"/>
          <w:kern w:val="0"/>
          <w:sz w:val="24"/>
        </w:rPr>
        <w:t>作为投标人正式授权</w:t>
      </w:r>
      <w:r>
        <w:rPr>
          <w:rFonts w:hint="eastAsia" w:ascii="仿宋" w:hAnsi="仿宋" w:eastAsia="仿宋" w:cs="仿宋"/>
          <w:color w:val="auto"/>
          <w:kern w:val="0"/>
          <w:sz w:val="24"/>
          <w:u w:val="single"/>
        </w:rPr>
        <w:t xml:space="preserve">  (授权代表全名, 职务)  </w:t>
      </w:r>
      <w:r>
        <w:rPr>
          <w:rFonts w:hint="eastAsia" w:ascii="仿宋" w:hAnsi="仿宋" w:eastAsia="仿宋" w:cs="仿宋"/>
          <w:color w:val="auto"/>
          <w:kern w:val="0"/>
          <w:sz w:val="24"/>
        </w:rPr>
        <w:t>代表我方全权处理有关本报价的一切事宜。</w:t>
      </w:r>
    </w:p>
    <w:p w14:paraId="163FA360">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我方已完全明白</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的所有条款要求，并申明如下：</w:t>
      </w:r>
    </w:p>
    <w:p w14:paraId="480B8F11">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（一）按</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提供的全部货物与相关服务的投标总价详见《报价一览表》。</w:t>
      </w:r>
    </w:p>
    <w:p w14:paraId="6E4FB296">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（二）本</w:t>
      </w:r>
      <w:r>
        <w:rPr>
          <w:rFonts w:hint="eastAsia" w:ascii="仿宋" w:hAnsi="仿宋" w:eastAsia="仿宋" w:cs="仿宋"/>
          <w:color w:val="auto"/>
          <w:kern w:val="0"/>
          <w:sz w:val="24"/>
          <w:lang w:eastAsia="zh-CN"/>
        </w:rPr>
        <w:t>响应文件</w:t>
      </w:r>
      <w:r>
        <w:rPr>
          <w:rFonts w:hint="eastAsia" w:ascii="仿宋" w:hAnsi="仿宋" w:eastAsia="仿宋" w:cs="仿宋"/>
          <w:color w:val="auto"/>
          <w:kern w:val="0"/>
          <w:sz w:val="24"/>
        </w:rPr>
        <w:t>的有效期为投标截止时间起</w:t>
      </w:r>
      <w:r>
        <w:rPr>
          <w:rFonts w:hint="eastAsia" w:ascii="仿宋" w:hAnsi="仿宋" w:eastAsia="仿宋" w:cs="仿宋"/>
          <w:color w:val="auto"/>
          <w:kern w:val="0"/>
          <w:sz w:val="24"/>
          <w:u w:val="single"/>
          <w:lang w:val="en-US" w:eastAsia="zh-CN"/>
        </w:rPr>
        <w:t>90</w:t>
      </w:r>
      <w:r>
        <w:rPr>
          <w:rFonts w:hint="eastAsia" w:ascii="仿宋" w:hAnsi="仿宋" w:eastAsia="仿宋" w:cs="仿宋"/>
          <w:color w:val="auto"/>
          <w:kern w:val="0"/>
          <w:sz w:val="24"/>
        </w:rPr>
        <w:t>天。如</w:t>
      </w:r>
      <w:r>
        <w:rPr>
          <w:rFonts w:hint="eastAsia" w:ascii="仿宋" w:hAnsi="仿宋" w:eastAsia="仿宋" w:cs="仿宋"/>
          <w:color w:val="auto"/>
          <w:kern w:val="0"/>
          <w:sz w:val="24"/>
          <w:lang w:val="en-US" w:eastAsia="zh-CN"/>
        </w:rPr>
        <w:t>成交</w:t>
      </w:r>
      <w:r>
        <w:rPr>
          <w:rFonts w:hint="eastAsia" w:ascii="仿宋" w:hAnsi="仿宋" w:eastAsia="仿宋" w:cs="仿宋"/>
          <w:color w:val="auto"/>
          <w:kern w:val="0"/>
          <w:sz w:val="24"/>
        </w:rPr>
        <w:t>，有效期将延至合同终止日为止。在此提交的资格证明文件均至投标截止日有效，如有在投标有效期内失效的，我方承诺在</w:t>
      </w:r>
      <w:r>
        <w:rPr>
          <w:rFonts w:hint="eastAsia" w:ascii="仿宋" w:hAnsi="仿宋" w:eastAsia="仿宋" w:cs="仿宋"/>
          <w:color w:val="auto"/>
          <w:kern w:val="0"/>
          <w:sz w:val="24"/>
          <w:lang w:val="en-US" w:eastAsia="zh-CN"/>
        </w:rPr>
        <w:t>成交</w:t>
      </w:r>
      <w:r>
        <w:rPr>
          <w:rFonts w:hint="eastAsia" w:ascii="仿宋" w:hAnsi="仿宋" w:eastAsia="仿宋" w:cs="仿宋"/>
          <w:color w:val="auto"/>
          <w:kern w:val="0"/>
          <w:sz w:val="24"/>
        </w:rPr>
        <w:t>后补齐一切手续，保证所有资格证明文件能在签订采购合同时直至采购合同终止日有效。</w:t>
      </w:r>
    </w:p>
    <w:p w14:paraId="0E56FF1D">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（三）我方同意按照贵方可能提出的要求而提供与投标有关的任何其它数据、信息或资料。</w:t>
      </w:r>
    </w:p>
    <w:p w14:paraId="691C564D">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四</w:t>
      </w:r>
      <w:r>
        <w:rPr>
          <w:rFonts w:hint="eastAsia" w:ascii="仿宋" w:hAnsi="仿宋" w:eastAsia="仿宋" w:cs="仿宋"/>
          <w:color w:val="auto"/>
          <w:kern w:val="0"/>
          <w:sz w:val="24"/>
        </w:rPr>
        <w:t>）我方如果</w:t>
      </w:r>
      <w:r>
        <w:rPr>
          <w:rFonts w:hint="eastAsia" w:ascii="仿宋" w:hAnsi="仿宋" w:eastAsia="仿宋" w:cs="仿宋"/>
          <w:color w:val="auto"/>
          <w:kern w:val="0"/>
          <w:sz w:val="24"/>
          <w:lang w:val="en-US" w:eastAsia="zh-CN"/>
        </w:rPr>
        <w:t>成交</w:t>
      </w:r>
      <w:r>
        <w:rPr>
          <w:rFonts w:hint="eastAsia" w:ascii="仿宋" w:hAnsi="仿宋" w:eastAsia="仿宋" w:cs="仿宋"/>
          <w:color w:val="auto"/>
          <w:kern w:val="0"/>
          <w:sz w:val="24"/>
        </w:rPr>
        <w:t>，将保证履行</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及其澄清、修改文件（如果有）中的全部责任和义务，按质、按量、按期完成《招标内容》及《合同书》中的全部任务。</w:t>
      </w:r>
    </w:p>
    <w:p w14:paraId="6B173575">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五</w:t>
      </w:r>
      <w:r>
        <w:rPr>
          <w:rFonts w:hint="eastAsia" w:ascii="仿宋" w:hAnsi="仿宋" w:eastAsia="仿宋" w:cs="仿宋"/>
          <w:color w:val="auto"/>
          <w:kern w:val="0"/>
          <w:sz w:val="24"/>
        </w:rPr>
        <w:t>）如我方被授予合同，我方承诺支付就本次招标应支付或将支付的</w:t>
      </w:r>
      <w:r>
        <w:rPr>
          <w:rFonts w:hint="eastAsia" w:ascii="仿宋" w:hAnsi="仿宋" w:eastAsia="仿宋" w:cs="仿宋"/>
          <w:color w:val="auto"/>
          <w:kern w:val="0"/>
          <w:sz w:val="24"/>
          <w:lang w:val="en-US" w:eastAsia="zh-CN"/>
        </w:rPr>
        <w:t>成交</w:t>
      </w:r>
      <w:r>
        <w:rPr>
          <w:rFonts w:hint="eastAsia" w:ascii="仿宋" w:hAnsi="仿宋" w:eastAsia="仿宋" w:cs="仿宋"/>
          <w:color w:val="auto"/>
          <w:kern w:val="0"/>
          <w:sz w:val="24"/>
        </w:rPr>
        <w:t>服务费（详见按</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要求格式填写的《</w:t>
      </w:r>
      <w:r>
        <w:rPr>
          <w:rFonts w:hint="eastAsia" w:ascii="仿宋" w:hAnsi="仿宋" w:eastAsia="仿宋" w:cs="仿宋"/>
          <w:color w:val="auto"/>
          <w:kern w:val="0"/>
          <w:sz w:val="24"/>
          <w:lang w:val="en-US" w:eastAsia="zh-CN"/>
        </w:rPr>
        <w:t>成交</w:t>
      </w:r>
      <w:r>
        <w:rPr>
          <w:rFonts w:hint="eastAsia" w:ascii="仿宋" w:hAnsi="仿宋" w:eastAsia="仿宋" w:cs="仿宋"/>
          <w:color w:val="auto"/>
          <w:kern w:val="0"/>
          <w:sz w:val="24"/>
        </w:rPr>
        <w:t>服务费支付承诺书》）。</w:t>
      </w:r>
    </w:p>
    <w:p w14:paraId="371905EA">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六</w:t>
      </w:r>
      <w:r>
        <w:rPr>
          <w:rFonts w:hint="eastAsia" w:ascii="仿宋" w:hAnsi="仿宋" w:eastAsia="仿宋" w:cs="仿宋"/>
          <w:color w:val="auto"/>
          <w:kern w:val="0"/>
          <w:sz w:val="24"/>
        </w:rPr>
        <w:t>）我方作为在法律、财务和运作上独立于采购人、招标代理机构的投标人，在此保证所提交的所有文件和全部说明是真实的和正确的。</w:t>
      </w:r>
    </w:p>
    <w:p w14:paraId="4E0A51F4">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七</w:t>
      </w:r>
      <w:r>
        <w:rPr>
          <w:rFonts w:hint="eastAsia" w:ascii="仿宋" w:hAnsi="仿宋" w:eastAsia="仿宋" w:cs="仿宋"/>
          <w:color w:val="auto"/>
          <w:kern w:val="0"/>
          <w:sz w:val="24"/>
        </w:rPr>
        <w:t>）我方投标报价已包含应向知识产权所有权人支付的所有相关税费，并保证采购人在中国使用我方提供的货物时，如有第三方提出侵犯其知识产权主张的，责任由我方承担。</w:t>
      </w:r>
    </w:p>
    <w:p w14:paraId="29BB7D52">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八</w:t>
      </w:r>
      <w:r>
        <w:rPr>
          <w:rFonts w:hint="eastAsia" w:ascii="仿宋" w:hAnsi="仿宋" w:eastAsia="仿宋" w:cs="仿宋"/>
          <w:color w:val="auto"/>
          <w:kern w:val="0"/>
          <w:sz w:val="24"/>
        </w:rPr>
        <w:t>）我方与其他投标人不存在单位负责人为同一人或者存在直接控股、管理关系。</w:t>
      </w:r>
    </w:p>
    <w:p w14:paraId="138786CF">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九</w:t>
      </w:r>
      <w:r>
        <w:rPr>
          <w:rFonts w:hint="eastAsia" w:ascii="仿宋" w:hAnsi="仿宋" w:eastAsia="仿宋" w:cs="仿宋"/>
          <w:color w:val="auto"/>
          <w:kern w:val="0"/>
          <w:sz w:val="24"/>
        </w:rPr>
        <w:t>）我方承诺未为本项目提供整体设计、规范编制或者项目管理、监理、检测等服务。</w:t>
      </w:r>
    </w:p>
    <w:p w14:paraId="109FEE78">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（十）我方具备《政府采购法》第二十二条规定的条件，承诺如下：</w:t>
      </w:r>
    </w:p>
    <w:p w14:paraId="543DBA0E">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（1）我方已依法缴纳了各项税费及社会保险费用，如有需要，可随时向采购人提供近三个月内的相关缴费证明，以便核查。</w:t>
      </w:r>
    </w:p>
    <w:p w14:paraId="567765C4">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（2）我方已依法建立健全的财务会计制度，如有需要，可随时向采购人提供相关的证明材料，以便核查。</w:t>
      </w:r>
    </w:p>
    <w:p w14:paraId="30716FAB">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（3）我方参加本项目政府采购活动前3年内在经营活动中没有重大违法记录。</w:t>
      </w:r>
    </w:p>
    <w:p w14:paraId="3439713F">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（4）我方具备履行合同所必需的设备和专业技术能力。</w:t>
      </w:r>
    </w:p>
    <w:p w14:paraId="14B0AB79">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（5）我方符合法律、行政法规规定的其他条件。</w:t>
      </w:r>
    </w:p>
    <w:p w14:paraId="76603B2F">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以上内容如有虚假或与事实不符的，评审委员会可将我方做无效投标处理，我方愿意承担相应的法律责任。</w:t>
      </w:r>
    </w:p>
    <w:p w14:paraId="649A6A09">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（十三）我方对在本函及</w:t>
      </w:r>
      <w:r>
        <w:rPr>
          <w:rFonts w:hint="eastAsia" w:ascii="仿宋" w:hAnsi="仿宋" w:eastAsia="仿宋" w:cs="仿宋"/>
          <w:color w:val="auto"/>
          <w:kern w:val="0"/>
          <w:sz w:val="24"/>
          <w:lang w:eastAsia="zh-CN"/>
        </w:rPr>
        <w:t>响应文件</w:t>
      </w:r>
      <w:r>
        <w:rPr>
          <w:rFonts w:hint="eastAsia" w:ascii="仿宋" w:hAnsi="仿宋" w:eastAsia="仿宋" w:cs="仿宋"/>
          <w:color w:val="auto"/>
          <w:kern w:val="0"/>
          <w:sz w:val="24"/>
        </w:rPr>
        <w:t>中所作的所有承诺承担法律责任。</w:t>
      </w:r>
    </w:p>
    <w:p w14:paraId="4DF9A043">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（十四）所有与本招标有关的函件请发往下列地址：</w:t>
      </w:r>
    </w:p>
    <w:p w14:paraId="5DD741AB">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地    址：</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.邮政编码：</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14:paraId="231BF03B">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电    话：</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14:paraId="657F4659">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传    真：</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14:paraId="0844F32E">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代表姓名：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.职    务：</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14:paraId="389A3FDA">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投标人：</w:t>
      </w:r>
      <w:r>
        <w:rPr>
          <w:rFonts w:hint="eastAsia" w:ascii="仿宋" w:hAnsi="仿宋" w:eastAsia="仿宋" w:cs="仿宋"/>
          <w:color w:val="auto"/>
          <w:kern w:val="0"/>
          <w:sz w:val="24"/>
          <w:u w:val="single"/>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（公章） </w:t>
      </w:r>
    </w:p>
    <w:p w14:paraId="357FCD3E">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法定代表人或委托人：</w:t>
      </w:r>
      <w:r>
        <w:rPr>
          <w:rFonts w:hint="eastAsia" w:ascii="仿宋" w:hAnsi="仿宋" w:eastAsia="仿宋" w:cs="仿宋"/>
          <w:color w:val="auto"/>
          <w:kern w:val="0"/>
          <w:sz w:val="24"/>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签字或盖章</w:t>
      </w:r>
      <w:r>
        <w:rPr>
          <w:rFonts w:hint="eastAsia" w:ascii="仿宋" w:hAnsi="仿宋" w:eastAsia="仿宋" w:cs="仿宋"/>
          <w:color w:val="auto"/>
          <w:kern w:val="0"/>
          <w:sz w:val="24"/>
        </w:rPr>
        <w:t xml:space="preserve">）  </w:t>
      </w:r>
    </w:p>
    <w:p w14:paraId="5F8F9576">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single"/>
        </w:rPr>
        <w:tab/>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14:paraId="5A06026D">
      <w:pPr>
        <w:pStyle w:val="29"/>
        <w:rPr>
          <w:rFonts w:hint="eastAsia" w:ascii="仿宋" w:hAnsi="仿宋" w:eastAsia="仿宋" w:cs="仿宋"/>
          <w:color w:val="auto"/>
          <w:sz w:val="24"/>
          <w:highlight w:val="none"/>
        </w:rPr>
      </w:pPr>
      <w:r>
        <w:rPr>
          <w:rFonts w:hint="eastAsia" w:ascii="仿宋" w:hAnsi="仿宋" w:eastAsia="仿宋" w:cs="仿宋"/>
          <w:color w:val="auto"/>
        </w:rPr>
        <w:br w:type="page"/>
      </w:r>
    </w:p>
    <w:p w14:paraId="71BAC384">
      <w:pPr>
        <w:pStyle w:val="5"/>
        <w:shd w:val="clear" w:color="auto" w:fill="auto"/>
        <w:tabs>
          <w:tab w:val="left" w:pos="5580"/>
        </w:tabs>
        <w:spacing w:line="240" w:lineRule="atLeast"/>
        <w:ind w:firstLine="3364" w:firstLineChars="927"/>
        <w:jc w:val="both"/>
        <w:rPr>
          <w:rFonts w:hint="eastAsia" w:ascii="仿宋" w:hAnsi="仿宋" w:eastAsia="仿宋" w:cs="仿宋"/>
          <w:color w:val="auto"/>
          <w:highlight w:val="none"/>
        </w:rPr>
      </w:pPr>
      <w:r>
        <w:rPr>
          <w:rFonts w:hint="eastAsia" w:ascii="仿宋" w:hAnsi="仿宋" w:eastAsia="仿宋" w:cs="仿宋"/>
          <w:b/>
          <w:bCs w:val="0"/>
          <w:color w:val="auto"/>
          <w:sz w:val="36"/>
          <w:szCs w:val="24"/>
          <w:highlight w:val="none"/>
          <w:lang w:val="en-US" w:eastAsia="zh-CN"/>
        </w:rPr>
        <w:t>2</w:t>
      </w:r>
      <w:r>
        <w:rPr>
          <w:rFonts w:hint="eastAsia" w:ascii="仿宋" w:hAnsi="仿宋" w:eastAsia="仿宋" w:cs="仿宋"/>
          <w:b/>
          <w:bCs w:val="0"/>
          <w:color w:val="auto"/>
          <w:sz w:val="36"/>
          <w:szCs w:val="24"/>
          <w:highlight w:val="none"/>
          <w:lang w:eastAsia="zh-CN"/>
        </w:rPr>
        <w:t>、</w:t>
      </w:r>
      <w:r>
        <w:rPr>
          <w:rFonts w:hint="eastAsia" w:ascii="仿宋" w:hAnsi="仿宋" w:eastAsia="仿宋" w:cs="仿宋"/>
          <w:b/>
          <w:bCs w:val="0"/>
          <w:color w:val="auto"/>
          <w:sz w:val="36"/>
          <w:szCs w:val="24"/>
          <w:highlight w:val="none"/>
        </w:rPr>
        <w:t>开标一览表</w:t>
      </w:r>
      <w:r>
        <w:rPr>
          <w:rFonts w:hint="eastAsia" w:ascii="仿宋" w:hAnsi="仿宋" w:eastAsia="仿宋" w:cs="仿宋"/>
          <w:b w:val="0"/>
          <w:bCs/>
          <w:color w:val="auto"/>
          <w:sz w:val="36"/>
          <w:szCs w:val="24"/>
          <w:highlight w:val="none"/>
        </w:rPr>
        <w:cr/>
      </w:r>
    </w:p>
    <w:p w14:paraId="7CFA2456">
      <w:pPr>
        <w:shd w:val="clear" w:color="auto" w:fill="auto"/>
        <w:adjustRightInd w:val="0"/>
        <w:snapToGrid w:val="0"/>
        <w:spacing w:line="50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招标项目名称： </w:t>
      </w:r>
      <w:r>
        <w:rPr>
          <w:rFonts w:hint="eastAsia" w:ascii="仿宋" w:hAnsi="仿宋" w:eastAsia="仿宋" w:cs="仿宋"/>
          <w:color w:val="auto"/>
          <w:szCs w:val="21"/>
          <w:highlight w:val="none"/>
          <w:u w:val="single"/>
        </w:rPr>
        <w:t xml:space="preserve">                         </w:t>
      </w:r>
    </w:p>
    <w:p w14:paraId="4A3AB03A">
      <w:pPr>
        <w:shd w:val="clear" w:color="auto" w:fill="auto"/>
        <w:adjustRightInd w:val="0"/>
        <w:snapToGrid w:val="0"/>
        <w:spacing w:line="500" w:lineRule="exact"/>
        <w:rPr>
          <w:rFonts w:hint="eastAsia" w:ascii="仿宋" w:hAnsi="仿宋" w:eastAsia="仿宋" w:cs="仿宋"/>
          <w:i/>
          <w:iCs/>
          <w:color w:val="auto"/>
          <w:szCs w:val="21"/>
          <w:highlight w:val="none"/>
        </w:rPr>
      </w:pPr>
      <w:r>
        <w:rPr>
          <w:rFonts w:hint="eastAsia" w:ascii="仿宋" w:hAnsi="仿宋" w:eastAsia="仿宋" w:cs="仿宋"/>
          <w:color w:val="auto"/>
          <w:szCs w:val="21"/>
          <w:highlight w:val="none"/>
        </w:rPr>
        <w:t>招标项目编号：</w:t>
      </w:r>
      <w:r>
        <w:rPr>
          <w:rFonts w:hint="eastAsia" w:ascii="仿宋" w:hAnsi="仿宋" w:eastAsia="仿宋" w:cs="仿宋"/>
          <w:i/>
          <w:iCs/>
          <w:color w:val="auto"/>
          <w:szCs w:val="21"/>
          <w:highlight w:val="none"/>
        </w:rPr>
        <w:t xml:space="preserve"> </w:t>
      </w:r>
      <w:r>
        <w:rPr>
          <w:rFonts w:hint="eastAsia" w:ascii="仿宋" w:hAnsi="仿宋" w:eastAsia="仿宋" w:cs="仿宋"/>
          <w:color w:val="auto"/>
          <w:szCs w:val="21"/>
          <w:highlight w:val="none"/>
          <w:u w:val="single"/>
        </w:rPr>
        <w:t xml:space="preserve">                         </w:t>
      </w:r>
    </w:p>
    <w:p w14:paraId="3CB54453">
      <w:pPr>
        <w:shd w:val="clear" w:color="auto" w:fill="auto"/>
        <w:spacing w:line="5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单位：</w:t>
      </w:r>
      <w:r>
        <w:rPr>
          <w:rFonts w:hint="eastAsia" w:ascii="仿宋" w:hAnsi="仿宋" w:eastAsia="仿宋" w:cs="仿宋"/>
          <w:b/>
          <w:bCs/>
          <w:color w:val="auto"/>
          <w:szCs w:val="21"/>
          <w:highlight w:val="none"/>
          <w:lang w:val="en-US" w:eastAsia="zh-CN"/>
        </w:rPr>
        <w:t xml:space="preserve"> </w:t>
      </w:r>
      <w:r>
        <w:rPr>
          <w:rFonts w:hint="eastAsia" w:ascii="仿宋" w:hAnsi="仿宋" w:eastAsia="仿宋" w:cs="仿宋"/>
          <w:b/>
          <w:bCs/>
          <w:color w:val="auto"/>
          <w:szCs w:val="21"/>
          <w:highlight w:val="none"/>
        </w:rPr>
        <w:t>元（人民币）</w:t>
      </w:r>
    </w:p>
    <w:tbl>
      <w:tblPr>
        <w:tblStyle w:val="21"/>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14:paraId="1A43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vAlign w:val="center"/>
          </w:tcPr>
          <w:p w14:paraId="4F204CB4">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投标项目名称</w:t>
            </w:r>
          </w:p>
        </w:tc>
        <w:tc>
          <w:tcPr>
            <w:tcW w:w="6185" w:type="dxa"/>
            <w:vAlign w:val="center"/>
          </w:tcPr>
          <w:p w14:paraId="6F5ECC5D">
            <w:pPr>
              <w:shd w:val="clear" w:color="auto" w:fill="auto"/>
              <w:rPr>
                <w:rFonts w:hint="eastAsia" w:ascii="仿宋" w:hAnsi="仿宋" w:eastAsia="仿宋" w:cs="仿宋"/>
                <w:color w:val="auto"/>
                <w:szCs w:val="21"/>
                <w:highlight w:val="none"/>
              </w:rPr>
            </w:pPr>
          </w:p>
        </w:tc>
      </w:tr>
      <w:tr w14:paraId="1C7F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14:paraId="040BE7A6">
            <w:pPr>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供货</w:t>
            </w:r>
            <w:r>
              <w:rPr>
                <w:rFonts w:hint="eastAsia" w:ascii="仿宋" w:hAnsi="仿宋" w:eastAsia="仿宋" w:cs="仿宋"/>
                <w:color w:val="auto"/>
                <w:szCs w:val="21"/>
                <w:highlight w:val="none"/>
                <w:lang w:eastAsia="zh-CN"/>
              </w:rPr>
              <w:t>期</w:t>
            </w:r>
          </w:p>
        </w:tc>
        <w:tc>
          <w:tcPr>
            <w:tcW w:w="6185" w:type="dxa"/>
            <w:vAlign w:val="center"/>
          </w:tcPr>
          <w:p w14:paraId="3ECB90B3">
            <w:pPr>
              <w:shd w:val="clear" w:color="auto" w:fill="auto"/>
              <w:jc w:val="center"/>
              <w:rPr>
                <w:rFonts w:hint="eastAsia" w:ascii="仿宋" w:hAnsi="仿宋" w:eastAsia="仿宋" w:cs="仿宋"/>
                <w:color w:val="auto"/>
                <w:szCs w:val="21"/>
                <w:highlight w:val="none"/>
              </w:rPr>
            </w:pPr>
          </w:p>
        </w:tc>
      </w:tr>
      <w:tr w14:paraId="6499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14:paraId="13D64A99">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6185" w:type="dxa"/>
            <w:vAlign w:val="center"/>
          </w:tcPr>
          <w:p w14:paraId="4C11F6EB">
            <w:pPr>
              <w:shd w:val="clear" w:color="auto" w:fill="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90天</w:t>
            </w:r>
          </w:p>
        </w:tc>
      </w:tr>
      <w:tr w14:paraId="1DAD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14:paraId="64BB5534">
            <w:pPr>
              <w:shd w:val="clear" w:color="auto" w:fill="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投标</w:t>
            </w:r>
            <w:r>
              <w:rPr>
                <w:rFonts w:hint="eastAsia" w:ascii="仿宋" w:hAnsi="仿宋" w:eastAsia="仿宋" w:cs="仿宋"/>
                <w:color w:val="auto"/>
                <w:szCs w:val="21"/>
                <w:highlight w:val="none"/>
                <w:lang w:val="en-US" w:eastAsia="zh-CN"/>
              </w:rPr>
              <w:t>报价</w:t>
            </w:r>
          </w:p>
          <w:p w14:paraId="7D493851">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（人民币）</w:t>
            </w:r>
          </w:p>
        </w:tc>
        <w:tc>
          <w:tcPr>
            <w:tcW w:w="974" w:type="dxa"/>
            <w:tcBorders>
              <w:top w:val="single" w:color="auto" w:sz="4" w:space="0"/>
              <w:bottom w:val="single" w:color="auto" w:sz="4" w:space="0"/>
            </w:tcBorders>
            <w:vAlign w:val="center"/>
          </w:tcPr>
          <w:p w14:paraId="0F7218A0">
            <w:pPr>
              <w:widowControl/>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小写</w:t>
            </w:r>
          </w:p>
        </w:tc>
        <w:tc>
          <w:tcPr>
            <w:tcW w:w="6185" w:type="dxa"/>
            <w:vAlign w:val="center"/>
          </w:tcPr>
          <w:p w14:paraId="714793E0">
            <w:pPr>
              <w:shd w:val="clear" w:color="auto" w:fill="auto"/>
              <w:ind w:firstLine="1944" w:firstLineChars="800"/>
              <w:jc w:val="both"/>
              <w:rPr>
                <w:rFonts w:hint="default" w:ascii="仿宋" w:hAnsi="仿宋" w:eastAsia="仿宋" w:cs="仿宋"/>
                <w:b/>
                <w:bCs/>
                <w:color w:val="FF0000"/>
                <w:szCs w:val="21"/>
                <w:highlight w:val="none"/>
                <w:lang w:val="en-US" w:eastAsia="zh-CN"/>
              </w:rPr>
            </w:pPr>
          </w:p>
        </w:tc>
      </w:tr>
      <w:tr w14:paraId="6C33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14:paraId="7100F2ED">
            <w:pPr>
              <w:shd w:val="clear" w:color="auto" w:fill="auto"/>
              <w:jc w:val="center"/>
              <w:rPr>
                <w:rFonts w:hint="eastAsia" w:ascii="仿宋" w:hAnsi="仿宋" w:eastAsia="仿宋" w:cs="仿宋"/>
                <w:color w:val="auto"/>
                <w:szCs w:val="21"/>
                <w:highlight w:val="none"/>
              </w:rPr>
            </w:pPr>
          </w:p>
        </w:tc>
        <w:tc>
          <w:tcPr>
            <w:tcW w:w="974" w:type="dxa"/>
            <w:tcBorders>
              <w:top w:val="single" w:color="auto" w:sz="4" w:space="0"/>
              <w:bottom w:val="single" w:color="auto" w:sz="4" w:space="0"/>
            </w:tcBorders>
            <w:vAlign w:val="center"/>
          </w:tcPr>
          <w:p w14:paraId="5D5D918C">
            <w:pPr>
              <w:widowControl/>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大写</w:t>
            </w:r>
          </w:p>
        </w:tc>
        <w:tc>
          <w:tcPr>
            <w:tcW w:w="6185" w:type="dxa"/>
            <w:vAlign w:val="center"/>
          </w:tcPr>
          <w:p w14:paraId="156C1D13">
            <w:pPr>
              <w:shd w:val="clear" w:color="auto" w:fill="auto"/>
              <w:ind w:firstLine="1944" w:firstLineChars="800"/>
              <w:jc w:val="both"/>
              <w:rPr>
                <w:rFonts w:hint="eastAsia" w:ascii="仿宋" w:hAnsi="仿宋" w:eastAsia="仿宋" w:cs="仿宋"/>
                <w:b/>
                <w:bCs/>
                <w:color w:val="FF0000"/>
                <w:szCs w:val="21"/>
                <w:highlight w:val="none"/>
              </w:rPr>
            </w:pPr>
          </w:p>
        </w:tc>
      </w:tr>
    </w:tbl>
    <w:p w14:paraId="2C5F31E7">
      <w:pPr>
        <w:shd w:val="clear" w:color="auto" w:fill="auto"/>
        <w:spacing w:line="500" w:lineRule="exact"/>
        <w:ind w:firstLine="475"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填写说明：</w:t>
      </w:r>
    </w:p>
    <w:p w14:paraId="3B497E69">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1.开标时，本表中的内容与</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中的投标函、</w:t>
      </w:r>
      <w:r>
        <w:rPr>
          <w:rFonts w:hint="eastAsia" w:ascii="仿宋" w:hAnsi="仿宋" w:eastAsia="仿宋" w:cs="仿宋"/>
          <w:color w:val="auto"/>
          <w:szCs w:val="21"/>
          <w:highlight w:val="none"/>
          <w:lang w:val="en-US" w:eastAsia="zh-CN"/>
        </w:rPr>
        <w:t>货物</w:t>
      </w:r>
      <w:r>
        <w:rPr>
          <w:rFonts w:hint="eastAsia" w:ascii="仿宋" w:hAnsi="仿宋" w:eastAsia="仿宋" w:cs="仿宋"/>
          <w:color w:val="auto"/>
          <w:szCs w:val="21"/>
          <w:highlight w:val="none"/>
        </w:rPr>
        <w:t>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3684D7ED">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.投标总价为招标范围所列全部招标项目的报价总和，并应与投标报价明细表及分项价格表保持一致。</w:t>
      </w:r>
    </w:p>
    <w:p w14:paraId="3F03794D">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.必须在</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中装订。</w:t>
      </w:r>
    </w:p>
    <w:p w14:paraId="0410A50A">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.投标报价不得填报选择性报价。</w:t>
      </w:r>
    </w:p>
    <w:p w14:paraId="056D7535">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（加盖公章）     </w:t>
      </w:r>
      <w:r>
        <w:rPr>
          <w:rFonts w:hint="eastAsia" w:ascii="仿宋" w:hAnsi="仿宋" w:eastAsia="仿宋" w:cs="仿宋"/>
          <w:color w:val="auto"/>
          <w:szCs w:val="21"/>
          <w:highlight w:val="none"/>
        </w:rPr>
        <w:t xml:space="preserve">       </w:t>
      </w:r>
    </w:p>
    <w:p w14:paraId="73FD737E">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2C34CB21">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授权代表签字或盖章：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3A4DB42D">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签署日期：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月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37DF21A8">
      <w:pPr>
        <w:shd w:val="clear" w:color="auto" w:fill="auto"/>
        <w:spacing w:line="500" w:lineRule="exact"/>
        <w:ind w:firstLine="486" w:firstLineChars="200"/>
        <w:rPr>
          <w:rFonts w:hint="eastAsia" w:ascii="仿宋" w:hAnsi="仿宋" w:eastAsia="仿宋" w:cs="仿宋"/>
          <w:color w:val="auto"/>
          <w:szCs w:val="21"/>
          <w:highlight w:val="none"/>
        </w:rPr>
      </w:pPr>
    </w:p>
    <w:p w14:paraId="4A17C5A2">
      <w:pPr>
        <w:shd w:val="clear" w:color="auto" w:fill="auto"/>
        <w:spacing w:line="500" w:lineRule="exact"/>
        <w:ind w:firstLine="486" w:firstLineChars="200"/>
        <w:rPr>
          <w:rFonts w:hint="eastAsia" w:ascii="仿宋" w:hAnsi="仿宋" w:eastAsia="仿宋" w:cs="仿宋"/>
          <w:color w:val="auto"/>
          <w:szCs w:val="21"/>
          <w:highlight w:val="none"/>
          <w:lang w:val="en-US" w:eastAsia="zh-CN"/>
        </w:rPr>
      </w:pPr>
    </w:p>
    <w:p w14:paraId="5C5D9258">
      <w:pPr>
        <w:pStyle w:val="32"/>
        <w:keepNext/>
        <w:keepLines/>
        <w:spacing w:before="0" w:after="220"/>
        <w:rPr>
          <w:rFonts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val="en-US" w:eastAsia="zh-CN"/>
        </w:rPr>
        <w:tab/>
      </w:r>
      <w:r>
        <w:rPr>
          <w:rFonts w:hint="eastAsia" w:ascii="仿宋" w:hAnsi="仿宋" w:eastAsia="仿宋" w:cs="仿宋"/>
          <w:color w:val="auto"/>
          <w:highlight w:val="none"/>
          <w:lang w:val="en-US" w:eastAsia="zh-CN"/>
        </w:rPr>
        <w:t>货物说明一览表</w:t>
      </w:r>
    </w:p>
    <w:p w14:paraId="6608E60B">
      <w:pPr>
        <w:pStyle w:val="10"/>
        <w:spacing w:line="240" w:lineRule="atLeast"/>
        <w:ind w:left="1164" w:leftChars="257" w:hanging="540"/>
        <w:rPr>
          <w:rFonts w:ascii="仿宋" w:hAnsi="仿宋" w:eastAsia="仿宋" w:cs="仿宋"/>
          <w:color w:val="auto"/>
          <w:highlight w:val="none"/>
          <w:lang w:eastAsia="zh-CN"/>
        </w:rPr>
      </w:pPr>
    </w:p>
    <w:p w14:paraId="22E31B4E">
      <w:pPr>
        <w:pStyle w:val="10"/>
        <w:spacing w:line="240" w:lineRule="atLeas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项目名称:                           </w:t>
      </w:r>
    </w:p>
    <w:p w14:paraId="6F7C876D">
      <w:pPr>
        <w:pStyle w:val="10"/>
        <w:spacing w:line="240" w:lineRule="atLeas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招标编号:                       包号:                      </w:t>
      </w:r>
    </w:p>
    <w:p w14:paraId="554C6E6E">
      <w:pPr>
        <w:pStyle w:val="10"/>
        <w:spacing w:line="240" w:lineRule="atLeast"/>
        <w:ind w:left="1164" w:leftChars="257" w:hanging="540"/>
        <w:rPr>
          <w:rFonts w:ascii="仿宋" w:hAnsi="仿宋" w:eastAsia="仿宋" w:cs="仿宋"/>
          <w:color w:val="auto"/>
          <w:highlight w:val="none"/>
          <w:lang w:eastAsia="zh-CN"/>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01"/>
        <w:gridCol w:w="1225"/>
        <w:gridCol w:w="1138"/>
        <w:gridCol w:w="1275"/>
        <w:gridCol w:w="1250"/>
        <w:gridCol w:w="1690"/>
      </w:tblGrid>
      <w:tr w14:paraId="14A6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96" w:type="dxa"/>
            <w:noWrap w:val="0"/>
            <w:vAlign w:val="top"/>
          </w:tcPr>
          <w:p w14:paraId="76BA711E">
            <w:pPr>
              <w:shd w:val="clear" w:color="auto" w:fill="auto"/>
              <w:jc w:val="center"/>
              <w:rPr>
                <w:rFonts w:hint="eastAsia" w:ascii="仿宋" w:hAnsi="仿宋" w:eastAsia="仿宋" w:cs="仿宋"/>
                <w:color w:val="000000" w:themeColor="text1"/>
                <w:kern w:val="2"/>
                <w:sz w:val="24"/>
                <w:szCs w:val="20"/>
                <w:highlight w:val="none"/>
                <w:u w:val="none" w:color="000000"/>
                <w:lang w:val="en-US" w:eastAsia="zh-CN" w:bidi="ar-SA"/>
                <w14:textFill>
                  <w14:solidFill>
                    <w14:schemeClr w14:val="tx1"/>
                  </w14:solidFill>
                </w14:textFill>
              </w:rPr>
            </w:pPr>
            <w:r>
              <w:rPr>
                <w:rFonts w:hint="eastAsia" w:ascii="仿宋" w:hAnsi="仿宋" w:eastAsia="仿宋" w:cs="仿宋"/>
                <w:color w:val="000000" w:themeColor="text1"/>
                <w:kern w:val="2"/>
                <w:sz w:val="24"/>
                <w:szCs w:val="20"/>
                <w:highlight w:val="none"/>
                <w:u w:val="none" w:color="000000"/>
                <w:lang w:val="en-US" w:eastAsia="zh-CN" w:bidi="ar-SA"/>
                <w14:textFill>
                  <w14:solidFill>
                    <w14:schemeClr w14:val="tx1"/>
                  </w14:solidFill>
                </w14:textFill>
              </w:rPr>
              <w:t>序号</w:t>
            </w:r>
          </w:p>
        </w:tc>
        <w:tc>
          <w:tcPr>
            <w:tcW w:w="1601" w:type="dxa"/>
            <w:noWrap w:val="0"/>
            <w:vAlign w:val="top"/>
          </w:tcPr>
          <w:p w14:paraId="4CF1C911">
            <w:pPr>
              <w:shd w:val="clear" w:color="auto" w:fill="auto"/>
              <w:jc w:val="center"/>
              <w:rPr>
                <w:rFonts w:hint="eastAsia" w:ascii="仿宋" w:hAnsi="仿宋" w:eastAsia="仿宋" w:cs="仿宋"/>
                <w:color w:val="000000" w:themeColor="text1"/>
                <w:kern w:val="2"/>
                <w:sz w:val="24"/>
                <w:szCs w:val="20"/>
                <w:highlight w:val="none"/>
                <w:u w:val="none" w:color="000000"/>
                <w:lang w:val="en-US" w:eastAsia="zh-CN" w:bidi="ar-SA"/>
                <w14:textFill>
                  <w14:solidFill>
                    <w14:schemeClr w14:val="tx1"/>
                  </w14:solidFill>
                </w14:textFill>
              </w:rPr>
            </w:pPr>
            <w:r>
              <w:rPr>
                <w:rFonts w:hint="eastAsia" w:ascii="仿宋" w:hAnsi="仿宋" w:eastAsia="仿宋" w:cs="仿宋"/>
                <w:color w:val="000000" w:themeColor="text1"/>
                <w:kern w:val="2"/>
                <w:sz w:val="24"/>
                <w:szCs w:val="20"/>
                <w:highlight w:val="none"/>
                <w:u w:val="none" w:color="000000"/>
                <w:lang w:val="en-US" w:eastAsia="zh-CN" w:bidi="ar-SA"/>
                <w14:textFill>
                  <w14:solidFill>
                    <w14:schemeClr w14:val="tx1"/>
                  </w14:solidFill>
                </w14:textFill>
              </w:rPr>
              <w:t>货物名称</w:t>
            </w:r>
          </w:p>
        </w:tc>
        <w:tc>
          <w:tcPr>
            <w:tcW w:w="1225" w:type="dxa"/>
            <w:noWrap w:val="0"/>
            <w:vAlign w:val="top"/>
          </w:tcPr>
          <w:p w14:paraId="7A7930BB">
            <w:pPr>
              <w:shd w:val="clear" w:color="auto" w:fill="auto"/>
              <w:jc w:val="center"/>
              <w:rPr>
                <w:rFonts w:hint="eastAsia" w:ascii="仿宋" w:hAnsi="仿宋" w:eastAsia="仿宋" w:cs="仿宋"/>
                <w:color w:val="000000" w:themeColor="text1"/>
                <w:kern w:val="2"/>
                <w:sz w:val="24"/>
                <w:szCs w:val="20"/>
                <w:highlight w:val="none"/>
                <w:u w:val="none" w:color="000000"/>
                <w:lang w:val="en-US" w:eastAsia="zh-CN" w:bidi="ar-SA"/>
                <w14:textFill>
                  <w14:solidFill>
                    <w14:schemeClr w14:val="tx1"/>
                  </w14:solidFill>
                </w14:textFill>
              </w:rPr>
            </w:pPr>
            <w:r>
              <w:rPr>
                <w:rFonts w:hint="eastAsia" w:ascii="仿宋" w:hAnsi="仿宋" w:eastAsia="仿宋" w:cs="仿宋"/>
                <w:color w:val="000000" w:themeColor="text1"/>
                <w:kern w:val="2"/>
                <w:sz w:val="24"/>
                <w:szCs w:val="20"/>
                <w:highlight w:val="none"/>
                <w:u w:val="none" w:color="000000"/>
                <w:lang w:val="en-US" w:eastAsia="zh-CN" w:bidi="ar-SA"/>
                <w14:textFill>
                  <w14:solidFill>
                    <w14:schemeClr w14:val="tx1"/>
                  </w14:solidFill>
                </w14:textFill>
              </w:rPr>
              <w:t>主要规格</w:t>
            </w:r>
          </w:p>
        </w:tc>
        <w:tc>
          <w:tcPr>
            <w:tcW w:w="1138" w:type="dxa"/>
            <w:noWrap w:val="0"/>
            <w:vAlign w:val="top"/>
          </w:tcPr>
          <w:p w14:paraId="60469277">
            <w:pPr>
              <w:shd w:val="clear" w:color="auto" w:fill="auto"/>
              <w:jc w:val="center"/>
              <w:rPr>
                <w:rFonts w:hint="eastAsia" w:ascii="仿宋" w:hAnsi="仿宋" w:eastAsia="仿宋" w:cs="仿宋"/>
                <w:color w:val="000000" w:themeColor="text1"/>
                <w:kern w:val="2"/>
                <w:sz w:val="24"/>
                <w:szCs w:val="20"/>
                <w:highlight w:val="none"/>
                <w:u w:val="none" w:color="000000"/>
                <w:lang w:val="en-US" w:eastAsia="zh-CN" w:bidi="ar-SA"/>
                <w14:textFill>
                  <w14:solidFill>
                    <w14:schemeClr w14:val="tx1"/>
                  </w14:solidFill>
                </w14:textFill>
              </w:rPr>
            </w:pPr>
            <w:r>
              <w:rPr>
                <w:rFonts w:hint="eastAsia" w:ascii="仿宋" w:hAnsi="仿宋" w:eastAsia="仿宋" w:cs="仿宋"/>
                <w:color w:val="000000" w:themeColor="text1"/>
                <w:kern w:val="2"/>
                <w:sz w:val="24"/>
                <w:szCs w:val="20"/>
                <w:highlight w:val="none"/>
                <w:u w:val="none" w:color="000000"/>
                <w:lang w:val="en-US" w:eastAsia="zh-CN" w:bidi="ar-SA"/>
                <w14:textFill>
                  <w14:solidFill>
                    <w14:schemeClr w14:val="tx1"/>
                  </w14:solidFill>
                </w14:textFill>
              </w:rPr>
              <w:t>数量</w:t>
            </w:r>
          </w:p>
        </w:tc>
        <w:tc>
          <w:tcPr>
            <w:tcW w:w="1275" w:type="dxa"/>
            <w:noWrap w:val="0"/>
            <w:vAlign w:val="top"/>
          </w:tcPr>
          <w:p w14:paraId="2523D406">
            <w:pPr>
              <w:shd w:val="clear" w:color="auto" w:fill="auto"/>
              <w:jc w:val="center"/>
              <w:rPr>
                <w:rFonts w:hint="eastAsia" w:ascii="仿宋" w:hAnsi="仿宋" w:eastAsia="仿宋" w:cs="仿宋"/>
                <w:color w:val="000000" w:themeColor="text1"/>
                <w:kern w:val="2"/>
                <w:sz w:val="24"/>
                <w:szCs w:val="20"/>
                <w:highlight w:val="none"/>
                <w:u w:val="none" w:color="000000"/>
                <w:lang w:val="en-US" w:eastAsia="zh-CN" w:bidi="ar-SA"/>
                <w14:textFill>
                  <w14:solidFill>
                    <w14:schemeClr w14:val="tx1"/>
                  </w14:solidFill>
                </w14:textFill>
              </w:rPr>
            </w:pPr>
            <w:r>
              <w:rPr>
                <w:rFonts w:hint="eastAsia" w:ascii="仿宋" w:hAnsi="仿宋" w:eastAsia="仿宋" w:cs="仿宋"/>
                <w:color w:val="000000" w:themeColor="text1"/>
                <w:kern w:val="2"/>
                <w:sz w:val="24"/>
                <w:szCs w:val="20"/>
                <w:highlight w:val="none"/>
                <w:u w:val="none" w:color="000000"/>
                <w:lang w:val="en-US" w:eastAsia="zh-CN" w:bidi="ar-SA"/>
                <w14:textFill>
                  <w14:solidFill>
                    <w14:schemeClr w14:val="tx1"/>
                  </w14:solidFill>
                </w14:textFill>
              </w:rPr>
              <w:t>交货期</w:t>
            </w:r>
          </w:p>
        </w:tc>
        <w:tc>
          <w:tcPr>
            <w:tcW w:w="1250" w:type="dxa"/>
            <w:noWrap w:val="0"/>
            <w:vAlign w:val="top"/>
          </w:tcPr>
          <w:p w14:paraId="4E179B3D">
            <w:pPr>
              <w:shd w:val="clear" w:color="auto" w:fill="auto"/>
              <w:jc w:val="center"/>
              <w:rPr>
                <w:rFonts w:hint="eastAsia" w:ascii="仿宋" w:hAnsi="仿宋" w:eastAsia="仿宋" w:cs="仿宋"/>
                <w:color w:val="000000" w:themeColor="text1"/>
                <w:kern w:val="2"/>
                <w:sz w:val="24"/>
                <w:szCs w:val="20"/>
                <w:highlight w:val="none"/>
                <w:u w:val="none" w:color="000000"/>
                <w:lang w:val="en-US" w:eastAsia="zh-CN" w:bidi="ar-SA"/>
                <w14:textFill>
                  <w14:solidFill>
                    <w14:schemeClr w14:val="tx1"/>
                  </w14:solidFill>
                </w14:textFill>
              </w:rPr>
            </w:pPr>
            <w:r>
              <w:rPr>
                <w:rFonts w:hint="eastAsia" w:ascii="仿宋" w:hAnsi="仿宋" w:eastAsia="仿宋" w:cs="仿宋"/>
                <w:color w:val="000000" w:themeColor="text1"/>
                <w:kern w:val="2"/>
                <w:sz w:val="24"/>
                <w:szCs w:val="20"/>
                <w:highlight w:val="none"/>
                <w:u w:val="none" w:color="000000"/>
                <w:lang w:val="en-US" w:eastAsia="zh-CN" w:bidi="ar-SA"/>
                <w14:textFill>
                  <w14:solidFill>
                    <w14:schemeClr w14:val="tx1"/>
                  </w14:solidFill>
                </w14:textFill>
              </w:rPr>
              <w:t>交货地点</w:t>
            </w:r>
          </w:p>
        </w:tc>
        <w:tc>
          <w:tcPr>
            <w:tcW w:w="1690" w:type="dxa"/>
            <w:noWrap w:val="0"/>
            <w:vAlign w:val="top"/>
          </w:tcPr>
          <w:p w14:paraId="094614F7">
            <w:pPr>
              <w:shd w:val="clear" w:color="auto" w:fill="auto"/>
              <w:jc w:val="center"/>
              <w:rPr>
                <w:rFonts w:hint="eastAsia" w:ascii="仿宋" w:hAnsi="仿宋" w:eastAsia="仿宋" w:cs="仿宋"/>
                <w:color w:val="000000" w:themeColor="text1"/>
                <w:kern w:val="2"/>
                <w:sz w:val="24"/>
                <w:szCs w:val="20"/>
                <w:highlight w:val="none"/>
                <w:u w:val="none" w:color="000000"/>
                <w:lang w:val="en-US" w:eastAsia="zh-CN" w:bidi="ar-SA"/>
                <w14:textFill>
                  <w14:solidFill>
                    <w14:schemeClr w14:val="tx1"/>
                  </w14:solidFill>
                </w14:textFill>
              </w:rPr>
            </w:pPr>
            <w:r>
              <w:rPr>
                <w:rFonts w:hint="eastAsia" w:ascii="仿宋" w:hAnsi="仿宋" w:eastAsia="仿宋" w:cs="仿宋"/>
                <w:color w:val="000000" w:themeColor="text1"/>
                <w:kern w:val="2"/>
                <w:sz w:val="24"/>
                <w:szCs w:val="20"/>
                <w:highlight w:val="none"/>
                <w:u w:val="none" w:color="000000"/>
                <w:lang w:val="en-US" w:eastAsia="zh-CN" w:bidi="ar-SA"/>
                <w14:textFill>
                  <w14:solidFill>
                    <w14:schemeClr w14:val="tx1"/>
                  </w14:solidFill>
                </w14:textFill>
              </w:rPr>
              <w:t>其它</w:t>
            </w:r>
          </w:p>
        </w:tc>
      </w:tr>
      <w:tr w14:paraId="1AE4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14:paraId="7AFACD77">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601" w:type="dxa"/>
            <w:noWrap w:val="0"/>
            <w:vAlign w:val="top"/>
          </w:tcPr>
          <w:p w14:paraId="32CAB4EF">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225" w:type="dxa"/>
            <w:noWrap w:val="0"/>
            <w:vAlign w:val="top"/>
          </w:tcPr>
          <w:p w14:paraId="142AEF5B">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138" w:type="dxa"/>
            <w:noWrap w:val="0"/>
            <w:vAlign w:val="top"/>
          </w:tcPr>
          <w:p w14:paraId="7AEE2862">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275" w:type="dxa"/>
            <w:noWrap w:val="0"/>
            <w:vAlign w:val="top"/>
          </w:tcPr>
          <w:p w14:paraId="284E9E8F">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250" w:type="dxa"/>
            <w:noWrap w:val="0"/>
            <w:vAlign w:val="top"/>
          </w:tcPr>
          <w:p w14:paraId="553D589D">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690" w:type="dxa"/>
            <w:noWrap w:val="0"/>
            <w:vAlign w:val="top"/>
          </w:tcPr>
          <w:p w14:paraId="7E96B58B">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r>
      <w:tr w14:paraId="7E8E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14:paraId="4FE26D42">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601" w:type="dxa"/>
            <w:noWrap w:val="0"/>
            <w:vAlign w:val="top"/>
          </w:tcPr>
          <w:p w14:paraId="008AE741">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225" w:type="dxa"/>
            <w:noWrap w:val="0"/>
            <w:vAlign w:val="top"/>
          </w:tcPr>
          <w:p w14:paraId="0676F81D">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138" w:type="dxa"/>
            <w:noWrap w:val="0"/>
            <w:vAlign w:val="top"/>
          </w:tcPr>
          <w:p w14:paraId="1C96B73C">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275" w:type="dxa"/>
            <w:noWrap w:val="0"/>
            <w:vAlign w:val="top"/>
          </w:tcPr>
          <w:p w14:paraId="3E792BFC">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250" w:type="dxa"/>
            <w:noWrap w:val="0"/>
            <w:vAlign w:val="top"/>
          </w:tcPr>
          <w:p w14:paraId="08AF93BE">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690" w:type="dxa"/>
            <w:noWrap w:val="0"/>
            <w:vAlign w:val="top"/>
          </w:tcPr>
          <w:p w14:paraId="3EB3CFEC">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r>
      <w:tr w14:paraId="3583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14:paraId="77F569B2">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601" w:type="dxa"/>
            <w:noWrap w:val="0"/>
            <w:vAlign w:val="top"/>
          </w:tcPr>
          <w:p w14:paraId="363807B8">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225" w:type="dxa"/>
            <w:noWrap w:val="0"/>
            <w:vAlign w:val="top"/>
          </w:tcPr>
          <w:p w14:paraId="652FF849">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138" w:type="dxa"/>
            <w:noWrap w:val="0"/>
            <w:vAlign w:val="top"/>
          </w:tcPr>
          <w:p w14:paraId="42437172">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275" w:type="dxa"/>
            <w:noWrap w:val="0"/>
            <w:vAlign w:val="top"/>
          </w:tcPr>
          <w:p w14:paraId="1B3764F4">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250" w:type="dxa"/>
            <w:noWrap w:val="0"/>
            <w:vAlign w:val="top"/>
          </w:tcPr>
          <w:p w14:paraId="66550ABB">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690" w:type="dxa"/>
            <w:noWrap w:val="0"/>
            <w:vAlign w:val="top"/>
          </w:tcPr>
          <w:p w14:paraId="49FAC6F4">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r>
      <w:tr w14:paraId="1DBF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14:paraId="56E0E2BD">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601" w:type="dxa"/>
            <w:noWrap w:val="0"/>
            <w:vAlign w:val="top"/>
          </w:tcPr>
          <w:p w14:paraId="69847D0B">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225" w:type="dxa"/>
            <w:noWrap w:val="0"/>
            <w:vAlign w:val="top"/>
          </w:tcPr>
          <w:p w14:paraId="522B0314">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138" w:type="dxa"/>
            <w:noWrap w:val="0"/>
            <w:vAlign w:val="top"/>
          </w:tcPr>
          <w:p w14:paraId="73F33F13">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275" w:type="dxa"/>
            <w:noWrap w:val="0"/>
            <w:vAlign w:val="top"/>
          </w:tcPr>
          <w:p w14:paraId="612CF46E">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250" w:type="dxa"/>
            <w:noWrap w:val="0"/>
            <w:vAlign w:val="top"/>
          </w:tcPr>
          <w:p w14:paraId="4E395FDE">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690" w:type="dxa"/>
            <w:noWrap w:val="0"/>
            <w:vAlign w:val="top"/>
          </w:tcPr>
          <w:p w14:paraId="441B737B">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r>
      <w:tr w14:paraId="15AB4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96" w:type="dxa"/>
            <w:noWrap w:val="0"/>
            <w:vAlign w:val="top"/>
          </w:tcPr>
          <w:p w14:paraId="6ED92DF2">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601" w:type="dxa"/>
            <w:noWrap w:val="0"/>
            <w:vAlign w:val="top"/>
          </w:tcPr>
          <w:p w14:paraId="5A55B5DB">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225" w:type="dxa"/>
            <w:noWrap w:val="0"/>
            <w:vAlign w:val="top"/>
          </w:tcPr>
          <w:p w14:paraId="05EFCB00">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138" w:type="dxa"/>
            <w:noWrap w:val="0"/>
            <w:vAlign w:val="top"/>
          </w:tcPr>
          <w:p w14:paraId="2B6BE31A">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275" w:type="dxa"/>
            <w:noWrap w:val="0"/>
            <w:vAlign w:val="top"/>
          </w:tcPr>
          <w:p w14:paraId="64596EAC">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250" w:type="dxa"/>
            <w:noWrap w:val="0"/>
            <w:vAlign w:val="top"/>
          </w:tcPr>
          <w:p w14:paraId="20BA54B5">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690" w:type="dxa"/>
            <w:noWrap w:val="0"/>
            <w:vAlign w:val="top"/>
          </w:tcPr>
          <w:p w14:paraId="3D96D83D">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r>
      <w:tr w14:paraId="0583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96" w:type="dxa"/>
            <w:noWrap w:val="0"/>
            <w:vAlign w:val="top"/>
          </w:tcPr>
          <w:p w14:paraId="652BF723">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601" w:type="dxa"/>
            <w:noWrap w:val="0"/>
            <w:vAlign w:val="top"/>
          </w:tcPr>
          <w:p w14:paraId="54164199">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225" w:type="dxa"/>
            <w:noWrap w:val="0"/>
            <w:vAlign w:val="top"/>
          </w:tcPr>
          <w:p w14:paraId="53BDBFE0">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138" w:type="dxa"/>
            <w:noWrap w:val="0"/>
            <w:vAlign w:val="top"/>
          </w:tcPr>
          <w:p w14:paraId="27724A9E">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275" w:type="dxa"/>
            <w:noWrap w:val="0"/>
            <w:vAlign w:val="top"/>
          </w:tcPr>
          <w:p w14:paraId="778FA42B">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250" w:type="dxa"/>
            <w:noWrap w:val="0"/>
            <w:vAlign w:val="top"/>
          </w:tcPr>
          <w:p w14:paraId="615D1531">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690" w:type="dxa"/>
            <w:noWrap w:val="0"/>
            <w:vAlign w:val="top"/>
          </w:tcPr>
          <w:p w14:paraId="7CB0C9DE">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r>
      <w:tr w14:paraId="0A8B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14:paraId="654C13E7">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601" w:type="dxa"/>
            <w:noWrap w:val="0"/>
            <w:vAlign w:val="top"/>
          </w:tcPr>
          <w:p w14:paraId="3CF86F40">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225" w:type="dxa"/>
            <w:noWrap w:val="0"/>
            <w:vAlign w:val="top"/>
          </w:tcPr>
          <w:p w14:paraId="196AF058">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138" w:type="dxa"/>
            <w:noWrap w:val="0"/>
            <w:vAlign w:val="top"/>
          </w:tcPr>
          <w:p w14:paraId="5475DF8E">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275" w:type="dxa"/>
            <w:noWrap w:val="0"/>
            <w:vAlign w:val="top"/>
          </w:tcPr>
          <w:p w14:paraId="24709FB3">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250" w:type="dxa"/>
            <w:noWrap w:val="0"/>
            <w:vAlign w:val="top"/>
          </w:tcPr>
          <w:p w14:paraId="20BDBAD9">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690" w:type="dxa"/>
            <w:noWrap w:val="0"/>
            <w:vAlign w:val="top"/>
          </w:tcPr>
          <w:p w14:paraId="1BEB5135">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r>
      <w:tr w14:paraId="1BB8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96" w:type="dxa"/>
            <w:noWrap w:val="0"/>
            <w:vAlign w:val="top"/>
          </w:tcPr>
          <w:p w14:paraId="11AC3CBE">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601" w:type="dxa"/>
            <w:noWrap w:val="0"/>
            <w:vAlign w:val="top"/>
          </w:tcPr>
          <w:p w14:paraId="57DD5B39">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225" w:type="dxa"/>
            <w:noWrap w:val="0"/>
            <w:vAlign w:val="top"/>
          </w:tcPr>
          <w:p w14:paraId="7617928D">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138" w:type="dxa"/>
            <w:noWrap w:val="0"/>
            <w:vAlign w:val="top"/>
          </w:tcPr>
          <w:p w14:paraId="6ABBD2B4">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275" w:type="dxa"/>
            <w:noWrap w:val="0"/>
            <w:vAlign w:val="top"/>
          </w:tcPr>
          <w:p w14:paraId="5D237734">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250" w:type="dxa"/>
            <w:noWrap w:val="0"/>
            <w:vAlign w:val="top"/>
          </w:tcPr>
          <w:p w14:paraId="1562BAF6">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1690" w:type="dxa"/>
            <w:noWrap w:val="0"/>
            <w:vAlign w:val="top"/>
          </w:tcPr>
          <w:p w14:paraId="14B29C9A">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14:textFill>
                  <w14:solidFill>
                    <w14:schemeClr w14:val="tx1"/>
                  </w14:solidFill>
                </w14:textFill>
              </w:rPr>
            </w:pPr>
          </w:p>
        </w:tc>
      </w:tr>
    </w:tbl>
    <w:p w14:paraId="76BDD23A">
      <w:pPr>
        <w:pStyle w:val="10"/>
        <w:spacing w:line="240" w:lineRule="atLeast"/>
        <w:ind w:left="1164" w:leftChars="257" w:hanging="540"/>
        <w:rPr>
          <w:rFonts w:ascii="仿宋" w:hAnsi="仿宋" w:eastAsia="仿宋" w:cs="仿宋"/>
          <w:color w:val="auto"/>
          <w:highlight w:val="none"/>
        </w:rPr>
      </w:pPr>
    </w:p>
    <w:p w14:paraId="468E2511">
      <w:pPr>
        <w:pStyle w:val="10"/>
        <w:spacing w:line="240" w:lineRule="atLeast"/>
        <w:ind w:left="1164" w:leftChars="257" w:hanging="540"/>
        <w:rPr>
          <w:rFonts w:hAnsi="宋体" w:eastAsia="宋体" w:cs="宋体"/>
          <w:color w:val="auto"/>
          <w:highlight w:val="none"/>
          <w:lang w:eastAsia="zh-CN"/>
        </w:rPr>
      </w:pPr>
      <w:r>
        <w:rPr>
          <w:rFonts w:hint="eastAsia" w:ascii="仿宋" w:hAnsi="仿宋" w:eastAsia="仿宋" w:cs="仿宋"/>
          <w:color w:val="auto"/>
          <w:highlight w:val="none"/>
          <w:lang w:eastAsia="zh-CN"/>
        </w:rPr>
        <w:t>法定代表人或其委托代理人签字:</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u w:val="single"/>
          <w:lang w:eastAsia="zh-CN"/>
        </w:rPr>
        <w:t xml:space="preserve">        </w:t>
      </w:r>
      <w:r>
        <w:rPr>
          <w:rFonts w:hint="eastAsia" w:hAnsi="宋体" w:eastAsia="宋体" w:cs="宋体"/>
          <w:color w:val="auto"/>
          <w:highlight w:val="none"/>
          <w:u w:val="single"/>
          <w:lang w:eastAsia="zh-CN"/>
        </w:rPr>
        <w:t xml:space="preserve">         </w:t>
      </w:r>
    </w:p>
    <w:p w14:paraId="0FD2489A">
      <w:pPr>
        <w:pStyle w:val="10"/>
        <w:tabs>
          <w:tab w:val="left" w:pos="5370"/>
        </w:tabs>
        <w:spacing w:line="240" w:lineRule="atLeast"/>
        <w:ind w:left="1164" w:leftChars="257" w:hanging="540"/>
        <w:rPr>
          <w:rFonts w:ascii="仿宋" w:hAnsi="仿宋" w:eastAsia="仿宋" w:cs="仿宋"/>
          <w:color w:val="auto"/>
          <w:highlight w:val="none"/>
          <w:lang w:eastAsia="zh-CN"/>
        </w:rPr>
      </w:pPr>
    </w:p>
    <w:p w14:paraId="1771A988">
      <w:pPr>
        <w:pStyle w:val="10"/>
        <w:tabs>
          <w:tab w:val="left" w:pos="5370"/>
        </w:tabs>
        <w:spacing w:line="240" w:lineRule="atLeast"/>
        <w:ind w:left="1164" w:leftChars="257" w:hanging="54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供应商(盖单位章):</w:t>
      </w:r>
      <w:r>
        <w:rPr>
          <w:rFonts w:hint="eastAsia" w:ascii="仿宋" w:hAnsi="仿宋" w:eastAsia="仿宋" w:cs="仿宋"/>
          <w:color w:val="auto"/>
          <w:highlight w:val="none"/>
          <w:u w:val="single"/>
          <w:lang w:eastAsia="zh-CN"/>
        </w:rPr>
        <w:tab/>
      </w:r>
    </w:p>
    <w:p w14:paraId="0A862A09">
      <w:pPr>
        <w:pStyle w:val="10"/>
        <w:spacing w:line="240" w:lineRule="atLeast"/>
        <w:ind w:left="1164" w:leftChars="257" w:hanging="540"/>
        <w:rPr>
          <w:rFonts w:ascii="仿宋" w:hAnsi="仿宋" w:eastAsia="仿宋" w:cs="仿宋"/>
          <w:color w:val="auto"/>
          <w:highlight w:val="none"/>
          <w:lang w:eastAsia="zh-CN"/>
        </w:rPr>
      </w:pPr>
    </w:p>
    <w:p w14:paraId="47E47CD4">
      <w:pPr>
        <w:pStyle w:val="10"/>
        <w:spacing w:line="240" w:lineRule="atLeast"/>
        <w:ind w:left="1164" w:leftChars="257" w:hanging="540"/>
        <w:rPr>
          <w:rFonts w:hAnsi="宋体" w:eastAsia="宋体" w:cs="宋体"/>
          <w:color w:val="auto"/>
          <w:highlight w:val="none"/>
          <w:lang w:eastAsia="zh-CN"/>
        </w:rPr>
      </w:pPr>
      <w:r>
        <w:rPr>
          <w:rFonts w:hint="eastAsia" w:ascii="仿宋" w:hAnsi="仿宋" w:eastAsia="仿宋" w:cs="仿宋"/>
          <w:color w:val="auto"/>
          <w:highlight w:val="none"/>
          <w:lang w:eastAsia="zh-CN"/>
        </w:rPr>
        <w:t>注: 各项</w:t>
      </w:r>
      <w:r>
        <w:rPr>
          <w:rFonts w:hint="eastAsia" w:ascii="仿宋" w:hAnsi="仿宋" w:eastAsia="仿宋" w:cs="仿宋"/>
          <w:color w:val="auto"/>
          <w:highlight w:val="none"/>
          <w:lang w:val="en-US" w:eastAsia="zh-CN"/>
        </w:rPr>
        <w:t>服务</w:t>
      </w:r>
      <w:r>
        <w:rPr>
          <w:rFonts w:hint="eastAsia" w:ascii="仿宋" w:hAnsi="仿宋" w:eastAsia="仿宋" w:cs="仿宋"/>
          <w:color w:val="auto"/>
          <w:highlight w:val="none"/>
          <w:lang w:eastAsia="zh-CN"/>
        </w:rPr>
        <w:t>详细技术性能应另页描述</w:t>
      </w:r>
      <w:r>
        <w:rPr>
          <w:rFonts w:hint="eastAsia" w:hAnsi="宋体" w:eastAsia="宋体" w:cs="宋体"/>
          <w:color w:val="auto"/>
          <w:highlight w:val="none"/>
          <w:lang w:eastAsia="zh-CN"/>
        </w:rPr>
        <w:t>。</w:t>
      </w:r>
    </w:p>
    <w:p w14:paraId="7E5C67E7">
      <w:pPr>
        <w:pStyle w:val="10"/>
        <w:spacing w:line="240" w:lineRule="atLeast"/>
        <w:ind w:left="1164" w:leftChars="257" w:hanging="540"/>
        <w:jc w:val="center"/>
        <w:rPr>
          <w:rFonts w:hAnsi="宋体" w:eastAsia="宋体" w:cs="宋体"/>
          <w:color w:val="auto"/>
          <w:highlight w:val="none"/>
          <w:lang w:eastAsia="zh-CN"/>
        </w:rPr>
      </w:pPr>
    </w:p>
    <w:p w14:paraId="3D60F108">
      <w:pPr>
        <w:pStyle w:val="10"/>
        <w:spacing w:line="240" w:lineRule="atLeast"/>
        <w:ind w:left="1164" w:leftChars="257" w:hanging="540"/>
        <w:jc w:val="center"/>
        <w:rPr>
          <w:rFonts w:hAnsi="宋体" w:eastAsia="宋体" w:cs="宋体"/>
          <w:color w:val="auto"/>
          <w:highlight w:val="none"/>
          <w:lang w:eastAsia="zh-CN"/>
        </w:rPr>
        <w:sectPr>
          <w:footerReference r:id="rId5" w:type="default"/>
          <w:pgSz w:w="11905" w:h="16838"/>
          <w:pgMar w:top="1440" w:right="1797" w:bottom="1440" w:left="1797" w:header="850" w:footer="992" w:gutter="0"/>
          <w:cols w:space="720" w:num="1"/>
          <w:docGrid w:type="linesAndChars" w:linePitch="325" w:charSpace="635"/>
        </w:sectPr>
      </w:pPr>
    </w:p>
    <w:p w14:paraId="6CDA769A">
      <w:pPr>
        <w:pStyle w:val="32"/>
        <w:keepNext/>
        <w:keepLines/>
        <w:spacing w:before="0" w:after="220"/>
        <w:rPr>
          <w:rFonts w:ascii="仿宋" w:hAnsi="仿宋" w:eastAsia="仿宋" w:cs="仿宋"/>
          <w:b/>
          <w:bCs/>
          <w:color w:val="auto"/>
          <w:highlight w:val="none"/>
        </w:rPr>
      </w:pPr>
      <w:r>
        <w:rPr>
          <w:rFonts w:hint="eastAsia" w:ascii="仿宋" w:hAnsi="仿宋" w:eastAsia="仿宋" w:cs="仿宋"/>
          <w:b/>
          <w:bCs/>
          <w:color w:val="auto"/>
          <w:highlight w:val="none"/>
          <w:lang w:val="en-US" w:eastAsia="zh-CN"/>
        </w:rPr>
        <w:t>4</w:t>
      </w:r>
      <w:r>
        <w:rPr>
          <w:rFonts w:hint="eastAsia" w:ascii="仿宋" w:hAnsi="仿宋" w:eastAsia="仿宋" w:cs="仿宋"/>
          <w:b/>
          <w:bCs/>
          <w:color w:val="auto"/>
          <w:highlight w:val="none"/>
          <w:lang w:eastAsia="zh-CN"/>
        </w:rPr>
        <w:t>、投标分项报价明细表</w:t>
      </w:r>
    </w:p>
    <w:p w14:paraId="72806C26">
      <w:pPr>
        <w:pStyle w:val="32"/>
        <w:keepNext/>
        <w:keepLines/>
        <w:spacing w:before="0" w:after="220"/>
        <w:jc w:val="both"/>
        <w:rPr>
          <w:rFonts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14:paraId="646BD448">
      <w:pPr>
        <w:pStyle w:val="32"/>
        <w:keepNext/>
        <w:keepLines/>
        <w:spacing w:before="0" w:after="220"/>
        <w:jc w:val="both"/>
        <w:rPr>
          <w:rFonts w:ascii="仿宋" w:hAnsi="仿宋" w:eastAsia="仿宋" w:cs="仿宋"/>
          <w:color w:val="auto"/>
          <w:sz w:val="24"/>
          <w:highlight w:val="none"/>
        </w:rPr>
      </w:pPr>
      <w:r>
        <w:rPr>
          <w:rFonts w:hint="eastAsia" w:ascii="仿宋" w:hAnsi="仿宋" w:eastAsia="仿宋" w:cs="仿宋"/>
          <w:color w:val="auto"/>
          <w:sz w:val="24"/>
          <w:highlight w:val="none"/>
        </w:rPr>
        <w:t xml:space="preserve">招标编号:                </w:t>
      </w:r>
      <w:r>
        <w:rPr>
          <w:rFonts w:hint="eastAsia" w:ascii="仿宋" w:hAnsi="仿宋" w:eastAsia="仿宋" w:cs="仿宋"/>
          <w:color w:val="auto"/>
          <w:sz w:val="24"/>
          <w:highlight w:val="none"/>
          <w:lang w:val="en-US" w:eastAsia="zh-CN"/>
        </w:rPr>
        <w:t xml:space="preserve">                     </w:t>
      </w:r>
    </w:p>
    <w:p w14:paraId="01014C68">
      <w:pPr>
        <w:pStyle w:val="10"/>
        <w:spacing w:line="240" w:lineRule="atLeast"/>
        <w:ind w:left="1157" w:leftChars="257" w:hanging="540"/>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单位：</w:t>
      </w:r>
      <w:r>
        <w:rPr>
          <w:rFonts w:hint="eastAsia" w:ascii="仿宋" w:hAnsi="仿宋" w:eastAsia="仿宋" w:cs="仿宋"/>
          <w:color w:val="auto"/>
          <w:szCs w:val="21"/>
          <w:highlight w:val="none"/>
          <w:lang w:eastAsia="zh-CN"/>
        </w:rPr>
        <w:t>元（人民币）</w:t>
      </w:r>
    </w:p>
    <w:tbl>
      <w:tblPr>
        <w:tblStyle w:val="21"/>
        <w:tblW w:w="97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5"/>
        <w:gridCol w:w="872"/>
        <w:gridCol w:w="986"/>
        <w:gridCol w:w="1267"/>
        <w:gridCol w:w="833"/>
        <w:gridCol w:w="1336"/>
        <w:gridCol w:w="664"/>
        <w:gridCol w:w="664"/>
        <w:gridCol w:w="818"/>
        <w:gridCol w:w="818"/>
        <w:gridCol w:w="818"/>
      </w:tblGrid>
      <w:tr w14:paraId="4C0F64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12" w:space="0"/>
              <w:left w:val="single" w:color="auto" w:sz="12" w:space="0"/>
              <w:bottom w:val="single" w:color="auto" w:sz="6" w:space="0"/>
              <w:right w:val="single" w:color="auto" w:sz="6" w:space="0"/>
            </w:tcBorders>
            <w:noWrap w:val="0"/>
            <w:vAlign w:val="center"/>
          </w:tcPr>
          <w:p w14:paraId="3FD3A21E">
            <w:pPr>
              <w:spacing w:line="50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序号</w:t>
            </w:r>
          </w:p>
        </w:tc>
        <w:tc>
          <w:tcPr>
            <w:tcW w:w="872" w:type="dxa"/>
            <w:tcBorders>
              <w:top w:val="single" w:color="auto" w:sz="12" w:space="0"/>
              <w:left w:val="single" w:color="auto" w:sz="6" w:space="0"/>
              <w:bottom w:val="single" w:color="auto" w:sz="6" w:space="0"/>
              <w:right w:val="single" w:color="auto" w:sz="6" w:space="0"/>
            </w:tcBorders>
            <w:noWrap w:val="0"/>
            <w:vAlign w:val="center"/>
          </w:tcPr>
          <w:p w14:paraId="0729EF16">
            <w:pPr>
              <w:spacing w:line="50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产品名称</w:t>
            </w:r>
          </w:p>
        </w:tc>
        <w:tc>
          <w:tcPr>
            <w:tcW w:w="986" w:type="dxa"/>
            <w:tcBorders>
              <w:top w:val="single" w:color="auto" w:sz="12" w:space="0"/>
              <w:left w:val="single" w:color="auto" w:sz="6" w:space="0"/>
              <w:bottom w:val="single" w:color="auto" w:sz="6" w:space="0"/>
              <w:right w:val="single" w:color="auto" w:sz="6" w:space="0"/>
            </w:tcBorders>
            <w:noWrap w:val="0"/>
            <w:vAlign w:val="center"/>
          </w:tcPr>
          <w:p w14:paraId="7E6D8787">
            <w:pPr>
              <w:spacing w:line="500" w:lineRule="exact"/>
              <w:jc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品牌</w:t>
            </w:r>
          </w:p>
        </w:tc>
        <w:tc>
          <w:tcPr>
            <w:tcW w:w="1267" w:type="dxa"/>
            <w:tcBorders>
              <w:top w:val="single" w:color="auto" w:sz="12" w:space="0"/>
              <w:left w:val="single" w:color="auto" w:sz="6" w:space="0"/>
              <w:bottom w:val="single" w:color="auto" w:sz="6" w:space="0"/>
              <w:right w:val="single" w:color="auto" w:sz="4" w:space="0"/>
            </w:tcBorders>
            <w:noWrap w:val="0"/>
            <w:vAlign w:val="center"/>
          </w:tcPr>
          <w:p w14:paraId="11EFF2F3">
            <w:pPr>
              <w:spacing w:line="500" w:lineRule="exact"/>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规格</w:t>
            </w:r>
            <w:r>
              <w:rPr>
                <w:rFonts w:hint="eastAsia" w:ascii="仿宋" w:hAnsi="仿宋" w:eastAsia="仿宋" w:cs="仿宋"/>
                <w:color w:val="000000" w:themeColor="text1"/>
                <w:szCs w:val="21"/>
                <w:lang w:eastAsia="zh-CN"/>
                <w14:textFill>
                  <w14:solidFill>
                    <w14:schemeClr w14:val="tx1"/>
                  </w14:solidFill>
                </w14:textFill>
              </w:rPr>
              <w:t>型号</w:t>
            </w:r>
          </w:p>
        </w:tc>
        <w:tc>
          <w:tcPr>
            <w:tcW w:w="833" w:type="dxa"/>
            <w:tcBorders>
              <w:top w:val="single" w:color="auto" w:sz="12" w:space="0"/>
              <w:left w:val="single" w:color="auto" w:sz="6" w:space="0"/>
              <w:bottom w:val="single" w:color="auto" w:sz="6" w:space="0"/>
              <w:right w:val="single" w:color="auto" w:sz="4" w:space="0"/>
            </w:tcBorders>
            <w:noWrap w:val="0"/>
            <w:vAlign w:val="center"/>
          </w:tcPr>
          <w:p w14:paraId="4FE070B5">
            <w:pPr>
              <w:spacing w:line="500" w:lineRule="exact"/>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交货时间</w:t>
            </w:r>
          </w:p>
        </w:tc>
        <w:tc>
          <w:tcPr>
            <w:tcW w:w="1336" w:type="dxa"/>
            <w:tcBorders>
              <w:top w:val="single" w:color="auto" w:sz="12" w:space="0"/>
              <w:left w:val="single" w:color="auto" w:sz="4" w:space="0"/>
              <w:bottom w:val="single" w:color="auto" w:sz="6" w:space="0"/>
              <w:right w:val="single" w:color="auto" w:sz="6" w:space="0"/>
            </w:tcBorders>
            <w:noWrap w:val="0"/>
            <w:vAlign w:val="center"/>
          </w:tcPr>
          <w:p w14:paraId="1DDDD954">
            <w:pPr>
              <w:spacing w:line="50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交货地点</w:t>
            </w:r>
          </w:p>
        </w:tc>
        <w:tc>
          <w:tcPr>
            <w:tcW w:w="664" w:type="dxa"/>
            <w:tcBorders>
              <w:top w:val="single" w:color="auto" w:sz="12" w:space="0"/>
              <w:left w:val="single" w:color="auto" w:sz="6" w:space="0"/>
              <w:bottom w:val="single" w:color="auto" w:sz="6" w:space="0"/>
              <w:right w:val="single" w:color="auto" w:sz="6" w:space="0"/>
            </w:tcBorders>
            <w:noWrap w:val="0"/>
            <w:vAlign w:val="center"/>
          </w:tcPr>
          <w:p w14:paraId="1542CF0A">
            <w:pPr>
              <w:spacing w:line="500" w:lineRule="exact"/>
              <w:jc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数量</w:t>
            </w:r>
          </w:p>
        </w:tc>
        <w:tc>
          <w:tcPr>
            <w:tcW w:w="664" w:type="dxa"/>
            <w:tcBorders>
              <w:top w:val="single" w:color="auto" w:sz="12" w:space="0"/>
              <w:left w:val="single" w:color="auto" w:sz="6" w:space="0"/>
              <w:bottom w:val="single" w:color="auto" w:sz="6" w:space="0"/>
              <w:right w:val="single" w:color="auto" w:sz="6" w:space="0"/>
            </w:tcBorders>
            <w:noWrap w:val="0"/>
            <w:vAlign w:val="center"/>
          </w:tcPr>
          <w:p w14:paraId="6BF0CE89">
            <w:pPr>
              <w:spacing w:line="50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单位</w:t>
            </w:r>
          </w:p>
        </w:tc>
        <w:tc>
          <w:tcPr>
            <w:tcW w:w="818" w:type="dxa"/>
            <w:tcBorders>
              <w:top w:val="single" w:color="auto" w:sz="12" w:space="0"/>
              <w:left w:val="single" w:color="auto" w:sz="6" w:space="0"/>
              <w:bottom w:val="single" w:color="auto" w:sz="6" w:space="0"/>
              <w:right w:val="single" w:color="auto" w:sz="12" w:space="0"/>
            </w:tcBorders>
            <w:noWrap w:val="0"/>
            <w:vAlign w:val="center"/>
          </w:tcPr>
          <w:p w14:paraId="6AA9D0B5">
            <w:pPr>
              <w:spacing w:line="500" w:lineRule="exact"/>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单价</w:t>
            </w:r>
          </w:p>
        </w:tc>
        <w:tc>
          <w:tcPr>
            <w:tcW w:w="818" w:type="dxa"/>
            <w:tcBorders>
              <w:top w:val="single" w:color="auto" w:sz="12" w:space="0"/>
              <w:left w:val="single" w:color="auto" w:sz="6" w:space="0"/>
              <w:bottom w:val="single" w:color="auto" w:sz="6" w:space="0"/>
              <w:right w:val="single" w:color="auto" w:sz="12" w:space="0"/>
            </w:tcBorders>
            <w:noWrap w:val="0"/>
            <w:vAlign w:val="center"/>
          </w:tcPr>
          <w:p w14:paraId="7DDABF72">
            <w:pPr>
              <w:spacing w:line="500" w:lineRule="exact"/>
              <w:jc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总价</w:t>
            </w:r>
          </w:p>
        </w:tc>
        <w:tc>
          <w:tcPr>
            <w:tcW w:w="818" w:type="dxa"/>
            <w:tcBorders>
              <w:top w:val="single" w:color="auto" w:sz="12" w:space="0"/>
              <w:left w:val="single" w:color="auto" w:sz="6" w:space="0"/>
              <w:bottom w:val="single" w:color="auto" w:sz="6" w:space="0"/>
              <w:right w:val="single" w:color="auto" w:sz="12" w:space="0"/>
            </w:tcBorders>
            <w:noWrap w:val="0"/>
            <w:vAlign w:val="center"/>
          </w:tcPr>
          <w:p w14:paraId="515DEA39">
            <w:pPr>
              <w:spacing w:line="500" w:lineRule="exact"/>
              <w:jc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备注</w:t>
            </w:r>
          </w:p>
        </w:tc>
      </w:tr>
      <w:tr w14:paraId="29A794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14:paraId="3EE93278">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72" w:type="dxa"/>
            <w:tcBorders>
              <w:top w:val="single" w:color="auto" w:sz="6" w:space="0"/>
              <w:left w:val="single" w:color="auto" w:sz="6" w:space="0"/>
              <w:bottom w:val="single" w:color="auto" w:sz="6" w:space="0"/>
              <w:right w:val="single" w:color="auto" w:sz="6" w:space="0"/>
            </w:tcBorders>
            <w:noWrap w:val="0"/>
            <w:vAlign w:val="center"/>
          </w:tcPr>
          <w:p w14:paraId="1089F17C">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986" w:type="dxa"/>
            <w:tcBorders>
              <w:top w:val="single" w:color="auto" w:sz="6" w:space="0"/>
              <w:left w:val="single" w:color="auto" w:sz="6" w:space="0"/>
              <w:bottom w:val="single" w:color="auto" w:sz="6" w:space="0"/>
              <w:right w:val="single" w:color="auto" w:sz="6" w:space="0"/>
            </w:tcBorders>
            <w:noWrap w:val="0"/>
            <w:vAlign w:val="center"/>
          </w:tcPr>
          <w:p w14:paraId="74F5E11D">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14:paraId="64234715">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33" w:type="dxa"/>
            <w:tcBorders>
              <w:top w:val="single" w:color="auto" w:sz="6" w:space="0"/>
              <w:left w:val="single" w:color="auto" w:sz="6" w:space="0"/>
              <w:bottom w:val="single" w:color="auto" w:sz="6" w:space="0"/>
              <w:right w:val="single" w:color="auto" w:sz="4" w:space="0"/>
            </w:tcBorders>
            <w:noWrap w:val="0"/>
            <w:vAlign w:val="center"/>
          </w:tcPr>
          <w:p w14:paraId="26CFAB29">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14:paraId="4028FB98">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664" w:type="dxa"/>
            <w:tcBorders>
              <w:top w:val="single" w:color="auto" w:sz="6" w:space="0"/>
              <w:left w:val="single" w:color="auto" w:sz="6" w:space="0"/>
              <w:bottom w:val="single" w:color="auto" w:sz="6" w:space="0"/>
              <w:right w:val="single" w:color="auto" w:sz="6" w:space="0"/>
            </w:tcBorders>
            <w:noWrap w:val="0"/>
            <w:vAlign w:val="center"/>
          </w:tcPr>
          <w:p w14:paraId="44464797">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664" w:type="dxa"/>
            <w:tcBorders>
              <w:top w:val="single" w:color="auto" w:sz="6" w:space="0"/>
              <w:left w:val="single" w:color="auto" w:sz="6" w:space="0"/>
              <w:bottom w:val="single" w:color="auto" w:sz="6" w:space="0"/>
              <w:right w:val="single" w:color="auto" w:sz="6" w:space="0"/>
            </w:tcBorders>
            <w:noWrap w:val="0"/>
            <w:vAlign w:val="center"/>
          </w:tcPr>
          <w:p w14:paraId="51750B77">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0935CF8B">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4A3704DD">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02029002">
            <w:pPr>
              <w:spacing w:line="500" w:lineRule="exact"/>
              <w:jc w:val="center"/>
              <w:rPr>
                <w:rFonts w:hint="eastAsia" w:ascii="仿宋" w:hAnsi="仿宋" w:eastAsia="仿宋" w:cs="仿宋"/>
                <w:color w:val="000000" w:themeColor="text1"/>
                <w:szCs w:val="21"/>
                <w14:textFill>
                  <w14:solidFill>
                    <w14:schemeClr w14:val="tx1"/>
                  </w14:solidFill>
                </w14:textFill>
              </w:rPr>
            </w:pPr>
          </w:p>
        </w:tc>
      </w:tr>
      <w:tr w14:paraId="20CE1A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14:paraId="15EEC94B">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72" w:type="dxa"/>
            <w:tcBorders>
              <w:top w:val="single" w:color="auto" w:sz="6" w:space="0"/>
              <w:left w:val="single" w:color="auto" w:sz="6" w:space="0"/>
              <w:bottom w:val="single" w:color="auto" w:sz="6" w:space="0"/>
              <w:right w:val="single" w:color="auto" w:sz="6" w:space="0"/>
            </w:tcBorders>
            <w:noWrap w:val="0"/>
            <w:vAlign w:val="center"/>
          </w:tcPr>
          <w:p w14:paraId="671E04E5">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986" w:type="dxa"/>
            <w:tcBorders>
              <w:top w:val="single" w:color="auto" w:sz="6" w:space="0"/>
              <w:left w:val="single" w:color="auto" w:sz="6" w:space="0"/>
              <w:bottom w:val="single" w:color="auto" w:sz="6" w:space="0"/>
              <w:right w:val="single" w:color="auto" w:sz="6" w:space="0"/>
            </w:tcBorders>
            <w:noWrap w:val="0"/>
            <w:vAlign w:val="center"/>
          </w:tcPr>
          <w:p w14:paraId="3C1401C3">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14:paraId="4CE86D42">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33" w:type="dxa"/>
            <w:tcBorders>
              <w:top w:val="single" w:color="auto" w:sz="6" w:space="0"/>
              <w:left w:val="single" w:color="auto" w:sz="6" w:space="0"/>
              <w:bottom w:val="single" w:color="auto" w:sz="6" w:space="0"/>
              <w:right w:val="single" w:color="auto" w:sz="4" w:space="0"/>
            </w:tcBorders>
            <w:noWrap w:val="0"/>
            <w:vAlign w:val="center"/>
          </w:tcPr>
          <w:p w14:paraId="18A2FE6E">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14:paraId="0D005532">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664" w:type="dxa"/>
            <w:tcBorders>
              <w:top w:val="single" w:color="auto" w:sz="6" w:space="0"/>
              <w:left w:val="single" w:color="auto" w:sz="6" w:space="0"/>
              <w:bottom w:val="single" w:color="auto" w:sz="6" w:space="0"/>
              <w:right w:val="single" w:color="auto" w:sz="6" w:space="0"/>
            </w:tcBorders>
            <w:noWrap w:val="0"/>
            <w:vAlign w:val="center"/>
          </w:tcPr>
          <w:p w14:paraId="717C914C">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664" w:type="dxa"/>
            <w:tcBorders>
              <w:top w:val="single" w:color="auto" w:sz="6" w:space="0"/>
              <w:left w:val="single" w:color="auto" w:sz="6" w:space="0"/>
              <w:bottom w:val="single" w:color="auto" w:sz="6" w:space="0"/>
              <w:right w:val="single" w:color="auto" w:sz="6" w:space="0"/>
            </w:tcBorders>
            <w:noWrap w:val="0"/>
            <w:vAlign w:val="center"/>
          </w:tcPr>
          <w:p w14:paraId="70C3F5A3">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10DBD549">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29DB5E95">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14EEE741">
            <w:pPr>
              <w:spacing w:line="500" w:lineRule="exact"/>
              <w:jc w:val="center"/>
              <w:rPr>
                <w:rFonts w:hint="eastAsia" w:ascii="仿宋" w:hAnsi="仿宋" w:eastAsia="仿宋" w:cs="仿宋"/>
                <w:color w:val="000000" w:themeColor="text1"/>
                <w:szCs w:val="21"/>
                <w14:textFill>
                  <w14:solidFill>
                    <w14:schemeClr w14:val="tx1"/>
                  </w14:solidFill>
                </w14:textFill>
              </w:rPr>
            </w:pPr>
          </w:p>
        </w:tc>
      </w:tr>
      <w:tr w14:paraId="101D32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14:paraId="5E6D1340">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72" w:type="dxa"/>
            <w:tcBorders>
              <w:top w:val="single" w:color="auto" w:sz="6" w:space="0"/>
              <w:left w:val="single" w:color="auto" w:sz="6" w:space="0"/>
              <w:bottom w:val="single" w:color="auto" w:sz="6" w:space="0"/>
              <w:right w:val="single" w:color="auto" w:sz="6" w:space="0"/>
            </w:tcBorders>
            <w:noWrap w:val="0"/>
            <w:vAlign w:val="center"/>
          </w:tcPr>
          <w:p w14:paraId="46C00C66">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986" w:type="dxa"/>
            <w:tcBorders>
              <w:top w:val="single" w:color="auto" w:sz="6" w:space="0"/>
              <w:left w:val="single" w:color="auto" w:sz="6" w:space="0"/>
              <w:bottom w:val="single" w:color="auto" w:sz="6" w:space="0"/>
              <w:right w:val="single" w:color="auto" w:sz="6" w:space="0"/>
            </w:tcBorders>
            <w:noWrap w:val="0"/>
            <w:vAlign w:val="center"/>
          </w:tcPr>
          <w:p w14:paraId="372C62FC">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14:paraId="2E2FB0CC">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33" w:type="dxa"/>
            <w:tcBorders>
              <w:top w:val="single" w:color="auto" w:sz="6" w:space="0"/>
              <w:left w:val="single" w:color="auto" w:sz="6" w:space="0"/>
              <w:bottom w:val="single" w:color="auto" w:sz="6" w:space="0"/>
              <w:right w:val="single" w:color="auto" w:sz="4" w:space="0"/>
            </w:tcBorders>
            <w:noWrap w:val="0"/>
            <w:vAlign w:val="center"/>
          </w:tcPr>
          <w:p w14:paraId="055BDF16">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14:paraId="5DAA54F8">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664" w:type="dxa"/>
            <w:tcBorders>
              <w:top w:val="single" w:color="auto" w:sz="6" w:space="0"/>
              <w:left w:val="single" w:color="auto" w:sz="6" w:space="0"/>
              <w:bottom w:val="single" w:color="auto" w:sz="6" w:space="0"/>
              <w:right w:val="single" w:color="auto" w:sz="6" w:space="0"/>
            </w:tcBorders>
            <w:noWrap w:val="0"/>
            <w:vAlign w:val="center"/>
          </w:tcPr>
          <w:p w14:paraId="3639378C">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664" w:type="dxa"/>
            <w:tcBorders>
              <w:top w:val="single" w:color="auto" w:sz="6" w:space="0"/>
              <w:left w:val="single" w:color="auto" w:sz="6" w:space="0"/>
              <w:bottom w:val="single" w:color="auto" w:sz="6" w:space="0"/>
              <w:right w:val="single" w:color="auto" w:sz="6" w:space="0"/>
            </w:tcBorders>
            <w:noWrap w:val="0"/>
            <w:vAlign w:val="center"/>
          </w:tcPr>
          <w:p w14:paraId="685AC909">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049F2105">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28F0D356">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5F299D68">
            <w:pPr>
              <w:spacing w:line="500" w:lineRule="exact"/>
              <w:jc w:val="center"/>
              <w:rPr>
                <w:rFonts w:hint="eastAsia" w:ascii="仿宋" w:hAnsi="仿宋" w:eastAsia="仿宋" w:cs="仿宋"/>
                <w:color w:val="000000" w:themeColor="text1"/>
                <w:szCs w:val="21"/>
                <w14:textFill>
                  <w14:solidFill>
                    <w14:schemeClr w14:val="tx1"/>
                  </w14:solidFill>
                </w14:textFill>
              </w:rPr>
            </w:pPr>
          </w:p>
        </w:tc>
      </w:tr>
      <w:tr w14:paraId="202F6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14:paraId="5E5DB842">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72" w:type="dxa"/>
            <w:tcBorders>
              <w:top w:val="single" w:color="auto" w:sz="6" w:space="0"/>
              <w:left w:val="single" w:color="auto" w:sz="6" w:space="0"/>
              <w:bottom w:val="single" w:color="auto" w:sz="6" w:space="0"/>
              <w:right w:val="single" w:color="auto" w:sz="6" w:space="0"/>
            </w:tcBorders>
            <w:noWrap w:val="0"/>
            <w:vAlign w:val="center"/>
          </w:tcPr>
          <w:p w14:paraId="4682CA3D">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986" w:type="dxa"/>
            <w:tcBorders>
              <w:top w:val="single" w:color="auto" w:sz="6" w:space="0"/>
              <w:left w:val="single" w:color="auto" w:sz="6" w:space="0"/>
              <w:bottom w:val="single" w:color="auto" w:sz="6" w:space="0"/>
              <w:right w:val="single" w:color="auto" w:sz="6" w:space="0"/>
            </w:tcBorders>
            <w:noWrap w:val="0"/>
            <w:vAlign w:val="center"/>
          </w:tcPr>
          <w:p w14:paraId="12E9DC6C">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14:paraId="14AFECD9">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33" w:type="dxa"/>
            <w:tcBorders>
              <w:top w:val="single" w:color="auto" w:sz="6" w:space="0"/>
              <w:left w:val="single" w:color="auto" w:sz="6" w:space="0"/>
              <w:bottom w:val="single" w:color="auto" w:sz="6" w:space="0"/>
              <w:right w:val="single" w:color="auto" w:sz="4" w:space="0"/>
            </w:tcBorders>
            <w:noWrap w:val="0"/>
            <w:vAlign w:val="center"/>
          </w:tcPr>
          <w:p w14:paraId="204D6FEA">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14:paraId="73B49689">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664" w:type="dxa"/>
            <w:tcBorders>
              <w:top w:val="single" w:color="auto" w:sz="6" w:space="0"/>
              <w:left w:val="single" w:color="auto" w:sz="6" w:space="0"/>
              <w:bottom w:val="single" w:color="auto" w:sz="6" w:space="0"/>
              <w:right w:val="single" w:color="auto" w:sz="6" w:space="0"/>
            </w:tcBorders>
            <w:noWrap w:val="0"/>
            <w:vAlign w:val="center"/>
          </w:tcPr>
          <w:p w14:paraId="3CC1E4A1">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664" w:type="dxa"/>
            <w:tcBorders>
              <w:top w:val="single" w:color="auto" w:sz="6" w:space="0"/>
              <w:left w:val="single" w:color="auto" w:sz="6" w:space="0"/>
              <w:bottom w:val="single" w:color="auto" w:sz="6" w:space="0"/>
              <w:right w:val="single" w:color="auto" w:sz="6" w:space="0"/>
            </w:tcBorders>
            <w:noWrap w:val="0"/>
            <w:vAlign w:val="center"/>
          </w:tcPr>
          <w:p w14:paraId="65F2B55F">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3922C0CF">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66CD0398">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4B1C60D9">
            <w:pPr>
              <w:spacing w:line="500" w:lineRule="exact"/>
              <w:jc w:val="center"/>
              <w:rPr>
                <w:rFonts w:hint="eastAsia" w:ascii="仿宋" w:hAnsi="仿宋" w:eastAsia="仿宋" w:cs="仿宋"/>
                <w:color w:val="000000" w:themeColor="text1"/>
                <w:szCs w:val="21"/>
                <w14:textFill>
                  <w14:solidFill>
                    <w14:schemeClr w14:val="tx1"/>
                  </w14:solidFill>
                </w14:textFill>
              </w:rPr>
            </w:pPr>
          </w:p>
        </w:tc>
      </w:tr>
      <w:tr w14:paraId="1DE5B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14:paraId="2B0B9718">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72" w:type="dxa"/>
            <w:tcBorders>
              <w:top w:val="single" w:color="auto" w:sz="6" w:space="0"/>
              <w:left w:val="single" w:color="auto" w:sz="6" w:space="0"/>
              <w:bottom w:val="single" w:color="auto" w:sz="6" w:space="0"/>
              <w:right w:val="single" w:color="auto" w:sz="6" w:space="0"/>
            </w:tcBorders>
            <w:noWrap w:val="0"/>
            <w:vAlign w:val="center"/>
          </w:tcPr>
          <w:p w14:paraId="0FF2A7E4">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986" w:type="dxa"/>
            <w:tcBorders>
              <w:top w:val="single" w:color="auto" w:sz="6" w:space="0"/>
              <w:left w:val="single" w:color="auto" w:sz="6" w:space="0"/>
              <w:bottom w:val="single" w:color="auto" w:sz="6" w:space="0"/>
              <w:right w:val="single" w:color="auto" w:sz="6" w:space="0"/>
            </w:tcBorders>
            <w:noWrap w:val="0"/>
            <w:vAlign w:val="center"/>
          </w:tcPr>
          <w:p w14:paraId="52024851">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14:paraId="6111122D">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33" w:type="dxa"/>
            <w:tcBorders>
              <w:top w:val="single" w:color="auto" w:sz="6" w:space="0"/>
              <w:left w:val="single" w:color="auto" w:sz="6" w:space="0"/>
              <w:bottom w:val="single" w:color="auto" w:sz="6" w:space="0"/>
              <w:right w:val="single" w:color="auto" w:sz="4" w:space="0"/>
            </w:tcBorders>
            <w:noWrap w:val="0"/>
            <w:vAlign w:val="center"/>
          </w:tcPr>
          <w:p w14:paraId="548264CA">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14:paraId="5363497E">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664" w:type="dxa"/>
            <w:tcBorders>
              <w:top w:val="single" w:color="auto" w:sz="6" w:space="0"/>
              <w:left w:val="single" w:color="auto" w:sz="6" w:space="0"/>
              <w:bottom w:val="single" w:color="auto" w:sz="6" w:space="0"/>
              <w:right w:val="single" w:color="auto" w:sz="6" w:space="0"/>
            </w:tcBorders>
            <w:noWrap w:val="0"/>
            <w:vAlign w:val="center"/>
          </w:tcPr>
          <w:p w14:paraId="790D0B99">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664" w:type="dxa"/>
            <w:tcBorders>
              <w:top w:val="single" w:color="auto" w:sz="6" w:space="0"/>
              <w:left w:val="single" w:color="auto" w:sz="6" w:space="0"/>
              <w:bottom w:val="single" w:color="auto" w:sz="6" w:space="0"/>
              <w:right w:val="single" w:color="auto" w:sz="6" w:space="0"/>
            </w:tcBorders>
            <w:noWrap w:val="0"/>
            <w:vAlign w:val="center"/>
          </w:tcPr>
          <w:p w14:paraId="17C91431">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4ED0BCE9">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2463EE6B">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04ED243F">
            <w:pPr>
              <w:spacing w:line="500" w:lineRule="exact"/>
              <w:jc w:val="center"/>
              <w:rPr>
                <w:rFonts w:hint="eastAsia" w:ascii="仿宋" w:hAnsi="仿宋" w:eastAsia="仿宋" w:cs="仿宋"/>
                <w:color w:val="000000" w:themeColor="text1"/>
                <w:szCs w:val="21"/>
                <w14:textFill>
                  <w14:solidFill>
                    <w14:schemeClr w14:val="tx1"/>
                  </w14:solidFill>
                </w14:textFill>
              </w:rPr>
            </w:pPr>
          </w:p>
        </w:tc>
      </w:tr>
      <w:tr w14:paraId="15E7F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14:paraId="34E15350">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72" w:type="dxa"/>
            <w:tcBorders>
              <w:top w:val="single" w:color="auto" w:sz="6" w:space="0"/>
              <w:left w:val="single" w:color="auto" w:sz="6" w:space="0"/>
              <w:bottom w:val="single" w:color="auto" w:sz="6" w:space="0"/>
              <w:right w:val="single" w:color="auto" w:sz="6" w:space="0"/>
            </w:tcBorders>
            <w:noWrap w:val="0"/>
            <w:vAlign w:val="center"/>
          </w:tcPr>
          <w:p w14:paraId="7FD59855">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986" w:type="dxa"/>
            <w:tcBorders>
              <w:top w:val="single" w:color="auto" w:sz="6" w:space="0"/>
              <w:left w:val="single" w:color="auto" w:sz="6" w:space="0"/>
              <w:bottom w:val="single" w:color="auto" w:sz="6" w:space="0"/>
              <w:right w:val="single" w:color="auto" w:sz="6" w:space="0"/>
            </w:tcBorders>
            <w:noWrap w:val="0"/>
            <w:vAlign w:val="center"/>
          </w:tcPr>
          <w:p w14:paraId="66ADCBC6">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14:paraId="47F5FD53">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33" w:type="dxa"/>
            <w:tcBorders>
              <w:top w:val="single" w:color="auto" w:sz="6" w:space="0"/>
              <w:left w:val="single" w:color="auto" w:sz="6" w:space="0"/>
              <w:bottom w:val="single" w:color="auto" w:sz="6" w:space="0"/>
              <w:right w:val="single" w:color="auto" w:sz="4" w:space="0"/>
            </w:tcBorders>
            <w:noWrap w:val="0"/>
            <w:vAlign w:val="center"/>
          </w:tcPr>
          <w:p w14:paraId="33680E2C">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14:paraId="7D660CEE">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664" w:type="dxa"/>
            <w:tcBorders>
              <w:top w:val="single" w:color="auto" w:sz="6" w:space="0"/>
              <w:left w:val="single" w:color="auto" w:sz="6" w:space="0"/>
              <w:bottom w:val="single" w:color="auto" w:sz="6" w:space="0"/>
              <w:right w:val="single" w:color="auto" w:sz="6" w:space="0"/>
            </w:tcBorders>
            <w:noWrap w:val="0"/>
            <w:vAlign w:val="center"/>
          </w:tcPr>
          <w:p w14:paraId="6349B0D7">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664" w:type="dxa"/>
            <w:tcBorders>
              <w:top w:val="single" w:color="auto" w:sz="6" w:space="0"/>
              <w:left w:val="single" w:color="auto" w:sz="6" w:space="0"/>
              <w:bottom w:val="single" w:color="auto" w:sz="6" w:space="0"/>
              <w:right w:val="single" w:color="auto" w:sz="6" w:space="0"/>
            </w:tcBorders>
            <w:noWrap w:val="0"/>
            <w:vAlign w:val="center"/>
          </w:tcPr>
          <w:p w14:paraId="7F44FFDC">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75107DA7">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1B52E7B4">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3771326A">
            <w:pPr>
              <w:spacing w:line="500" w:lineRule="exact"/>
              <w:jc w:val="center"/>
              <w:rPr>
                <w:rFonts w:hint="eastAsia" w:ascii="仿宋" w:hAnsi="仿宋" w:eastAsia="仿宋" w:cs="仿宋"/>
                <w:color w:val="000000" w:themeColor="text1"/>
                <w:szCs w:val="21"/>
                <w14:textFill>
                  <w14:solidFill>
                    <w14:schemeClr w14:val="tx1"/>
                  </w14:solidFill>
                </w14:textFill>
              </w:rPr>
            </w:pPr>
          </w:p>
        </w:tc>
      </w:tr>
      <w:tr w14:paraId="33B2AD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14:paraId="464B4377">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72" w:type="dxa"/>
            <w:tcBorders>
              <w:top w:val="single" w:color="auto" w:sz="6" w:space="0"/>
              <w:left w:val="single" w:color="auto" w:sz="6" w:space="0"/>
              <w:bottom w:val="single" w:color="auto" w:sz="6" w:space="0"/>
              <w:right w:val="single" w:color="auto" w:sz="6" w:space="0"/>
            </w:tcBorders>
            <w:noWrap w:val="0"/>
            <w:vAlign w:val="center"/>
          </w:tcPr>
          <w:p w14:paraId="2A13433F">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986" w:type="dxa"/>
            <w:tcBorders>
              <w:top w:val="single" w:color="auto" w:sz="6" w:space="0"/>
              <w:left w:val="single" w:color="auto" w:sz="6" w:space="0"/>
              <w:bottom w:val="single" w:color="auto" w:sz="6" w:space="0"/>
              <w:right w:val="single" w:color="auto" w:sz="6" w:space="0"/>
            </w:tcBorders>
            <w:noWrap w:val="0"/>
            <w:vAlign w:val="center"/>
          </w:tcPr>
          <w:p w14:paraId="29D98E18">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14:paraId="7CE91746">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33" w:type="dxa"/>
            <w:tcBorders>
              <w:top w:val="single" w:color="auto" w:sz="6" w:space="0"/>
              <w:left w:val="single" w:color="auto" w:sz="6" w:space="0"/>
              <w:bottom w:val="single" w:color="auto" w:sz="6" w:space="0"/>
              <w:right w:val="single" w:color="auto" w:sz="4" w:space="0"/>
            </w:tcBorders>
            <w:noWrap w:val="0"/>
            <w:vAlign w:val="center"/>
          </w:tcPr>
          <w:p w14:paraId="461A0D00">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14:paraId="66204306">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664" w:type="dxa"/>
            <w:tcBorders>
              <w:top w:val="single" w:color="auto" w:sz="6" w:space="0"/>
              <w:left w:val="single" w:color="auto" w:sz="6" w:space="0"/>
              <w:bottom w:val="single" w:color="auto" w:sz="6" w:space="0"/>
              <w:right w:val="single" w:color="auto" w:sz="6" w:space="0"/>
            </w:tcBorders>
            <w:noWrap w:val="0"/>
            <w:vAlign w:val="center"/>
          </w:tcPr>
          <w:p w14:paraId="5E8E5AAC">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664" w:type="dxa"/>
            <w:tcBorders>
              <w:top w:val="single" w:color="auto" w:sz="6" w:space="0"/>
              <w:left w:val="single" w:color="auto" w:sz="6" w:space="0"/>
              <w:bottom w:val="single" w:color="auto" w:sz="6" w:space="0"/>
              <w:right w:val="single" w:color="auto" w:sz="6" w:space="0"/>
            </w:tcBorders>
            <w:noWrap w:val="0"/>
            <w:vAlign w:val="center"/>
          </w:tcPr>
          <w:p w14:paraId="35DFFB2F">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6D62061E">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6A2C623F">
            <w:pPr>
              <w:spacing w:line="500" w:lineRule="exact"/>
              <w:jc w:val="center"/>
              <w:rPr>
                <w:rFonts w:hint="eastAsia" w:ascii="仿宋" w:hAnsi="仿宋" w:eastAsia="仿宋" w:cs="仿宋"/>
                <w:color w:val="000000" w:themeColor="text1"/>
                <w:szCs w:val="21"/>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0322F125">
            <w:pPr>
              <w:spacing w:line="500" w:lineRule="exact"/>
              <w:jc w:val="center"/>
              <w:rPr>
                <w:rFonts w:hint="eastAsia" w:ascii="仿宋" w:hAnsi="仿宋" w:eastAsia="仿宋" w:cs="仿宋"/>
                <w:color w:val="000000" w:themeColor="text1"/>
                <w:szCs w:val="21"/>
                <w14:textFill>
                  <w14:solidFill>
                    <w14:schemeClr w14:val="tx1"/>
                  </w14:solidFill>
                </w14:textFill>
              </w:rPr>
            </w:pPr>
          </w:p>
        </w:tc>
      </w:tr>
    </w:tbl>
    <w:p w14:paraId="64279B89">
      <w:pPr>
        <w:pStyle w:val="36"/>
        <w:spacing w:line="317" w:lineRule="exact"/>
        <w:rPr>
          <w:rFonts w:hint="eastAsia" w:ascii="仿宋" w:hAnsi="仿宋" w:eastAsia="仿宋" w:cs="仿宋"/>
          <w:color w:val="auto"/>
          <w:sz w:val="24"/>
          <w:szCs w:val="24"/>
          <w:highlight w:val="none"/>
        </w:rPr>
      </w:pPr>
    </w:p>
    <w:p w14:paraId="1C86241F">
      <w:pPr>
        <w:pStyle w:val="36"/>
        <w:spacing w:line="317" w:lineRule="exact"/>
        <w:rPr>
          <w:rFonts w:hint="eastAsia" w:ascii="仿宋" w:hAnsi="仿宋" w:eastAsia="仿宋" w:cs="仿宋"/>
          <w:color w:val="auto"/>
          <w:sz w:val="24"/>
          <w:szCs w:val="24"/>
          <w:highlight w:val="none"/>
        </w:rPr>
      </w:pPr>
    </w:p>
    <w:p w14:paraId="5AAE2D6B">
      <w:pPr>
        <w:pStyle w:val="36"/>
        <w:spacing w:line="317"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所有价格均用人民币表示，单位为元。</w:t>
      </w:r>
    </w:p>
    <w:p w14:paraId="0382BCE2">
      <w:pPr>
        <w:pStyle w:val="36"/>
        <w:tabs>
          <w:tab w:val="left" w:pos="378"/>
        </w:tabs>
        <w:spacing w:line="317" w:lineRule="exact"/>
        <w:ind w:firstLine="720" w:firstLine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2.投标单价</w:t>
      </w:r>
      <w:r>
        <w:rPr>
          <w:rFonts w:hint="eastAsia" w:ascii="仿宋" w:hAnsi="仿宋" w:eastAsia="仿宋" w:cs="仿宋"/>
          <w:color w:val="auto"/>
          <w:sz w:val="24"/>
          <w:szCs w:val="24"/>
          <w:highlight w:val="none"/>
        </w:rPr>
        <w:t>报价必须与《</w:t>
      </w:r>
      <w:r>
        <w:rPr>
          <w:rFonts w:hint="eastAsia" w:ascii="仿宋" w:hAnsi="仿宋" w:eastAsia="仿宋" w:cs="仿宋"/>
          <w:color w:val="auto"/>
          <w:sz w:val="24"/>
          <w:szCs w:val="24"/>
          <w:highlight w:val="none"/>
          <w:lang w:eastAsia="zh-CN"/>
        </w:rPr>
        <w:t>开标一览表</w:t>
      </w:r>
      <w:r>
        <w:rPr>
          <w:rFonts w:hint="eastAsia" w:ascii="仿宋" w:hAnsi="仿宋" w:eastAsia="仿宋" w:cs="仿宋"/>
          <w:color w:val="auto"/>
          <w:sz w:val="24"/>
          <w:szCs w:val="24"/>
          <w:highlight w:val="none"/>
        </w:rPr>
        <w:t>》报价一致。</w:t>
      </w:r>
    </w:p>
    <w:p w14:paraId="41B60553">
      <w:pPr>
        <w:pStyle w:val="36"/>
        <w:tabs>
          <w:tab w:val="left" w:pos="493"/>
        </w:tabs>
        <w:spacing w:line="317" w:lineRule="exact"/>
        <w:ind w:left="240" w:leftChars="10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供应商必须按此表格式中的对应栏目内容填写，若需增加栏目，请在栏目</w:t>
      </w:r>
      <w:r>
        <w:rPr>
          <w:rFonts w:hint="eastAsia" w:ascii="仿宋" w:hAnsi="仿宋" w:eastAsia="仿宋" w:cs="仿宋"/>
          <w:color w:val="auto"/>
          <w:sz w:val="24"/>
          <w:szCs w:val="24"/>
          <w:highlight w:val="none"/>
          <w:lang w:val="zh-CN" w:eastAsia="zh-CN" w:bidi="zh-CN"/>
        </w:rPr>
        <w:t>“备注</w:t>
      </w:r>
      <w:r>
        <w:rPr>
          <w:rFonts w:hint="eastAsia" w:ascii="仿宋" w:hAnsi="仿宋" w:eastAsia="仿宋" w:cs="仿宋"/>
          <w:color w:val="auto"/>
          <w:sz w:val="24"/>
          <w:szCs w:val="24"/>
          <w:highlight w:val="none"/>
        </w:rPr>
        <w:t>”中填写，并作详细说明。</w:t>
      </w:r>
      <w:r>
        <w:rPr>
          <w:rFonts w:hint="eastAsia" w:ascii="仿宋" w:hAnsi="仿宋" w:eastAsia="仿宋" w:cs="仿宋"/>
          <w:b/>
          <w:bCs w:val="0"/>
          <w:color w:val="FF0000"/>
          <w:kern w:val="2"/>
          <w:sz w:val="24"/>
          <w:szCs w:val="24"/>
          <w:highlight w:val="none"/>
          <w:lang w:val="en-US" w:eastAsia="zh-CN" w:bidi="ar-SA"/>
        </w:rPr>
        <w:t>第二次报价或多轮报价需上传分项报价明细表。如不上传分项报价明细表视为不响应谈判文件。</w:t>
      </w:r>
    </w:p>
    <w:p w14:paraId="783E63E4">
      <w:pPr>
        <w:pStyle w:val="36"/>
        <w:tabs>
          <w:tab w:val="left" w:pos="493"/>
        </w:tabs>
        <w:spacing w:line="317" w:lineRule="exact"/>
        <w:ind w:left="176"/>
        <w:rPr>
          <w:rFonts w:ascii="仿宋" w:hAnsi="仿宋" w:eastAsia="仿宋" w:cs="仿宋"/>
          <w:color w:val="auto"/>
          <w:sz w:val="20"/>
          <w:szCs w:val="20"/>
          <w:highlight w:val="none"/>
        </w:rPr>
      </w:pPr>
    </w:p>
    <w:p w14:paraId="1AAE239D">
      <w:pPr>
        <w:pStyle w:val="36"/>
        <w:tabs>
          <w:tab w:val="left" w:pos="493"/>
        </w:tabs>
        <w:spacing w:line="317" w:lineRule="exact"/>
        <w:ind w:left="176"/>
        <w:rPr>
          <w:rFonts w:ascii="仿宋" w:hAnsi="仿宋" w:eastAsia="仿宋" w:cs="仿宋"/>
          <w:color w:val="auto"/>
          <w:sz w:val="20"/>
          <w:szCs w:val="20"/>
          <w:highlight w:val="none"/>
        </w:rPr>
      </w:pPr>
    </w:p>
    <w:p w14:paraId="0C42D6FE">
      <w:pPr>
        <w:pStyle w:val="7"/>
        <w:numPr>
          <w:ilvl w:val="0"/>
          <w:numId w:val="0"/>
        </w:numPr>
        <w:tabs>
          <w:tab w:val="left" w:pos="8227"/>
          <w:tab w:val="clear" w:pos="780"/>
        </w:tabs>
        <w:kinsoku w:val="0"/>
        <w:overflowPunct w:val="0"/>
        <w:spacing w:line="381" w:lineRule="auto"/>
        <w:ind w:left="1680" w:right="118"/>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w w:val="95"/>
          <w:sz w:val="24"/>
          <w:highlight w:val="none"/>
          <w:lang w:eastAsia="zh-CN"/>
        </w:rPr>
        <w:t>（盖章）</w:t>
      </w:r>
      <w:r>
        <w:rPr>
          <w:rFonts w:hint="eastAsia" w:ascii="仿宋" w:hAnsi="仿宋" w:eastAsia="仿宋" w:cs="仿宋"/>
          <w:color w:val="auto"/>
          <w:sz w:val="24"/>
          <w:highlight w:val="none"/>
          <w:lang w:eastAsia="zh-CN"/>
        </w:rPr>
        <w:t xml:space="preserve"> </w:t>
      </w:r>
    </w:p>
    <w:p w14:paraId="13AD2BE2">
      <w:pPr>
        <w:pStyle w:val="7"/>
        <w:numPr>
          <w:ilvl w:val="0"/>
          <w:numId w:val="0"/>
        </w:numPr>
        <w:tabs>
          <w:tab w:val="left" w:pos="8227"/>
          <w:tab w:val="clear" w:pos="780"/>
        </w:tabs>
        <w:kinsoku w:val="0"/>
        <w:overflowPunct w:val="0"/>
        <w:spacing w:line="381" w:lineRule="auto"/>
        <w:ind w:left="1680" w:right="118"/>
        <w:rPr>
          <w:rFonts w:ascii="仿宋" w:hAnsi="仿宋" w:eastAsia="仿宋" w:cs="仿宋"/>
          <w:color w:val="auto"/>
          <w:w w:val="95"/>
          <w:sz w:val="24"/>
          <w:highlight w:val="none"/>
          <w:lang w:eastAsia="zh-CN"/>
        </w:rPr>
      </w:pPr>
      <w:r>
        <w:rPr>
          <w:rFonts w:hint="eastAsia" w:ascii="仿宋" w:hAnsi="仿宋" w:eastAsia="仿宋" w:cs="仿宋"/>
          <w:color w:val="auto"/>
          <w:sz w:val="24"/>
          <w:highlight w:val="none"/>
          <w:lang w:eastAsia="zh-CN"/>
        </w:rPr>
        <w:t>法定代表人或被授权人：</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w w:val="95"/>
          <w:sz w:val="24"/>
          <w:highlight w:val="none"/>
          <w:lang w:eastAsia="zh-CN"/>
        </w:rPr>
        <w:t>（签章）</w:t>
      </w:r>
    </w:p>
    <w:p w14:paraId="32BF0202">
      <w:pPr>
        <w:pStyle w:val="7"/>
        <w:numPr>
          <w:ilvl w:val="0"/>
          <w:numId w:val="0"/>
        </w:numPr>
        <w:tabs>
          <w:tab w:val="left" w:pos="5551"/>
          <w:tab w:val="left" w:pos="6511"/>
          <w:tab w:val="left" w:pos="7111"/>
          <w:tab w:val="left" w:pos="7711"/>
          <w:tab w:val="clear" w:pos="780"/>
        </w:tabs>
        <w:kinsoku w:val="0"/>
        <w:overflowPunct w:val="0"/>
        <w:spacing w:before="46"/>
        <w:ind w:left="3928"/>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日期：</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日</w:t>
      </w:r>
    </w:p>
    <w:p w14:paraId="08658AD3">
      <w:pPr>
        <w:pStyle w:val="7"/>
        <w:numPr>
          <w:ilvl w:val="0"/>
          <w:numId w:val="0"/>
        </w:numPr>
        <w:kinsoku w:val="0"/>
        <w:overflowPunct w:val="0"/>
        <w:spacing w:before="34" w:line="357" w:lineRule="auto"/>
        <w:ind w:left="480" w:right="126"/>
        <w:jc w:val="center"/>
        <w:rPr>
          <w:rFonts w:ascii="仿宋" w:hAnsi="仿宋" w:eastAsia="仿宋" w:cs="仿宋"/>
          <w:b/>
          <w:bCs/>
          <w:color w:val="auto"/>
          <w:sz w:val="36"/>
          <w:szCs w:val="36"/>
          <w:highlight w:val="none"/>
          <w:lang w:eastAsia="zh-CN"/>
        </w:rPr>
      </w:pPr>
    </w:p>
    <w:p w14:paraId="2497572D">
      <w:pPr>
        <w:pStyle w:val="7"/>
        <w:numPr>
          <w:ilvl w:val="0"/>
          <w:numId w:val="0"/>
        </w:numPr>
        <w:tabs>
          <w:tab w:val="clear" w:pos="780"/>
        </w:tabs>
        <w:kinsoku w:val="0"/>
        <w:overflowPunct w:val="0"/>
        <w:spacing w:before="46"/>
        <w:ind w:left="3928" w:leftChars="0" w:right="0" w:rightChars="0"/>
        <w:rPr>
          <w:rFonts w:hint="eastAsia" w:ascii="仿宋" w:hAnsi="仿宋" w:eastAsia="仿宋" w:cs="仿宋"/>
          <w:color w:val="auto"/>
          <w:sz w:val="24"/>
          <w:szCs w:val="24"/>
        </w:rPr>
      </w:pPr>
    </w:p>
    <w:p w14:paraId="531F0F12">
      <w:pPr>
        <w:pStyle w:val="7"/>
        <w:numPr>
          <w:ilvl w:val="0"/>
          <w:numId w:val="0"/>
        </w:numPr>
        <w:tabs>
          <w:tab w:val="clear" w:pos="780"/>
        </w:tabs>
        <w:kinsoku w:val="0"/>
        <w:overflowPunct w:val="0"/>
        <w:spacing w:before="46"/>
        <w:ind w:right="0" w:rightChars="0"/>
        <w:jc w:val="both"/>
        <w:rPr>
          <w:rFonts w:hint="eastAsia" w:ascii="仿宋" w:hAnsi="仿宋" w:eastAsia="仿宋" w:cs="仿宋"/>
          <w:b/>
          <w:bCs/>
          <w:color w:val="auto"/>
          <w:spacing w:val="0"/>
          <w:w w:val="100"/>
          <w:position w:val="0"/>
          <w:sz w:val="36"/>
          <w:szCs w:val="36"/>
          <w:lang w:val="en-US" w:eastAsia="zh-CN"/>
        </w:rPr>
      </w:pPr>
    </w:p>
    <w:p w14:paraId="203B2BFA">
      <w:pPr>
        <w:pStyle w:val="7"/>
        <w:numPr>
          <w:ilvl w:val="0"/>
          <w:numId w:val="0"/>
        </w:numPr>
        <w:tabs>
          <w:tab w:val="clear" w:pos="780"/>
        </w:tabs>
        <w:kinsoku w:val="0"/>
        <w:overflowPunct w:val="0"/>
        <w:spacing w:before="46"/>
        <w:ind w:right="0" w:rightChars="0"/>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5、技术条款偏离表</w:t>
      </w:r>
    </w:p>
    <w:tbl>
      <w:tblPr>
        <w:tblStyle w:val="21"/>
        <w:tblW w:w="75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7"/>
        <w:gridCol w:w="1327"/>
      </w:tblGrid>
      <w:tr w14:paraId="1DF88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536D22B1">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序号</w:t>
            </w:r>
          </w:p>
        </w:tc>
        <w:tc>
          <w:tcPr>
            <w:tcW w:w="1357" w:type="dxa"/>
            <w:vAlign w:val="center"/>
          </w:tcPr>
          <w:p w14:paraId="0FE967C5">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货物名称</w:t>
            </w:r>
          </w:p>
        </w:tc>
        <w:tc>
          <w:tcPr>
            <w:tcW w:w="1326" w:type="dxa"/>
            <w:vAlign w:val="center"/>
          </w:tcPr>
          <w:p w14:paraId="1191C86A">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lang w:eastAsia="zh-CN"/>
              </w:rPr>
              <w:t>谈判文件</w:t>
            </w:r>
            <w:r>
              <w:rPr>
                <w:rFonts w:hint="eastAsia" w:ascii="仿宋" w:hAnsi="仿宋" w:eastAsia="仿宋" w:cs="仿宋"/>
                <w:bCs/>
                <w:color w:val="auto"/>
                <w:sz w:val="24"/>
                <w:szCs w:val="24"/>
              </w:rPr>
              <w:t>要求规格</w:t>
            </w:r>
          </w:p>
        </w:tc>
        <w:tc>
          <w:tcPr>
            <w:tcW w:w="1326" w:type="dxa"/>
            <w:vAlign w:val="center"/>
          </w:tcPr>
          <w:p w14:paraId="4582ABE2">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投标规格</w:t>
            </w:r>
          </w:p>
        </w:tc>
        <w:tc>
          <w:tcPr>
            <w:tcW w:w="1327" w:type="dxa"/>
            <w:vAlign w:val="center"/>
          </w:tcPr>
          <w:p w14:paraId="5EADAD66">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偏离</w:t>
            </w:r>
          </w:p>
        </w:tc>
        <w:tc>
          <w:tcPr>
            <w:tcW w:w="1327" w:type="dxa"/>
            <w:vAlign w:val="center"/>
          </w:tcPr>
          <w:p w14:paraId="6306376D">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说明</w:t>
            </w:r>
          </w:p>
        </w:tc>
      </w:tr>
      <w:tr w14:paraId="06CA7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580DB32B">
            <w:pPr>
              <w:jc w:val="center"/>
              <w:rPr>
                <w:rFonts w:hint="eastAsia" w:ascii="仿宋" w:hAnsi="仿宋" w:eastAsia="仿宋" w:cs="仿宋"/>
                <w:b/>
                <w:bCs/>
                <w:color w:val="auto"/>
                <w:sz w:val="24"/>
                <w:szCs w:val="24"/>
              </w:rPr>
            </w:pPr>
          </w:p>
        </w:tc>
        <w:tc>
          <w:tcPr>
            <w:tcW w:w="1357" w:type="dxa"/>
          </w:tcPr>
          <w:p w14:paraId="35335D4E">
            <w:pPr>
              <w:jc w:val="center"/>
              <w:rPr>
                <w:rFonts w:hint="eastAsia" w:ascii="仿宋" w:hAnsi="仿宋" w:eastAsia="仿宋" w:cs="仿宋"/>
                <w:b/>
                <w:bCs/>
                <w:color w:val="auto"/>
                <w:sz w:val="24"/>
                <w:szCs w:val="24"/>
              </w:rPr>
            </w:pPr>
          </w:p>
        </w:tc>
        <w:tc>
          <w:tcPr>
            <w:tcW w:w="1326" w:type="dxa"/>
          </w:tcPr>
          <w:p w14:paraId="6F3F5FD4">
            <w:pPr>
              <w:jc w:val="center"/>
              <w:rPr>
                <w:rFonts w:hint="eastAsia" w:ascii="仿宋" w:hAnsi="仿宋" w:eastAsia="仿宋" w:cs="仿宋"/>
                <w:b/>
                <w:bCs/>
                <w:color w:val="auto"/>
                <w:sz w:val="24"/>
                <w:szCs w:val="24"/>
              </w:rPr>
            </w:pPr>
          </w:p>
        </w:tc>
        <w:tc>
          <w:tcPr>
            <w:tcW w:w="1326" w:type="dxa"/>
          </w:tcPr>
          <w:p w14:paraId="4C93566C">
            <w:pPr>
              <w:jc w:val="center"/>
              <w:rPr>
                <w:rFonts w:hint="eastAsia" w:ascii="仿宋" w:hAnsi="仿宋" w:eastAsia="仿宋" w:cs="仿宋"/>
                <w:b/>
                <w:bCs/>
                <w:color w:val="auto"/>
                <w:sz w:val="24"/>
                <w:szCs w:val="24"/>
              </w:rPr>
            </w:pPr>
          </w:p>
        </w:tc>
        <w:tc>
          <w:tcPr>
            <w:tcW w:w="1327" w:type="dxa"/>
          </w:tcPr>
          <w:p w14:paraId="25F866FE">
            <w:pPr>
              <w:jc w:val="center"/>
              <w:rPr>
                <w:rFonts w:hint="eastAsia" w:ascii="仿宋" w:hAnsi="仿宋" w:eastAsia="仿宋" w:cs="仿宋"/>
                <w:b/>
                <w:bCs/>
                <w:color w:val="auto"/>
                <w:sz w:val="24"/>
                <w:szCs w:val="24"/>
              </w:rPr>
            </w:pPr>
            <w:r>
              <w:rPr>
                <w:rFonts w:hint="eastAsia" w:ascii="仿宋" w:hAnsi="仿宋" w:eastAsia="仿宋" w:cs="仿宋"/>
                <w:bCs/>
                <w:color w:val="auto"/>
                <w:sz w:val="24"/>
                <w:szCs w:val="24"/>
                <w:lang w:val="en-US" w:eastAsia="zh-CN"/>
              </w:rPr>
              <w:t>如有正偏离需提供证明材料，证明材料附后(并注明页码)</w:t>
            </w:r>
          </w:p>
        </w:tc>
        <w:tc>
          <w:tcPr>
            <w:tcW w:w="1327" w:type="dxa"/>
          </w:tcPr>
          <w:p w14:paraId="76AFF765">
            <w:pPr>
              <w:jc w:val="center"/>
              <w:rPr>
                <w:rFonts w:hint="eastAsia" w:ascii="仿宋" w:hAnsi="仿宋" w:eastAsia="仿宋" w:cs="仿宋"/>
                <w:b/>
                <w:bCs/>
                <w:color w:val="auto"/>
                <w:sz w:val="24"/>
                <w:szCs w:val="24"/>
              </w:rPr>
            </w:pPr>
          </w:p>
        </w:tc>
      </w:tr>
      <w:tr w14:paraId="3B4BC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5F1BA75F">
            <w:pPr>
              <w:jc w:val="center"/>
              <w:rPr>
                <w:rFonts w:hint="eastAsia" w:ascii="仿宋" w:hAnsi="仿宋" w:eastAsia="仿宋" w:cs="仿宋"/>
                <w:b/>
                <w:bCs/>
                <w:color w:val="auto"/>
                <w:sz w:val="24"/>
                <w:szCs w:val="24"/>
              </w:rPr>
            </w:pPr>
          </w:p>
        </w:tc>
        <w:tc>
          <w:tcPr>
            <w:tcW w:w="1357" w:type="dxa"/>
          </w:tcPr>
          <w:p w14:paraId="1FF71C79">
            <w:pPr>
              <w:jc w:val="center"/>
              <w:rPr>
                <w:rFonts w:hint="eastAsia" w:ascii="仿宋" w:hAnsi="仿宋" w:eastAsia="仿宋" w:cs="仿宋"/>
                <w:b/>
                <w:bCs/>
                <w:color w:val="auto"/>
                <w:sz w:val="24"/>
                <w:szCs w:val="24"/>
              </w:rPr>
            </w:pPr>
          </w:p>
        </w:tc>
        <w:tc>
          <w:tcPr>
            <w:tcW w:w="1326" w:type="dxa"/>
          </w:tcPr>
          <w:p w14:paraId="7564E98A">
            <w:pPr>
              <w:jc w:val="center"/>
              <w:rPr>
                <w:rFonts w:hint="eastAsia" w:ascii="仿宋" w:hAnsi="仿宋" w:eastAsia="仿宋" w:cs="仿宋"/>
                <w:b/>
                <w:bCs/>
                <w:color w:val="auto"/>
                <w:sz w:val="24"/>
                <w:szCs w:val="24"/>
              </w:rPr>
            </w:pPr>
          </w:p>
        </w:tc>
        <w:tc>
          <w:tcPr>
            <w:tcW w:w="1326" w:type="dxa"/>
          </w:tcPr>
          <w:p w14:paraId="12549725">
            <w:pPr>
              <w:jc w:val="center"/>
              <w:rPr>
                <w:rFonts w:hint="eastAsia" w:ascii="仿宋" w:hAnsi="仿宋" w:eastAsia="仿宋" w:cs="仿宋"/>
                <w:b/>
                <w:bCs/>
                <w:color w:val="auto"/>
                <w:sz w:val="24"/>
                <w:szCs w:val="24"/>
              </w:rPr>
            </w:pPr>
          </w:p>
        </w:tc>
        <w:tc>
          <w:tcPr>
            <w:tcW w:w="1327" w:type="dxa"/>
          </w:tcPr>
          <w:p w14:paraId="15F8F0D7">
            <w:pPr>
              <w:jc w:val="center"/>
              <w:rPr>
                <w:rFonts w:hint="eastAsia" w:ascii="仿宋" w:hAnsi="仿宋" w:eastAsia="仿宋" w:cs="仿宋"/>
                <w:b/>
                <w:bCs/>
                <w:color w:val="auto"/>
                <w:sz w:val="24"/>
                <w:szCs w:val="24"/>
              </w:rPr>
            </w:pPr>
          </w:p>
        </w:tc>
        <w:tc>
          <w:tcPr>
            <w:tcW w:w="1327" w:type="dxa"/>
          </w:tcPr>
          <w:p w14:paraId="0549FC3F">
            <w:pPr>
              <w:jc w:val="center"/>
              <w:rPr>
                <w:rFonts w:hint="eastAsia" w:ascii="仿宋" w:hAnsi="仿宋" w:eastAsia="仿宋" w:cs="仿宋"/>
                <w:b/>
                <w:bCs/>
                <w:color w:val="auto"/>
                <w:sz w:val="24"/>
                <w:szCs w:val="24"/>
              </w:rPr>
            </w:pPr>
          </w:p>
        </w:tc>
      </w:tr>
      <w:tr w14:paraId="03C87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7F1320AA">
            <w:pPr>
              <w:jc w:val="center"/>
              <w:rPr>
                <w:rFonts w:hint="eastAsia" w:ascii="仿宋" w:hAnsi="仿宋" w:eastAsia="仿宋" w:cs="仿宋"/>
                <w:b/>
                <w:bCs/>
                <w:color w:val="auto"/>
                <w:sz w:val="24"/>
                <w:szCs w:val="24"/>
              </w:rPr>
            </w:pPr>
          </w:p>
        </w:tc>
        <w:tc>
          <w:tcPr>
            <w:tcW w:w="1357" w:type="dxa"/>
          </w:tcPr>
          <w:p w14:paraId="267E833A">
            <w:pPr>
              <w:jc w:val="center"/>
              <w:rPr>
                <w:rFonts w:hint="eastAsia" w:ascii="仿宋" w:hAnsi="仿宋" w:eastAsia="仿宋" w:cs="仿宋"/>
                <w:b/>
                <w:bCs/>
                <w:color w:val="auto"/>
                <w:sz w:val="24"/>
                <w:szCs w:val="24"/>
              </w:rPr>
            </w:pPr>
          </w:p>
        </w:tc>
        <w:tc>
          <w:tcPr>
            <w:tcW w:w="1326" w:type="dxa"/>
          </w:tcPr>
          <w:p w14:paraId="7EBD80D7">
            <w:pPr>
              <w:jc w:val="center"/>
              <w:rPr>
                <w:rFonts w:hint="eastAsia" w:ascii="仿宋" w:hAnsi="仿宋" w:eastAsia="仿宋" w:cs="仿宋"/>
                <w:b/>
                <w:bCs/>
                <w:color w:val="auto"/>
                <w:sz w:val="24"/>
                <w:szCs w:val="24"/>
              </w:rPr>
            </w:pPr>
          </w:p>
        </w:tc>
        <w:tc>
          <w:tcPr>
            <w:tcW w:w="1326" w:type="dxa"/>
          </w:tcPr>
          <w:p w14:paraId="584BC4FC">
            <w:pPr>
              <w:jc w:val="center"/>
              <w:rPr>
                <w:rFonts w:hint="eastAsia" w:ascii="仿宋" w:hAnsi="仿宋" w:eastAsia="仿宋" w:cs="仿宋"/>
                <w:b/>
                <w:bCs/>
                <w:color w:val="auto"/>
                <w:sz w:val="24"/>
                <w:szCs w:val="24"/>
              </w:rPr>
            </w:pPr>
          </w:p>
        </w:tc>
        <w:tc>
          <w:tcPr>
            <w:tcW w:w="1327" w:type="dxa"/>
          </w:tcPr>
          <w:p w14:paraId="67190755">
            <w:pPr>
              <w:jc w:val="center"/>
              <w:rPr>
                <w:rFonts w:hint="eastAsia" w:ascii="仿宋" w:hAnsi="仿宋" w:eastAsia="仿宋" w:cs="仿宋"/>
                <w:b/>
                <w:bCs/>
                <w:color w:val="auto"/>
                <w:sz w:val="24"/>
                <w:szCs w:val="24"/>
              </w:rPr>
            </w:pPr>
          </w:p>
        </w:tc>
        <w:tc>
          <w:tcPr>
            <w:tcW w:w="1327" w:type="dxa"/>
          </w:tcPr>
          <w:p w14:paraId="2DEB40D7">
            <w:pPr>
              <w:jc w:val="center"/>
              <w:rPr>
                <w:rFonts w:hint="eastAsia" w:ascii="仿宋" w:hAnsi="仿宋" w:eastAsia="仿宋" w:cs="仿宋"/>
                <w:b/>
                <w:bCs/>
                <w:color w:val="auto"/>
                <w:sz w:val="24"/>
                <w:szCs w:val="24"/>
              </w:rPr>
            </w:pPr>
          </w:p>
        </w:tc>
      </w:tr>
      <w:tr w14:paraId="3EC3D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771B0D32">
            <w:pPr>
              <w:jc w:val="center"/>
              <w:rPr>
                <w:rFonts w:hint="eastAsia" w:ascii="仿宋" w:hAnsi="仿宋" w:eastAsia="仿宋" w:cs="仿宋"/>
                <w:b/>
                <w:bCs/>
                <w:color w:val="auto"/>
                <w:sz w:val="24"/>
                <w:szCs w:val="24"/>
              </w:rPr>
            </w:pPr>
          </w:p>
        </w:tc>
        <w:tc>
          <w:tcPr>
            <w:tcW w:w="1357" w:type="dxa"/>
          </w:tcPr>
          <w:p w14:paraId="60A3F386">
            <w:pPr>
              <w:jc w:val="center"/>
              <w:rPr>
                <w:rFonts w:hint="eastAsia" w:ascii="仿宋" w:hAnsi="仿宋" w:eastAsia="仿宋" w:cs="仿宋"/>
                <w:b/>
                <w:bCs/>
                <w:color w:val="auto"/>
                <w:sz w:val="24"/>
                <w:szCs w:val="24"/>
              </w:rPr>
            </w:pPr>
          </w:p>
        </w:tc>
        <w:tc>
          <w:tcPr>
            <w:tcW w:w="1326" w:type="dxa"/>
          </w:tcPr>
          <w:p w14:paraId="78AFB554">
            <w:pPr>
              <w:jc w:val="center"/>
              <w:rPr>
                <w:rFonts w:hint="eastAsia" w:ascii="仿宋" w:hAnsi="仿宋" w:eastAsia="仿宋" w:cs="仿宋"/>
                <w:b/>
                <w:bCs/>
                <w:color w:val="auto"/>
                <w:sz w:val="24"/>
                <w:szCs w:val="24"/>
              </w:rPr>
            </w:pPr>
          </w:p>
        </w:tc>
        <w:tc>
          <w:tcPr>
            <w:tcW w:w="1326" w:type="dxa"/>
          </w:tcPr>
          <w:p w14:paraId="57D53F98">
            <w:pPr>
              <w:jc w:val="center"/>
              <w:rPr>
                <w:rFonts w:hint="eastAsia" w:ascii="仿宋" w:hAnsi="仿宋" w:eastAsia="仿宋" w:cs="仿宋"/>
                <w:b/>
                <w:bCs/>
                <w:color w:val="auto"/>
                <w:sz w:val="24"/>
                <w:szCs w:val="24"/>
              </w:rPr>
            </w:pPr>
          </w:p>
        </w:tc>
        <w:tc>
          <w:tcPr>
            <w:tcW w:w="1327" w:type="dxa"/>
          </w:tcPr>
          <w:p w14:paraId="0765DB12">
            <w:pPr>
              <w:jc w:val="center"/>
              <w:rPr>
                <w:rFonts w:hint="eastAsia" w:ascii="仿宋" w:hAnsi="仿宋" w:eastAsia="仿宋" w:cs="仿宋"/>
                <w:b/>
                <w:bCs/>
                <w:color w:val="auto"/>
                <w:sz w:val="24"/>
                <w:szCs w:val="24"/>
              </w:rPr>
            </w:pPr>
          </w:p>
        </w:tc>
        <w:tc>
          <w:tcPr>
            <w:tcW w:w="1327" w:type="dxa"/>
          </w:tcPr>
          <w:p w14:paraId="6CA8AEEB">
            <w:pPr>
              <w:jc w:val="center"/>
              <w:rPr>
                <w:rFonts w:hint="eastAsia" w:ascii="仿宋" w:hAnsi="仿宋" w:eastAsia="仿宋" w:cs="仿宋"/>
                <w:b/>
                <w:bCs/>
                <w:color w:val="auto"/>
                <w:sz w:val="24"/>
                <w:szCs w:val="24"/>
              </w:rPr>
            </w:pPr>
          </w:p>
        </w:tc>
      </w:tr>
      <w:tr w14:paraId="22468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447B054F">
            <w:pPr>
              <w:jc w:val="center"/>
              <w:rPr>
                <w:rFonts w:hint="eastAsia" w:ascii="仿宋" w:hAnsi="仿宋" w:eastAsia="仿宋" w:cs="仿宋"/>
                <w:b/>
                <w:bCs/>
                <w:color w:val="auto"/>
                <w:sz w:val="24"/>
                <w:szCs w:val="24"/>
              </w:rPr>
            </w:pPr>
          </w:p>
        </w:tc>
        <w:tc>
          <w:tcPr>
            <w:tcW w:w="1357" w:type="dxa"/>
          </w:tcPr>
          <w:p w14:paraId="3FD0C829">
            <w:pPr>
              <w:jc w:val="center"/>
              <w:rPr>
                <w:rFonts w:hint="eastAsia" w:ascii="仿宋" w:hAnsi="仿宋" w:eastAsia="仿宋" w:cs="仿宋"/>
                <w:b/>
                <w:bCs/>
                <w:color w:val="auto"/>
                <w:sz w:val="24"/>
                <w:szCs w:val="24"/>
              </w:rPr>
            </w:pPr>
          </w:p>
        </w:tc>
        <w:tc>
          <w:tcPr>
            <w:tcW w:w="1326" w:type="dxa"/>
          </w:tcPr>
          <w:p w14:paraId="3D94DCCC">
            <w:pPr>
              <w:jc w:val="center"/>
              <w:rPr>
                <w:rFonts w:hint="eastAsia" w:ascii="仿宋" w:hAnsi="仿宋" w:eastAsia="仿宋" w:cs="仿宋"/>
                <w:b/>
                <w:bCs/>
                <w:color w:val="auto"/>
                <w:sz w:val="24"/>
                <w:szCs w:val="24"/>
              </w:rPr>
            </w:pPr>
          </w:p>
        </w:tc>
        <w:tc>
          <w:tcPr>
            <w:tcW w:w="1326" w:type="dxa"/>
          </w:tcPr>
          <w:p w14:paraId="47EC323D">
            <w:pPr>
              <w:jc w:val="center"/>
              <w:rPr>
                <w:rFonts w:hint="eastAsia" w:ascii="仿宋" w:hAnsi="仿宋" w:eastAsia="仿宋" w:cs="仿宋"/>
                <w:b/>
                <w:bCs/>
                <w:color w:val="auto"/>
                <w:sz w:val="24"/>
                <w:szCs w:val="24"/>
              </w:rPr>
            </w:pPr>
          </w:p>
        </w:tc>
        <w:tc>
          <w:tcPr>
            <w:tcW w:w="1327" w:type="dxa"/>
          </w:tcPr>
          <w:p w14:paraId="115C9EBC">
            <w:pPr>
              <w:jc w:val="center"/>
              <w:rPr>
                <w:rFonts w:hint="eastAsia" w:ascii="仿宋" w:hAnsi="仿宋" w:eastAsia="仿宋" w:cs="仿宋"/>
                <w:b/>
                <w:bCs/>
                <w:color w:val="auto"/>
                <w:sz w:val="24"/>
                <w:szCs w:val="24"/>
              </w:rPr>
            </w:pPr>
          </w:p>
        </w:tc>
        <w:tc>
          <w:tcPr>
            <w:tcW w:w="1327" w:type="dxa"/>
          </w:tcPr>
          <w:p w14:paraId="35D8F413">
            <w:pPr>
              <w:jc w:val="center"/>
              <w:rPr>
                <w:rFonts w:hint="eastAsia" w:ascii="仿宋" w:hAnsi="仿宋" w:eastAsia="仿宋" w:cs="仿宋"/>
                <w:b/>
                <w:bCs/>
                <w:color w:val="auto"/>
                <w:sz w:val="24"/>
                <w:szCs w:val="24"/>
              </w:rPr>
            </w:pPr>
          </w:p>
        </w:tc>
      </w:tr>
    </w:tbl>
    <w:p w14:paraId="608CF9D2">
      <w:pPr>
        <w:spacing w:line="360" w:lineRule="auto"/>
        <w:ind w:firstLine="475" w:firstLineChars="198"/>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备注：投标人应根据其提供的</w:t>
      </w:r>
      <w:r>
        <w:rPr>
          <w:rFonts w:hint="eastAsia" w:ascii="仿宋" w:hAnsi="仿宋" w:eastAsia="仿宋" w:cs="仿宋"/>
          <w:color w:val="auto"/>
          <w:sz w:val="24"/>
          <w:szCs w:val="24"/>
          <w:lang w:val="en-US" w:eastAsia="zh-CN"/>
        </w:rPr>
        <w:t>服务</w:t>
      </w:r>
      <w:r>
        <w:rPr>
          <w:rFonts w:hint="eastAsia" w:ascii="仿宋" w:hAnsi="仿宋" w:eastAsia="仿宋" w:cs="仿宋"/>
          <w:color w:val="auto"/>
          <w:sz w:val="24"/>
          <w:szCs w:val="24"/>
        </w:rPr>
        <w:t>，对照</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第</w:t>
      </w: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章“技术标准和要求”中的要求，有差异的，则在此表中列明实际响应的内容提要并加以说明，以便查对。本表包括所有的技术响应及差异。无差异说明表示完全响应</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未列明项视为完全响应，正偏离需附</w:t>
      </w:r>
      <w:r>
        <w:rPr>
          <w:rFonts w:hint="eastAsia" w:ascii="仿宋" w:hAnsi="仿宋" w:eastAsia="仿宋" w:cs="仿宋"/>
          <w:color w:val="auto"/>
          <w:sz w:val="24"/>
          <w:szCs w:val="24"/>
          <w:lang w:val="en-US" w:eastAsia="zh-CN"/>
        </w:rPr>
        <w:t>相关证明材料</w:t>
      </w:r>
      <w:r>
        <w:rPr>
          <w:rFonts w:hint="eastAsia" w:ascii="仿宋" w:hAnsi="仿宋" w:eastAsia="仿宋" w:cs="仿宋"/>
          <w:color w:val="auto"/>
          <w:sz w:val="24"/>
          <w:szCs w:val="24"/>
        </w:rPr>
        <w:t>。</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该项目技术要求不允许负偏离，如偏离按废标处理</w:t>
      </w:r>
      <w:r>
        <w:rPr>
          <w:rFonts w:hint="eastAsia" w:ascii="仿宋" w:hAnsi="仿宋" w:eastAsia="仿宋" w:cs="仿宋"/>
          <w:b/>
          <w:bCs/>
          <w:color w:val="auto"/>
          <w:sz w:val="24"/>
          <w:szCs w:val="24"/>
          <w:lang w:eastAsia="zh-CN"/>
        </w:rPr>
        <w:t>）</w:t>
      </w:r>
    </w:p>
    <w:p w14:paraId="22C066BA">
      <w:pPr>
        <w:pStyle w:val="10"/>
        <w:tabs>
          <w:tab w:val="left" w:pos="5580"/>
        </w:tabs>
        <w:spacing w:line="360" w:lineRule="auto"/>
        <w:ind w:firstLine="3120" w:firstLineChars="1300"/>
        <w:rPr>
          <w:rFonts w:hint="eastAsia" w:ascii="仿宋" w:hAnsi="仿宋" w:eastAsia="仿宋" w:cs="仿宋"/>
          <w:color w:val="auto"/>
          <w:sz w:val="24"/>
        </w:rPr>
      </w:pPr>
    </w:p>
    <w:p w14:paraId="62AF248A">
      <w:pPr>
        <w:pStyle w:val="10"/>
        <w:tabs>
          <w:tab w:val="left" w:pos="5580"/>
        </w:tabs>
        <w:spacing w:line="360" w:lineRule="auto"/>
        <w:ind w:firstLine="3120" w:firstLineChars="1300"/>
        <w:rPr>
          <w:rFonts w:hint="eastAsia" w:ascii="仿宋" w:hAnsi="仿宋" w:eastAsia="仿宋" w:cs="仿宋"/>
          <w:color w:val="auto"/>
          <w:sz w:val="24"/>
        </w:rPr>
      </w:pPr>
      <w:r>
        <w:rPr>
          <w:rFonts w:hint="eastAsia" w:ascii="仿宋" w:hAnsi="仿宋" w:eastAsia="仿宋" w:cs="仿宋"/>
          <w:color w:val="auto"/>
          <w:sz w:val="24"/>
        </w:rPr>
        <w:t>投标人（盖章）：</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14:paraId="0B299ADB">
      <w:pPr>
        <w:pStyle w:val="10"/>
        <w:tabs>
          <w:tab w:val="left" w:pos="5580"/>
        </w:tabs>
        <w:spacing w:line="360" w:lineRule="auto"/>
        <w:ind w:firstLine="3120" w:firstLineChars="1300"/>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sz w:val="24"/>
          <w:lang w:eastAsia="zh-CN"/>
        </w:rPr>
        <w:t>法定代表人或</w:t>
      </w:r>
      <w:r>
        <w:rPr>
          <w:rFonts w:hint="eastAsia" w:ascii="仿宋" w:hAnsi="仿宋" w:eastAsia="仿宋" w:cs="仿宋"/>
          <w:color w:val="auto"/>
          <w:kern w:val="0"/>
          <w:sz w:val="24"/>
          <w:szCs w:val="24"/>
        </w:rPr>
        <w:t>委托代理人</w:t>
      </w:r>
      <w:r>
        <w:rPr>
          <w:rFonts w:hint="eastAsia" w:ascii="仿宋" w:hAnsi="仿宋" w:eastAsia="仿宋" w:cs="仿宋"/>
          <w:color w:val="auto"/>
          <w:sz w:val="24"/>
          <w:lang w:eastAsia="zh-CN"/>
        </w:rPr>
        <w:t>（签字或盖章）</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u w:val="single"/>
          <w:lang w:val="en-US" w:eastAsia="zh-CN"/>
        </w:rPr>
        <w:t xml:space="preserve">                   </w:t>
      </w:r>
    </w:p>
    <w:p w14:paraId="6DAFFBEC">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p w14:paraId="2B2893AF">
      <w:pPr>
        <w:pStyle w:val="4"/>
        <w:rPr>
          <w:rFonts w:hint="eastAsia" w:ascii="仿宋" w:hAnsi="仿宋" w:eastAsia="仿宋" w:cs="仿宋"/>
          <w:b/>
          <w:bCs/>
          <w:color w:val="auto"/>
          <w:sz w:val="36"/>
          <w:szCs w:val="36"/>
        </w:rPr>
      </w:pPr>
    </w:p>
    <w:p w14:paraId="5F89E49F">
      <w:pPr>
        <w:rPr>
          <w:rFonts w:hint="eastAsia" w:ascii="仿宋" w:hAnsi="仿宋" w:eastAsia="仿宋" w:cs="仿宋"/>
          <w:color w:val="auto"/>
        </w:rPr>
      </w:pPr>
    </w:p>
    <w:p w14:paraId="4302E88C">
      <w:pPr>
        <w:pStyle w:val="3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14:paraId="7C4EBE71">
      <w:pPr>
        <w:pStyle w:val="3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14:paraId="0959F4D4">
      <w:pPr>
        <w:pStyle w:val="3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14:paraId="7D530045">
      <w:pPr>
        <w:pStyle w:val="3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14:paraId="0C51FF0E">
      <w:pPr>
        <w:pStyle w:val="3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14:paraId="4DA673BB">
      <w:pPr>
        <w:pStyle w:val="33"/>
        <w:keepNext w:val="0"/>
        <w:keepLines w:val="0"/>
        <w:widowControl w:val="0"/>
        <w:shd w:val="clear" w:color="auto" w:fill="auto"/>
        <w:bidi w:val="0"/>
        <w:spacing w:before="0" w:after="0" w:line="240" w:lineRule="auto"/>
        <w:ind w:left="0" w:leftChars="0" w:right="0" w:firstLine="2530" w:firstLineChars="700"/>
        <w:jc w:val="both"/>
        <w:rPr>
          <w:rFonts w:hint="eastAsia" w:ascii="仿宋" w:hAnsi="仿宋" w:eastAsia="仿宋" w:cs="仿宋"/>
          <w:b/>
          <w:bCs/>
          <w:color w:val="auto"/>
          <w:spacing w:val="0"/>
          <w:w w:val="100"/>
          <w:position w:val="0"/>
          <w:sz w:val="36"/>
          <w:szCs w:val="36"/>
          <w:lang w:eastAsia="zh-CN"/>
        </w:rPr>
      </w:pPr>
      <w:r>
        <w:rPr>
          <w:rFonts w:hint="eastAsia" w:ascii="仿宋" w:hAnsi="仿宋" w:eastAsia="仿宋" w:cs="仿宋"/>
          <w:b/>
          <w:bCs/>
          <w:color w:val="auto"/>
          <w:spacing w:val="0"/>
          <w:w w:val="100"/>
          <w:position w:val="0"/>
          <w:sz w:val="36"/>
          <w:szCs w:val="36"/>
          <w:lang w:val="en-US" w:eastAsia="zh-CN"/>
        </w:rPr>
        <w:t>6</w:t>
      </w:r>
      <w:r>
        <w:rPr>
          <w:rFonts w:hint="eastAsia" w:ascii="仿宋" w:hAnsi="仿宋" w:eastAsia="仿宋" w:cs="仿宋"/>
          <w:b/>
          <w:bCs/>
          <w:color w:val="auto"/>
          <w:spacing w:val="0"/>
          <w:w w:val="100"/>
          <w:position w:val="0"/>
          <w:sz w:val="36"/>
          <w:szCs w:val="36"/>
        </w:rPr>
        <w:t>、</w:t>
      </w:r>
      <w:r>
        <w:rPr>
          <w:rFonts w:hint="eastAsia" w:ascii="仿宋" w:hAnsi="仿宋" w:eastAsia="仿宋" w:cs="仿宋"/>
          <w:b/>
          <w:bCs/>
          <w:color w:val="auto"/>
          <w:spacing w:val="0"/>
          <w:w w:val="100"/>
          <w:position w:val="0"/>
          <w:sz w:val="36"/>
          <w:szCs w:val="36"/>
          <w:lang w:eastAsia="zh-CN"/>
        </w:rPr>
        <w:t>商务条款偏离表</w:t>
      </w:r>
    </w:p>
    <w:tbl>
      <w:tblPr>
        <w:tblStyle w:val="21"/>
        <w:tblW w:w="7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746"/>
        <w:gridCol w:w="2708"/>
        <w:gridCol w:w="1130"/>
      </w:tblGrid>
      <w:tr w14:paraId="5E4B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064D9499">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序号</w:t>
            </w:r>
          </w:p>
        </w:tc>
        <w:tc>
          <w:tcPr>
            <w:tcW w:w="2746" w:type="dxa"/>
          </w:tcPr>
          <w:p w14:paraId="7B59BAFD">
            <w:pPr>
              <w:pStyle w:val="10"/>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谈判文件的商务条款</w:t>
            </w:r>
          </w:p>
        </w:tc>
        <w:tc>
          <w:tcPr>
            <w:tcW w:w="2708" w:type="dxa"/>
          </w:tcPr>
          <w:p w14:paraId="50903FD1">
            <w:pPr>
              <w:pStyle w:val="10"/>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响应文件的商务条款</w:t>
            </w:r>
          </w:p>
        </w:tc>
        <w:tc>
          <w:tcPr>
            <w:tcW w:w="1130" w:type="dxa"/>
          </w:tcPr>
          <w:p w14:paraId="6E96CDD8">
            <w:pPr>
              <w:pStyle w:val="10"/>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说明</w:t>
            </w:r>
          </w:p>
        </w:tc>
      </w:tr>
      <w:tr w14:paraId="0033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787F31DF">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w:t>
            </w:r>
          </w:p>
        </w:tc>
        <w:tc>
          <w:tcPr>
            <w:tcW w:w="2746" w:type="dxa"/>
            <w:vAlign w:val="center"/>
          </w:tcPr>
          <w:p w14:paraId="5FCD1081">
            <w:pPr>
              <w:rPr>
                <w:rFonts w:hint="eastAsia" w:ascii="仿宋" w:hAnsi="仿宋" w:eastAsia="仿宋" w:cs="仿宋"/>
                <w:color w:val="auto"/>
                <w:spacing w:val="-1"/>
                <w:kern w:val="0"/>
                <w:sz w:val="24"/>
              </w:rPr>
            </w:pPr>
          </w:p>
        </w:tc>
        <w:tc>
          <w:tcPr>
            <w:tcW w:w="2708" w:type="dxa"/>
            <w:vAlign w:val="center"/>
          </w:tcPr>
          <w:p w14:paraId="333FAC0E">
            <w:pPr>
              <w:rPr>
                <w:rFonts w:hint="eastAsia" w:ascii="仿宋" w:hAnsi="仿宋" w:eastAsia="仿宋" w:cs="仿宋"/>
                <w:color w:val="auto"/>
                <w:spacing w:val="-1"/>
                <w:kern w:val="0"/>
                <w:sz w:val="24"/>
              </w:rPr>
            </w:pPr>
          </w:p>
        </w:tc>
        <w:tc>
          <w:tcPr>
            <w:tcW w:w="1130" w:type="dxa"/>
            <w:vAlign w:val="center"/>
          </w:tcPr>
          <w:p w14:paraId="1911BDD8">
            <w:pPr>
              <w:rPr>
                <w:rFonts w:hint="eastAsia" w:ascii="仿宋" w:hAnsi="仿宋" w:eastAsia="仿宋" w:cs="仿宋"/>
                <w:color w:val="auto"/>
                <w:spacing w:val="-1"/>
                <w:kern w:val="0"/>
                <w:sz w:val="24"/>
              </w:rPr>
            </w:pPr>
          </w:p>
        </w:tc>
      </w:tr>
      <w:tr w14:paraId="7031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0728DF61">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2</w:t>
            </w:r>
          </w:p>
        </w:tc>
        <w:tc>
          <w:tcPr>
            <w:tcW w:w="2746" w:type="dxa"/>
            <w:vAlign w:val="center"/>
          </w:tcPr>
          <w:p w14:paraId="24375419">
            <w:pPr>
              <w:rPr>
                <w:rFonts w:hint="eastAsia" w:ascii="仿宋" w:hAnsi="仿宋" w:eastAsia="仿宋" w:cs="仿宋"/>
                <w:color w:val="auto"/>
                <w:spacing w:val="-1"/>
                <w:kern w:val="0"/>
                <w:sz w:val="24"/>
              </w:rPr>
            </w:pPr>
          </w:p>
        </w:tc>
        <w:tc>
          <w:tcPr>
            <w:tcW w:w="2708" w:type="dxa"/>
            <w:vAlign w:val="center"/>
          </w:tcPr>
          <w:p w14:paraId="45173457">
            <w:pPr>
              <w:rPr>
                <w:rFonts w:hint="eastAsia" w:ascii="仿宋" w:hAnsi="仿宋" w:eastAsia="仿宋" w:cs="仿宋"/>
                <w:color w:val="auto"/>
                <w:spacing w:val="-1"/>
                <w:kern w:val="0"/>
                <w:sz w:val="24"/>
              </w:rPr>
            </w:pPr>
          </w:p>
        </w:tc>
        <w:tc>
          <w:tcPr>
            <w:tcW w:w="1130" w:type="dxa"/>
            <w:vAlign w:val="center"/>
          </w:tcPr>
          <w:p w14:paraId="591E8197">
            <w:pPr>
              <w:rPr>
                <w:rFonts w:hint="eastAsia" w:ascii="仿宋" w:hAnsi="仿宋" w:eastAsia="仿宋" w:cs="仿宋"/>
                <w:color w:val="auto"/>
                <w:spacing w:val="-1"/>
                <w:kern w:val="0"/>
                <w:sz w:val="24"/>
              </w:rPr>
            </w:pPr>
          </w:p>
        </w:tc>
      </w:tr>
      <w:tr w14:paraId="0E6E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0B63C115">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3</w:t>
            </w:r>
          </w:p>
        </w:tc>
        <w:tc>
          <w:tcPr>
            <w:tcW w:w="2746" w:type="dxa"/>
            <w:vAlign w:val="center"/>
          </w:tcPr>
          <w:p w14:paraId="7F2A30A0">
            <w:pPr>
              <w:rPr>
                <w:rFonts w:hint="eastAsia" w:ascii="仿宋" w:hAnsi="仿宋" w:eastAsia="仿宋" w:cs="仿宋"/>
                <w:color w:val="auto"/>
                <w:spacing w:val="-1"/>
                <w:kern w:val="0"/>
                <w:sz w:val="24"/>
              </w:rPr>
            </w:pPr>
          </w:p>
        </w:tc>
        <w:tc>
          <w:tcPr>
            <w:tcW w:w="2708" w:type="dxa"/>
            <w:vAlign w:val="center"/>
          </w:tcPr>
          <w:p w14:paraId="07E71C31">
            <w:pPr>
              <w:rPr>
                <w:rFonts w:hint="eastAsia" w:ascii="仿宋" w:hAnsi="仿宋" w:eastAsia="仿宋" w:cs="仿宋"/>
                <w:color w:val="auto"/>
                <w:spacing w:val="-1"/>
                <w:kern w:val="0"/>
                <w:sz w:val="24"/>
              </w:rPr>
            </w:pPr>
          </w:p>
        </w:tc>
        <w:tc>
          <w:tcPr>
            <w:tcW w:w="1130" w:type="dxa"/>
            <w:vAlign w:val="center"/>
          </w:tcPr>
          <w:p w14:paraId="3BF08F1B">
            <w:pPr>
              <w:rPr>
                <w:rFonts w:hint="eastAsia" w:ascii="仿宋" w:hAnsi="仿宋" w:eastAsia="仿宋" w:cs="仿宋"/>
                <w:color w:val="auto"/>
                <w:spacing w:val="-1"/>
                <w:kern w:val="0"/>
                <w:sz w:val="24"/>
              </w:rPr>
            </w:pPr>
          </w:p>
        </w:tc>
      </w:tr>
      <w:tr w14:paraId="335A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664874BD">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4</w:t>
            </w:r>
          </w:p>
        </w:tc>
        <w:tc>
          <w:tcPr>
            <w:tcW w:w="2746" w:type="dxa"/>
            <w:vAlign w:val="center"/>
          </w:tcPr>
          <w:p w14:paraId="6A39FE68">
            <w:pPr>
              <w:rPr>
                <w:rFonts w:hint="eastAsia" w:ascii="仿宋" w:hAnsi="仿宋" w:eastAsia="仿宋" w:cs="仿宋"/>
                <w:color w:val="auto"/>
                <w:spacing w:val="-1"/>
                <w:kern w:val="0"/>
                <w:sz w:val="24"/>
              </w:rPr>
            </w:pPr>
          </w:p>
        </w:tc>
        <w:tc>
          <w:tcPr>
            <w:tcW w:w="2708" w:type="dxa"/>
            <w:vAlign w:val="center"/>
          </w:tcPr>
          <w:p w14:paraId="270EDF4F">
            <w:pPr>
              <w:rPr>
                <w:rFonts w:hint="eastAsia" w:ascii="仿宋" w:hAnsi="仿宋" w:eastAsia="仿宋" w:cs="仿宋"/>
                <w:color w:val="auto"/>
                <w:spacing w:val="-1"/>
                <w:kern w:val="0"/>
                <w:sz w:val="24"/>
              </w:rPr>
            </w:pPr>
          </w:p>
        </w:tc>
        <w:tc>
          <w:tcPr>
            <w:tcW w:w="1130" w:type="dxa"/>
            <w:vAlign w:val="center"/>
          </w:tcPr>
          <w:p w14:paraId="09CE3888">
            <w:pPr>
              <w:rPr>
                <w:rFonts w:hint="eastAsia" w:ascii="仿宋" w:hAnsi="仿宋" w:eastAsia="仿宋" w:cs="仿宋"/>
                <w:color w:val="auto"/>
                <w:spacing w:val="-1"/>
                <w:kern w:val="0"/>
                <w:sz w:val="24"/>
              </w:rPr>
            </w:pPr>
          </w:p>
        </w:tc>
      </w:tr>
      <w:tr w14:paraId="0A9B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69714118">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5</w:t>
            </w:r>
          </w:p>
        </w:tc>
        <w:tc>
          <w:tcPr>
            <w:tcW w:w="2746" w:type="dxa"/>
            <w:vAlign w:val="center"/>
          </w:tcPr>
          <w:p w14:paraId="744FC6C2">
            <w:pPr>
              <w:rPr>
                <w:rFonts w:hint="eastAsia" w:ascii="仿宋" w:hAnsi="仿宋" w:eastAsia="仿宋" w:cs="仿宋"/>
                <w:color w:val="auto"/>
                <w:spacing w:val="-1"/>
                <w:kern w:val="0"/>
                <w:sz w:val="24"/>
              </w:rPr>
            </w:pPr>
          </w:p>
        </w:tc>
        <w:tc>
          <w:tcPr>
            <w:tcW w:w="2708" w:type="dxa"/>
            <w:vAlign w:val="center"/>
          </w:tcPr>
          <w:p w14:paraId="257AB6FA">
            <w:pPr>
              <w:rPr>
                <w:rFonts w:hint="eastAsia" w:ascii="仿宋" w:hAnsi="仿宋" w:eastAsia="仿宋" w:cs="仿宋"/>
                <w:color w:val="auto"/>
                <w:spacing w:val="-1"/>
                <w:kern w:val="0"/>
                <w:sz w:val="24"/>
              </w:rPr>
            </w:pPr>
          </w:p>
        </w:tc>
        <w:tc>
          <w:tcPr>
            <w:tcW w:w="1130" w:type="dxa"/>
            <w:vAlign w:val="center"/>
          </w:tcPr>
          <w:p w14:paraId="435AE215">
            <w:pPr>
              <w:rPr>
                <w:rFonts w:hint="eastAsia" w:ascii="仿宋" w:hAnsi="仿宋" w:eastAsia="仿宋" w:cs="仿宋"/>
                <w:color w:val="auto"/>
                <w:spacing w:val="-1"/>
                <w:kern w:val="0"/>
                <w:sz w:val="24"/>
              </w:rPr>
            </w:pPr>
          </w:p>
        </w:tc>
      </w:tr>
      <w:tr w14:paraId="5E91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12B8718A">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6</w:t>
            </w:r>
          </w:p>
        </w:tc>
        <w:tc>
          <w:tcPr>
            <w:tcW w:w="2746" w:type="dxa"/>
            <w:vAlign w:val="center"/>
          </w:tcPr>
          <w:p w14:paraId="1BE15A5A">
            <w:pPr>
              <w:rPr>
                <w:rFonts w:hint="eastAsia" w:ascii="仿宋" w:hAnsi="仿宋" w:eastAsia="仿宋" w:cs="仿宋"/>
                <w:color w:val="auto"/>
                <w:spacing w:val="-1"/>
                <w:kern w:val="0"/>
                <w:sz w:val="24"/>
              </w:rPr>
            </w:pPr>
          </w:p>
        </w:tc>
        <w:tc>
          <w:tcPr>
            <w:tcW w:w="2708" w:type="dxa"/>
            <w:vAlign w:val="center"/>
          </w:tcPr>
          <w:p w14:paraId="0C92EE0A">
            <w:pPr>
              <w:rPr>
                <w:rFonts w:hint="eastAsia" w:ascii="仿宋" w:hAnsi="仿宋" w:eastAsia="仿宋" w:cs="仿宋"/>
                <w:color w:val="auto"/>
                <w:spacing w:val="-1"/>
                <w:kern w:val="0"/>
                <w:sz w:val="24"/>
              </w:rPr>
            </w:pPr>
          </w:p>
        </w:tc>
        <w:tc>
          <w:tcPr>
            <w:tcW w:w="1130" w:type="dxa"/>
            <w:vAlign w:val="center"/>
          </w:tcPr>
          <w:p w14:paraId="52AFA17D">
            <w:pPr>
              <w:rPr>
                <w:rFonts w:hint="eastAsia" w:ascii="仿宋" w:hAnsi="仿宋" w:eastAsia="仿宋" w:cs="仿宋"/>
                <w:color w:val="auto"/>
                <w:spacing w:val="-1"/>
                <w:kern w:val="0"/>
                <w:sz w:val="24"/>
              </w:rPr>
            </w:pPr>
          </w:p>
        </w:tc>
      </w:tr>
      <w:tr w14:paraId="085A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005E8A82">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7</w:t>
            </w:r>
          </w:p>
        </w:tc>
        <w:tc>
          <w:tcPr>
            <w:tcW w:w="2746" w:type="dxa"/>
            <w:vAlign w:val="center"/>
          </w:tcPr>
          <w:p w14:paraId="17C01760">
            <w:pPr>
              <w:rPr>
                <w:rFonts w:hint="eastAsia" w:ascii="仿宋" w:hAnsi="仿宋" w:eastAsia="仿宋" w:cs="仿宋"/>
                <w:color w:val="auto"/>
                <w:spacing w:val="-1"/>
                <w:kern w:val="0"/>
                <w:sz w:val="24"/>
              </w:rPr>
            </w:pPr>
          </w:p>
        </w:tc>
        <w:tc>
          <w:tcPr>
            <w:tcW w:w="2708" w:type="dxa"/>
            <w:vAlign w:val="center"/>
          </w:tcPr>
          <w:p w14:paraId="525843B1">
            <w:pPr>
              <w:rPr>
                <w:rFonts w:hint="eastAsia" w:ascii="仿宋" w:hAnsi="仿宋" w:eastAsia="仿宋" w:cs="仿宋"/>
                <w:color w:val="auto"/>
                <w:spacing w:val="-1"/>
                <w:kern w:val="0"/>
                <w:sz w:val="24"/>
              </w:rPr>
            </w:pPr>
          </w:p>
        </w:tc>
        <w:tc>
          <w:tcPr>
            <w:tcW w:w="1130" w:type="dxa"/>
            <w:vAlign w:val="center"/>
          </w:tcPr>
          <w:p w14:paraId="312CA51A">
            <w:pPr>
              <w:rPr>
                <w:rFonts w:hint="eastAsia" w:ascii="仿宋" w:hAnsi="仿宋" w:eastAsia="仿宋" w:cs="仿宋"/>
                <w:color w:val="auto"/>
                <w:spacing w:val="-1"/>
                <w:kern w:val="0"/>
                <w:sz w:val="24"/>
              </w:rPr>
            </w:pPr>
          </w:p>
        </w:tc>
      </w:tr>
      <w:tr w14:paraId="4899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3BFAB1CB">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8</w:t>
            </w:r>
          </w:p>
        </w:tc>
        <w:tc>
          <w:tcPr>
            <w:tcW w:w="2746" w:type="dxa"/>
            <w:vAlign w:val="center"/>
          </w:tcPr>
          <w:p w14:paraId="529959A1">
            <w:pPr>
              <w:rPr>
                <w:rFonts w:hint="eastAsia" w:ascii="仿宋" w:hAnsi="仿宋" w:eastAsia="仿宋" w:cs="仿宋"/>
                <w:color w:val="auto"/>
                <w:spacing w:val="-1"/>
                <w:kern w:val="0"/>
                <w:sz w:val="24"/>
              </w:rPr>
            </w:pPr>
          </w:p>
        </w:tc>
        <w:tc>
          <w:tcPr>
            <w:tcW w:w="2708" w:type="dxa"/>
            <w:vAlign w:val="center"/>
          </w:tcPr>
          <w:p w14:paraId="46700ECE">
            <w:pPr>
              <w:rPr>
                <w:rFonts w:hint="eastAsia" w:ascii="仿宋" w:hAnsi="仿宋" w:eastAsia="仿宋" w:cs="仿宋"/>
                <w:color w:val="auto"/>
                <w:spacing w:val="-1"/>
                <w:kern w:val="0"/>
                <w:sz w:val="24"/>
              </w:rPr>
            </w:pPr>
          </w:p>
        </w:tc>
        <w:tc>
          <w:tcPr>
            <w:tcW w:w="1130" w:type="dxa"/>
            <w:vAlign w:val="center"/>
          </w:tcPr>
          <w:p w14:paraId="0E883368">
            <w:pPr>
              <w:rPr>
                <w:rFonts w:hint="eastAsia" w:ascii="仿宋" w:hAnsi="仿宋" w:eastAsia="仿宋" w:cs="仿宋"/>
                <w:color w:val="auto"/>
                <w:spacing w:val="-1"/>
                <w:kern w:val="0"/>
                <w:sz w:val="24"/>
              </w:rPr>
            </w:pPr>
          </w:p>
        </w:tc>
      </w:tr>
      <w:tr w14:paraId="5F6C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5FF08FC5">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9</w:t>
            </w:r>
          </w:p>
        </w:tc>
        <w:tc>
          <w:tcPr>
            <w:tcW w:w="2746" w:type="dxa"/>
            <w:vAlign w:val="center"/>
          </w:tcPr>
          <w:p w14:paraId="07C39939">
            <w:pPr>
              <w:rPr>
                <w:rFonts w:hint="eastAsia" w:ascii="仿宋" w:hAnsi="仿宋" w:eastAsia="仿宋" w:cs="仿宋"/>
                <w:color w:val="auto"/>
                <w:spacing w:val="-1"/>
                <w:kern w:val="0"/>
                <w:sz w:val="24"/>
              </w:rPr>
            </w:pPr>
          </w:p>
        </w:tc>
        <w:tc>
          <w:tcPr>
            <w:tcW w:w="2708" w:type="dxa"/>
            <w:vAlign w:val="center"/>
          </w:tcPr>
          <w:p w14:paraId="602A33D6">
            <w:pPr>
              <w:rPr>
                <w:rFonts w:hint="eastAsia" w:ascii="仿宋" w:hAnsi="仿宋" w:eastAsia="仿宋" w:cs="仿宋"/>
                <w:color w:val="auto"/>
                <w:spacing w:val="-1"/>
                <w:kern w:val="0"/>
                <w:sz w:val="24"/>
              </w:rPr>
            </w:pPr>
          </w:p>
        </w:tc>
        <w:tc>
          <w:tcPr>
            <w:tcW w:w="1130" w:type="dxa"/>
            <w:vAlign w:val="center"/>
          </w:tcPr>
          <w:p w14:paraId="30E1CF01">
            <w:pPr>
              <w:rPr>
                <w:rFonts w:hint="eastAsia" w:ascii="仿宋" w:hAnsi="仿宋" w:eastAsia="仿宋" w:cs="仿宋"/>
                <w:color w:val="auto"/>
                <w:spacing w:val="-1"/>
                <w:kern w:val="0"/>
                <w:sz w:val="24"/>
              </w:rPr>
            </w:pPr>
          </w:p>
        </w:tc>
      </w:tr>
      <w:tr w14:paraId="34F1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0882E26A">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10</w:t>
            </w:r>
          </w:p>
        </w:tc>
        <w:tc>
          <w:tcPr>
            <w:tcW w:w="2746" w:type="dxa"/>
            <w:vAlign w:val="center"/>
          </w:tcPr>
          <w:p w14:paraId="04D45CF8">
            <w:pPr>
              <w:rPr>
                <w:rFonts w:hint="eastAsia" w:ascii="仿宋" w:hAnsi="仿宋" w:eastAsia="仿宋" w:cs="仿宋"/>
                <w:color w:val="auto"/>
                <w:spacing w:val="-1"/>
                <w:kern w:val="0"/>
                <w:sz w:val="24"/>
              </w:rPr>
            </w:pPr>
          </w:p>
        </w:tc>
        <w:tc>
          <w:tcPr>
            <w:tcW w:w="2708" w:type="dxa"/>
            <w:vAlign w:val="center"/>
          </w:tcPr>
          <w:p w14:paraId="606A380F">
            <w:pPr>
              <w:rPr>
                <w:rFonts w:hint="eastAsia" w:ascii="仿宋" w:hAnsi="仿宋" w:eastAsia="仿宋" w:cs="仿宋"/>
                <w:color w:val="auto"/>
                <w:spacing w:val="-1"/>
                <w:kern w:val="0"/>
                <w:sz w:val="24"/>
              </w:rPr>
            </w:pPr>
          </w:p>
        </w:tc>
        <w:tc>
          <w:tcPr>
            <w:tcW w:w="1130" w:type="dxa"/>
            <w:vAlign w:val="center"/>
          </w:tcPr>
          <w:p w14:paraId="5A814FF9">
            <w:pPr>
              <w:rPr>
                <w:rFonts w:hint="eastAsia" w:ascii="仿宋" w:hAnsi="仿宋" w:eastAsia="仿宋" w:cs="仿宋"/>
                <w:color w:val="auto"/>
                <w:spacing w:val="-1"/>
                <w:kern w:val="0"/>
                <w:sz w:val="24"/>
              </w:rPr>
            </w:pPr>
          </w:p>
        </w:tc>
      </w:tr>
      <w:tr w14:paraId="2C84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4E85403C">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11</w:t>
            </w:r>
          </w:p>
        </w:tc>
        <w:tc>
          <w:tcPr>
            <w:tcW w:w="2746" w:type="dxa"/>
            <w:vAlign w:val="center"/>
          </w:tcPr>
          <w:p w14:paraId="20394E54">
            <w:pPr>
              <w:rPr>
                <w:rFonts w:hint="eastAsia" w:ascii="仿宋" w:hAnsi="仿宋" w:eastAsia="仿宋" w:cs="仿宋"/>
                <w:color w:val="auto"/>
                <w:spacing w:val="-1"/>
                <w:kern w:val="0"/>
                <w:sz w:val="24"/>
              </w:rPr>
            </w:pPr>
          </w:p>
        </w:tc>
        <w:tc>
          <w:tcPr>
            <w:tcW w:w="2708" w:type="dxa"/>
            <w:vAlign w:val="center"/>
          </w:tcPr>
          <w:p w14:paraId="5F424635">
            <w:pPr>
              <w:rPr>
                <w:rFonts w:hint="eastAsia" w:ascii="仿宋" w:hAnsi="仿宋" w:eastAsia="仿宋" w:cs="仿宋"/>
                <w:color w:val="auto"/>
                <w:spacing w:val="-1"/>
                <w:kern w:val="0"/>
                <w:sz w:val="24"/>
              </w:rPr>
            </w:pPr>
          </w:p>
        </w:tc>
        <w:tc>
          <w:tcPr>
            <w:tcW w:w="1130" w:type="dxa"/>
            <w:vAlign w:val="center"/>
          </w:tcPr>
          <w:p w14:paraId="1B56C034">
            <w:pPr>
              <w:rPr>
                <w:rFonts w:hint="eastAsia" w:ascii="仿宋" w:hAnsi="仿宋" w:eastAsia="仿宋" w:cs="仿宋"/>
                <w:color w:val="auto"/>
                <w:spacing w:val="-1"/>
                <w:kern w:val="0"/>
                <w:sz w:val="24"/>
              </w:rPr>
            </w:pPr>
          </w:p>
        </w:tc>
      </w:tr>
      <w:tr w14:paraId="6BBC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54C5A2AC">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12</w:t>
            </w:r>
          </w:p>
        </w:tc>
        <w:tc>
          <w:tcPr>
            <w:tcW w:w="2746" w:type="dxa"/>
            <w:vAlign w:val="center"/>
          </w:tcPr>
          <w:p w14:paraId="04769F9C">
            <w:pPr>
              <w:rPr>
                <w:rFonts w:hint="eastAsia" w:ascii="仿宋" w:hAnsi="仿宋" w:eastAsia="仿宋" w:cs="仿宋"/>
                <w:color w:val="auto"/>
                <w:spacing w:val="-1"/>
                <w:kern w:val="0"/>
                <w:sz w:val="24"/>
              </w:rPr>
            </w:pPr>
          </w:p>
        </w:tc>
        <w:tc>
          <w:tcPr>
            <w:tcW w:w="2708" w:type="dxa"/>
            <w:vAlign w:val="center"/>
          </w:tcPr>
          <w:p w14:paraId="5C6444C4">
            <w:pPr>
              <w:rPr>
                <w:rFonts w:hint="eastAsia" w:ascii="仿宋" w:hAnsi="仿宋" w:eastAsia="仿宋" w:cs="仿宋"/>
                <w:color w:val="auto"/>
                <w:spacing w:val="-1"/>
                <w:kern w:val="0"/>
                <w:sz w:val="24"/>
              </w:rPr>
            </w:pPr>
          </w:p>
        </w:tc>
        <w:tc>
          <w:tcPr>
            <w:tcW w:w="1130" w:type="dxa"/>
            <w:vAlign w:val="center"/>
          </w:tcPr>
          <w:p w14:paraId="27D1F934">
            <w:pPr>
              <w:rPr>
                <w:rFonts w:hint="eastAsia" w:ascii="仿宋" w:hAnsi="仿宋" w:eastAsia="仿宋" w:cs="仿宋"/>
                <w:color w:val="auto"/>
                <w:spacing w:val="-1"/>
                <w:kern w:val="0"/>
                <w:sz w:val="24"/>
              </w:rPr>
            </w:pPr>
          </w:p>
        </w:tc>
      </w:tr>
      <w:tr w14:paraId="381B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2FE2ED8B">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13</w:t>
            </w:r>
          </w:p>
        </w:tc>
        <w:tc>
          <w:tcPr>
            <w:tcW w:w="2746" w:type="dxa"/>
            <w:vAlign w:val="center"/>
          </w:tcPr>
          <w:p w14:paraId="317B5C66">
            <w:pPr>
              <w:rPr>
                <w:rFonts w:hint="eastAsia" w:ascii="仿宋" w:hAnsi="仿宋" w:eastAsia="仿宋" w:cs="仿宋"/>
                <w:color w:val="auto"/>
                <w:spacing w:val="-1"/>
                <w:kern w:val="0"/>
                <w:sz w:val="24"/>
              </w:rPr>
            </w:pPr>
          </w:p>
        </w:tc>
        <w:tc>
          <w:tcPr>
            <w:tcW w:w="2708" w:type="dxa"/>
            <w:vAlign w:val="center"/>
          </w:tcPr>
          <w:p w14:paraId="3DE1BABD">
            <w:pPr>
              <w:rPr>
                <w:rFonts w:hint="eastAsia" w:ascii="仿宋" w:hAnsi="仿宋" w:eastAsia="仿宋" w:cs="仿宋"/>
                <w:color w:val="auto"/>
                <w:spacing w:val="-1"/>
                <w:kern w:val="0"/>
                <w:sz w:val="24"/>
              </w:rPr>
            </w:pPr>
          </w:p>
        </w:tc>
        <w:tc>
          <w:tcPr>
            <w:tcW w:w="1130" w:type="dxa"/>
            <w:vAlign w:val="center"/>
          </w:tcPr>
          <w:p w14:paraId="31CD086F">
            <w:pPr>
              <w:rPr>
                <w:rFonts w:hint="eastAsia" w:ascii="仿宋" w:hAnsi="仿宋" w:eastAsia="仿宋" w:cs="仿宋"/>
                <w:color w:val="auto"/>
                <w:spacing w:val="-1"/>
                <w:kern w:val="0"/>
                <w:sz w:val="24"/>
              </w:rPr>
            </w:pPr>
          </w:p>
        </w:tc>
      </w:tr>
      <w:tr w14:paraId="3A79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03AC0B1F">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14</w:t>
            </w:r>
          </w:p>
        </w:tc>
        <w:tc>
          <w:tcPr>
            <w:tcW w:w="2746" w:type="dxa"/>
            <w:vAlign w:val="center"/>
          </w:tcPr>
          <w:p w14:paraId="4922DD90">
            <w:pPr>
              <w:rPr>
                <w:rFonts w:hint="eastAsia" w:ascii="仿宋" w:hAnsi="仿宋" w:eastAsia="仿宋" w:cs="仿宋"/>
                <w:color w:val="auto"/>
                <w:spacing w:val="-1"/>
                <w:kern w:val="0"/>
                <w:sz w:val="24"/>
              </w:rPr>
            </w:pPr>
          </w:p>
        </w:tc>
        <w:tc>
          <w:tcPr>
            <w:tcW w:w="2708" w:type="dxa"/>
            <w:vAlign w:val="center"/>
          </w:tcPr>
          <w:p w14:paraId="26048431">
            <w:pPr>
              <w:rPr>
                <w:rFonts w:hint="eastAsia" w:ascii="仿宋" w:hAnsi="仿宋" w:eastAsia="仿宋" w:cs="仿宋"/>
                <w:color w:val="auto"/>
                <w:spacing w:val="-1"/>
                <w:kern w:val="0"/>
                <w:sz w:val="24"/>
              </w:rPr>
            </w:pPr>
          </w:p>
        </w:tc>
        <w:tc>
          <w:tcPr>
            <w:tcW w:w="1130" w:type="dxa"/>
            <w:vAlign w:val="center"/>
          </w:tcPr>
          <w:p w14:paraId="59F18F2D">
            <w:pPr>
              <w:rPr>
                <w:rFonts w:hint="eastAsia" w:ascii="仿宋" w:hAnsi="仿宋" w:eastAsia="仿宋" w:cs="仿宋"/>
                <w:color w:val="auto"/>
                <w:spacing w:val="-1"/>
                <w:kern w:val="0"/>
                <w:sz w:val="24"/>
              </w:rPr>
            </w:pPr>
          </w:p>
        </w:tc>
      </w:tr>
      <w:tr w14:paraId="733A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36F7BE52">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15</w:t>
            </w:r>
          </w:p>
        </w:tc>
        <w:tc>
          <w:tcPr>
            <w:tcW w:w="2746" w:type="dxa"/>
            <w:vAlign w:val="center"/>
          </w:tcPr>
          <w:p w14:paraId="3761546F">
            <w:pPr>
              <w:rPr>
                <w:rFonts w:hint="eastAsia" w:ascii="仿宋" w:hAnsi="仿宋" w:eastAsia="仿宋" w:cs="仿宋"/>
                <w:color w:val="auto"/>
                <w:spacing w:val="-1"/>
                <w:kern w:val="0"/>
                <w:sz w:val="24"/>
              </w:rPr>
            </w:pPr>
          </w:p>
        </w:tc>
        <w:tc>
          <w:tcPr>
            <w:tcW w:w="2708" w:type="dxa"/>
            <w:vAlign w:val="center"/>
          </w:tcPr>
          <w:p w14:paraId="0D962C78">
            <w:pPr>
              <w:rPr>
                <w:rFonts w:hint="eastAsia" w:ascii="仿宋" w:hAnsi="仿宋" w:eastAsia="仿宋" w:cs="仿宋"/>
                <w:color w:val="auto"/>
                <w:spacing w:val="-1"/>
                <w:kern w:val="0"/>
                <w:sz w:val="24"/>
              </w:rPr>
            </w:pPr>
          </w:p>
        </w:tc>
        <w:tc>
          <w:tcPr>
            <w:tcW w:w="1130" w:type="dxa"/>
            <w:vAlign w:val="center"/>
          </w:tcPr>
          <w:p w14:paraId="62545D01">
            <w:pPr>
              <w:rPr>
                <w:rFonts w:hint="eastAsia" w:ascii="仿宋" w:hAnsi="仿宋" w:eastAsia="仿宋" w:cs="仿宋"/>
                <w:color w:val="auto"/>
                <w:spacing w:val="-1"/>
                <w:kern w:val="0"/>
                <w:sz w:val="24"/>
              </w:rPr>
            </w:pPr>
          </w:p>
        </w:tc>
      </w:tr>
    </w:tbl>
    <w:p w14:paraId="2EE264ED">
      <w:pPr>
        <w:rPr>
          <w:rFonts w:hint="eastAsia" w:ascii="仿宋" w:hAnsi="仿宋" w:eastAsia="仿宋" w:cs="仿宋"/>
          <w:color w:val="auto"/>
          <w:spacing w:val="-1"/>
          <w:kern w:val="0"/>
          <w:sz w:val="24"/>
        </w:rPr>
      </w:pPr>
    </w:p>
    <w:p w14:paraId="62F11B35">
      <w:pPr>
        <w:ind w:firstLine="476" w:firstLineChars="200"/>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注：凡</w:t>
      </w:r>
      <w:r>
        <w:rPr>
          <w:rFonts w:hint="eastAsia" w:ascii="仿宋" w:hAnsi="仿宋" w:eastAsia="仿宋" w:cs="仿宋"/>
          <w:color w:val="auto"/>
          <w:spacing w:val="-1"/>
          <w:kern w:val="0"/>
          <w:sz w:val="24"/>
          <w:lang w:eastAsia="zh-CN"/>
        </w:rPr>
        <w:t>响应</w:t>
      </w:r>
      <w:r>
        <w:rPr>
          <w:rFonts w:hint="eastAsia" w:ascii="仿宋" w:hAnsi="仿宋" w:eastAsia="仿宋" w:cs="仿宋"/>
          <w:color w:val="auto"/>
          <w:spacing w:val="-1"/>
          <w:kern w:val="0"/>
          <w:sz w:val="24"/>
        </w:rPr>
        <w:t>文件中商务条款（包括</w:t>
      </w:r>
      <w:r>
        <w:rPr>
          <w:rFonts w:hint="eastAsia" w:ascii="仿宋" w:hAnsi="仿宋" w:eastAsia="仿宋" w:cs="仿宋"/>
          <w:color w:val="auto"/>
          <w:spacing w:val="-1"/>
          <w:kern w:val="0"/>
          <w:sz w:val="24"/>
          <w:lang w:val="en-US" w:eastAsia="zh-CN"/>
        </w:rPr>
        <w:t>服务</w:t>
      </w:r>
      <w:r>
        <w:rPr>
          <w:rFonts w:hint="eastAsia" w:ascii="仿宋" w:hAnsi="仿宋" w:eastAsia="仿宋" w:cs="仿宋"/>
          <w:color w:val="auto"/>
          <w:spacing w:val="-1"/>
          <w:kern w:val="0"/>
          <w:sz w:val="24"/>
        </w:rPr>
        <w:t>期、付款</w:t>
      </w:r>
      <w:r>
        <w:rPr>
          <w:rFonts w:hint="eastAsia" w:ascii="仿宋" w:hAnsi="仿宋" w:eastAsia="仿宋" w:cs="仿宋"/>
          <w:color w:val="auto"/>
          <w:spacing w:val="-1"/>
          <w:kern w:val="0"/>
          <w:sz w:val="24"/>
          <w:lang w:eastAsia="zh-CN"/>
        </w:rPr>
        <w:t>方式</w:t>
      </w:r>
      <w:r>
        <w:rPr>
          <w:rFonts w:hint="eastAsia" w:ascii="仿宋" w:hAnsi="仿宋" w:eastAsia="仿宋" w:cs="仿宋"/>
          <w:color w:val="auto"/>
          <w:spacing w:val="-1"/>
          <w:kern w:val="0"/>
          <w:sz w:val="24"/>
        </w:rPr>
        <w:t>、</w:t>
      </w:r>
      <w:r>
        <w:rPr>
          <w:rFonts w:hint="eastAsia" w:ascii="仿宋" w:hAnsi="仿宋" w:eastAsia="仿宋" w:cs="仿宋"/>
          <w:color w:val="auto"/>
          <w:spacing w:val="-1"/>
          <w:kern w:val="0"/>
          <w:sz w:val="24"/>
          <w:lang w:eastAsia="zh-CN"/>
        </w:rPr>
        <w:t>投标保证金、</w:t>
      </w:r>
      <w:r>
        <w:rPr>
          <w:rFonts w:hint="eastAsia" w:ascii="仿宋" w:hAnsi="仿宋" w:eastAsia="仿宋" w:cs="仿宋"/>
          <w:color w:val="auto"/>
          <w:spacing w:val="-1"/>
          <w:kern w:val="0"/>
          <w:sz w:val="24"/>
        </w:rPr>
        <w:t>合同条款以及其它所有商务内容）与</w:t>
      </w:r>
      <w:r>
        <w:rPr>
          <w:rFonts w:hint="eastAsia" w:ascii="仿宋" w:hAnsi="仿宋" w:eastAsia="仿宋" w:cs="仿宋"/>
          <w:color w:val="auto"/>
          <w:spacing w:val="-1"/>
          <w:kern w:val="0"/>
          <w:sz w:val="24"/>
          <w:lang w:eastAsia="zh-CN"/>
        </w:rPr>
        <w:t>谈判文件</w:t>
      </w:r>
      <w:r>
        <w:rPr>
          <w:rFonts w:hint="eastAsia" w:ascii="仿宋" w:hAnsi="仿宋" w:eastAsia="仿宋" w:cs="仿宋"/>
          <w:color w:val="auto"/>
          <w:spacing w:val="-1"/>
          <w:kern w:val="0"/>
          <w:sz w:val="24"/>
        </w:rPr>
        <w:t>存在正偏差的，均应在此表中列出（不允许存在负偏离），未在此表中列出的视同完全满足谈判文件要求。</w:t>
      </w:r>
    </w:p>
    <w:p w14:paraId="40E3620A">
      <w:pPr>
        <w:rPr>
          <w:rFonts w:hint="eastAsia" w:ascii="仿宋" w:hAnsi="仿宋" w:eastAsia="仿宋" w:cs="仿宋"/>
          <w:color w:val="auto"/>
          <w:spacing w:val="-1"/>
          <w:kern w:val="0"/>
          <w:sz w:val="24"/>
        </w:rPr>
      </w:pPr>
    </w:p>
    <w:p w14:paraId="1EFEE0C9">
      <w:pPr>
        <w:pStyle w:val="7"/>
        <w:numPr>
          <w:ilvl w:val="0"/>
          <w:numId w:val="0"/>
        </w:numPr>
        <w:tabs>
          <w:tab w:val="clear" w:pos="780"/>
        </w:tabs>
        <w:kinsoku w:val="0"/>
        <w:overflowPunct w:val="0"/>
        <w:spacing w:line="381" w:lineRule="auto"/>
        <w:ind w:left="1680" w:leftChars="0" w:right="118" w:rightChars="0"/>
        <w:rPr>
          <w:rFonts w:hint="eastAsia" w:ascii="仿宋" w:hAnsi="仿宋" w:eastAsia="仿宋" w:cs="仿宋"/>
          <w:color w:val="auto"/>
        </w:rPr>
      </w:pPr>
    </w:p>
    <w:p w14:paraId="29B09935">
      <w:pPr>
        <w:pStyle w:val="7"/>
        <w:numPr>
          <w:ilvl w:val="0"/>
          <w:numId w:val="0"/>
        </w:numPr>
        <w:tabs>
          <w:tab w:val="clear" w:pos="780"/>
        </w:tabs>
        <w:kinsoku w:val="0"/>
        <w:overflowPunct w:val="0"/>
        <w:spacing w:line="381" w:lineRule="auto"/>
        <w:ind w:left="1680" w:leftChars="0" w:right="118" w:rightChars="0"/>
        <w:rPr>
          <w:rFonts w:hint="eastAsia" w:ascii="仿宋" w:hAnsi="仿宋" w:eastAsia="仿宋" w:cs="仿宋"/>
          <w:color w:val="auto"/>
        </w:rPr>
      </w:pPr>
    </w:p>
    <w:p w14:paraId="3BF9A1B3">
      <w:pPr>
        <w:pStyle w:val="7"/>
        <w:numPr>
          <w:ilvl w:val="0"/>
          <w:numId w:val="0"/>
        </w:numPr>
        <w:tabs>
          <w:tab w:val="clear" w:pos="780"/>
        </w:tabs>
        <w:kinsoku w:val="0"/>
        <w:overflowPunct w:val="0"/>
        <w:spacing w:line="381" w:lineRule="auto"/>
        <w:ind w:left="1680" w:leftChars="0" w:right="118" w:rightChars="0"/>
        <w:rPr>
          <w:rFonts w:hint="eastAsia" w:ascii="仿宋" w:hAnsi="仿宋" w:eastAsia="仿宋" w:cs="仿宋"/>
          <w:color w:val="auto"/>
          <w:sz w:val="24"/>
          <w:szCs w:val="24"/>
        </w:rPr>
      </w:pPr>
    </w:p>
    <w:p w14:paraId="09806770">
      <w:pPr>
        <w:pStyle w:val="7"/>
        <w:numPr>
          <w:ilvl w:val="0"/>
          <w:numId w:val="0"/>
        </w:numPr>
        <w:tabs>
          <w:tab w:val="clear" w:pos="780"/>
        </w:tabs>
        <w:kinsoku w:val="0"/>
        <w:overflowPunct w:val="0"/>
        <w:spacing w:line="381" w:lineRule="auto"/>
        <w:ind w:left="1680" w:leftChars="0" w:right="118" w:rightChars="0"/>
        <w:rPr>
          <w:rFonts w:hint="eastAsia" w:ascii="仿宋" w:hAnsi="仿宋" w:eastAsia="仿宋" w:cs="仿宋"/>
          <w:color w:val="auto"/>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rPr>
        <w:t>（盖章）</w:t>
      </w:r>
      <w:r>
        <w:rPr>
          <w:rFonts w:hint="eastAsia" w:ascii="仿宋" w:hAnsi="仿宋" w:eastAsia="仿宋" w:cs="仿宋"/>
          <w:color w:val="auto"/>
          <w:sz w:val="24"/>
          <w:szCs w:val="24"/>
        </w:rPr>
        <w:t xml:space="preserve"> </w:t>
      </w:r>
    </w:p>
    <w:p w14:paraId="28C56279">
      <w:pPr>
        <w:pStyle w:val="7"/>
        <w:numPr>
          <w:ilvl w:val="0"/>
          <w:numId w:val="0"/>
        </w:numPr>
        <w:tabs>
          <w:tab w:val="clear" w:pos="780"/>
        </w:tabs>
        <w:kinsoku w:val="0"/>
        <w:overflowPunct w:val="0"/>
        <w:spacing w:line="381" w:lineRule="auto"/>
        <w:ind w:left="1680" w:leftChars="0" w:right="118" w:rightChars="0"/>
        <w:rPr>
          <w:rFonts w:hint="eastAsia" w:ascii="仿宋" w:hAnsi="仿宋" w:eastAsia="仿宋" w:cs="仿宋"/>
          <w:color w:val="auto"/>
          <w:w w:val="95"/>
          <w:sz w:val="24"/>
          <w:szCs w:val="24"/>
        </w:rPr>
      </w:pPr>
      <w:r>
        <w:rPr>
          <w:rFonts w:hint="eastAsia" w:ascii="仿宋" w:hAnsi="仿宋" w:eastAsia="仿宋" w:cs="仿宋"/>
          <w:color w:val="auto"/>
          <w:sz w:val="24"/>
          <w:szCs w:val="24"/>
        </w:rPr>
        <w:t>法定代表人或被授权人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rPr>
        <w:t>（</w:t>
      </w:r>
      <w:r>
        <w:rPr>
          <w:rFonts w:hint="eastAsia" w:ascii="仿宋" w:hAnsi="仿宋" w:eastAsia="仿宋" w:cs="仿宋"/>
          <w:color w:val="auto"/>
          <w:w w:val="95"/>
          <w:sz w:val="24"/>
          <w:szCs w:val="24"/>
          <w:lang w:eastAsia="zh-CN"/>
        </w:rPr>
        <w:t>签字或盖章</w:t>
      </w:r>
      <w:r>
        <w:rPr>
          <w:rFonts w:hint="eastAsia" w:ascii="仿宋" w:hAnsi="仿宋" w:eastAsia="仿宋" w:cs="仿宋"/>
          <w:color w:val="auto"/>
          <w:w w:val="95"/>
          <w:sz w:val="24"/>
          <w:szCs w:val="24"/>
        </w:rPr>
        <w:t>）</w:t>
      </w:r>
    </w:p>
    <w:p w14:paraId="3FE32399">
      <w:pPr>
        <w:pStyle w:val="3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z w:val="24"/>
          <w:szCs w:val="24"/>
        </w:rPr>
      </w:pPr>
    </w:p>
    <w:p w14:paraId="438B26BD">
      <w:pPr>
        <w:pStyle w:val="3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684889B6">
      <w:pPr>
        <w:pStyle w:val="3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rPr>
      </w:pPr>
    </w:p>
    <w:p w14:paraId="170227B4">
      <w:pPr>
        <w:pStyle w:val="34"/>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auto"/>
          <w:spacing w:val="0"/>
          <w:w w:val="100"/>
          <w:position w:val="0"/>
          <w:sz w:val="21"/>
          <w:szCs w:val="21"/>
        </w:rPr>
      </w:pPr>
    </w:p>
    <w:p w14:paraId="05BACFDE">
      <w:pPr>
        <w:pStyle w:val="3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b/>
          <w:bCs/>
          <w:color w:val="auto"/>
          <w:spacing w:val="0"/>
          <w:w w:val="100"/>
          <w:position w:val="0"/>
          <w:sz w:val="36"/>
          <w:szCs w:val="36"/>
          <w:lang w:val="en-US" w:eastAsia="zh-CN"/>
        </w:rPr>
      </w:pPr>
    </w:p>
    <w:p w14:paraId="3C50D582">
      <w:pPr>
        <w:pStyle w:val="3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7、投标人基本情况表</w:t>
      </w:r>
    </w:p>
    <w:p w14:paraId="0921AEDB">
      <w:pPr>
        <w:pStyle w:val="7"/>
        <w:numPr>
          <w:ilvl w:val="0"/>
          <w:numId w:val="0"/>
        </w:numPr>
        <w:kinsoku w:val="0"/>
        <w:overflowPunct w:val="0"/>
        <w:spacing w:before="5"/>
        <w:ind w:leftChars="0" w:right="0" w:rightChars="0"/>
        <w:rPr>
          <w:rFonts w:hint="eastAsia" w:ascii="仿宋" w:hAnsi="仿宋" w:eastAsia="仿宋" w:cs="仿宋"/>
          <w:b/>
          <w:bCs/>
          <w:color w:val="auto"/>
          <w:sz w:val="6"/>
          <w:szCs w:val="6"/>
        </w:rPr>
      </w:pPr>
    </w:p>
    <w:tbl>
      <w:tblPr>
        <w:tblStyle w:val="21"/>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14:paraId="6F21E49A">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0059DD26">
            <w:pPr>
              <w:pStyle w:val="37"/>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14:paraId="79C9CFB6">
            <w:pPr>
              <w:rPr>
                <w:rFonts w:hint="eastAsia" w:ascii="仿宋" w:hAnsi="仿宋" w:eastAsia="仿宋" w:cs="仿宋"/>
                <w:color w:val="auto"/>
              </w:rPr>
            </w:pPr>
          </w:p>
        </w:tc>
      </w:tr>
      <w:tr w14:paraId="6EDBFF9A">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70DADD61">
            <w:pPr>
              <w:pStyle w:val="37"/>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14:paraId="35FDD1E3">
            <w:pPr>
              <w:rPr>
                <w:rFonts w:hint="eastAsia" w:ascii="仿宋" w:hAnsi="仿宋" w:eastAsia="仿宋" w:cs="仿宋"/>
                <w:color w:val="auto"/>
              </w:rPr>
            </w:pPr>
          </w:p>
        </w:tc>
      </w:tr>
      <w:tr w14:paraId="1E673240">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50F06F60">
            <w:pPr>
              <w:pStyle w:val="37"/>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14:paraId="13BE2BF6">
            <w:pPr>
              <w:rPr>
                <w:rFonts w:hint="eastAsia" w:ascii="仿宋" w:hAnsi="仿宋" w:eastAsia="仿宋" w:cs="仿宋"/>
                <w:color w:val="auto"/>
              </w:rPr>
            </w:pPr>
          </w:p>
        </w:tc>
      </w:tr>
      <w:tr w14:paraId="38233D9F">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52FBC963">
            <w:pPr>
              <w:pStyle w:val="37"/>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14:paraId="73415285">
            <w:pPr>
              <w:rPr>
                <w:rFonts w:hint="eastAsia" w:ascii="仿宋" w:hAnsi="仿宋" w:eastAsia="仿宋" w:cs="仿宋"/>
                <w:color w:val="auto"/>
              </w:rPr>
            </w:pPr>
          </w:p>
        </w:tc>
        <w:tc>
          <w:tcPr>
            <w:tcW w:w="2294" w:type="dxa"/>
            <w:gridSpan w:val="4"/>
            <w:tcBorders>
              <w:top w:val="single" w:color="000000" w:sz="4" w:space="0"/>
              <w:left w:val="single" w:color="000000" w:sz="4" w:space="0"/>
              <w:bottom w:val="single" w:color="000000" w:sz="4" w:space="0"/>
              <w:right w:val="single" w:color="000000" w:sz="4" w:space="0"/>
            </w:tcBorders>
          </w:tcPr>
          <w:p w14:paraId="4F459D3B">
            <w:pPr>
              <w:pStyle w:val="37"/>
              <w:kinsoku w:val="0"/>
              <w:overflowPunct w:val="0"/>
              <w:spacing w:before="145"/>
              <w:ind w:left="181"/>
              <w:rPr>
                <w:rFonts w:hint="eastAsia" w:ascii="仿宋" w:hAnsi="仿宋" w:eastAsia="仿宋" w:cs="仿宋"/>
                <w:color w:val="auto"/>
              </w:rPr>
            </w:pPr>
            <w:r>
              <w:rPr>
                <w:rFonts w:hint="eastAsia" w:ascii="仿宋" w:hAnsi="仿宋" w:eastAsia="仿宋" w:cs="仿宋"/>
                <w:color w:val="auto"/>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14:paraId="640EF902">
            <w:pPr>
              <w:rPr>
                <w:rFonts w:hint="eastAsia" w:ascii="仿宋" w:hAnsi="仿宋" w:eastAsia="仿宋" w:cs="仿宋"/>
                <w:color w:val="auto"/>
              </w:rPr>
            </w:pPr>
          </w:p>
        </w:tc>
      </w:tr>
      <w:tr w14:paraId="0C982AAD">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6D2ADCBE">
            <w:pPr>
              <w:pStyle w:val="37"/>
              <w:kinsoku w:val="0"/>
              <w:overflowPunct w:val="0"/>
              <w:spacing w:before="146"/>
              <w:ind w:left="137"/>
              <w:rPr>
                <w:rFonts w:hint="eastAsia" w:ascii="仿宋" w:hAnsi="仿宋" w:eastAsia="仿宋" w:cs="仿宋"/>
                <w:color w:val="auto"/>
              </w:rPr>
            </w:pPr>
            <w:r>
              <w:rPr>
                <w:rFonts w:hint="eastAsia" w:ascii="仿宋" w:hAnsi="仿宋" w:eastAsia="仿宋" w:cs="仿宋"/>
                <w:color w:val="auto"/>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14:paraId="6CBF0B72">
            <w:pPr>
              <w:rPr>
                <w:rFonts w:hint="eastAsia" w:ascii="仿宋" w:hAnsi="仿宋" w:eastAsia="仿宋" w:cs="仿宋"/>
                <w:color w:val="auto"/>
              </w:rPr>
            </w:pPr>
          </w:p>
        </w:tc>
      </w:tr>
      <w:tr w14:paraId="5A184483">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14:paraId="40C590ED">
            <w:pPr>
              <w:pStyle w:val="37"/>
              <w:kinsoku w:val="0"/>
              <w:overflowPunct w:val="0"/>
              <w:spacing w:before="141" w:line="312" w:lineRule="exact"/>
              <w:ind w:left="257" w:right="133" w:hanging="120"/>
              <w:rPr>
                <w:rFonts w:hint="eastAsia" w:ascii="仿宋" w:hAnsi="仿宋" w:eastAsia="仿宋" w:cs="仿宋"/>
                <w:color w:val="auto"/>
              </w:rPr>
            </w:pPr>
            <w:r>
              <w:rPr>
                <w:rFonts w:hint="eastAsia" w:ascii="仿宋" w:hAnsi="仿宋" w:eastAsia="仿宋" w:cs="仿宋"/>
                <w:color w:val="auto"/>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14:paraId="663D4A65">
            <w:pPr>
              <w:rPr>
                <w:rFonts w:hint="eastAsia" w:ascii="仿宋" w:hAnsi="仿宋" w:eastAsia="仿宋" w:cs="仿宋"/>
                <w:color w:val="auto"/>
              </w:rPr>
            </w:pPr>
          </w:p>
        </w:tc>
        <w:tc>
          <w:tcPr>
            <w:tcW w:w="1342" w:type="dxa"/>
            <w:gridSpan w:val="2"/>
            <w:tcBorders>
              <w:top w:val="single" w:color="000000" w:sz="4" w:space="0"/>
              <w:left w:val="single" w:color="000000" w:sz="4" w:space="0"/>
              <w:bottom w:val="single" w:color="000000" w:sz="4" w:space="0"/>
              <w:right w:val="single" w:color="000000" w:sz="4" w:space="0"/>
            </w:tcBorders>
          </w:tcPr>
          <w:p w14:paraId="5C3B81A7">
            <w:pPr>
              <w:pStyle w:val="37"/>
              <w:kinsoku w:val="0"/>
              <w:overflowPunct w:val="0"/>
              <w:spacing w:before="4"/>
              <w:rPr>
                <w:rFonts w:hint="eastAsia" w:ascii="仿宋" w:hAnsi="仿宋" w:eastAsia="仿宋" w:cs="仿宋"/>
                <w:b/>
                <w:bCs/>
                <w:color w:val="auto"/>
                <w:sz w:val="20"/>
                <w:szCs w:val="20"/>
              </w:rPr>
            </w:pPr>
          </w:p>
          <w:p w14:paraId="5B13CB0F">
            <w:pPr>
              <w:pStyle w:val="37"/>
              <w:kinsoku w:val="0"/>
              <w:overflowPunct w:val="0"/>
              <w:ind w:left="366"/>
              <w:rPr>
                <w:rFonts w:hint="eastAsia" w:ascii="仿宋" w:hAnsi="仿宋" w:eastAsia="仿宋" w:cs="仿宋"/>
                <w:color w:val="auto"/>
              </w:rPr>
            </w:pPr>
            <w:r>
              <w:rPr>
                <w:rFonts w:hint="eastAsia" w:ascii="仿宋" w:hAnsi="仿宋" w:eastAsia="仿宋" w:cs="仿宋"/>
                <w:color w:val="auto"/>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14:paraId="62136360">
            <w:pPr>
              <w:rPr>
                <w:rFonts w:hint="eastAsia" w:ascii="仿宋" w:hAnsi="仿宋" w:eastAsia="仿宋" w:cs="仿宋"/>
                <w:color w:val="auto"/>
              </w:rPr>
            </w:pPr>
          </w:p>
        </w:tc>
        <w:tc>
          <w:tcPr>
            <w:tcW w:w="1377" w:type="dxa"/>
            <w:gridSpan w:val="3"/>
            <w:tcBorders>
              <w:top w:val="single" w:color="000000" w:sz="4" w:space="0"/>
              <w:left w:val="single" w:color="000000" w:sz="4" w:space="0"/>
              <w:bottom w:val="single" w:color="000000" w:sz="4" w:space="0"/>
              <w:right w:val="single" w:color="000000" w:sz="4" w:space="0"/>
            </w:tcBorders>
          </w:tcPr>
          <w:p w14:paraId="65A286E3">
            <w:pPr>
              <w:pStyle w:val="37"/>
              <w:kinsoku w:val="0"/>
              <w:overflowPunct w:val="0"/>
              <w:spacing w:before="4"/>
              <w:rPr>
                <w:rFonts w:hint="eastAsia" w:ascii="仿宋" w:hAnsi="仿宋" w:eastAsia="仿宋" w:cs="仿宋"/>
                <w:b/>
                <w:bCs/>
                <w:color w:val="auto"/>
                <w:sz w:val="20"/>
                <w:szCs w:val="20"/>
              </w:rPr>
            </w:pPr>
          </w:p>
          <w:p w14:paraId="196BE224">
            <w:pPr>
              <w:pStyle w:val="37"/>
              <w:kinsoku w:val="0"/>
              <w:overflowPunct w:val="0"/>
              <w:ind w:left="383"/>
              <w:rPr>
                <w:rFonts w:hint="eastAsia" w:ascii="仿宋" w:hAnsi="仿宋" w:eastAsia="仿宋" w:cs="仿宋"/>
                <w:color w:val="auto"/>
              </w:rPr>
            </w:pPr>
            <w:r>
              <w:rPr>
                <w:rFonts w:hint="eastAsia" w:ascii="仿宋" w:hAnsi="仿宋" w:eastAsia="仿宋" w:cs="仿宋"/>
                <w:color w:val="auto"/>
              </w:rPr>
              <w:t>传 真</w:t>
            </w:r>
          </w:p>
        </w:tc>
        <w:tc>
          <w:tcPr>
            <w:tcW w:w="1965" w:type="dxa"/>
            <w:tcBorders>
              <w:top w:val="single" w:color="000000" w:sz="4" w:space="0"/>
              <w:left w:val="single" w:color="000000" w:sz="4" w:space="0"/>
              <w:bottom w:val="single" w:color="000000" w:sz="4" w:space="0"/>
              <w:right w:val="single" w:color="000000" w:sz="4" w:space="0"/>
            </w:tcBorders>
          </w:tcPr>
          <w:p w14:paraId="3D939F5D">
            <w:pPr>
              <w:rPr>
                <w:rFonts w:hint="eastAsia" w:ascii="仿宋" w:hAnsi="仿宋" w:eastAsia="仿宋" w:cs="仿宋"/>
                <w:color w:val="auto"/>
              </w:rPr>
            </w:pPr>
          </w:p>
        </w:tc>
      </w:tr>
      <w:tr w14:paraId="60DF8512">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14:paraId="30D017B4">
            <w:pPr>
              <w:pStyle w:val="37"/>
              <w:kinsoku w:val="0"/>
              <w:overflowPunct w:val="0"/>
              <w:rPr>
                <w:rFonts w:hint="eastAsia" w:ascii="仿宋" w:hAnsi="仿宋" w:eastAsia="仿宋" w:cs="仿宋"/>
                <w:b/>
                <w:bCs/>
                <w:color w:val="auto"/>
              </w:rPr>
            </w:pPr>
          </w:p>
          <w:p w14:paraId="66E916D4">
            <w:pPr>
              <w:pStyle w:val="37"/>
              <w:kinsoku w:val="0"/>
              <w:overflowPunct w:val="0"/>
              <w:rPr>
                <w:rFonts w:hint="eastAsia" w:ascii="仿宋" w:hAnsi="仿宋" w:eastAsia="仿宋" w:cs="仿宋"/>
                <w:b/>
                <w:bCs/>
                <w:color w:val="auto"/>
              </w:rPr>
            </w:pPr>
          </w:p>
          <w:p w14:paraId="1074E24C">
            <w:pPr>
              <w:pStyle w:val="37"/>
              <w:kinsoku w:val="0"/>
              <w:overflowPunct w:val="0"/>
              <w:rPr>
                <w:rFonts w:hint="eastAsia" w:ascii="仿宋" w:hAnsi="仿宋" w:eastAsia="仿宋" w:cs="仿宋"/>
                <w:b/>
                <w:bCs/>
                <w:color w:val="auto"/>
              </w:rPr>
            </w:pPr>
          </w:p>
          <w:p w14:paraId="2C819F59">
            <w:pPr>
              <w:pStyle w:val="37"/>
              <w:kinsoku w:val="0"/>
              <w:overflowPunct w:val="0"/>
              <w:spacing w:line="475" w:lineRule="auto"/>
              <w:ind w:left="497" w:right="493"/>
              <w:jc w:val="both"/>
              <w:rPr>
                <w:rFonts w:hint="eastAsia" w:ascii="仿宋" w:hAnsi="仿宋" w:eastAsia="仿宋" w:cs="仿宋"/>
                <w:color w:val="auto"/>
              </w:rPr>
            </w:pPr>
            <w:r>
              <w:rPr>
                <w:rFonts w:hint="eastAsia" w:ascii="仿宋" w:hAnsi="仿宋" w:eastAsia="仿宋" w:cs="仿宋"/>
                <w:color w:val="auto"/>
              </w:rPr>
              <w:t>职 工 概 况</w:t>
            </w:r>
          </w:p>
        </w:tc>
        <w:tc>
          <w:tcPr>
            <w:tcW w:w="1445" w:type="dxa"/>
            <w:tcBorders>
              <w:top w:val="single" w:color="000000" w:sz="4" w:space="0"/>
              <w:left w:val="single" w:color="000000" w:sz="4" w:space="0"/>
              <w:bottom w:val="single" w:color="000000" w:sz="4" w:space="0"/>
              <w:right w:val="single" w:color="000000" w:sz="4" w:space="0"/>
            </w:tcBorders>
          </w:tcPr>
          <w:p w14:paraId="778E7CEA">
            <w:pPr>
              <w:pStyle w:val="37"/>
              <w:kinsoku w:val="0"/>
              <w:overflowPunct w:val="0"/>
              <w:spacing w:before="144"/>
              <w:ind w:left="236"/>
              <w:rPr>
                <w:rFonts w:hint="eastAsia" w:ascii="仿宋" w:hAnsi="仿宋" w:eastAsia="仿宋" w:cs="仿宋"/>
                <w:color w:val="auto"/>
              </w:rPr>
            </w:pPr>
            <w:r>
              <w:rPr>
                <w:rFonts w:hint="eastAsia" w:ascii="仿宋" w:hAnsi="仿宋" w:eastAsia="仿宋" w:cs="仿宋"/>
                <w:color w:val="auto"/>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14:paraId="0BCF9924">
            <w:pPr>
              <w:rPr>
                <w:rFonts w:hint="eastAsia" w:ascii="仿宋" w:hAnsi="仿宋" w:eastAsia="仿宋" w:cs="仿宋"/>
                <w:color w:val="auto"/>
              </w:rPr>
            </w:pPr>
          </w:p>
        </w:tc>
        <w:tc>
          <w:tcPr>
            <w:tcW w:w="2168" w:type="dxa"/>
            <w:gridSpan w:val="4"/>
            <w:tcBorders>
              <w:top w:val="single" w:color="000000" w:sz="4" w:space="0"/>
              <w:left w:val="single" w:color="000000" w:sz="4" w:space="0"/>
              <w:bottom w:val="single" w:color="000000" w:sz="4" w:space="0"/>
              <w:right w:val="single" w:color="000000" w:sz="4" w:space="0"/>
            </w:tcBorders>
          </w:tcPr>
          <w:p w14:paraId="6ADA0A64">
            <w:pPr>
              <w:pStyle w:val="37"/>
              <w:kinsoku w:val="0"/>
              <w:overflowPunct w:val="0"/>
              <w:spacing w:before="144"/>
              <w:ind w:left="118"/>
              <w:rPr>
                <w:rFonts w:hint="eastAsia" w:ascii="仿宋" w:hAnsi="仿宋" w:eastAsia="仿宋" w:cs="仿宋"/>
                <w:color w:val="auto"/>
              </w:rPr>
            </w:pPr>
            <w:r>
              <w:rPr>
                <w:rFonts w:hint="eastAsia" w:ascii="仿宋" w:hAnsi="仿宋" w:eastAsia="仿宋" w:cs="仿宋"/>
                <w:color w:val="auto"/>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14:paraId="72188595">
            <w:pPr>
              <w:rPr>
                <w:rFonts w:hint="eastAsia" w:ascii="仿宋" w:hAnsi="仿宋" w:eastAsia="仿宋" w:cs="仿宋"/>
                <w:color w:val="auto"/>
              </w:rPr>
            </w:pPr>
          </w:p>
        </w:tc>
      </w:tr>
      <w:tr w14:paraId="73ACA90B">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201C19FF">
            <w:pPr>
              <w:rPr>
                <w:rFonts w:hint="eastAsia" w:ascii="仿宋" w:hAnsi="仿宋" w:eastAsia="仿宋" w:cs="仿宋"/>
                <w:color w:val="auto"/>
              </w:rPr>
            </w:pPr>
          </w:p>
        </w:tc>
        <w:tc>
          <w:tcPr>
            <w:tcW w:w="7472" w:type="dxa"/>
            <w:gridSpan w:val="9"/>
            <w:tcBorders>
              <w:top w:val="single" w:color="000000" w:sz="4" w:space="0"/>
              <w:left w:val="single" w:color="000000" w:sz="4" w:space="0"/>
              <w:bottom w:val="single" w:color="000000" w:sz="4" w:space="0"/>
              <w:right w:val="single" w:color="000000" w:sz="4" w:space="0"/>
            </w:tcBorders>
          </w:tcPr>
          <w:p w14:paraId="6666A6FF">
            <w:pPr>
              <w:pStyle w:val="37"/>
              <w:kinsoku w:val="0"/>
              <w:overflowPunct w:val="0"/>
              <w:spacing w:before="145"/>
              <w:jc w:val="center"/>
              <w:rPr>
                <w:rFonts w:hint="eastAsia" w:ascii="仿宋" w:hAnsi="仿宋" w:eastAsia="仿宋" w:cs="仿宋"/>
                <w:color w:val="auto"/>
              </w:rPr>
            </w:pPr>
            <w:r>
              <w:rPr>
                <w:rFonts w:hint="eastAsia" w:ascii="仿宋" w:hAnsi="仿宋" w:eastAsia="仿宋" w:cs="仿宋"/>
                <w:color w:val="auto"/>
              </w:rPr>
              <w:t>单位行政和技术负责人</w:t>
            </w:r>
          </w:p>
        </w:tc>
      </w:tr>
      <w:tr w14:paraId="7BF66504">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6FE6BEF1">
            <w:pPr>
              <w:pStyle w:val="37"/>
              <w:kinsoku w:val="0"/>
              <w:overflowPunct w:val="0"/>
              <w:spacing w:before="145"/>
              <w:jc w:val="cente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20B288C6">
            <w:pPr>
              <w:pStyle w:val="37"/>
              <w:kinsoku w:val="0"/>
              <w:overflowPunct w:val="0"/>
              <w:spacing w:before="145"/>
              <w:ind w:left="416"/>
              <w:rPr>
                <w:rFonts w:hint="eastAsia" w:ascii="仿宋" w:hAnsi="仿宋" w:eastAsia="仿宋" w:cs="仿宋"/>
                <w:color w:val="auto"/>
              </w:rPr>
            </w:pPr>
            <w:r>
              <w:rPr>
                <w:rFonts w:hint="eastAsia" w:ascii="仿宋" w:hAnsi="仿宋" w:eastAsia="仿宋" w:cs="仿宋"/>
                <w:color w:val="auto"/>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14:paraId="70C56EEB">
            <w:pPr>
              <w:pStyle w:val="37"/>
              <w:kinsoku w:val="0"/>
              <w:overflowPunct w:val="0"/>
              <w:spacing w:before="145"/>
              <w:ind w:left="452"/>
              <w:rPr>
                <w:rFonts w:hint="eastAsia" w:ascii="仿宋" w:hAnsi="仿宋" w:eastAsia="仿宋" w:cs="仿宋"/>
                <w:color w:val="auto"/>
              </w:rPr>
            </w:pPr>
            <w:r>
              <w:rPr>
                <w:rFonts w:hint="eastAsia" w:ascii="仿宋" w:hAnsi="仿宋" w:eastAsia="仿宋" w:cs="仿宋"/>
                <w:color w:val="auto"/>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14:paraId="0942BFF1">
            <w:pPr>
              <w:pStyle w:val="37"/>
              <w:kinsoku w:val="0"/>
              <w:overflowPunct w:val="0"/>
              <w:spacing w:before="145"/>
              <w:ind w:left="450"/>
              <w:rPr>
                <w:rFonts w:hint="eastAsia" w:ascii="仿宋" w:hAnsi="仿宋" w:eastAsia="仿宋" w:cs="仿宋"/>
                <w:color w:val="auto"/>
              </w:rPr>
            </w:pPr>
            <w:r>
              <w:rPr>
                <w:rFonts w:hint="eastAsia" w:ascii="仿宋" w:hAnsi="仿宋" w:eastAsia="仿宋" w:cs="仿宋"/>
                <w:color w:val="auto"/>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14:paraId="0A9471B8">
            <w:pPr>
              <w:pStyle w:val="37"/>
              <w:tabs>
                <w:tab w:val="left" w:pos="479"/>
              </w:tabs>
              <w:kinsoku w:val="0"/>
              <w:overflowPunct w:val="0"/>
              <w:spacing w:before="145"/>
              <w:ind w:right="1"/>
              <w:jc w:val="center"/>
              <w:rPr>
                <w:rFonts w:hint="eastAsia" w:ascii="仿宋" w:hAnsi="仿宋" w:eastAsia="仿宋" w:cs="仿宋"/>
                <w:color w:val="auto"/>
              </w:rPr>
            </w:pPr>
            <w:r>
              <w:rPr>
                <w:rFonts w:hint="eastAsia" w:ascii="仿宋" w:hAnsi="仿宋" w:eastAsia="仿宋" w:cs="仿宋"/>
                <w:color w:val="auto"/>
              </w:rPr>
              <w:t>专</w:t>
            </w:r>
            <w:r>
              <w:rPr>
                <w:rFonts w:hint="eastAsia" w:ascii="仿宋" w:hAnsi="仿宋" w:eastAsia="仿宋" w:cs="仿宋"/>
                <w:color w:val="auto"/>
              </w:rPr>
              <w:tab/>
            </w:r>
            <w:r>
              <w:rPr>
                <w:rFonts w:hint="eastAsia" w:ascii="仿宋" w:hAnsi="仿宋" w:eastAsia="仿宋" w:cs="仿宋"/>
                <w:color w:val="auto"/>
              </w:rPr>
              <w:t>业</w:t>
            </w:r>
          </w:p>
        </w:tc>
      </w:tr>
      <w:tr w14:paraId="305E4294">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50489B83">
            <w:pPr>
              <w:pStyle w:val="37"/>
              <w:tabs>
                <w:tab w:val="left" w:pos="479"/>
              </w:tabs>
              <w:kinsoku w:val="0"/>
              <w:overflowPunct w:val="0"/>
              <w:spacing w:before="145"/>
              <w:ind w:right="1"/>
              <w:jc w:val="cente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0D5A62D9">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6AA6AA48">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73A6DD98">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526B478B">
            <w:pPr>
              <w:rPr>
                <w:rFonts w:hint="eastAsia" w:ascii="仿宋" w:hAnsi="仿宋" w:eastAsia="仿宋" w:cs="仿宋"/>
                <w:color w:val="auto"/>
              </w:rPr>
            </w:pPr>
          </w:p>
        </w:tc>
      </w:tr>
      <w:tr w14:paraId="2687100A">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50D2361A">
            <w:pP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63A6168B">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7E7271EA">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7EE8DBD3">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0FCF23D4">
            <w:pPr>
              <w:rPr>
                <w:rFonts w:hint="eastAsia" w:ascii="仿宋" w:hAnsi="仿宋" w:eastAsia="仿宋" w:cs="仿宋"/>
                <w:color w:val="auto"/>
              </w:rPr>
            </w:pPr>
          </w:p>
        </w:tc>
      </w:tr>
      <w:tr w14:paraId="25FC2AF1">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41A3A76D">
            <w:pP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3A596A7A">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174D02C0">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0645A0A4">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4FE1D7E3">
            <w:pPr>
              <w:rPr>
                <w:rFonts w:hint="eastAsia" w:ascii="仿宋" w:hAnsi="仿宋" w:eastAsia="仿宋" w:cs="仿宋"/>
                <w:color w:val="auto"/>
              </w:rPr>
            </w:pPr>
          </w:p>
        </w:tc>
      </w:tr>
      <w:tr w14:paraId="7029609E">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tcPr>
          <w:p w14:paraId="039A21C0">
            <w:pPr>
              <w:pStyle w:val="37"/>
              <w:kinsoku w:val="0"/>
              <w:overflowPunct w:val="0"/>
              <w:spacing w:before="1"/>
              <w:rPr>
                <w:rFonts w:hint="eastAsia" w:ascii="仿宋" w:hAnsi="仿宋" w:eastAsia="仿宋" w:cs="仿宋"/>
                <w:b/>
                <w:bCs/>
                <w:color w:val="auto"/>
                <w:sz w:val="23"/>
                <w:szCs w:val="23"/>
              </w:rPr>
            </w:pPr>
          </w:p>
          <w:p w14:paraId="6A327193">
            <w:pPr>
              <w:pStyle w:val="37"/>
              <w:kinsoku w:val="0"/>
              <w:overflowPunct w:val="0"/>
              <w:spacing w:line="237" w:lineRule="auto"/>
              <w:ind w:left="497" w:right="493"/>
              <w:jc w:val="both"/>
              <w:rPr>
                <w:rFonts w:hint="eastAsia" w:ascii="仿宋" w:hAnsi="仿宋" w:eastAsia="仿宋" w:cs="仿宋"/>
                <w:color w:val="auto"/>
              </w:rPr>
            </w:pPr>
            <w:r>
              <w:rPr>
                <w:rFonts w:hint="eastAsia" w:ascii="仿宋" w:hAnsi="仿宋" w:eastAsia="仿宋" w:cs="仿宋"/>
                <w:color w:val="auto"/>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14:paraId="2831C2AF">
            <w:pPr>
              <w:rPr>
                <w:rFonts w:hint="eastAsia" w:ascii="仿宋" w:hAnsi="仿宋" w:eastAsia="仿宋" w:cs="仿宋"/>
                <w:color w:val="auto"/>
              </w:rPr>
            </w:pPr>
          </w:p>
        </w:tc>
      </w:tr>
    </w:tbl>
    <w:p w14:paraId="1E8A57BD">
      <w:pPr>
        <w:pStyle w:val="34"/>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14:paraId="0C458B1D">
      <w:pPr>
        <w:pStyle w:val="34"/>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14:paraId="2D60C265">
      <w:pPr>
        <w:pStyle w:val="34"/>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14:paraId="11674D67">
      <w:pPr>
        <w:pStyle w:val="34"/>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14:paraId="52553B51">
      <w:pPr>
        <w:jc w:val="both"/>
        <w:rPr>
          <w:rFonts w:hint="eastAsia" w:ascii="仿宋" w:hAnsi="仿宋" w:eastAsia="仿宋" w:cs="仿宋"/>
          <w:b/>
          <w:bCs/>
          <w:color w:val="auto"/>
          <w:sz w:val="36"/>
          <w:szCs w:val="36"/>
          <w:highlight w:val="none"/>
          <w:lang w:val="en-US" w:eastAsia="zh-CN"/>
        </w:rPr>
      </w:pPr>
    </w:p>
    <w:p w14:paraId="4D41A7B3">
      <w:pPr>
        <w:jc w:val="center"/>
        <w:rPr>
          <w:rFonts w:hint="eastAsia" w:ascii="仿宋" w:hAnsi="仿宋" w:eastAsia="仿宋" w:cs="仿宋"/>
          <w:b/>
          <w:bCs/>
          <w:color w:val="auto"/>
          <w:sz w:val="36"/>
          <w:szCs w:val="36"/>
          <w:highlight w:val="none"/>
          <w:lang w:val="en-US" w:eastAsia="zh-CN"/>
        </w:rPr>
      </w:pPr>
    </w:p>
    <w:p w14:paraId="04381B44">
      <w:pPr>
        <w:jc w:val="center"/>
        <w:rPr>
          <w:rFonts w:hint="eastAsia" w:ascii="仿宋" w:hAnsi="仿宋" w:eastAsia="仿宋" w:cs="仿宋"/>
          <w:b/>
          <w:bCs/>
          <w:color w:val="auto"/>
          <w:sz w:val="36"/>
          <w:szCs w:val="36"/>
          <w:highlight w:val="none"/>
          <w:lang w:val="en-US" w:eastAsia="zh-CN"/>
        </w:rPr>
      </w:pPr>
    </w:p>
    <w:p w14:paraId="07B813EB">
      <w:pPr>
        <w:jc w:val="center"/>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8、成交服务费支付承诺书</w:t>
      </w:r>
    </w:p>
    <w:p w14:paraId="137EAD3A">
      <w:pPr>
        <w:adjustRightInd w:val="0"/>
        <w:snapToGrid w:val="0"/>
        <w:spacing w:before="240" w:beforeLines="100" w:after="240" w:afterLines="10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致： </w:t>
      </w:r>
    </w:p>
    <w:p w14:paraId="4E144CF6">
      <w:pPr>
        <w:spacing w:line="440" w:lineRule="exact"/>
        <w:ind w:left="360" w:leftChars="15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w:t>
      </w:r>
      <w:r>
        <w:rPr>
          <w:rFonts w:hint="eastAsia" w:ascii="仿宋" w:hAnsi="仿宋" w:eastAsia="仿宋" w:cs="仿宋"/>
          <w:color w:val="auto"/>
          <w:sz w:val="24"/>
          <w:szCs w:val="24"/>
          <w:highlight w:val="none"/>
          <w:u w:val="single"/>
        </w:rPr>
        <w:t xml:space="preserve">    </w:t>
      </w:r>
      <w:r>
        <w:rPr>
          <w:rFonts w:hint="eastAsia" w:ascii="仿宋" w:hAnsi="仿宋" w:eastAsia="仿宋" w:cs="仿宋"/>
          <w:i/>
          <w:color w:val="auto"/>
          <w:kern w:val="0"/>
          <w:sz w:val="24"/>
          <w:szCs w:val="24"/>
          <w:highlight w:val="none"/>
          <w:u w:val="single"/>
        </w:rPr>
        <w:t xml:space="preserve">       (投标人名称) </w:t>
      </w:r>
      <w:r>
        <w:rPr>
          <w:rFonts w:hint="eastAsia" w:ascii="仿宋" w:hAnsi="仿宋" w:eastAsia="仿宋" w:cs="仿宋"/>
          <w:color w:val="auto"/>
          <w:sz w:val="24"/>
          <w:szCs w:val="24"/>
          <w:highlight w:val="none"/>
        </w:rPr>
        <w:t>在参加贵公司举行的</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】招标中如获</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,保证在收到贵公司发出的《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lang w:eastAsia="zh-CN"/>
        </w:rPr>
        <w:t>之前</w:t>
      </w:r>
      <w:r>
        <w:rPr>
          <w:rFonts w:hint="eastAsia" w:ascii="仿宋" w:hAnsi="仿宋" w:eastAsia="仿宋" w:cs="仿宋"/>
          <w:color w:val="auto"/>
          <w:sz w:val="24"/>
          <w:szCs w:val="24"/>
          <w:highlight w:val="none"/>
        </w:rPr>
        <w:t>向贵公司交纳</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文件规定的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服务费。</w:t>
      </w:r>
    </w:p>
    <w:p w14:paraId="7F73FBE5">
      <w:pPr>
        <w:spacing w:line="440" w:lineRule="exact"/>
        <w:ind w:left="360" w:leftChars="15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如我公司违约,愿承担全部法律责任。</w:t>
      </w:r>
    </w:p>
    <w:p w14:paraId="47DBEE1F">
      <w:pPr>
        <w:spacing w:line="440" w:lineRule="exact"/>
        <w:ind w:firstLine="960" w:firstLineChars="400"/>
        <w:rPr>
          <w:rFonts w:hint="eastAsia" w:ascii="仿宋" w:hAnsi="仿宋" w:eastAsia="仿宋" w:cs="仿宋"/>
          <w:color w:val="auto"/>
          <w:sz w:val="24"/>
          <w:szCs w:val="24"/>
          <w:highlight w:val="none"/>
        </w:rPr>
      </w:pPr>
    </w:p>
    <w:p w14:paraId="11103BE9">
      <w:pPr>
        <w:spacing w:line="44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特此承诺!</w:t>
      </w:r>
    </w:p>
    <w:p w14:paraId="266DC7AA">
      <w:pPr>
        <w:autoSpaceDE w:val="0"/>
        <w:autoSpaceDN w:val="0"/>
        <w:adjustRightInd w:val="0"/>
        <w:spacing w:line="440" w:lineRule="exact"/>
        <w:jc w:val="left"/>
        <w:rPr>
          <w:rFonts w:hint="eastAsia" w:ascii="仿宋" w:hAnsi="仿宋" w:eastAsia="仿宋" w:cs="仿宋"/>
          <w:color w:val="auto"/>
          <w:kern w:val="0"/>
          <w:sz w:val="24"/>
          <w:szCs w:val="24"/>
          <w:highlight w:val="none"/>
        </w:rPr>
      </w:pPr>
    </w:p>
    <w:p w14:paraId="146714A0">
      <w:pPr>
        <w:adjustRightInd w:val="0"/>
        <w:snapToGrid w:val="0"/>
        <w:spacing w:line="440" w:lineRule="exact"/>
        <w:rPr>
          <w:rFonts w:hint="eastAsia" w:ascii="仿宋" w:hAnsi="仿宋" w:eastAsia="仿宋" w:cs="仿宋"/>
          <w:color w:val="auto"/>
          <w:sz w:val="24"/>
          <w:szCs w:val="24"/>
          <w:highlight w:val="none"/>
        </w:rPr>
      </w:pPr>
    </w:p>
    <w:p w14:paraId="3CE335B4">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（公章）</w:t>
      </w:r>
      <w:r>
        <w:rPr>
          <w:rFonts w:hint="eastAsia" w:ascii="仿宋" w:hAnsi="仿宋" w:eastAsia="仿宋" w:cs="仿宋"/>
          <w:color w:val="auto"/>
          <w:sz w:val="24"/>
          <w:szCs w:val="24"/>
          <w:highlight w:val="none"/>
        </w:rPr>
        <w:t xml:space="preserve">      </w:t>
      </w:r>
    </w:p>
    <w:p w14:paraId="4E4A355A">
      <w:pPr>
        <w:adjustRightInd w:val="0"/>
        <w:snapToGrid w:val="0"/>
        <w:spacing w:line="440" w:lineRule="exact"/>
        <w:rPr>
          <w:rFonts w:hint="eastAsia" w:ascii="仿宋" w:hAnsi="仿宋" w:eastAsia="仿宋" w:cs="仿宋"/>
          <w:color w:val="auto"/>
          <w:sz w:val="24"/>
          <w:szCs w:val="24"/>
          <w:highlight w:val="none"/>
        </w:rPr>
      </w:pPr>
    </w:p>
    <w:p w14:paraId="37570EC5">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签字或盖章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53FD6368">
      <w:pPr>
        <w:adjustRightInd w:val="0"/>
        <w:snapToGrid w:val="0"/>
        <w:spacing w:line="440" w:lineRule="exact"/>
        <w:rPr>
          <w:rFonts w:hint="eastAsia" w:ascii="仿宋" w:hAnsi="仿宋" w:eastAsia="仿宋" w:cs="仿宋"/>
          <w:color w:val="auto"/>
          <w:sz w:val="24"/>
          <w:szCs w:val="24"/>
          <w:highlight w:val="none"/>
        </w:rPr>
      </w:pPr>
    </w:p>
    <w:p w14:paraId="3A33E242">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24E12243">
      <w:pPr>
        <w:spacing w:line="360" w:lineRule="auto"/>
        <w:jc w:val="center"/>
        <w:rPr>
          <w:rFonts w:hint="eastAsia" w:ascii="仿宋" w:hAnsi="仿宋" w:eastAsia="仿宋" w:cs="仿宋"/>
          <w:b/>
          <w:bCs w:val="0"/>
          <w:color w:val="auto"/>
          <w:kern w:val="0"/>
          <w:sz w:val="36"/>
          <w:szCs w:val="36"/>
          <w:lang w:val="en-US" w:eastAsia="zh-CN"/>
        </w:rPr>
      </w:pPr>
    </w:p>
    <w:p w14:paraId="5ED0D5A6">
      <w:pPr>
        <w:spacing w:line="360" w:lineRule="auto"/>
        <w:jc w:val="center"/>
        <w:rPr>
          <w:rFonts w:hint="eastAsia" w:ascii="仿宋" w:hAnsi="仿宋" w:eastAsia="仿宋" w:cs="仿宋"/>
          <w:b/>
          <w:bCs w:val="0"/>
          <w:color w:val="auto"/>
          <w:kern w:val="0"/>
          <w:sz w:val="36"/>
          <w:szCs w:val="36"/>
          <w:lang w:val="en-US" w:eastAsia="zh-CN"/>
        </w:rPr>
      </w:pPr>
    </w:p>
    <w:p w14:paraId="186FB93B">
      <w:pPr>
        <w:spacing w:line="360" w:lineRule="auto"/>
        <w:jc w:val="center"/>
        <w:rPr>
          <w:rFonts w:hint="eastAsia" w:ascii="仿宋" w:hAnsi="仿宋" w:eastAsia="仿宋" w:cs="仿宋"/>
          <w:b/>
          <w:bCs w:val="0"/>
          <w:color w:val="auto"/>
          <w:kern w:val="0"/>
          <w:sz w:val="36"/>
          <w:szCs w:val="36"/>
          <w:lang w:val="en-US" w:eastAsia="zh-CN"/>
        </w:rPr>
      </w:pPr>
    </w:p>
    <w:p w14:paraId="26169125">
      <w:pPr>
        <w:spacing w:line="360" w:lineRule="auto"/>
        <w:jc w:val="center"/>
        <w:rPr>
          <w:rFonts w:hint="eastAsia" w:ascii="仿宋" w:hAnsi="仿宋" w:eastAsia="仿宋" w:cs="仿宋"/>
          <w:b/>
          <w:bCs w:val="0"/>
          <w:color w:val="auto"/>
          <w:kern w:val="0"/>
          <w:sz w:val="36"/>
          <w:szCs w:val="36"/>
          <w:lang w:val="en-US" w:eastAsia="zh-CN"/>
        </w:rPr>
      </w:pPr>
    </w:p>
    <w:p w14:paraId="40351D4B">
      <w:pPr>
        <w:spacing w:line="360" w:lineRule="auto"/>
        <w:jc w:val="center"/>
        <w:rPr>
          <w:rFonts w:hint="eastAsia" w:ascii="仿宋" w:hAnsi="仿宋" w:eastAsia="仿宋" w:cs="仿宋"/>
          <w:b/>
          <w:bCs w:val="0"/>
          <w:color w:val="auto"/>
          <w:kern w:val="0"/>
          <w:sz w:val="36"/>
          <w:szCs w:val="36"/>
          <w:lang w:val="en-US" w:eastAsia="zh-CN"/>
        </w:rPr>
      </w:pPr>
    </w:p>
    <w:p w14:paraId="45A312A2">
      <w:pPr>
        <w:spacing w:line="360" w:lineRule="auto"/>
        <w:jc w:val="center"/>
        <w:rPr>
          <w:rFonts w:hint="eastAsia" w:ascii="仿宋" w:hAnsi="仿宋" w:eastAsia="仿宋" w:cs="仿宋"/>
          <w:b/>
          <w:bCs w:val="0"/>
          <w:color w:val="auto"/>
          <w:kern w:val="0"/>
          <w:sz w:val="36"/>
          <w:szCs w:val="36"/>
          <w:lang w:val="en-US" w:eastAsia="zh-CN"/>
        </w:rPr>
      </w:pPr>
    </w:p>
    <w:p w14:paraId="77D562B0">
      <w:pPr>
        <w:spacing w:line="360" w:lineRule="auto"/>
        <w:jc w:val="center"/>
        <w:rPr>
          <w:rFonts w:hint="eastAsia" w:ascii="仿宋" w:hAnsi="仿宋" w:eastAsia="仿宋" w:cs="仿宋"/>
          <w:b/>
          <w:bCs w:val="0"/>
          <w:color w:val="auto"/>
          <w:kern w:val="0"/>
          <w:sz w:val="36"/>
          <w:szCs w:val="36"/>
          <w:lang w:val="en-US" w:eastAsia="zh-CN"/>
        </w:rPr>
      </w:pPr>
    </w:p>
    <w:p w14:paraId="35D8D92B">
      <w:pPr>
        <w:spacing w:line="360" w:lineRule="auto"/>
        <w:jc w:val="center"/>
        <w:rPr>
          <w:rFonts w:hint="eastAsia" w:ascii="仿宋" w:hAnsi="仿宋" w:eastAsia="仿宋" w:cs="仿宋"/>
          <w:b/>
          <w:bCs w:val="0"/>
          <w:color w:val="auto"/>
          <w:kern w:val="0"/>
          <w:sz w:val="36"/>
          <w:szCs w:val="36"/>
          <w:lang w:val="en-US" w:eastAsia="zh-CN"/>
        </w:rPr>
      </w:pPr>
    </w:p>
    <w:p w14:paraId="41DA8813">
      <w:pPr>
        <w:spacing w:line="360" w:lineRule="auto"/>
        <w:jc w:val="center"/>
        <w:rPr>
          <w:rFonts w:hint="eastAsia" w:ascii="仿宋" w:hAnsi="仿宋" w:eastAsia="仿宋" w:cs="仿宋"/>
          <w:b/>
          <w:bCs w:val="0"/>
          <w:color w:val="auto"/>
          <w:kern w:val="0"/>
          <w:sz w:val="36"/>
          <w:szCs w:val="36"/>
          <w:lang w:val="en-US" w:eastAsia="zh-CN"/>
        </w:rPr>
      </w:pPr>
    </w:p>
    <w:p w14:paraId="11872607">
      <w:pPr>
        <w:spacing w:line="360" w:lineRule="auto"/>
        <w:jc w:val="center"/>
        <w:rPr>
          <w:rFonts w:hint="eastAsia" w:ascii="仿宋" w:hAnsi="仿宋" w:eastAsia="仿宋" w:cs="仿宋"/>
          <w:b/>
          <w:bCs w:val="0"/>
          <w:color w:val="auto"/>
          <w:kern w:val="0"/>
          <w:sz w:val="36"/>
          <w:szCs w:val="36"/>
          <w:lang w:val="en-US" w:eastAsia="zh-CN"/>
        </w:rPr>
      </w:pPr>
    </w:p>
    <w:p w14:paraId="3252C831">
      <w:pPr>
        <w:spacing w:line="360" w:lineRule="auto"/>
        <w:jc w:val="center"/>
        <w:rPr>
          <w:rFonts w:ascii="仿宋" w:hAnsi="仿宋" w:eastAsia="仿宋" w:cs="仿宋"/>
          <w:b/>
          <w:color w:val="auto"/>
          <w:sz w:val="32"/>
          <w:szCs w:val="32"/>
          <w:highlight w:val="none"/>
          <w:lang w:eastAsia="zh-CN"/>
        </w:rPr>
      </w:pPr>
      <w:r>
        <w:rPr>
          <w:rFonts w:hint="eastAsia" w:ascii="仿宋" w:hAnsi="仿宋" w:eastAsia="仿宋" w:cs="仿宋"/>
          <w:b/>
          <w:bCs w:val="0"/>
          <w:color w:val="auto"/>
          <w:kern w:val="0"/>
          <w:sz w:val="36"/>
          <w:szCs w:val="36"/>
          <w:lang w:val="en-US" w:eastAsia="zh-CN"/>
        </w:rPr>
        <w:t>9</w:t>
      </w:r>
      <w:r>
        <w:rPr>
          <w:rFonts w:hint="eastAsia" w:ascii="仿宋" w:hAnsi="仿宋" w:eastAsia="仿宋" w:cs="仿宋"/>
          <w:b/>
          <w:bCs w:val="0"/>
          <w:color w:val="auto"/>
          <w:kern w:val="0"/>
          <w:sz w:val="36"/>
          <w:szCs w:val="36"/>
        </w:rPr>
        <w:t>、</w:t>
      </w:r>
      <w:r>
        <w:rPr>
          <w:rFonts w:hint="eastAsia" w:ascii="仿宋" w:hAnsi="仿宋" w:eastAsia="仿宋" w:cs="仿宋"/>
          <w:b/>
          <w:color w:val="auto"/>
          <w:sz w:val="36"/>
          <w:szCs w:val="36"/>
          <w:highlight w:val="none"/>
          <w:lang w:eastAsia="zh-CN"/>
        </w:rPr>
        <w:t>中小企业声明函(</w:t>
      </w:r>
      <w:r>
        <w:rPr>
          <w:rFonts w:hint="eastAsia" w:ascii="仿宋" w:hAnsi="仿宋" w:eastAsia="仿宋" w:cs="仿宋"/>
          <w:b/>
          <w:color w:val="auto"/>
          <w:sz w:val="36"/>
          <w:szCs w:val="36"/>
          <w:highlight w:val="none"/>
          <w:lang w:val="en-US" w:eastAsia="zh-CN"/>
        </w:rPr>
        <w:t>货物</w:t>
      </w:r>
      <w:r>
        <w:rPr>
          <w:rFonts w:hint="eastAsia" w:ascii="仿宋" w:hAnsi="仿宋" w:eastAsia="仿宋" w:cs="仿宋"/>
          <w:b/>
          <w:color w:val="auto"/>
          <w:sz w:val="36"/>
          <w:szCs w:val="36"/>
          <w:highlight w:val="none"/>
          <w:lang w:eastAsia="zh-CN"/>
        </w:rPr>
        <w:t>)</w:t>
      </w:r>
    </w:p>
    <w:p w14:paraId="42393E6C">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4569A371">
      <w:pPr>
        <w:numPr>
          <w:ilvl w:val="0"/>
          <w:numId w:val="10"/>
        </w:num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（标的名称）</w:t>
      </w:r>
      <w:r>
        <w:rPr>
          <w:rFonts w:hint="eastAsia" w:ascii="仿宋" w:hAnsi="仿宋" w:eastAsia="仿宋" w:cs="仿宋"/>
          <w:color w:val="auto"/>
          <w:highlight w:val="none"/>
          <w:lang w:eastAsia="zh-CN"/>
        </w:rPr>
        <w:t>，属于</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（采购文件中明确的所属行业）</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制造商</w:t>
      </w:r>
      <w:r>
        <w:rPr>
          <w:rFonts w:hint="eastAsia" w:ascii="仿宋" w:hAnsi="仿宋" w:eastAsia="仿宋" w:cs="仿宋"/>
          <w:color w:val="auto"/>
          <w:highlight w:val="none"/>
          <w:lang w:eastAsia="zh-CN"/>
        </w:rPr>
        <w:t>为</w:t>
      </w:r>
      <w:r>
        <w:rPr>
          <w:rFonts w:hint="eastAsia" w:ascii="仿宋" w:hAnsi="仿宋" w:eastAsia="仿宋" w:cs="仿宋"/>
          <w:color w:val="auto"/>
          <w:highlight w:val="none"/>
          <w:u w:val="single"/>
          <w:lang w:eastAsia="zh-CN"/>
        </w:rPr>
        <w:t>（企业名称）</w:t>
      </w:r>
      <w:r>
        <w:rPr>
          <w:rFonts w:hint="eastAsia" w:ascii="仿宋" w:hAnsi="仿宋" w:eastAsia="仿宋" w:cs="仿宋"/>
          <w:color w:val="auto"/>
          <w:highlight w:val="none"/>
          <w:lang w:eastAsia="zh-CN"/>
        </w:rPr>
        <w:t>，从业人员</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人，营业收入为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万元，资产总额为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万元，属于</w:t>
      </w:r>
      <w:r>
        <w:rPr>
          <w:rFonts w:hint="eastAsia" w:ascii="仿宋" w:hAnsi="仿宋" w:eastAsia="仿宋" w:cs="仿宋"/>
          <w:color w:val="auto"/>
          <w:highlight w:val="none"/>
          <w:u w:val="single"/>
          <w:lang w:eastAsia="zh-CN"/>
        </w:rPr>
        <w:t>（中型企业、小型企业、微型企业</w:t>
      </w:r>
      <w:r>
        <w:rPr>
          <w:rFonts w:hint="eastAsia" w:ascii="仿宋" w:hAnsi="仿宋" w:eastAsia="仿宋" w:cs="仿宋"/>
          <w:color w:val="auto"/>
          <w:highlight w:val="none"/>
          <w:lang w:eastAsia="zh-CN"/>
        </w:rPr>
        <w:t>）；</w:t>
      </w:r>
    </w:p>
    <w:p w14:paraId="698A50D8">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2. </w:t>
      </w:r>
      <w:r>
        <w:rPr>
          <w:rFonts w:hint="eastAsia" w:ascii="仿宋" w:hAnsi="仿宋" w:eastAsia="仿宋" w:cs="仿宋"/>
          <w:color w:val="auto"/>
          <w:highlight w:val="none"/>
          <w:u w:val="single"/>
          <w:lang w:eastAsia="zh-CN"/>
        </w:rPr>
        <w:t xml:space="preserve"> （标的名称）</w:t>
      </w:r>
      <w:r>
        <w:rPr>
          <w:rFonts w:hint="eastAsia" w:ascii="仿宋" w:hAnsi="仿宋" w:eastAsia="仿宋" w:cs="仿宋"/>
          <w:color w:val="auto"/>
          <w:highlight w:val="none"/>
          <w:lang w:eastAsia="zh-CN"/>
        </w:rPr>
        <w:t>，属于</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 xml:space="preserve">（采购文件明中确的所属行业） </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制造商</w:t>
      </w:r>
      <w:r>
        <w:rPr>
          <w:rFonts w:hint="eastAsia" w:ascii="仿宋" w:hAnsi="仿宋" w:eastAsia="仿宋" w:cs="仿宋"/>
          <w:color w:val="auto"/>
          <w:highlight w:val="none"/>
          <w:lang w:eastAsia="zh-CN"/>
        </w:rPr>
        <w:t>为</w:t>
      </w:r>
      <w:r>
        <w:rPr>
          <w:rFonts w:hint="eastAsia" w:ascii="仿宋" w:hAnsi="仿宋" w:eastAsia="仿宋" w:cs="仿宋"/>
          <w:color w:val="auto"/>
          <w:highlight w:val="none"/>
          <w:u w:val="single"/>
          <w:lang w:eastAsia="zh-CN"/>
        </w:rPr>
        <w:t xml:space="preserve"> （企业名称）</w:t>
      </w:r>
      <w:r>
        <w:rPr>
          <w:rFonts w:hint="eastAsia" w:ascii="仿宋" w:hAnsi="仿宋" w:eastAsia="仿宋" w:cs="仿宋"/>
          <w:color w:val="auto"/>
          <w:highlight w:val="none"/>
          <w:lang w:eastAsia="zh-CN"/>
        </w:rPr>
        <w:t>，从业人员</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人，营业收入为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万元，资产总额为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万元，属于</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（中型企业、小型企业、微型企业）</w:t>
      </w:r>
      <w:r>
        <w:rPr>
          <w:rFonts w:hint="eastAsia" w:ascii="仿宋" w:hAnsi="仿宋" w:eastAsia="仿宋" w:cs="仿宋"/>
          <w:color w:val="auto"/>
          <w:highlight w:val="none"/>
          <w:lang w:eastAsia="zh-CN"/>
        </w:rPr>
        <w:t>；</w:t>
      </w:r>
    </w:p>
    <w:p w14:paraId="746A3468">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p>
    <w:p w14:paraId="709646C8">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以上企业，不属于大企业的分支机构，不存在控股股东为大企业的情形，也不存在与大企业的负责人为同一人的情形。</w:t>
      </w:r>
    </w:p>
    <w:p w14:paraId="08E95A1B">
      <w:pPr>
        <w:spacing w:line="360" w:lineRule="auto"/>
        <w:ind w:firstLine="480" w:firstLineChars="200"/>
        <w:rPr>
          <w:rFonts w:ascii="仿宋" w:hAnsi="仿宋" w:eastAsia="仿宋" w:cs="仿宋"/>
          <w:color w:val="auto"/>
          <w:highlight w:val="none"/>
          <w:lang w:eastAsia="zh-CN"/>
        </w:rPr>
      </w:pPr>
    </w:p>
    <w:p w14:paraId="5991F7DF">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本企业对上述声明内容的真实性负责。如有虚假，将依法承担相应责任。</w:t>
      </w:r>
    </w:p>
    <w:p w14:paraId="1E3EF560">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7320D6A1">
      <w:pPr>
        <w:spacing w:line="360" w:lineRule="auto"/>
        <w:ind w:firstLine="480" w:firstLineChars="200"/>
        <w:rPr>
          <w:rFonts w:ascii="仿宋" w:hAnsi="仿宋" w:eastAsia="仿宋" w:cs="仿宋"/>
          <w:color w:val="auto"/>
          <w:highlight w:val="none"/>
          <w:lang w:eastAsia="zh-CN"/>
        </w:rPr>
      </w:pPr>
    </w:p>
    <w:p w14:paraId="0072770E">
      <w:pPr>
        <w:spacing w:line="360" w:lineRule="auto"/>
        <w:ind w:firstLine="4560" w:firstLineChars="19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企业名称（盖章）：</w:t>
      </w:r>
    </w:p>
    <w:p w14:paraId="2FBEC9CC">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日期：</w:t>
      </w:r>
    </w:p>
    <w:p w14:paraId="3CFADEB9">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p>
    <w:p w14:paraId="2F60C764">
      <w:pPr>
        <w:pStyle w:val="14"/>
        <w:rPr>
          <w:rFonts w:hint="eastAsia" w:ascii="仿宋" w:hAnsi="仿宋" w:eastAsia="仿宋" w:cs="仿宋"/>
          <w:color w:val="auto"/>
        </w:rPr>
      </w:pPr>
    </w:p>
    <w:p w14:paraId="4DFE9A18">
      <w:pPr>
        <w:pStyle w:val="14"/>
        <w:rPr>
          <w:rFonts w:hint="eastAsia" w:ascii="仿宋" w:hAnsi="仿宋" w:eastAsia="仿宋" w:cs="仿宋"/>
          <w:color w:val="auto"/>
        </w:rPr>
      </w:pPr>
    </w:p>
    <w:p w14:paraId="7CC42468">
      <w:pPr>
        <w:pStyle w:val="14"/>
        <w:rPr>
          <w:rFonts w:hint="eastAsia" w:ascii="仿宋" w:hAnsi="仿宋" w:eastAsia="仿宋" w:cs="仿宋"/>
          <w:color w:val="auto"/>
        </w:rPr>
      </w:pPr>
    </w:p>
    <w:p w14:paraId="762FBAB3">
      <w:pPr>
        <w:pStyle w:val="7"/>
        <w:numPr>
          <w:ilvl w:val="0"/>
          <w:numId w:val="0"/>
        </w:numPr>
        <w:ind w:left="360" w:leftChars="0"/>
        <w:rPr>
          <w:rFonts w:hint="eastAsia"/>
          <w:color w:val="auto"/>
        </w:rPr>
      </w:pPr>
    </w:p>
    <w:p w14:paraId="480A8C2D">
      <w:pPr>
        <w:pStyle w:val="14"/>
        <w:rPr>
          <w:rFonts w:hint="eastAsia" w:ascii="仿宋" w:hAnsi="仿宋" w:eastAsia="仿宋" w:cs="仿宋"/>
          <w:color w:val="auto"/>
        </w:rPr>
      </w:pPr>
    </w:p>
    <w:p w14:paraId="458A6C18">
      <w:pPr>
        <w:pStyle w:val="14"/>
        <w:rPr>
          <w:rFonts w:hint="eastAsia" w:ascii="仿宋" w:hAnsi="仿宋" w:eastAsia="仿宋" w:cs="仿宋"/>
          <w:color w:val="auto"/>
        </w:rPr>
      </w:pPr>
    </w:p>
    <w:p w14:paraId="61162539">
      <w:pPr>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p>
    <w:p w14:paraId="21ED8093">
      <w:pPr>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p>
    <w:p w14:paraId="36674F60">
      <w:pPr>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p>
    <w:p w14:paraId="65C9C557">
      <w:pPr>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p>
    <w:p w14:paraId="2614CAFC">
      <w:pPr>
        <w:tabs>
          <w:tab w:val="left" w:pos="3600"/>
        </w:tabs>
        <w:adjustRightInd w:val="0"/>
        <w:snapToGrid w:val="0"/>
        <w:spacing w:line="440" w:lineRule="exact"/>
        <w:jc w:val="both"/>
        <w:rPr>
          <w:rFonts w:hint="eastAsia" w:ascii="仿宋" w:hAnsi="仿宋" w:eastAsia="仿宋" w:cs="仿宋"/>
          <w:color w:val="auto"/>
          <w:spacing w:val="0"/>
          <w:w w:val="100"/>
          <w:position w:val="0"/>
          <w:sz w:val="36"/>
          <w:szCs w:val="36"/>
          <w:lang w:val="en-US" w:eastAsia="zh-CN"/>
        </w:rPr>
      </w:pPr>
    </w:p>
    <w:p w14:paraId="7229754D">
      <w:pPr>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p>
    <w:p w14:paraId="7488B661">
      <w:pPr>
        <w:tabs>
          <w:tab w:val="left" w:pos="3600"/>
        </w:tabs>
        <w:adjustRightInd w:val="0"/>
        <w:snapToGrid w:val="0"/>
        <w:spacing w:line="440" w:lineRule="exact"/>
        <w:jc w:val="center"/>
        <w:rPr>
          <w:rFonts w:hint="eastAsia" w:ascii="仿宋" w:hAnsi="仿宋" w:eastAsia="仿宋" w:cs="仿宋"/>
          <w:b/>
          <w:bCs/>
          <w:color w:val="auto"/>
          <w:spacing w:val="6"/>
          <w:kern w:val="0"/>
          <w:sz w:val="36"/>
          <w:szCs w:val="36"/>
        </w:rPr>
      </w:pPr>
      <w:r>
        <w:rPr>
          <w:rFonts w:hint="eastAsia" w:ascii="仿宋" w:hAnsi="仿宋" w:eastAsia="仿宋" w:cs="仿宋"/>
          <w:color w:val="auto"/>
          <w:spacing w:val="0"/>
          <w:w w:val="100"/>
          <w:position w:val="0"/>
          <w:sz w:val="36"/>
          <w:szCs w:val="36"/>
          <w:lang w:val="en-US" w:eastAsia="zh-CN"/>
        </w:rPr>
        <w:t>10</w:t>
      </w:r>
      <w:r>
        <w:rPr>
          <w:rFonts w:hint="eastAsia" w:ascii="仿宋" w:hAnsi="仿宋" w:eastAsia="仿宋" w:cs="仿宋"/>
          <w:color w:val="auto"/>
          <w:spacing w:val="0"/>
          <w:w w:val="100"/>
          <w:position w:val="0"/>
          <w:sz w:val="36"/>
          <w:szCs w:val="36"/>
          <w:lang w:eastAsia="zh-CN"/>
        </w:rPr>
        <w:t>、</w:t>
      </w:r>
      <w:r>
        <w:rPr>
          <w:rFonts w:hint="eastAsia" w:ascii="仿宋" w:hAnsi="仿宋" w:eastAsia="仿宋" w:cs="仿宋"/>
          <w:b/>
          <w:bCs/>
          <w:color w:val="auto"/>
          <w:spacing w:val="6"/>
          <w:kern w:val="0"/>
          <w:sz w:val="36"/>
          <w:szCs w:val="36"/>
        </w:rPr>
        <w:t>残疾人福利性单位声明函</w:t>
      </w:r>
    </w:p>
    <w:p w14:paraId="556CC46C">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rPr>
      </w:pPr>
    </w:p>
    <w:p w14:paraId="51DE902A">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D3C452B">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本单位对上述声明的真实性负责。如有虚假，将依法承担相应责任。</w:t>
      </w:r>
    </w:p>
    <w:p w14:paraId="519C3DB1">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 xml:space="preserve">                                     </w:t>
      </w:r>
    </w:p>
    <w:p w14:paraId="7F5459BD">
      <w:pPr>
        <w:widowControl/>
        <w:adjustRightInd w:val="0"/>
        <w:snapToGrid w:val="0"/>
        <w:spacing w:line="440" w:lineRule="exact"/>
        <w:ind w:firstLine="5544" w:firstLineChars="2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单位名称（盖章）：</w:t>
      </w:r>
    </w:p>
    <w:p w14:paraId="27B5693C">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 xml:space="preserve">                                      日  期：</w:t>
      </w:r>
    </w:p>
    <w:p w14:paraId="7A03C117">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14:paraId="3F51E5C0">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14:paraId="12634229">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14:paraId="69FC1E74">
      <w:pPr>
        <w:rPr>
          <w:rFonts w:hint="eastAsia" w:ascii="仿宋" w:hAnsi="仿宋" w:eastAsia="仿宋" w:cs="仿宋"/>
          <w:b/>
          <w:bCs/>
          <w:color w:val="auto"/>
          <w:sz w:val="24"/>
          <w:highlight w:val="none"/>
          <w:lang w:val="en-US" w:eastAsia="zh-CN"/>
        </w:rPr>
      </w:pPr>
    </w:p>
    <w:p w14:paraId="14A235DE">
      <w:pPr>
        <w:pStyle w:val="29"/>
        <w:rPr>
          <w:rFonts w:hint="eastAsia" w:ascii="仿宋" w:hAnsi="仿宋" w:eastAsia="仿宋" w:cs="仿宋"/>
          <w:b/>
          <w:bCs/>
          <w:color w:val="auto"/>
          <w:sz w:val="24"/>
          <w:highlight w:val="none"/>
          <w:lang w:val="en-US" w:eastAsia="zh-CN"/>
        </w:rPr>
      </w:pPr>
    </w:p>
    <w:p w14:paraId="10653911">
      <w:pPr>
        <w:pStyle w:val="32"/>
        <w:keepNext/>
        <w:keepLines/>
        <w:spacing w:before="0" w:after="660"/>
        <w:ind w:firstLine="420"/>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备注：不是残疾人福利性单位，无需提供声明函</w:t>
      </w:r>
    </w:p>
    <w:p w14:paraId="228482C9">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61DEF371">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0E96BE0F">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6FD85347">
      <w:pPr>
        <w:shd w:val="clear" w:color="auto" w:fill="auto"/>
        <w:tabs>
          <w:tab w:val="left" w:pos="3600"/>
        </w:tabs>
        <w:adjustRightInd w:val="0"/>
        <w:snapToGrid w:val="0"/>
        <w:spacing w:line="440" w:lineRule="exact"/>
        <w:jc w:val="both"/>
        <w:rPr>
          <w:rFonts w:hint="eastAsia" w:ascii="仿宋" w:hAnsi="仿宋" w:eastAsia="仿宋" w:cs="仿宋"/>
          <w:b/>
          <w:bCs/>
          <w:color w:val="auto"/>
          <w:spacing w:val="0"/>
          <w:w w:val="100"/>
          <w:position w:val="0"/>
          <w:sz w:val="36"/>
          <w:szCs w:val="36"/>
          <w:lang w:val="en-US" w:eastAsia="zh-CN"/>
        </w:rPr>
      </w:pPr>
    </w:p>
    <w:p w14:paraId="0E7D86DE">
      <w:pPr>
        <w:shd w:val="clear" w:color="auto" w:fill="auto"/>
        <w:tabs>
          <w:tab w:val="left" w:pos="3600"/>
        </w:tabs>
        <w:adjustRightInd w:val="0"/>
        <w:snapToGrid w:val="0"/>
        <w:spacing w:line="440" w:lineRule="exact"/>
        <w:jc w:val="both"/>
        <w:rPr>
          <w:rFonts w:hint="eastAsia" w:ascii="仿宋" w:hAnsi="仿宋" w:eastAsia="仿宋" w:cs="仿宋"/>
          <w:b/>
          <w:bCs/>
          <w:color w:val="auto"/>
          <w:spacing w:val="0"/>
          <w:w w:val="100"/>
          <w:position w:val="0"/>
          <w:sz w:val="36"/>
          <w:szCs w:val="36"/>
          <w:lang w:val="en-US" w:eastAsia="zh-CN"/>
        </w:rPr>
      </w:pPr>
    </w:p>
    <w:p w14:paraId="10D66F6A">
      <w:pPr>
        <w:shd w:val="clear" w:color="auto" w:fill="auto"/>
        <w:tabs>
          <w:tab w:val="left" w:pos="3600"/>
        </w:tabs>
        <w:adjustRightInd w:val="0"/>
        <w:snapToGrid w:val="0"/>
        <w:spacing w:line="440" w:lineRule="exact"/>
        <w:jc w:val="both"/>
        <w:rPr>
          <w:rFonts w:hint="eastAsia" w:ascii="仿宋" w:hAnsi="仿宋" w:eastAsia="仿宋" w:cs="仿宋"/>
          <w:b/>
          <w:bCs/>
          <w:color w:val="auto"/>
          <w:spacing w:val="0"/>
          <w:w w:val="100"/>
          <w:position w:val="0"/>
          <w:sz w:val="36"/>
          <w:szCs w:val="36"/>
          <w:lang w:val="en-US" w:eastAsia="zh-CN"/>
        </w:rPr>
      </w:pPr>
    </w:p>
    <w:p w14:paraId="15782B2F">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75238E0E">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6AE3DDA2">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70A2111D">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0BD4F761">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0069A481">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4347F535">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11、</w:t>
      </w:r>
      <w:r>
        <w:rPr>
          <w:rFonts w:hint="eastAsia" w:ascii="仿宋" w:hAnsi="仿宋" w:eastAsia="仿宋" w:cs="仿宋"/>
          <w:b/>
          <w:bCs w:val="0"/>
          <w:color w:val="auto"/>
          <w:kern w:val="0"/>
          <w:sz w:val="32"/>
          <w:szCs w:val="28"/>
          <w:highlight w:val="none"/>
          <w:lang w:val="en-US" w:eastAsia="zh-CN" w:bidi="ar-SA"/>
        </w:rPr>
        <w:t>供货方案（格式自拟）</w:t>
      </w:r>
    </w:p>
    <w:p w14:paraId="74201A9B">
      <w:pPr>
        <w:rPr>
          <w:rFonts w:hint="eastAsia"/>
          <w:color w:val="auto"/>
          <w:lang w:val="en-US" w:eastAsia="zh-CN"/>
        </w:rPr>
      </w:pPr>
    </w:p>
    <w:p w14:paraId="6098194E">
      <w:pPr>
        <w:pStyle w:val="14"/>
        <w:numPr>
          <w:ilvl w:val="0"/>
          <w:numId w:val="0"/>
        </w:numPr>
        <w:rPr>
          <w:rFonts w:hint="eastAsia"/>
          <w:lang w:val="en-US" w:eastAsia="zh-CN"/>
        </w:rPr>
      </w:pPr>
    </w:p>
    <w:p w14:paraId="019229C0">
      <w:pPr>
        <w:spacing w:line="500" w:lineRule="exact"/>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US" w:eastAsia="zh-CN"/>
        </w:rPr>
        <w:t>供货方案</w:t>
      </w:r>
      <w:r>
        <w:rPr>
          <w:rFonts w:hint="eastAsia" w:ascii="仿宋" w:hAnsi="仿宋" w:eastAsia="仿宋" w:cs="仿宋"/>
          <w:color w:val="auto"/>
          <w:sz w:val="24"/>
          <w:szCs w:val="24"/>
          <w:highlight w:val="none"/>
          <w:lang w:val="en-GB"/>
        </w:rPr>
        <w:t>须包括但不限于以下内容，主要根据招标需求的要求（格式自定）</w:t>
      </w:r>
    </w:p>
    <w:p w14:paraId="320BCF26">
      <w:pPr>
        <w:rPr>
          <w:rFonts w:hint="eastAsia" w:ascii="仿宋" w:hAnsi="仿宋" w:eastAsia="仿宋" w:cs="仿宋"/>
          <w:color w:val="auto"/>
          <w:sz w:val="24"/>
          <w:szCs w:val="24"/>
          <w:highlight w:val="none"/>
          <w:lang w:val="en-GB" w:eastAsia="zh-CN"/>
        </w:rPr>
      </w:pPr>
    </w:p>
    <w:p w14:paraId="621BD694">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供货</w:t>
      </w:r>
      <w:r>
        <w:rPr>
          <w:rFonts w:hint="eastAsia" w:ascii="仿宋" w:hAnsi="仿宋" w:eastAsia="仿宋" w:cs="仿宋"/>
          <w:color w:val="auto"/>
          <w:sz w:val="24"/>
          <w:szCs w:val="24"/>
          <w:highlight w:val="none"/>
          <w:lang w:val="en-GB"/>
        </w:rPr>
        <w:t>期</w:t>
      </w:r>
    </w:p>
    <w:p w14:paraId="1FD8285F">
      <w:pPr>
        <w:spacing w:line="500" w:lineRule="exact"/>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2、人员配备及联系电话</w:t>
      </w:r>
    </w:p>
    <w:p w14:paraId="63B58BE9">
      <w:pPr>
        <w:spacing w:line="500" w:lineRule="exact"/>
        <w:ind w:firstLine="480" w:firstLineChars="200"/>
        <w:jc w:val="left"/>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lang w:val="en-GB" w:eastAsia="zh-CN"/>
        </w:rPr>
        <w:t>质量承诺</w:t>
      </w:r>
    </w:p>
    <w:p w14:paraId="458E18EE">
      <w:pPr>
        <w:spacing w:line="50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供货方案</w:t>
      </w:r>
    </w:p>
    <w:p w14:paraId="1E48986A">
      <w:pPr>
        <w:adjustRightInd w:val="0"/>
        <w:spacing w:line="400" w:lineRule="exact"/>
        <w:ind w:firstLine="480" w:firstLineChars="2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GB"/>
        </w:rPr>
        <w:t>其它服务承诺</w:t>
      </w:r>
    </w:p>
    <w:p w14:paraId="714F1819">
      <w:pPr>
        <w:rPr>
          <w:rFonts w:hint="eastAsia" w:ascii="仿宋" w:hAnsi="仿宋" w:eastAsia="仿宋" w:cs="仿宋"/>
          <w:b/>
          <w:bCs/>
          <w:color w:val="auto"/>
          <w:spacing w:val="0"/>
          <w:w w:val="100"/>
          <w:position w:val="0"/>
          <w:sz w:val="28"/>
          <w:szCs w:val="28"/>
          <w:lang w:val="en-US" w:eastAsia="zh-CN"/>
        </w:rPr>
      </w:pPr>
    </w:p>
    <w:p w14:paraId="18A56040">
      <w:pPr>
        <w:pStyle w:val="4"/>
        <w:rPr>
          <w:rFonts w:hint="eastAsia"/>
          <w:color w:val="auto"/>
          <w:lang w:val="en-US" w:eastAsia="zh-CN"/>
        </w:rPr>
      </w:pPr>
    </w:p>
    <w:p w14:paraId="6A517A95">
      <w:pPr>
        <w:rPr>
          <w:rFonts w:hint="eastAsia"/>
          <w:color w:val="auto"/>
          <w:lang w:val="en-US" w:eastAsia="zh-CN"/>
        </w:rPr>
      </w:pPr>
    </w:p>
    <w:p w14:paraId="3DED6869">
      <w:pPr>
        <w:spacing w:before="100" w:beforeAutospacing="1" w:after="100" w:afterAutospacing="1"/>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投标单位： </w:t>
      </w:r>
      <w:r>
        <w:rPr>
          <w:rFonts w:hint="eastAsia" w:ascii="仿宋" w:hAnsi="仿宋" w:eastAsia="仿宋" w:cs="仿宋"/>
          <w:color w:val="auto"/>
          <w:sz w:val="24"/>
          <w:szCs w:val="24"/>
          <w:u w:val="single"/>
        </w:rPr>
        <w:t xml:space="preserve">                       （公章）   </w:t>
      </w:r>
    </w:p>
    <w:p w14:paraId="74B07ADC">
      <w:pPr>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lang w:eastAsia="zh-CN"/>
        </w:rPr>
        <w:t>或授权委托人</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签字或盖章</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w:t>
      </w:r>
    </w:p>
    <w:p w14:paraId="13861482">
      <w:pPr>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36FE4851">
      <w:pP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日期：   年   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日</w:t>
      </w:r>
    </w:p>
    <w:p w14:paraId="5818B9A1">
      <w:pPr>
        <w:pStyle w:val="20"/>
        <w:rPr>
          <w:rFonts w:hint="eastAsia"/>
          <w:color w:val="auto"/>
          <w:lang w:val="en-US" w:eastAsia="zh-CN"/>
        </w:rPr>
      </w:pPr>
    </w:p>
    <w:p w14:paraId="676C5EDB">
      <w:pPr>
        <w:pStyle w:val="20"/>
        <w:rPr>
          <w:rFonts w:hint="eastAsia"/>
          <w:color w:val="auto"/>
          <w:lang w:val="en-US" w:eastAsia="zh-CN"/>
        </w:rPr>
      </w:pPr>
    </w:p>
    <w:p w14:paraId="565C499F">
      <w:pPr>
        <w:pStyle w:val="20"/>
        <w:rPr>
          <w:rFonts w:hint="eastAsia"/>
          <w:color w:val="auto"/>
          <w:lang w:val="en-US" w:eastAsia="zh-CN"/>
        </w:rPr>
      </w:pPr>
    </w:p>
    <w:p w14:paraId="73B233C3">
      <w:pPr>
        <w:pStyle w:val="20"/>
        <w:rPr>
          <w:rFonts w:hint="eastAsia"/>
          <w:color w:val="auto"/>
          <w:lang w:val="en-US" w:eastAsia="zh-CN"/>
        </w:rPr>
      </w:pPr>
    </w:p>
    <w:p w14:paraId="40F09FB1">
      <w:pPr>
        <w:pStyle w:val="20"/>
        <w:rPr>
          <w:rFonts w:hint="eastAsia"/>
          <w:color w:val="auto"/>
          <w:lang w:val="en-US" w:eastAsia="zh-CN"/>
        </w:rPr>
      </w:pPr>
    </w:p>
    <w:p w14:paraId="1BEC6AF3">
      <w:pPr>
        <w:pStyle w:val="20"/>
        <w:rPr>
          <w:rFonts w:hint="eastAsia"/>
          <w:color w:val="auto"/>
          <w:lang w:val="en-US" w:eastAsia="zh-CN"/>
        </w:rPr>
      </w:pPr>
    </w:p>
    <w:p w14:paraId="1844234B">
      <w:pPr>
        <w:pStyle w:val="20"/>
        <w:rPr>
          <w:rFonts w:hint="eastAsia"/>
          <w:color w:val="auto"/>
          <w:lang w:val="en-US" w:eastAsia="zh-CN"/>
        </w:rPr>
      </w:pPr>
    </w:p>
    <w:p w14:paraId="5103FBAC">
      <w:pPr>
        <w:pStyle w:val="20"/>
        <w:rPr>
          <w:rFonts w:hint="eastAsia"/>
          <w:color w:val="auto"/>
          <w:lang w:val="en-US" w:eastAsia="zh-CN"/>
        </w:rPr>
      </w:pPr>
    </w:p>
    <w:p w14:paraId="0718D347">
      <w:pPr>
        <w:pStyle w:val="20"/>
        <w:rPr>
          <w:rFonts w:hint="eastAsia"/>
          <w:color w:val="auto"/>
          <w:lang w:val="en-US" w:eastAsia="zh-CN"/>
        </w:rPr>
      </w:pPr>
    </w:p>
    <w:p w14:paraId="7F569EC8">
      <w:pPr>
        <w:pStyle w:val="20"/>
        <w:rPr>
          <w:rFonts w:hint="eastAsia"/>
          <w:color w:val="auto"/>
          <w:lang w:val="en-US" w:eastAsia="zh-CN"/>
        </w:rPr>
      </w:pPr>
    </w:p>
    <w:p w14:paraId="7C8EFFF4">
      <w:pPr>
        <w:numPr>
          <w:ilvl w:val="0"/>
          <w:numId w:val="0"/>
        </w:numPr>
        <w:shd w:val="clear" w:color="auto" w:fill="auto"/>
        <w:tabs>
          <w:tab w:val="left" w:pos="3600"/>
        </w:tabs>
        <w:adjustRightInd w:val="0"/>
        <w:snapToGrid w:val="0"/>
        <w:spacing w:line="440" w:lineRule="exact"/>
        <w:jc w:val="both"/>
        <w:rPr>
          <w:rFonts w:hint="eastAsia" w:ascii="仿宋" w:hAnsi="仿宋" w:eastAsia="仿宋" w:cs="仿宋"/>
          <w:b/>
          <w:bCs/>
          <w:color w:val="auto"/>
          <w:spacing w:val="0"/>
          <w:w w:val="90"/>
          <w:position w:val="0"/>
          <w:sz w:val="36"/>
          <w:szCs w:val="36"/>
          <w:lang w:val="en-US" w:eastAsia="zh-CN"/>
        </w:rPr>
      </w:pPr>
      <w:r>
        <w:rPr>
          <w:rFonts w:hint="eastAsia" w:ascii="仿宋" w:hAnsi="仿宋" w:eastAsia="仿宋" w:cs="仿宋"/>
          <w:b/>
          <w:bCs/>
          <w:color w:val="auto"/>
          <w:spacing w:val="0"/>
          <w:w w:val="90"/>
          <w:position w:val="0"/>
          <w:sz w:val="36"/>
          <w:szCs w:val="36"/>
          <w:lang w:val="en-US" w:eastAsia="zh-CN"/>
        </w:rPr>
        <w:t>12、投标人认为有必要提供的其他证明材料</w:t>
      </w:r>
    </w:p>
    <w:p w14:paraId="1F881E6A">
      <w:pPr>
        <w:pStyle w:val="10"/>
        <w:shd w:val="clear" w:color="auto" w:fill="auto"/>
        <w:tabs>
          <w:tab w:val="left" w:pos="5580"/>
        </w:tabs>
        <w:spacing w:line="240" w:lineRule="atLeast"/>
        <w:ind w:firstLine="480" w:firstLineChars="200"/>
        <w:rPr>
          <w:rFonts w:hint="eastAsia" w:ascii="仿宋" w:hAnsi="仿宋" w:eastAsia="仿宋" w:cs="仿宋"/>
          <w:color w:val="auto"/>
          <w:sz w:val="24"/>
          <w:highlight w:val="none"/>
        </w:rPr>
      </w:pPr>
    </w:p>
    <w:p w14:paraId="7C8830B7">
      <w:pPr>
        <w:pStyle w:val="10"/>
        <w:shd w:val="clear" w:color="auto" w:fill="auto"/>
        <w:tabs>
          <w:tab w:val="left" w:pos="5580"/>
        </w:tabs>
        <w:spacing w:line="240" w:lineRule="atLeast"/>
        <w:ind w:firstLine="1920" w:firstLineChars="800"/>
        <w:rPr>
          <w:rFonts w:ascii="仿宋" w:hAnsi="仿宋" w:eastAsia="仿宋" w:cs="仿宋"/>
          <w:color w:val="auto"/>
          <w:sz w:val="21"/>
          <w:szCs w:val="21"/>
        </w:rPr>
      </w:pPr>
      <w:r>
        <w:rPr>
          <w:rFonts w:hint="eastAsia" w:ascii="仿宋" w:hAnsi="仿宋" w:eastAsia="仿宋" w:cs="仿宋"/>
          <w:color w:val="auto"/>
          <w:sz w:val="24"/>
          <w:highlight w:val="none"/>
        </w:rPr>
        <w:t>说明：复印件上应加盖本单位章。</w:t>
      </w:r>
      <w:bookmarkEnd w:id="42"/>
      <w:bookmarkEnd w:id="43"/>
      <w:bookmarkEnd w:id="44"/>
      <w:bookmarkEnd w:id="45"/>
      <w:bookmarkEnd w:id="46"/>
      <w:bookmarkEnd w:id="47"/>
      <w:bookmarkEnd w:id="48"/>
    </w:p>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1AABF">
    <w:pPr>
      <w:pStyle w:val="12"/>
      <w:ind w:right="360"/>
      <w:jc w:val="both"/>
    </w:pPr>
    <w:r>
      <w:rPr>
        <w:rFonts w:hint="eastAsia"/>
        <w:sz w:val="13"/>
        <w:szCs w:val="13"/>
      </w:rPr>
      <w:t xml:space="preserve"> </w:t>
    </w:r>
    <w:r>
      <w:rPr>
        <w:rFonts w:hint="eastAsia"/>
      </w:rPr>
      <w:t xml:space="preserve">  </w:t>
    </w:r>
  </w:p>
  <w:p w14:paraId="21ECEECF">
    <w:pPr>
      <w:pStyle w:val="12"/>
      <w:tabs>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4D165">
    <w:pPr>
      <w:pStyle w:val="12"/>
      <w:ind w:right="360"/>
      <w:jc w:val="both"/>
    </w:pPr>
    <w:r>
      <w:rPr>
        <w:sz w:val="1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91A5C">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0091A5C">
                    <w:pPr>
                      <w:pStyle w:val="12"/>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13"/>
        <w:szCs w:val="13"/>
      </w:rPr>
      <w:t xml:space="preserve"> </w:t>
    </w:r>
    <w:r>
      <w:rPr>
        <w:rFonts w:hint="eastAsia"/>
      </w:rPr>
      <w:t xml:space="preserve">  </w:t>
    </w:r>
  </w:p>
  <w:p w14:paraId="66D0E29B">
    <w:pPr>
      <w:pStyle w:val="12"/>
      <w:tabs>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1198C">
    <w:pPr>
      <w:pStyle w:val="12"/>
      <w:ind w:right="360"/>
      <w:jc w:val="both"/>
    </w:pPr>
    <w:r>
      <w:rPr>
        <w:sz w:val="24"/>
        <w:lang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94E348">
                          <w:pPr>
                            <w:pStyle w:val="12"/>
                          </w:pPr>
                          <w:r>
                            <w:fldChar w:fldCharType="begin"/>
                          </w:r>
                          <w:r>
                            <w:instrText xml:space="preserve"> PAGE  \* MERGEFORMAT </w:instrText>
                          </w:r>
                          <w:r>
                            <w:fldChar w:fldCharType="separate"/>
                          </w:r>
                          <w:r>
                            <w:t>74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7smsbIAQAAnQMAAA4AAAAAAAAAAQAgAAAAHgEAAGRycy9lMm9Eb2Mu&#10;eG1sUEsFBgAAAAAGAAYAWQEAAFgFAAAAAA==&#10;">
              <v:fill on="f" focussize="0,0"/>
              <v:stroke on="f"/>
              <v:imagedata o:title=""/>
              <o:lock v:ext="edit" aspectratio="f"/>
              <v:textbox inset="0mm,0mm,0mm,0mm" style="mso-fit-shape-to-text:t;">
                <w:txbxContent>
                  <w:p w14:paraId="1D94E348">
                    <w:pPr>
                      <w:pStyle w:val="12"/>
                    </w:pPr>
                    <w:r>
                      <w:fldChar w:fldCharType="begin"/>
                    </w:r>
                    <w:r>
                      <w:instrText xml:space="preserve"> PAGE  \* MERGEFORMAT </w:instrText>
                    </w:r>
                    <w:r>
                      <w:fldChar w:fldCharType="separate"/>
                    </w:r>
                    <w:r>
                      <w:t>74</w:t>
                    </w:r>
                    <w:r>
                      <w:fldChar w:fldCharType="end"/>
                    </w:r>
                  </w:p>
                </w:txbxContent>
              </v:textbox>
            </v:shape>
          </w:pict>
        </mc:Fallback>
      </mc:AlternateContent>
    </w:r>
    <w:r>
      <w:rPr>
        <w:rFonts w:hint="eastAsia" w:ascii="宋体" w:hAnsi="宋体" w:eastAsia="宋体" w:cs="宋体"/>
        <w:color w:val="auto"/>
        <w:sz w:val="24"/>
        <w:lang w:eastAsia="zh-CN"/>
      </w:rPr>
      <w:t xml:space="preserve">  </w:t>
    </w:r>
    <w:r>
      <w:rPr>
        <w:rFonts w:hint="eastAsia"/>
        <w:sz w:val="13"/>
        <w:szCs w:val="13"/>
      </w:rPr>
      <w:t xml:space="preserve"> </w:t>
    </w:r>
    <w:r>
      <w:rPr>
        <w:rFonts w:hint="eastAsia"/>
      </w:rPr>
      <w:t xml:space="preserve"> </w:t>
    </w:r>
    <w:r>
      <w:rPr>
        <w:rFonts w:hint="eastAsia"/>
        <w:color w:val="800000"/>
        <w:sz w:val="16"/>
        <w:szCs w:val="20"/>
        <w:lang w:eastAsia="zh-CN"/>
      </w:rPr>
      <w:t xml:space="preserve">      </w:t>
    </w:r>
  </w:p>
  <w:p w14:paraId="55260DEB">
    <w:pPr>
      <w:pStyle w:val="12"/>
      <w:autoSpaceDE w:val="0"/>
      <w:autoSpaceDN w:val="0"/>
      <w:adjustRightInd w:val="0"/>
      <w:ind w:left="7200" w:hanging="7200" w:hangingChars="4000"/>
      <w:jc w:val="both"/>
    </w:pPr>
  </w:p>
  <w:p w14:paraId="0FECFD7F">
    <w:pPr>
      <w:pStyle w:val="12"/>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9D53B">
    <w:pPr>
      <w:pStyle w:val="12"/>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07A8D0E">
                          <w:pPr>
                            <w:pStyle w:val="12"/>
                          </w:pPr>
                          <w:r>
                            <w:fldChar w:fldCharType="begin"/>
                          </w:r>
                          <w:r>
                            <w:instrText xml:space="preserve"> PAGE  \* MERGEFORMAT </w:instrText>
                          </w:r>
                          <w:r>
                            <w:fldChar w:fldCharType="separate"/>
                          </w:r>
                          <w:r>
                            <w:t>55</w:t>
                          </w:r>
                          <w:r>
                            <w:fldChar w:fldCharType="end"/>
                          </w:r>
                        </w:p>
                      </w:txbxContent>
                    </wps:txbx>
                    <wps:bodyPr wrap="none" lIns="0" tIns="0" rIns="0" bIns="0" upright="1">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I2peGXEAQAAiAMAAA4AAAAAAAAAAQAgAAAAHwEAAGRycy9lMm9Eb2MueG1s&#10;UEsFBgAAAAAGAAYAWQEAAFUFAAAAAA==&#10;">
              <v:fill on="f" focussize="0,0"/>
              <v:stroke on="f"/>
              <v:imagedata o:title=""/>
              <o:lock v:ext="edit" aspectratio="f"/>
              <v:textbox inset="0mm,0mm,0mm,0mm" style="mso-fit-shape-to-text:t;">
                <w:txbxContent>
                  <w:p w14:paraId="307A8D0E">
                    <w:pPr>
                      <w:pStyle w:val="12"/>
                    </w:pPr>
                    <w:r>
                      <w:fldChar w:fldCharType="begin"/>
                    </w:r>
                    <w:r>
                      <w:instrText xml:space="preserve"> PAGE  \* MERGEFORMAT </w:instrText>
                    </w:r>
                    <w:r>
                      <w:fldChar w:fldCharType="separate"/>
                    </w:r>
                    <w:r>
                      <w:t>55</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DAD01"/>
    <w:multiLevelType w:val="singleLevel"/>
    <w:tmpl w:val="CF0DAD01"/>
    <w:lvl w:ilvl="0" w:tentative="0">
      <w:start w:val="1"/>
      <w:numFmt w:val="decimal"/>
      <w:suff w:val="space"/>
      <w:lvlText w:val="%1."/>
      <w:lvlJc w:val="left"/>
    </w:lvl>
  </w:abstractNum>
  <w:abstractNum w:abstractNumId="1">
    <w:nsid w:val="FDABFCF7"/>
    <w:multiLevelType w:val="singleLevel"/>
    <w:tmpl w:val="FDABFCF7"/>
    <w:lvl w:ilvl="0" w:tentative="0">
      <w:start w:val="1"/>
      <w:numFmt w:val="decimal"/>
      <w:suff w:val="nothing"/>
      <w:lvlText w:val="%1、"/>
      <w:lvlJc w:val="left"/>
    </w:lvl>
  </w:abstractNum>
  <w:abstractNum w:abstractNumId="2">
    <w:nsid w:val="00000002"/>
    <w:multiLevelType w:val="multilevel"/>
    <w:tmpl w:val="00000002"/>
    <w:lvl w:ilvl="0" w:tentative="0">
      <w:start w:val="1"/>
      <w:numFmt w:val="decimal"/>
      <w:pStyle w:val="7"/>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3">
    <w:nsid w:val="00000005"/>
    <w:multiLevelType w:val="singleLevel"/>
    <w:tmpl w:val="00000005"/>
    <w:lvl w:ilvl="0" w:tentative="0">
      <w:start w:val="1"/>
      <w:numFmt w:val="decimal"/>
      <w:suff w:val="nothing"/>
      <w:lvlText w:val="%1、"/>
      <w:lvlJc w:val="left"/>
    </w:lvl>
  </w:abstractNum>
  <w:abstractNum w:abstractNumId="4">
    <w:nsid w:val="0053208E"/>
    <w:multiLevelType w:val="multilevel"/>
    <w:tmpl w:val="0053208E"/>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5">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6">
    <w:nsid w:val="190BF51A"/>
    <w:multiLevelType w:val="singleLevel"/>
    <w:tmpl w:val="190BF51A"/>
    <w:lvl w:ilvl="0" w:tentative="0">
      <w:start w:val="6"/>
      <w:numFmt w:val="chineseCounting"/>
      <w:suff w:val="nothing"/>
      <w:lvlText w:val="%1、"/>
      <w:lvlJc w:val="left"/>
      <w:rPr>
        <w:rFonts w:hint="eastAsia"/>
      </w:rPr>
    </w:lvl>
  </w:abstractNum>
  <w:abstractNum w:abstractNumId="7">
    <w:nsid w:val="55CD4C99"/>
    <w:multiLevelType w:val="singleLevel"/>
    <w:tmpl w:val="55CD4C99"/>
    <w:lvl w:ilvl="0" w:tentative="0">
      <w:start w:val="1"/>
      <w:numFmt w:val="chineseCounting"/>
      <w:suff w:val="nothing"/>
      <w:lvlText w:val="%1、"/>
      <w:lvlJc w:val="left"/>
    </w:lvl>
  </w:abstractNum>
  <w:abstractNum w:abstractNumId="8">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9">
    <w:nsid w:val="78DB85BA"/>
    <w:multiLevelType w:val="singleLevel"/>
    <w:tmpl w:val="78DB85BA"/>
    <w:lvl w:ilvl="0" w:tentative="0">
      <w:start w:val="1"/>
      <w:numFmt w:val="decimal"/>
      <w:suff w:val="nothing"/>
      <w:lvlText w:val="%1、"/>
      <w:lvlJc w:val="left"/>
    </w:lvl>
  </w:abstractNum>
  <w:num w:numId="1">
    <w:abstractNumId w:val="2"/>
  </w:num>
  <w:num w:numId="2">
    <w:abstractNumId w:val="6"/>
  </w:num>
  <w:num w:numId="3">
    <w:abstractNumId w:val="1"/>
  </w:num>
  <w:num w:numId="4">
    <w:abstractNumId w:val="9"/>
  </w:num>
  <w:num w:numId="5">
    <w:abstractNumId w:val="7"/>
  </w:num>
  <w:num w:numId="6">
    <w:abstractNumId w:val="5"/>
  </w:num>
  <w:num w:numId="7">
    <w:abstractNumId w:val="8"/>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ODcxMTkxNmEwYzAzYTA5NzZlOTM1ZGVkNTE1NjQifQ=="/>
  </w:docVars>
  <w:rsids>
    <w:rsidRoot w:val="00000000"/>
    <w:rsid w:val="002419AD"/>
    <w:rsid w:val="007937B0"/>
    <w:rsid w:val="00D40EB3"/>
    <w:rsid w:val="01CA3E5B"/>
    <w:rsid w:val="01CA670C"/>
    <w:rsid w:val="01E11105"/>
    <w:rsid w:val="029E31A0"/>
    <w:rsid w:val="02A76009"/>
    <w:rsid w:val="031F3DF1"/>
    <w:rsid w:val="03C965AB"/>
    <w:rsid w:val="04161698"/>
    <w:rsid w:val="043007AC"/>
    <w:rsid w:val="044840D2"/>
    <w:rsid w:val="04912ACD"/>
    <w:rsid w:val="04A723C3"/>
    <w:rsid w:val="04D330E5"/>
    <w:rsid w:val="04F27F91"/>
    <w:rsid w:val="04FF05AE"/>
    <w:rsid w:val="056106F1"/>
    <w:rsid w:val="05AC4062"/>
    <w:rsid w:val="05FB49D3"/>
    <w:rsid w:val="060C2D53"/>
    <w:rsid w:val="068B1EC9"/>
    <w:rsid w:val="06E15B1B"/>
    <w:rsid w:val="0744651C"/>
    <w:rsid w:val="0797489E"/>
    <w:rsid w:val="080A722E"/>
    <w:rsid w:val="082223BA"/>
    <w:rsid w:val="08314D3F"/>
    <w:rsid w:val="08D00067"/>
    <w:rsid w:val="09512ED0"/>
    <w:rsid w:val="095941BF"/>
    <w:rsid w:val="098F1CD1"/>
    <w:rsid w:val="09AC0935"/>
    <w:rsid w:val="09AC2863"/>
    <w:rsid w:val="0A061580"/>
    <w:rsid w:val="0A0846B1"/>
    <w:rsid w:val="0A326B00"/>
    <w:rsid w:val="0AD100C7"/>
    <w:rsid w:val="0B316DB7"/>
    <w:rsid w:val="0B3F623F"/>
    <w:rsid w:val="0C665935"/>
    <w:rsid w:val="0C711B61"/>
    <w:rsid w:val="0C7358DA"/>
    <w:rsid w:val="0C7A56D7"/>
    <w:rsid w:val="0C7A57C2"/>
    <w:rsid w:val="0CAF4A89"/>
    <w:rsid w:val="0CC9374C"/>
    <w:rsid w:val="0CF112EE"/>
    <w:rsid w:val="0D0B5B12"/>
    <w:rsid w:val="0D4D6394"/>
    <w:rsid w:val="0F0A7BF9"/>
    <w:rsid w:val="0F4B5C6E"/>
    <w:rsid w:val="0F781459"/>
    <w:rsid w:val="0FCD185E"/>
    <w:rsid w:val="0FD15502"/>
    <w:rsid w:val="0FE94879"/>
    <w:rsid w:val="106B4B11"/>
    <w:rsid w:val="125B686E"/>
    <w:rsid w:val="131E4EDF"/>
    <w:rsid w:val="13344DBE"/>
    <w:rsid w:val="138D0147"/>
    <w:rsid w:val="13D27439"/>
    <w:rsid w:val="143F2238"/>
    <w:rsid w:val="148914C4"/>
    <w:rsid w:val="16623A3D"/>
    <w:rsid w:val="17523426"/>
    <w:rsid w:val="178C576D"/>
    <w:rsid w:val="18341AE3"/>
    <w:rsid w:val="187D363C"/>
    <w:rsid w:val="1891512D"/>
    <w:rsid w:val="18DB250A"/>
    <w:rsid w:val="18E331A1"/>
    <w:rsid w:val="192026BA"/>
    <w:rsid w:val="19B74BE3"/>
    <w:rsid w:val="19CE171F"/>
    <w:rsid w:val="19FE7E90"/>
    <w:rsid w:val="1A2C70C8"/>
    <w:rsid w:val="1A3A5AFF"/>
    <w:rsid w:val="1AAE1C88"/>
    <w:rsid w:val="1AFB4833"/>
    <w:rsid w:val="1B233A0E"/>
    <w:rsid w:val="1B457B59"/>
    <w:rsid w:val="1CBD494F"/>
    <w:rsid w:val="1CD97938"/>
    <w:rsid w:val="1D945258"/>
    <w:rsid w:val="1D9E43A6"/>
    <w:rsid w:val="1DAF24EA"/>
    <w:rsid w:val="1E165F1B"/>
    <w:rsid w:val="1E185388"/>
    <w:rsid w:val="1E88104D"/>
    <w:rsid w:val="1EFA7AF3"/>
    <w:rsid w:val="1F212C00"/>
    <w:rsid w:val="1F3366D2"/>
    <w:rsid w:val="1F955589"/>
    <w:rsid w:val="1FC529DB"/>
    <w:rsid w:val="20452C91"/>
    <w:rsid w:val="20C2569C"/>
    <w:rsid w:val="21487F61"/>
    <w:rsid w:val="21D3134C"/>
    <w:rsid w:val="221F3F80"/>
    <w:rsid w:val="2220631A"/>
    <w:rsid w:val="22857CBD"/>
    <w:rsid w:val="22D67E6E"/>
    <w:rsid w:val="233139A1"/>
    <w:rsid w:val="239E6435"/>
    <w:rsid w:val="23C91E2B"/>
    <w:rsid w:val="23E04E9D"/>
    <w:rsid w:val="248069F2"/>
    <w:rsid w:val="24BE74B6"/>
    <w:rsid w:val="268F3882"/>
    <w:rsid w:val="269149E0"/>
    <w:rsid w:val="27D84E00"/>
    <w:rsid w:val="27E66976"/>
    <w:rsid w:val="281C407C"/>
    <w:rsid w:val="281D2D4A"/>
    <w:rsid w:val="28645A9F"/>
    <w:rsid w:val="289B1FDE"/>
    <w:rsid w:val="29311D6D"/>
    <w:rsid w:val="29BF147D"/>
    <w:rsid w:val="29FB0865"/>
    <w:rsid w:val="2B0146C3"/>
    <w:rsid w:val="2B6B53EC"/>
    <w:rsid w:val="2B9B2FAE"/>
    <w:rsid w:val="2BF660B0"/>
    <w:rsid w:val="2BFF450D"/>
    <w:rsid w:val="2C0B0713"/>
    <w:rsid w:val="2CEB20AE"/>
    <w:rsid w:val="2DAF2092"/>
    <w:rsid w:val="2DD23006"/>
    <w:rsid w:val="2DEE438F"/>
    <w:rsid w:val="2E843394"/>
    <w:rsid w:val="2E880B80"/>
    <w:rsid w:val="30791D02"/>
    <w:rsid w:val="30AC5384"/>
    <w:rsid w:val="30B53DD6"/>
    <w:rsid w:val="31286B60"/>
    <w:rsid w:val="31351FE3"/>
    <w:rsid w:val="315B7E7B"/>
    <w:rsid w:val="31BD2FCF"/>
    <w:rsid w:val="31C2270D"/>
    <w:rsid w:val="32827E81"/>
    <w:rsid w:val="329950BE"/>
    <w:rsid w:val="33122963"/>
    <w:rsid w:val="333713EB"/>
    <w:rsid w:val="33741738"/>
    <w:rsid w:val="338F44F8"/>
    <w:rsid w:val="3392223A"/>
    <w:rsid w:val="33A749A4"/>
    <w:rsid w:val="33F61609"/>
    <w:rsid w:val="342C646D"/>
    <w:rsid w:val="35411451"/>
    <w:rsid w:val="35960024"/>
    <w:rsid w:val="35BD0A9B"/>
    <w:rsid w:val="3656558A"/>
    <w:rsid w:val="37702EFF"/>
    <w:rsid w:val="39606B90"/>
    <w:rsid w:val="39A26C04"/>
    <w:rsid w:val="3A0A0D7C"/>
    <w:rsid w:val="3A443B62"/>
    <w:rsid w:val="3AC85F81"/>
    <w:rsid w:val="3B1F0857"/>
    <w:rsid w:val="3BE611A9"/>
    <w:rsid w:val="3BEF74D1"/>
    <w:rsid w:val="3C1063F2"/>
    <w:rsid w:val="3C3D6C3A"/>
    <w:rsid w:val="3C9B3F0D"/>
    <w:rsid w:val="3CCB621F"/>
    <w:rsid w:val="3D2008B6"/>
    <w:rsid w:val="3D667A0D"/>
    <w:rsid w:val="3DD22D57"/>
    <w:rsid w:val="3E2D0EBA"/>
    <w:rsid w:val="3E422C21"/>
    <w:rsid w:val="3E7D4E84"/>
    <w:rsid w:val="3E895FE7"/>
    <w:rsid w:val="3ECC33F5"/>
    <w:rsid w:val="3F2D72BA"/>
    <w:rsid w:val="3F5A3E02"/>
    <w:rsid w:val="3FDD483D"/>
    <w:rsid w:val="409F16F7"/>
    <w:rsid w:val="40D448F7"/>
    <w:rsid w:val="418326DD"/>
    <w:rsid w:val="42610D54"/>
    <w:rsid w:val="426C517F"/>
    <w:rsid w:val="42CD6DEA"/>
    <w:rsid w:val="42EC15FD"/>
    <w:rsid w:val="43006162"/>
    <w:rsid w:val="43A85162"/>
    <w:rsid w:val="43F6194B"/>
    <w:rsid w:val="43FC45D9"/>
    <w:rsid w:val="44672CA2"/>
    <w:rsid w:val="45407508"/>
    <w:rsid w:val="45915C44"/>
    <w:rsid w:val="46250CEB"/>
    <w:rsid w:val="462C4319"/>
    <w:rsid w:val="46A379E2"/>
    <w:rsid w:val="46E86E16"/>
    <w:rsid w:val="4710374A"/>
    <w:rsid w:val="47520C21"/>
    <w:rsid w:val="476F5AB7"/>
    <w:rsid w:val="47C50B6E"/>
    <w:rsid w:val="47EE6C37"/>
    <w:rsid w:val="48240E11"/>
    <w:rsid w:val="48DD6D65"/>
    <w:rsid w:val="4960095D"/>
    <w:rsid w:val="49695393"/>
    <w:rsid w:val="4AA95520"/>
    <w:rsid w:val="4B1951F6"/>
    <w:rsid w:val="4C023DEB"/>
    <w:rsid w:val="4C443FEE"/>
    <w:rsid w:val="4C823975"/>
    <w:rsid w:val="4CF2545A"/>
    <w:rsid w:val="4CF90ACE"/>
    <w:rsid w:val="4D752558"/>
    <w:rsid w:val="4EA36C51"/>
    <w:rsid w:val="4EC56BC8"/>
    <w:rsid w:val="4EDC6184"/>
    <w:rsid w:val="4F8F7B47"/>
    <w:rsid w:val="4FAF382B"/>
    <w:rsid w:val="4FDE3E71"/>
    <w:rsid w:val="5124051D"/>
    <w:rsid w:val="51470009"/>
    <w:rsid w:val="51D14E56"/>
    <w:rsid w:val="51E61378"/>
    <w:rsid w:val="5200372D"/>
    <w:rsid w:val="52AD19DB"/>
    <w:rsid w:val="52BA3ED8"/>
    <w:rsid w:val="52ED3D14"/>
    <w:rsid w:val="53057EDB"/>
    <w:rsid w:val="533F04A9"/>
    <w:rsid w:val="53670B95"/>
    <w:rsid w:val="546C5887"/>
    <w:rsid w:val="5470465A"/>
    <w:rsid w:val="54CB3595"/>
    <w:rsid w:val="55865260"/>
    <w:rsid w:val="55AB0460"/>
    <w:rsid w:val="55B347D2"/>
    <w:rsid w:val="5663290D"/>
    <w:rsid w:val="56E1672E"/>
    <w:rsid w:val="570441D3"/>
    <w:rsid w:val="57A901C6"/>
    <w:rsid w:val="58312464"/>
    <w:rsid w:val="58736811"/>
    <w:rsid w:val="58F85895"/>
    <w:rsid w:val="59164AA0"/>
    <w:rsid w:val="5980650D"/>
    <w:rsid w:val="5A8B7D9A"/>
    <w:rsid w:val="5C0C796C"/>
    <w:rsid w:val="5C780CE4"/>
    <w:rsid w:val="5CD462E6"/>
    <w:rsid w:val="5CE0036A"/>
    <w:rsid w:val="5D9B39D8"/>
    <w:rsid w:val="5DBB165A"/>
    <w:rsid w:val="5DC54075"/>
    <w:rsid w:val="5DE0720E"/>
    <w:rsid w:val="5E0B1BB0"/>
    <w:rsid w:val="5EB870AD"/>
    <w:rsid w:val="5ED37344"/>
    <w:rsid w:val="5EE81A35"/>
    <w:rsid w:val="5F6412E9"/>
    <w:rsid w:val="5F9D09F0"/>
    <w:rsid w:val="61B7506F"/>
    <w:rsid w:val="627770C5"/>
    <w:rsid w:val="62797F9D"/>
    <w:rsid w:val="627D19E2"/>
    <w:rsid w:val="62AC64E1"/>
    <w:rsid w:val="632F0508"/>
    <w:rsid w:val="637B06D9"/>
    <w:rsid w:val="63E62A2C"/>
    <w:rsid w:val="642777BB"/>
    <w:rsid w:val="6448097C"/>
    <w:rsid w:val="65221B38"/>
    <w:rsid w:val="65A03EDF"/>
    <w:rsid w:val="65D5650D"/>
    <w:rsid w:val="65D57D7A"/>
    <w:rsid w:val="65D93351"/>
    <w:rsid w:val="65F906AC"/>
    <w:rsid w:val="662B2963"/>
    <w:rsid w:val="662B7800"/>
    <w:rsid w:val="667677C4"/>
    <w:rsid w:val="669F1A3F"/>
    <w:rsid w:val="66C01DCB"/>
    <w:rsid w:val="66C578C8"/>
    <w:rsid w:val="6738057B"/>
    <w:rsid w:val="67791813"/>
    <w:rsid w:val="67D77961"/>
    <w:rsid w:val="686E04C4"/>
    <w:rsid w:val="6898557E"/>
    <w:rsid w:val="68D03D0D"/>
    <w:rsid w:val="69832DAE"/>
    <w:rsid w:val="69E91EAC"/>
    <w:rsid w:val="69F0005F"/>
    <w:rsid w:val="6B14065E"/>
    <w:rsid w:val="6B260BC5"/>
    <w:rsid w:val="6B517D09"/>
    <w:rsid w:val="6BA312EE"/>
    <w:rsid w:val="6BAD0860"/>
    <w:rsid w:val="6C786B34"/>
    <w:rsid w:val="6D2532C1"/>
    <w:rsid w:val="6D390A55"/>
    <w:rsid w:val="6D7101EF"/>
    <w:rsid w:val="6DC90575"/>
    <w:rsid w:val="6E2B0D75"/>
    <w:rsid w:val="6E77698D"/>
    <w:rsid w:val="6E9C6986"/>
    <w:rsid w:val="6FF53407"/>
    <w:rsid w:val="702C6118"/>
    <w:rsid w:val="70492241"/>
    <w:rsid w:val="709E041A"/>
    <w:rsid w:val="70D50190"/>
    <w:rsid w:val="70D56237"/>
    <w:rsid w:val="71640AAD"/>
    <w:rsid w:val="719C1CF7"/>
    <w:rsid w:val="71C34D91"/>
    <w:rsid w:val="71DE3BF6"/>
    <w:rsid w:val="72532D9D"/>
    <w:rsid w:val="7280258D"/>
    <w:rsid w:val="72EE408F"/>
    <w:rsid w:val="72F661DA"/>
    <w:rsid w:val="73012015"/>
    <w:rsid w:val="73B74F96"/>
    <w:rsid w:val="73D55FAF"/>
    <w:rsid w:val="74115595"/>
    <w:rsid w:val="74DD7046"/>
    <w:rsid w:val="7530098F"/>
    <w:rsid w:val="75D532E5"/>
    <w:rsid w:val="760E532F"/>
    <w:rsid w:val="76C9109B"/>
    <w:rsid w:val="76CA65F5"/>
    <w:rsid w:val="76F63E01"/>
    <w:rsid w:val="774E361F"/>
    <w:rsid w:val="77672662"/>
    <w:rsid w:val="785E4C0A"/>
    <w:rsid w:val="798A66B0"/>
    <w:rsid w:val="79E461EC"/>
    <w:rsid w:val="7A2D3456"/>
    <w:rsid w:val="7A5A3B08"/>
    <w:rsid w:val="7B160A73"/>
    <w:rsid w:val="7B276EDE"/>
    <w:rsid w:val="7B7E5375"/>
    <w:rsid w:val="7BFE2876"/>
    <w:rsid w:val="7C001F2C"/>
    <w:rsid w:val="7C4411C4"/>
    <w:rsid w:val="7CBE1880"/>
    <w:rsid w:val="7CEF1130"/>
    <w:rsid w:val="7D0A7D18"/>
    <w:rsid w:val="7D284642"/>
    <w:rsid w:val="7DB30522"/>
    <w:rsid w:val="7DED1B13"/>
    <w:rsid w:val="7E264832"/>
    <w:rsid w:val="7E4C610E"/>
    <w:rsid w:val="7E5B6E67"/>
    <w:rsid w:val="7E6E724A"/>
    <w:rsid w:val="7E704A33"/>
    <w:rsid w:val="7F111831"/>
    <w:rsid w:val="7F9E0BEB"/>
    <w:rsid w:val="7FC75190"/>
    <w:rsid w:val="7FEC4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line="360" w:lineRule="auto"/>
      <w:jc w:val="center"/>
      <w:outlineLvl w:val="0"/>
    </w:pPr>
    <w:rPr>
      <w:b/>
      <w:bCs/>
      <w:kern w:val="44"/>
      <w:sz w:val="44"/>
      <w:szCs w:val="44"/>
    </w:rPr>
  </w:style>
  <w:style w:type="paragraph" w:styleId="3">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23">
    <w:name w:val="Default Paragraph Font"/>
    <w:qFormat/>
    <w:uiPriority w:val="1"/>
  </w:style>
  <w:style w:type="table" w:default="1" w:styleId="21">
    <w:name w:val="Normal Table"/>
    <w:qFormat/>
    <w:uiPriority w:val="99"/>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pPr>
    <w:rPr>
      <w:rFonts w:ascii="宋体"/>
      <w:szCs w:val="20"/>
    </w:rPr>
  </w:style>
  <w:style w:type="paragraph" w:styleId="6">
    <w:name w:val="toa heading"/>
    <w:basedOn w:val="1"/>
    <w:next w:val="1"/>
    <w:qFormat/>
    <w:uiPriority w:val="0"/>
    <w:pPr>
      <w:spacing w:before="120"/>
    </w:pPr>
    <w:rPr>
      <w:rFonts w:ascii="Cambria" w:hAnsi="Cambria"/>
      <w:szCs w:val="20"/>
    </w:rPr>
  </w:style>
  <w:style w:type="paragraph" w:styleId="7">
    <w:name w:val="Body Text"/>
    <w:basedOn w:val="1"/>
    <w:next w:val="8"/>
    <w:qFormat/>
    <w:uiPriority w:val="99"/>
    <w:pPr>
      <w:numPr>
        <w:ilvl w:val="0"/>
        <w:numId w:val="1"/>
      </w:numPr>
    </w:pPr>
    <w:rPr>
      <w:rFonts w:ascii="黑体" w:eastAsia="黑体"/>
      <w:sz w:val="22"/>
    </w:rPr>
  </w:style>
  <w:style w:type="paragraph" w:styleId="8">
    <w:name w:val="Date"/>
    <w:basedOn w:val="1"/>
    <w:next w:val="1"/>
    <w:qFormat/>
    <w:uiPriority w:val="0"/>
    <w:rPr>
      <w:rFonts w:ascii="Arial" w:hAnsi="Arial" w:eastAsia="仿宋_GB2312"/>
      <w:color w:val="000000"/>
      <w:sz w:val="32"/>
      <w:szCs w:val="20"/>
      <w:u w:val="none" w:color="000000"/>
    </w:rPr>
  </w:style>
  <w:style w:type="paragraph" w:styleId="9">
    <w:name w:val="Body Text Indent"/>
    <w:basedOn w:val="1"/>
    <w:qFormat/>
    <w:uiPriority w:val="0"/>
    <w:pPr>
      <w:spacing w:after="120"/>
      <w:ind w:left="200" w:leftChars="200"/>
    </w:pPr>
  </w:style>
  <w:style w:type="paragraph" w:styleId="10">
    <w:name w:val="Plain Text"/>
    <w:basedOn w:val="1"/>
    <w:qFormat/>
    <w:uiPriority w:val="0"/>
    <w:rPr>
      <w:rFonts w:ascii="宋体"/>
      <w:color w:val="000000"/>
      <w:szCs w:val="20"/>
      <w:u w:val="none" w:color="000000"/>
    </w:rPr>
  </w:style>
  <w:style w:type="paragraph" w:styleId="11">
    <w:name w:val="Body Text Indent 2"/>
    <w:basedOn w:val="1"/>
    <w:qFormat/>
    <w:uiPriority w:val="0"/>
    <w:pPr>
      <w:ind w:firstLine="630"/>
    </w:pPr>
    <w:rPr>
      <w:sz w:val="32"/>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footnote text"/>
    <w:basedOn w:val="1"/>
    <w:next w:val="7"/>
    <w:qFormat/>
    <w:uiPriority w:val="99"/>
    <w:pPr>
      <w:snapToGrid w:val="0"/>
    </w:pPr>
    <w:rPr>
      <w:sz w:val="18"/>
      <w:szCs w:val="18"/>
    </w:rPr>
  </w:style>
  <w:style w:type="paragraph" w:styleId="15">
    <w:name w:val="index 7"/>
    <w:basedOn w:val="1"/>
    <w:next w:val="1"/>
    <w:qFormat/>
    <w:uiPriority w:val="0"/>
    <w:pPr>
      <w:autoSpaceDE/>
      <w:autoSpaceDN/>
      <w:adjustRightInd/>
      <w:ind w:left="1200" w:leftChars="1200"/>
    </w:pPr>
    <w:rPr>
      <w:color w:val="auto"/>
      <w:kern w:val="2"/>
      <w:szCs w:val="24"/>
    </w:rPr>
  </w:style>
  <w:style w:type="paragraph" w:styleId="16">
    <w:name w:val="Body Text 2"/>
    <w:basedOn w:val="1"/>
    <w:qFormat/>
    <w:uiPriority w:val="0"/>
    <w:pPr>
      <w:tabs>
        <w:tab w:val="left" w:pos="0"/>
      </w:tabs>
      <w:spacing w:line="400" w:lineRule="atLeast"/>
    </w:pPr>
    <w:rPr>
      <w:rFonts w:ascii="Arial" w:hAnsi="Arial"/>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99"/>
    <w:pPr>
      <w:widowControl/>
    </w:pPr>
    <w:rPr>
      <w:rFonts w:ascii="宋体" w:hAnsi="宋体" w:eastAsia="宋体" w:cs="宋体"/>
    </w:rPr>
  </w:style>
  <w:style w:type="paragraph" w:styleId="19">
    <w:name w:val="Body Text First Indent"/>
    <w:basedOn w:val="7"/>
    <w:next w:val="1"/>
    <w:qFormat/>
    <w:uiPriority w:val="99"/>
    <w:pPr>
      <w:tabs>
        <w:tab w:val="left" w:pos="567"/>
      </w:tabs>
      <w:ind w:firstLine="420" w:firstLineChars="100"/>
    </w:pPr>
  </w:style>
  <w:style w:type="paragraph" w:styleId="20">
    <w:name w:val="Body Text First Indent 2"/>
    <w:basedOn w:val="9"/>
    <w:qFormat/>
    <w:uiPriority w:val="0"/>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footnote reference"/>
    <w:basedOn w:val="23"/>
    <w:qFormat/>
    <w:uiPriority w:val="99"/>
    <w:rPr>
      <w:vertAlign w:val="superscript"/>
    </w:rPr>
  </w:style>
  <w:style w:type="character" w:styleId="26">
    <w:name w:val="HTML Sample"/>
    <w:basedOn w:val="23"/>
    <w:qFormat/>
    <w:uiPriority w:val="0"/>
    <w:rPr>
      <w:rFonts w:ascii="Courier New" w:hAnsi="Courier New"/>
    </w:rPr>
  </w:style>
  <w:style w:type="paragraph" w:customStyle="1" w:styleId="2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8">
    <w:name w:val="样式 样式 左侧:  2 字符 + 左侧:  0.85 厘米 首行缩进:  2 字符1"/>
    <w:basedOn w:val="1"/>
    <w:qFormat/>
    <w:uiPriority w:val="0"/>
    <w:pPr>
      <w:ind w:left="482" w:firstLine="200" w:firstLineChars="200"/>
    </w:pPr>
    <w:rPr>
      <w:rFonts w:cs="宋体"/>
      <w:szCs w:val="20"/>
    </w:rPr>
  </w:style>
  <w:style w:type="paragraph" w:customStyle="1" w:styleId="29">
    <w:name w:val="正文格式"/>
    <w:basedOn w:val="1"/>
    <w:qFormat/>
    <w:uiPriority w:val="99"/>
    <w:pPr>
      <w:widowControl/>
      <w:adjustRightInd w:val="0"/>
      <w:snapToGrid w:val="0"/>
      <w:spacing w:line="400" w:lineRule="atLeast"/>
      <w:ind w:firstLine="482"/>
      <w:textAlignment w:val="baseline"/>
    </w:p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_Style 2"/>
    <w:basedOn w:val="2"/>
    <w:next w:val="1"/>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customStyle="1" w:styleId="32">
    <w:name w:val="Heading #2|1"/>
    <w:basedOn w:val="1"/>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33">
    <w:name w:val="Body text|2"/>
    <w:basedOn w:val="1"/>
    <w:qFormat/>
    <w:uiPriority w:val="0"/>
    <w:pPr>
      <w:spacing w:after="260"/>
      <w:ind w:firstLine="140"/>
    </w:pPr>
    <w:rPr>
      <w:rFonts w:ascii="宋体" w:hAnsi="宋体" w:eastAsia="宋体" w:cs="宋体"/>
      <w:sz w:val="30"/>
      <w:szCs w:val="30"/>
      <w:lang w:val="zh-TW" w:eastAsia="zh-TW" w:bidi="zh-TW"/>
    </w:rPr>
  </w:style>
  <w:style w:type="paragraph" w:customStyle="1" w:styleId="34">
    <w:name w:val="Body text|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35">
    <w:name w:val="Other|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36">
    <w:name w:val="Table caption|1"/>
    <w:basedOn w:val="1"/>
    <w:qFormat/>
    <w:uiPriority w:val="0"/>
    <w:rPr>
      <w:rFonts w:ascii="宋体" w:hAnsi="宋体" w:eastAsia="宋体" w:cs="宋体"/>
      <w:sz w:val="22"/>
      <w:szCs w:val="22"/>
      <w:lang w:val="zh-TW" w:eastAsia="zh-TW" w:bidi="zh-TW"/>
    </w:rPr>
  </w:style>
  <w:style w:type="paragraph" w:customStyle="1" w:styleId="37">
    <w:name w:val="Table Paragraph"/>
    <w:basedOn w:val="1"/>
    <w:qFormat/>
    <w:uiPriority w:val="1"/>
    <w:pPr>
      <w:autoSpaceDE w:val="0"/>
      <w:autoSpaceDN w:val="0"/>
      <w:adjustRightInd w:val="0"/>
    </w:pPr>
    <w:rPr>
      <w:rFonts w:eastAsia="宋体"/>
    </w:rPr>
  </w:style>
  <w:style w:type="paragraph" w:customStyle="1" w:styleId="38">
    <w:name w:val="BodyText"/>
    <w:basedOn w:val="1"/>
    <w:next w:val="1"/>
    <w:qFormat/>
    <w:uiPriority w:val="0"/>
    <w:pPr>
      <w:tabs>
        <w:tab w:val="left" w:pos="780"/>
      </w:tabs>
    </w:pPr>
    <w:rPr>
      <w:rFonts w:ascii="黑体" w:eastAsia="黑体"/>
      <w:sz w:val="22"/>
    </w:rPr>
  </w:style>
  <w:style w:type="character" w:customStyle="1" w:styleId="39">
    <w:name w:val="font01"/>
    <w:basedOn w:val="23"/>
    <w:qFormat/>
    <w:uiPriority w:val="0"/>
    <w:rPr>
      <w:rFonts w:hint="eastAsia" w:ascii="宋体" w:hAnsi="宋体" w:eastAsia="宋体" w:cs="宋体"/>
      <w:color w:val="000000"/>
      <w:sz w:val="22"/>
      <w:szCs w:val="22"/>
      <w:u w:val="none"/>
    </w:rPr>
  </w:style>
  <w:style w:type="character" w:customStyle="1" w:styleId="40">
    <w:name w:val="font11"/>
    <w:basedOn w:val="23"/>
    <w:qFormat/>
    <w:uiPriority w:val="0"/>
    <w:rPr>
      <w:rFonts w:ascii="Arial" w:hAnsi="Arial" w:cs="Arial"/>
      <w:color w:val="000000"/>
      <w:sz w:val="22"/>
      <w:szCs w:val="22"/>
      <w:u w:val="none"/>
    </w:rPr>
  </w:style>
  <w:style w:type="character" w:customStyle="1" w:styleId="41">
    <w:name w:val="font31"/>
    <w:basedOn w:val="23"/>
    <w:qFormat/>
    <w:uiPriority w:val="0"/>
    <w:rPr>
      <w:rFonts w:hint="eastAsia" w:ascii="宋体" w:hAnsi="宋体" w:eastAsia="宋体" w:cs="宋体"/>
      <w:color w:val="000000"/>
      <w:sz w:val="22"/>
      <w:szCs w:val="22"/>
      <w:u w:val="none"/>
    </w:rPr>
  </w:style>
  <w:style w:type="character" w:customStyle="1" w:styleId="42">
    <w:name w:val="font61"/>
    <w:basedOn w:val="23"/>
    <w:qFormat/>
    <w:uiPriority w:val="0"/>
    <w:rPr>
      <w:rFonts w:ascii="宋体" w:hAnsi="宋体" w:eastAsia="宋体" w:cs="宋体"/>
      <w:color w:val="000000"/>
      <w:sz w:val="22"/>
      <w:szCs w:val="22"/>
      <w:u w:val="none"/>
    </w:rPr>
  </w:style>
  <w:style w:type="paragraph" w:customStyle="1" w:styleId="43">
    <w:name w:val="BodyText1I2"/>
    <w:basedOn w:val="44"/>
    <w:qFormat/>
    <w:uiPriority w:val="0"/>
    <w:pPr>
      <w:spacing w:after="0" w:afterLines="0" w:line="500" w:lineRule="exact"/>
      <w:ind w:left="0" w:leftChars="0" w:firstLine="420" w:firstLineChars="200"/>
      <w:jc w:val="both"/>
    </w:pPr>
    <w:rPr>
      <w:kern w:val="2"/>
      <w:sz w:val="21"/>
      <w:szCs w:val="24"/>
      <w:lang w:bidi="ar-SA"/>
    </w:rPr>
  </w:style>
  <w:style w:type="paragraph" w:customStyle="1" w:styleId="44">
    <w:name w:val="BodyTextIndent"/>
    <w:basedOn w:val="1"/>
    <w:qFormat/>
    <w:uiPriority w:val="0"/>
    <w:pPr>
      <w:widowControl/>
      <w:spacing w:after="120" w:afterLines="0" w:line="240" w:lineRule="auto"/>
      <w:ind w:left="420" w:leftChars="200"/>
      <w:jc w:val="both"/>
    </w:pPr>
    <w:rPr>
      <w:rFonts w:ascii="宋体" w:hAnsi="宋体" w:eastAsia="宋体" w:cs="宋体"/>
      <w:kern w:val="2"/>
      <w:sz w:val="21"/>
      <w:szCs w:val="22"/>
      <w:lang w:eastAsia="en-US" w:bidi="ar-SA"/>
    </w:rPr>
  </w:style>
  <w:style w:type="paragraph" w:customStyle="1" w:styleId="45">
    <w:name w:val="No Spacing"/>
    <w:basedOn w:val="1"/>
    <w:qFormat/>
    <w:uiPriority w:val="1"/>
    <w:pPr>
      <w:jc w:val="center"/>
    </w:pPr>
    <w:rPr>
      <w:rFonts w:eastAsia="黑体"/>
      <w:sz w:val="3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16405</Words>
  <Characters>17480</Characters>
  <Paragraphs>2228</Paragraphs>
  <TotalTime>18</TotalTime>
  <ScaleCrop>false</ScaleCrop>
  <LinksUpToDate>false</LinksUpToDate>
  <CharactersWithSpaces>17708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Fróði</cp:lastModifiedBy>
  <cp:lastPrinted>2025-05-09T08:46:00Z</cp:lastPrinted>
  <dcterms:modified xsi:type="dcterms:W3CDTF">2026-05-21T05:13:02Z</dcterms:modified>
  <dc:title>克州职工基本医疗保险基金转为定期存款项目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65FE09B8F8F843798E8E9FEA9676818F_13</vt:lpwstr>
  </property>
  <property fmtid="{D5CDD505-2E9C-101B-9397-08002B2CF9AE}" pid="4" name="KSOTemplateDocerSaveRecord">
    <vt:lpwstr>eyJoZGlkIjoiMGI2NTRmNTk1YTgyNzEwN2FjZDFjZjI3YTQ1M2NjY2IiLCJ1c2VySWQiOiI2NTg3NDc0MzgifQ==</vt:lpwstr>
  </property>
</Properties>
</file>