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Times New Roman" w:hAnsi="Times New Roman" w:eastAsia="新宋体" w:cs="Times New Roman"/>
          <w:bCs/>
          <w:color w:val="auto"/>
          <w:sz w:val="48"/>
          <w:szCs w:val="48"/>
          <w:lang w:eastAsia="zh-CN"/>
        </w:rPr>
      </w:pPr>
      <w:r>
        <w:rPr>
          <w:rFonts w:hint="eastAsia" w:ascii="Times New Roman" w:hAnsi="Times New Roman" w:eastAsia="新宋体" w:cs="Times New Roman"/>
          <w:bCs/>
          <w:color w:val="auto"/>
          <w:sz w:val="48"/>
          <w:szCs w:val="48"/>
          <w:lang w:eastAsia="zh-CN"/>
        </w:rPr>
        <w:t>2026年芝英镇消防站家具采购项目（第二次招标）</w:t>
      </w:r>
    </w:p>
    <w:p>
      <w:pPr>
        <w:rPr>
          <w:rFonts w:hint="default" w:ascii="Times New Roman" w:hAnsi="Times New Roman" w:cs="Times New Roman"/>
          <w:color w:val="auto"/>
        </w:rPr>
      </w:pPr>
    </w:p>
    <w:p>
      <w:pPr>
        <w:widowControl w:val="0"/>
        <w:tabs>
          <w:tab w:val="center" w:pos="4677"/>
          <w:tab w:val="left" w:pos="7365"/>
        </w:tabs>
        <w:jc w:val="center"/>
        <w:rPr>
          <w:rFonts w:hint="default" w:ascii="Times New Roman" w:hAnsi="Times New Roman" w:eastAsia="黑体" w:cs="Times New Roman"/>
          <w:b/>
          <w:bCs/>
          <w:color w:val="auto"/>
          <w:sz w:val="72"/>
          <w:szCs w:val="72"/>
        </w:rPr>
      </w:pPr>
      <w:r>
        <w:rPr>
          <w:rFonts w:hint="default" w:ascii="Times New Roman" w:hAnsi="Times New Roman" w:eastAsia="黑体" w:cs="Times New Roman"/>
          <w:b/>
          <w:bCs/>
          <w:color w:val="auto"/>
          <w:sz w:val="72"/>
          <w:szCs w:val="72"/>
        </w:rPr>
        <w:t>招标文件</w:t>
      </w:r>
    </w:p>
    <w:p>
      <w:pPr>
        <w:widowControl w:val="0"/>
        <w:jc w:val="center"/>
        <w:rPr>
          <w:rFonts w:hint="default" w:ascii="Times New Roman" w:hAnsi="Times New Roman" w:eastAsia="宋体" w:cs="Times New Roman"/>
          <w:b/>
          <w:bCs/>
          <w:color w:val="auto"/>
          <w:sz w:val="32"/>
          <w:szCs w:val="32"/>
          <w:lang w:val="en-US" w:eastAsia="zh-CN"/>
        </w:rPr>
      </w:pPr>
      <w:r>
        <w:rPr>
          <w:rFonts w:hint="default" w:ascii="Times New Roman" w:hAnsi="Times New Roman" w:cs="Times New Roman"/>
          <w:b/>
          <w:bCs/>
          <w:color w:val="auto"/>
          <w:sz w:val="32"/>
          <w:szCs w:val="32"/>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458470</wp:posOffset>
            </wp:positionV>
            <wp:extent cx="3609340" cy="3665220"/>
            <wp:effectExtent l="0" t="0" r="0" b="0"/>
            <wp:wrapSquare wrapText="bothSides"/>
            <wp:docPr id="1" name="Picture 2"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j0233018"/>
                    <pic:cNvPicPr>
                      <a:picLocks noChangeAspect="1"/>
                    </pic:cNvPicPr>
                  </pic:nvPicPr>
                  <pic:blipFill>
                    <a:blip r:embed="rId13">
                      <a:lum bright="43994" contrast="-24002"/>
                    </a:blip>
                    <a:stretch>
                      <a:fillRect/>
                    </a:stretch>
                  </pic:blipFill>
                  <pic:spPr>
                    <a:xfrm>
                      <a:off x="0" y="0"/>
                      <a:ext cx="3609340" cy="3665220"/>
                    </a:xfrm>
                    <a:prstGeom prst="rect">
                      <a:avLst/>
                    </a:prstGeom>
                    <a:noFill/>
                    <a:ln>
                      <a:noFill/>
                    </a:ln>
                  </pic:spPr>
                </pic:pic>
              </a:graphicData>
            </a:graphic>
          </wp:anchor>
        </w:drawing>
      </w:r>
      <w:r>
        <w:rPr>
          <w:rFonts w:hint="default" w:ascii="Times New Roman" w:hAnsi="Times New Roman" w:cs="Times New Roman"/>
          <w:b/>
          <w:bCs/>
          <w:color w:val="auto"/>
          <w:sz w:val="32"/>
          <w:szCs w:val="32"/>
        </w:rPr>
        <w:t>采购编号：</w:t>
      </w:r>
      <w:r>
        <w:rPr>
          <w:rFonts w:hint="eastAsia" w:ascii="Times New Roman" w:hAnsi="Times New Roman" w:cs="Times New Roman"/>
          <w:b/>
          <w:bCs/>
          <w:color w:val="auto"/>
          <w:sz w:val="32"/>
          <w:szCs w:val="32"/>
          <w:lang w:eastAsia="zh-CN"/>
        </w:rPr>
        <w:t>YKCG2026-GK-018-1</w:t>
      </w:r>
    </w:p>
    <w:p>
      <w:pPr>
        <w:pStyle w:val="50"/>
        <w:rPr>
          <w:rFonts w:hint="default" w:ascii="Times New Roman" w:hAnsi="Times New Roman" w:cs="Times New Roman"/>
        </w:rPr>
      </w:pPr>
    </w:p>
    <w:p>
      <w:pPr>
        <w:widowControl w:val="0"/>
        <w:jc w:val="center"/>
        <w:rPr>
          <w:rFonts w:hint="default" w:ascii="Times New Roman" w:hAnsi="Times New Roman" w:cs="Times New Roman"/>
          <w:b/>
          <w:bCs/>
          <w:color w:val="FF0000"/>
          <w:sz w:val="32"/>
          <w:szCs w:val="32"/>
        </w:rPr>
      </w:pPr>
    </w:p>
    <w:p>
      <w:pPr>
        <w:widowControl w:val="0"/>
        <w:jc w:val="center"/>
        <w:rPr>
          <w:rFonts w:hint="default" w:ascii="Times New Roman" w:hAnsi="Times New Roman" w:cs="Times New Roman"/>
          <w:b/>
          <w:bCs/>
          <w:color w:val="FF0000"/>
          <w:sz w:val="32"/>
          <w:szCs w:val="32"/>
        </w:rPr>
      </w:pP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2"/>
          <w:szCs w:val="32"/>
        </w:rPr>
      </w:pPr>
    </w:p>
    <w:p>
      <w:pPr>
        <w:widowControl w:val="0"/>
        <w:tabs>
          <w:tab w:val="left" w:pos="6926"/>
        </w:tabs>
        <w:jc w:val="left"/>
        <w:rPr>
          <w:rFonts w:hint="default" w:ascii="Times New Roman" w:hAnsi="Times New Roman" w:cs="Times New Roman"/>
          <w:b/>
          <w:bCs/>
          <w:sz w:val="32"/>
          <w:szCs w:val="32"/>
        </w:rPr>
      </w:pPr>
      <w:r>
        <w:rPr>
          <w:rFonts w:hint="default" w:ascii="Times New Roman" w:hAnsi="Times New Roman" w:cs="Times New Roman"/>
          <w:b/>
          <w:bCs/>
          <w:sz w:val="32"/>
          <w:szCs w:val="32"/>
        </w:rPr>
        <w:tab/>
      </w: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2"/>
          <w:szCs w:val="32"/>
        </w:rPr>
      </w:pPr>
    </w:p>
    <w:p>
      <w:pPr>
        <w:widowControl w:val="0"/>
        <w:jc w:val="center"/>
        <w:rPr>
          <w:rFonts w:hint="default" w:ascii="Times New Roman" w:hAnsi="Times New Roman" w:cs="Times New Roman"/>
          <w:b/>
          <w:bCs/>
          <w:sz w:val="36"/>
          <w:szCs w:val="36"/>
        </w:rPr>
      </w:pPr>
    </w:p>
    <w:p>
      <w:pPr>
        <w:widowControl w:val="0"/>
        <w:jc w:val="center"/>
        <w:rPr>
          <w:rFonts w:hint="default" w:ascii="Times New Roman" w:hAnsi="Times New Roman" w:cs="Times New Roman"/>
          <w:b/>
          <w:bCs/>
          <w:sz w:val="36"/>
          <w:szCs w:val="36"/>
        </w:rPr>
      </w:pPr>
    </w:p>
    <w:p>
      <w:pPr>
        <w:widowControl w:val="0"/>
        <w:jc w:val="center"/>
        <w:rPr>
          <w:rFonts w:hint="default" w:ascii="Times New Roman" w:hAnsi="Times New Roman" w:cs="Times New Roman"/>
          <w:b/>
          <w:bCs/>
          <w:sz w:val="36"/>
          <w:szCs w:val="36"/>
        </w:rPr>
      </w:pPr>
    </w:p>
    <w:p>
      <w:pPr>
        <w:widowControl w:val="0"/>
        <w:jc w:val="center"/>
        <w:rPr>
          <w:rFonts w:hint="default" w:ascii="Times New Roman" w:hAnsi="Times New Roman" w:cs="Times New Roman"/>
          <w:b/>
          <w:bCs/>
          <w:sz w:val="36"/>
          <w:szCs w:val="36"/>
        </w:rPr>
      </w:pPr>
    </w:p>
    <w:p>
      <w:pPr>
        <w:pStyle w:val="17"/>
        <w:ind w:left="0" w:leftChars="0" w:firstLine="0" w:firstLineChars="0"/>
        <w:rPr>
          <w:rFonts w:hint="default" w:ascii="Times New Roman" w:hAnsi="Times New Roman" w:cs="Times New Roman"/>
          <w:b/>
          <w:bCs/>
          <w:sz w:val="36"/>
          <w:szCs w:val="36"/>
        </w:rPr>
      </w:pPr>
    </w:p>
    <w:p>
      <w:pPr>
        <w:pStyle w:val="18"/>
        <w:rPr>
          <w:rFonts w:hint="default" w:ascii="Times New Roman" w:hAnsi="Times New Roman" w:cs="Times New Roman"/>
        </w:rPr>
      </w:pPr>
    </w:p>
    <w:p>
      <w:pPr>
        <w:widowControl w:val="0"/>
        <w:ind w:left="420" w:firstLine="1441" w:firstLineChars="400"/>
        <w:rPr>
          <w:rFonts w:hint="default" w:ascii="Times New Roman" w:hAnsi="Times New Roman" w:eastAsia="仿宋_GB2312" w:cs="Times New Roman"/>
          <w:b/>
          <w:bCs/>
          <w:sz w:val="36"/>
          <w:szCs w:val="36"/>
          <w:lang w:eastAsia="zh-CN"/>
        </w:rPr>
      </w:pPr>
      <w:r>
        <w:rPr>
          <w:rFonts w:hint="default" w:ascii="Times New Roman" w:hAnsi="Times New Roman" w:eastAsia="仿宋_GB2312" w:cs="Times New Roman"/>
          <w:b/>
          <w:bCs/>
          <w:sz w:val="36"/>
          <w:szCs w:val="36"/>
        </w:rPr>
        <w:t>采购人：</w:t>
      </w:r>
      <w:r>
        <w:rPr>
          <w:rFonts w:hint="default" w:ascii="Times New Roman" w:hAnsi="Times New Roman" w:eastAsia="仿宋_GB2312" w:cs="Times New Roman"/>
          <w:b/>
          <w:bCs/>
          <w:sz w:val="36"/>
          <w:szCs w:val="36"/>
          <w:lang w:eastAsia="zh-CN"/>
        </w:rPr>
        <w:t>永康市芝英镇人民政府</w:t>
      </w:r>
    </w:p>
    <w:p>
      <w:pPr>
        <w:widowControl w:val="0"/>
        <w:jc w:val="center"/>
        <w:rPr>
          <w:rFonts w:hint="default" w:ascii="Times New Roman" w:hAnsi="Times New Roman" w:eastAsia="仿宋_GB2312" w:cs="Times New Roman"/>
          <w:b/>
          <w:bCs/>
          <w:sz w:val="36"/>
          <w:szCs w:val="36"/>
        </w:rPr>
      </w:pPr>
      <w:r>
        <w:rPr>
          <w:rFonts w:hint="default" w:ascii="Times New Roman" w:hAnsi="Times New Roman" w:eastAsia="仿宋_GB2312" w:cs="Times New Roman"/>
          <w:b/>
          <w:bCs/>
          <w:sz w:val="36"/>
          <w:szCs w:val="36"/>
        </w:rPr>
        <w:t>采购代理机构：金华市政府采购中心永康市分中心</w:t>
      </w:r>
    </w:p>
    <w:p>
      <w:pPr>
        <w:widowControl w:val="0"/>
        <w:ind w:firstLine="3243" w:firstLineChars="900"/>
        <w:rPr>
          <w:rFonts w:hint="default" w:ascii="Times New Roman" w:hAnsi="Times New Roman" w:cs="Times New Roman"/>
          <w:b/>
          <w:bCs/>
          <w:sz w:val="36"/>
          <w:szCs w:val="36"/>
        </w:rPr>
      </w:pPr>
      <w:r>
        <w:rPr>
          <w:rFonts w:hint="default" w:ascii="Times New Roman" w:hAnsi="Times New Roman" w:eastAsia="仿宋_GB2312" w:cs="Times New Roman"/>
          <w:b/>
          <w:bCs/>
          <w:sz w:val="36"/>
          <w:szCs w:val="36"/>
        </w:rPr>
        <w:t>二○二</w:t>
      </w:r>
      <w:r>
        <w:rPr>
          <w:rFonts w:hint="default" w:ascii="Times New Roman" w:hAnsi="Times New Roman" w:eastAsia="仿宋_GB2312" w:cs="Times New Roman"/>
          <w:b/>
          <w:bCs/>
          <w:sz w:val="36"/>
          <w:szCs w:val="36"/>
          <w:lang w:val="en-US" w:eastAsia="zh-CN"/>
        </w:rPr>
        <w:t>六</w:t>
      </w:r>
      <w:r>
        <w:rPr>
          <w:rFonts w:hint="default" w:ascii="Times New Roman" w:hAnsi="Times New Roman" w:eastAsia="仿宋_GB2312" w:cs="Times New Roman"/>
          <w:b/>
          <w:bCs/>
          <w:sz w:val="36"/>
          <w:szCs w:val="36"/>
        </w:rPr>
        <w:t>年</w:t>
      </w:r>
      <w:r>
        <w:rPr>
          <w:rFonts w:hint="eastAsia" w:ascii="Times New Roman" w:hAnsi="Times New Roman" w:eastAsia="仿宋_GB2312" w:cs="Times New Roman"/>
          <w:b/>
          <w:bCs/>
          <w:sz w:val="36"/>
          <w:szCs w:val="36"/>
          <w:lang w:eastAsia="zh-CN"/>
        </w:rPr>
        <w:t>五</w:t>
      </w:r>
      <w:r>
        <w:rPr>
          <w:rFonts w:hint="default" w:ascii="Times New Roman" w:hAnsi="Times New Roman" w:eastAsia="仿宋_GB2312" w:cs="Times New Roman"/>
          <w:b/>
          <w:bCs/>
          <w:sz w:val="36"/>
          <w:szCs w:val="36"/>
        </w:rPr>
        <w:t>月</w:t>
      </w:r>
    </w:p>
    <w:p>
      <w:pPr>
        <w:widowControl w:val="0"/>
        <w:rPr>
          <w:rFonts w:hint="default" w:ascii="Times New Roman" w:hAnsi="Times New Roman" w:cs="Times New Roman"/>
          <w:b/>
          <w:bCs/>
          <w:sz w:val="36"/>
          <w:szCs w:val="36"/>
        </w:rPr>
        <w:sectPr>
          <w:headerReference r:id="rId3" w:type="default"/>
          <w:pgSz w:w="11906" w:h="16838"/>
          <w:pgMar w:top="1134" w:right="1134" w:bottom="1134" w:left="1418" w:header="851" w:footer="992" w:gutter="0"/>
          <w:cols w:space="720" w:num="1"/>
          <w:docGrid w:linePitch="312" w:charSpace="0"/>
        </w:sectPr>
      </w:pPr>
    </w:p>
    <w:p>
      <w:pPr>
        <w:widowControl w:val="0"/>
        <w:jc w:val="center"/>
        <w:rPr>
          <w:rFonts w:hint="default" w:ascii="Times New Roman" w:hAnsi="Times New Roman" w:eastAsia="方正黑体简体" w:cs="Times New Roman"/>
          <w:b/>
          <w:bCs/>
          <w:sz w:val="36"/>
          <w:szCs w:val="36"/>
        </w:rPr>
      </w:pPr>
    </w:p>
    <w:p>
      <w:pPr>
        <w:widowControl w:val="0"/>
        <w:jc w:val="center"/>
        <w:rPr>
          <w:rFonts w:hint="default" w:ascii="Times New Roman" w:hAnsi="Times New Roman" w:eastAsia="方正黑体简体" w:cs="Times New Roman"/>
          <w:b/>
          <w:bCs/>
          <w:sz w:val="36"/>
          <w:szCs w:val="36"/>
        </w:rPr>
      </w:pPr>
    </w:p>
    <w:p>
      <w:pPr>
        <w:widowControl w:val="0"/>
        <w:jc w:val="center"/>
        <w:rPr>
          <w:rFonts w:hint="default" w:ascii="Times New Roman" w:hAnsi="Times New Roman" w:eastAsia="方正黑体简体" w:cs="Times New Roman"/>
          <w:b/>
          <w:bCs/>
          <w:sz w:val="36"/>
          <w:szCs w:val="36"/>
        </w:rPr>
      </w:pPr>
    </w:p>
    <w:p>
      <w:pPr>
        <w:keepNext/>
        <w:keepLines/>
        <w:widowControl w:val="0"/>
        <w:spacing w:before="120" w:after="120"/>
        <w:jc w:val="center"/>
        <w:outlineLvl w:val="0"/>
        <w:rPr>
          <w:rFonts w:hint="default" w:ascii="Times New Roman" w:hAnsi="Times New Roman" w:cs="Times New Roman"/>
          <w:b/>
          <w:bCs/>
          <w:kern w:val="44"/>
          <w:sz w:val="44"/>
          <w:szCs w:val="44"/>
        </w:rPr>
      </w:pPr>
      <w:r>
        <w:rPr>
          <w:rFonts w:hint="default" w:ascii="Times New Roman" w:hAnsi="Times New Roman" w:cs="Times New Roman"/>
          <w:b/>
          <w:bCs/>
          <w:kern w:val="44"/>
          <w:sz w:val="44"/>
          <w:szCs w:val="44"/>
        </w:rPr>
        <w:t>目录</w:t>
      </w:r>
    </w:p>
    <w:p>
      <w:pPr>
        <w:widowControl w:val="0"/>
        <w:tabs>
          <w:tab w:val="left" w:pos="0"/>
          <w:tab w:val="left" w:pos="6300"/>
        </w:tabs>
        <w:snapToGrid w:val="0"/>
        <w:spacing w:line="480" w:lineRule="auto"/>
        <w:jc w:val="left"/>
        <w:rPr>
          <w:rFonts w:hint="default" w:ascii="Times New Roman" w:hAnsi="Times New Roman" w:cs="Times New Roman"/>
          <w:color w:val="000000"/>
          <w:sz w:val="28"/>
          <w:szCs w:val="28"/>
        </w:rPr>
      </w:pPr>
    </w:p>
    <w:p>
      <w:pPr>
        <w:widowControl w:val="0"/>
        <w:numPr>
          <w:ilvl w:val="0"/>
          <w:numId w:val="3"/>
        </w:numPr>
        <w:tabs>
          <w:tab w:val="left" w:pos="0"/>
          <w:tab w:val="left" w:pos="1800"/>
          <w:tab w:val="left" w:pos="6300"/>
        </w:tabs>
        <w:snapToGrid w:val="0"/>
        <w:spacing w:line="900" w:lineRule="exact"/>
        <w:ind w:left="3646" w:hanging="3107"/>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招标公告</w:t>
      </w:r>
    </w:p>
    <w:p>
      <w:pPr>
        <w:widowControl w:val="0"/>
        <w:numPr>
          <w:ilvl w:val="0"/>
          <w:numId w:val="3"/>
        </w:numPr>
        <w:tabs>
          <w:tab w:val="left" w:pos="0"/>
          <w:tab w:val="left" w:pos="1800"/>
          <w:tab w:val="left" w:pos="6300"/>
        </w:tabs>
        <w:snapToGrid w:val="0"/>
        <w:spacing w:line="900" w:lineRule="exact"/>
        <w:ind w:left="3646" w:hanging="3107"/>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前附表、投标人须知</w:t>
      </w:r>
    </w:p>
    <w:p>
      <w:pPr>
        <w:widowControl w:val="0"/>
        <w:numPr>
          <w:ilvl w:val="0"/>
          <w:numId w:val="3"/>
        </w:numPr>
        <w:tabs>
          <w:tab w:val="left" w:pos="0"/>
          <w:tab w:val="left" w:pos="1800"/>
          <w:tab w:val="left" w:pos="6300"/>
        </w:tabs>
        <w:snapToGrid w:val="0"/>
        <w:spacing w:line="900" w:lineRule="exact"/>
        <w:ind w:left="3646" w:hanging="3107"/>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评标定标办法</w:t>
      </w:r>
    </w:p>
    <w:p>
      <w:pPr>
        <w:widowControl w:val="0"/>
        <w:numPr>
          <w:ilvl w:val="0"/>
          <w:numId w:val="3"/>
        </w:numPr>
        <w:tabs>
          <w:tab w:val="left" w:pos="0"/>
          <w:tab w:val="left" w:pos="1800"/>
          <w:tab w:val="left" w:pos="6300"/>
        </w:tabs>
        <w:snapToGrid w:val="0"/>
        <w:spacing w:line="900" w:lineRule="exact"/>
        <w:ind w:left="3646" w:hanging="3107"/>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采购项目技术服务要求及货物需求一览表</w:t>
      </w:r>
    </w:p>
    <w:p>
      <w:pPr>
        <w:widowControl w:val="0"/>
        <w:numPr>
          <w:ilvl w:val="0"/>
          <w:numId w:val="3"/>
        </w:numPr>
        <w:tabs>
          <w:tab w:val="left" w:pos="0"/>
          <w:tab w:val="left" w:pos="1800"/>
          <w:tab w:val="left" w:pos="6300"/>
        </w:tabs>
        <w:snapToGrid w:val="0"/>
        <w:spacing w:line="900" w:lineRule="exact"/>
        <w:ind w:left="3646" w:hanging="3107"/>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附件—投标文件格式</w:t>
      </w:r>
    </w:p>
    <w:p>
      <w:pPr>
        <w:widowControl w:val="0"/>
        <w:numPr>
          <w:ilvl w:val="0"/>
          <w:numId w:val="3"/>
        </w:numPr>
        <w:tabs>
          <w:tab w:val="left" w:pos="0"/>
          <w:tab w:val="left" w:pos="1800"/>
          <w:tab w:val="left" w:pos="6300"/>
        </w:tabs>
        <w:snapToGrid w:val="0"/>
        <w:spacing w:line="900" w:lineRule="exact"/>
        <w:ind w:left="3646" w:hanging="3107"/>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合同主要条款</w:t>
      </w:r>
    </w:p>
    <w:p>
      <w:pPr>
        <w:widowControl w:val="0"/>
        <w:rPr>
          <w:rFonts w:hint="default" w:ascii="Times New Roman" w:hAnsi="Times New Roman" w:cs="Times New Roman"/>
        </w:rPr>
      </w:pPr>
    </w:p>
    <w:p>
      <w:pPr>
        <w:widowControl w:val="0"/>
        <w:rPr>
          <w:rFonts w:hint="default" w:ascii="Times New Roman" w:hAnsi="Times New Roman" w:cs="Times New Roman"/>
        </w:rPr>
      </w:pPr>
    </w:p>
    <w:p>
      <w:pPr>
        <w:widowControl w:val="0"/>
        <w:rPr>
          <w:rFonts w:hint="default" w:ascii="Times New Roman" w:hAnsi="Times New Roman" w:cs="Times New Roman"/>
        </w:rPr>
      </w:pPr>
    </w:p>
    <w:p>
      <w:pPr>
        <w:widowControl w:val="0"/>
        <w:rPr>
          <w:rFonts w:hint="default" w:ascii="Times New Roman" w:hAnsi="Times New Roman" w:cs="Times New Roman"/>
        </w:rPr>
      </w:pPr>
    </w:p>
    <w:p>
      <w:pPr>
        <w:widowControl w:val="0"/>
        <w:rPr>
          <w:rFonts w:hint="default" w:ascii="Times New Roman" w:hAnsi="Times New Roman" w:cs="Times New Roman"/>
        </w:rPr>
      </w:pPr>
    </w:p>
    <w:p>
      <w:pPr>
        <w:widowControl w:val="0"/>
        <w:rPr>
          <w:rFonts w:hint="default" w:ascii="Times New Roman" w:hAnsi="Times New Roman" w:cs="Times New Roman"/>
        </w:rPr>
      </w:pPr>
    </w:p>
    <w:p>
      <w:pPr>
        <w:widowControl w:val="0"/>
        <w:rPr>
          <w:rFonts w:hint="default" w:ascii="Times New Roman" w:hAnsi="Times New Roman" w:cs="Times New Roman"/>
        </w:rPr>
        <w:sectPr>
          <w:headerReference r:id="rId4" w:type="default"/>
          <w:footerReference r:id="rId5" w:type="default"/>
          <w:pgSz w:w="11906" w:h="16838"/>
          <w:pgMar w:top="1134" w:right="1134" w:bottom="1134" w:left="1418" w:header="851" w:footer="992" w:gutter="0"/>
          <w:pgNumType w:start="0"/>
          <w:cols w:space="720" w:num="1"/>
          <w:docGrid w:linePitch="312" w:charSpace="0"/>
        </w:sect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780" w:lineRule="exact"/>
        <w:jc w:val="center"/>
        <w:rPr>
          <w:rFonts w:hint="default" w:ascii="Times New Roman" w:hAnsi="Times New Roman" w:eastAsia="黑体" w:cs="Times New Roman"/>
          <w:b/>
          <w:bCs/>
          <w:sz w:val="52"/>
          <w:szCs w:val="52"/>
        </w:rPr>
      </w:pPr>
      <w:r>
        <w:rPr>
          <w:rFonts w:hint="default" w:ascii="Times New Roman" w:hAnsi="Times New Roman" w:eastAsia="黑体" w:cs="Times New Roman"/>
          <w:b/>
          <w:bCs/>
          <w:sz w:val="52"/>
          <w:szCs w:val="52"/>
        </w:rPr>
        <w:t>第一章</w:t>
      </w:r>
    </w:p>
    <w:p>
      <w:pPr>
        <w:widowControl w:val="0"/>
        <w:spacing w:line="780" w:lineRule="exact"/>
        <w:jc w:val="center"/>
        <w:rPr>
          <w:rFonts w:hint="default" w:ascii="Times New Roman" w:hAnsi="Times New Roman" w:eastAsia="黑体" w:cs="Times New Roman"/>
          <w:b/>
          <w:bCs/>
          <w:sz w:val="52"/>
          <w:szCs w:val="52"/>
        </w:rPr>
      </w:pPr>
      <w:r>
        <w:rPr>
          <w:rFonts w:hint="default" w:ascii="Times New Roman" w:hAnsi="Times New Roman" w:eastAsia="黑体" w:cs="Times New Roman"/>
          <w:b/>
          <w:bCs/>
          <w:sz w:val="52"/>
          <w:szCs w:val="52"/>
        </w:rPr>
        <w:t>招标公告</w:t>
      </w: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widowControl w:val="0"/>
        <w:spacing w:line="400" w:lineRule="exact"/>
        <w:jc w:val="center"/>
        <w:rPr>
          <w:rFonts w:hint="default" w:ascii="Times New Roman" w:hAnsi="Times New Roman" w:cs="Times New Roman"/>
          <w:b/>
          <w:bCs/>
          <w:sz w:val="32"/>
          <w:szCs w:val="32"/>
        </w:rPr>
      </w:pPr>
    </w:p>
    <w:p>
      <w:pPr>
        <w:keepNext/>
        <w:keepLines/>
        <w:widowControl w:val="0"/>
        <w:spacing w:before="120" w:after="120"/>
        <w:jc w:val="center"/>
        <w:outlineLvl w:val="0"/>
        <w:rPr>
          <w:rFonts w:hint="default" w:ascii="Times New Roman" w:hAnsi="Times New Roman" w:cs="Times New Roman"/>
          <w:b/>
          <w:bCs/>
          <w:kern w:val="44"/>
          <w:sz w:val="44"/>
          <w:szCs w:val="44"/>
        </w:rPr>
      </w:pPr>
      <w:r>
        <w:rPr>
          <w:rFonts w:hint="default" w:ascii="Times New Roman" w:hAnsi="Times New Roman" w:cs="Times New Roman"/>
          <w:kern w:val="44"/>
          <w:sz w:val="32"/>
          <w:szCs w:val="32"/>
        </w:rPr>
        <w:br w:type="page"/>
      </w:r>
      <w:r>
        <w:rPr>
          <w:rFonts w:hint="default" w:ascii="Times New Roman" w:hAnsi="Times New Roman" w:cs="Times New Roman"/>
          <w:b/>
          <w:bCs/>
          <w:kern w:val="44"/>
          <w:sz w:val="44"/>
          <w:szCs w:val="44"/>
        </w:rPr>
        <w:t>招标公告</w:t>
      </w:r>
    </w:p>
    <w:p>
      <w:pPr>
        <w:widowControl w:val="0"/>
        <w:spacing w:line="400" w:lineRule="exact"/>
        <w:jc w:val="center"/>
        <w:rPr>
          <w:rFonts w:hint="default" w:ascii="Times New Roman" w:hAnsi="Times New Roman" w:cs="Times New Roman"/>
          <w:b/>
          <w:bCs/>
          <w:sz w:val="32"/>
          <w:szCs w:val="32"/>
        </w:rPr>
      </w:pPr>
    </w:p>
    <w:p>
      <w:pPr>
        <w:widowControl w:val="0"/>
        <w:spacing w:line="400" w:lineRule="exact"/>
        <w:rPr>
          <w:rFonts w:hint="default" w:ascii="Times New Roman" w:hAnsi="Times New Roman" w:cs="Times New Roman"/>
          <w:color w:val="FF0000"/>
          <w:sz w:val="24"/>
          <w:szCs w:val="24"/>
        </w:rPr>
      </w:pP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根据《中华人民共和国政府采购法》《中华人民共和国政府采购法实施条例》《政府采购货物和服务招标投标管理办法》等规定，现就下列项目进行公开招标采购，欢迎国内合格的供应商前来投标。</w:t>
      </w:r>
    </w:p>
    <w:p>
      <w:pPr>
        <w:widowControl w:val="0"/>
        <w:spacing w:line="400" w:lineRule="exact"/>
        <w:ind w:firstLine="540" w:firstLineChars="225"/>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 xml:space="preserve">一．招标项目编号: </w:t>
      </w:r>
      <w:r>
        <w:rPr>
          <w:rFonts w:hint="eastAsia" w:ascii="Times New Roman" w:hAnsi="Times New Roman" w:cs="Times New Roman"/>
          <w:sz w:val="24"/>
          <w:szCs w:val="24"/>
          <w:lang w:eastAsia="zh-CN"/>
        </w:rPr>
        <w:t>YKCG2026-GK-018-1</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二．采购组织类型：</w:t>
      </w:r>
      <w:r>
        <w:rPr>
          <w:rFonts w:hint="default" w:ascii="Times New Roman" w:hAnsi="Times New Roman" w:cs="Times New Roman"/>
          <w:sz w:val="24"/>
          <w:szCs w:val="24"/>
          <w:lang w:val="en-US" w:eastAsia="zh-CN"/>
        </w:rPr>
        <w:t>集中</w:t>
      </w:r>
      <w:r>
        <w:rPr>
          <w:rFonts w:hint="default" w:ascii="Times New Roman" w:hAnsi="Times New Roman" w:cs="Times New Roman"/>
          <w:sz w:val="24"/>
          <w:szCs w:val="24"/>
        </w:rPr>
        <w:t>采购-委托本级集采</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三．招标项目概况（内容、数量、预算金额、</w:t>
      </w:r>
      <w:r>
        <w:rPr>
          <w:rFonts w:hint="default" w:ascii="Times New Roman" w:hAnsi="Times New Roman" w:cs="Times New Roman"/>
          <w:sz w:val="24"/>
          <w:szCs w:val="24"/>
          <w:lang w:val="en-US" w:eastAsia="zh-CN"/>
        </w:rPr>
        <w:t>最高限价</w:t>
      </w:r>
      <w:r>
        <w:rPr>
          <w:rFonts w:hint="default" w:ascii="Times New Roman" w:hAnsi="Times New Roman" w:cs="Times New Roman"/>
          <w:sz w:val="24"/>
          <w:szCs w:val="24"/>
        </w:rPr>
        <w:t>等）：</w:t>
      </w:r>
    </w:p>
    <w:tbl>
      <w:tblPr>
        <w:tblStyle w:val="37"/>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442"/>
        <w:gridCol w:w="881"/>
        <w:gridCol w:w="881"/>
        <w:gridCol w:w="1597"/>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jc w:val="center"/>
        </w:trPr>
        <w:tc>
          <w:tcPr>
            <w:tcW w:w="1363" w:type="dxa"/>
            <w:vAlign w:val="center"/>
          </w:tcPr>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标项序号</w:t>
            </w:r>
          </w:p>
        </w:tc>
        <w:tc>
          <w:tcPr>
            <w:tcW w:w="2442" w:type="dxa"/>
            <w:vAlign w:val="center"/>
          </w:tcPr>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项目</w:t>
            </w:r>
            <w:r>
              <w:rPr>
                <w:rFonts w:hint="default" w:ascii="Times New Roman" w:hAnsi="Times New Roman" w:cs="Times New Roman"/>
                <w:b/>
                <w:bCs/>
                <w:sz w:val="24"/>
                <w:szCs w:val="24"/>
              </w:rPr>
              <w:t>名称</w:t>
            </w:r>
          </w:p>
        </w:tc>
        <w:tc>
          <w:tcPr>
            <w:tcW w:w="881" w:type="dxa"/>
            <w:vAlign w:val="center"/>
          </w:tcPr>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数量</w:t>
            </w:r>
          </w:p>
        </w:tc>
        <w:tc>
          <w:tcPr>
            <w:tcW w:w="881" w:type="dxa"/>
            <w:vAlign w:val="center"/>
          </w:tcPr>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单位</w:t>
            </w:r>
          </w:p>
        </w:tc>
        <w:tc>
          <w:tcPr>
            <w:tcW w:w="1597" w:type="dxa"/>
            <w:vAlign w:val="center"/>
          </w:tcPr>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预算金额</w:t>
            </w:r>
          </w:p>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（万元）</w:t>
            </w:r>
          </w:p>
        </w:tc>
        <w:tc>
          <w:tcPr>
            <w:tcW w:w="1364" w:type="dxa"/>
            <w:vAlign w:val="center"/>
          </w:tcPr>
          <w:p>
            <w:pPr>
              <w:widowControl w:val="0"/>
              <w:snapToGrid w:val="0"/>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项目属性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63" w:type="dxa"/>
            <w:vAlign w:val="center"/>
          </w:tcPr>
          <w:p>
            <w:pPr>
              <w:snapToGrid w:val="0"/>
              <w:ind w:left="0" w:leftChars="0" w:right="0" w:rightChars="0" w:firstLine="0" w:firstLineChars="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42" w:type="dxa"/>
            <w:vAlign w:val="center"/>
          </w:tcPr>
          <w:p>
            <w:pPr>
              <w:snapToGrid w:val="0"/>
              <w:ind w:left="0" w:leftChars="0" w:right="0" w:rightChars="0" w:firstLine="0" w:firstLineChars="0"/>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2026年芝英镇消防站家具采购项目（第二次招标）</w:t>
            </w:r>
          </w:p>
        </w:tc>
        <w:tc>
          <w:tcPr>
            <w:tcW w:w="881" w:type="dxa"/>
            <w:vAlign w:val="center"/>
          </w:tcPr>
          <w:p>
            <w:pPr>
              <w:snapToGrid w:val="0"/>
              <w:ind w:left="0" w:leftChars="0" w:right="0" w:rightChars="0" w:firstLine="0" w:firstLineChars="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881" w:type="dxa"/>
            <w:vAlign w:val="center"/>
          </w:tcPr>
          <w:p>
            <w:pPr>
              <w:snapToGrid w:val="0"/>
              <w:ind w:left="0" w:leftChars="0" w:right="0" w:rightChars="0" w:firstLine="0" w:firstLineChars="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批</w:t>
            </w:r>
          </w:p>
        </w:tc>
        <w:tc>
          <w:tcPr>
            <w:tcW w:w="1597" w:type="dxa"/>
            <w:vAlign w:val="center"/>
          </w:tcPr>
          <w:p>
            <w:pPr>
              <w:snapToGrid w:val="0"/>
              <w:ind w:left="0" w:leftChars="0" w:right="0" w:righ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w:t>
            </w:r>
          </w:p>
        </w:tc>
        <w:tc>
          <w:tcPr>
            <w:tcW w:w="1364" w:type="dxa"/>
            <w:vAlign w:val="center"/>
          </w:tcPr>
          <w:p>
            <w:pPr>
              <w:snapToGrid w:val="0"/>
              <w:spacing w:after="120" w:afterLines="50" w:line="240" w:lineRule="auto"/>
              <w:ind w:left="0" w:leftChars="0" w:right="0" w:rightChars="0" w:firstLine="0" w:firstLineChars="0"/>
              <w:jc w:val="right"/>
              <w:rPr>
                <w:rFonts w:hint="default" w:ascii="Times New Roman" w:hAnsi="Times New Roman" w:eastAsia="宋体" w:cs="Times New Roman"/>
                <w:b/>
                <w:sz w:val="24"/>
                <w:szCs w:val="28"/>
                <w:lang w:val="en-US" w:eastAsia="zh-CN"/>
              </w:rPr>
            </w:pPr>
            <w:r>
              <w:rPr>
                <w:rFonts w:hint="default" w:ascii="Times New Roman" w:hAnsi="Times New Roman" w:eastAsia="宋体" w:cs="Times New Roman"/>
                <w:sz w:val="24"/>
                <w:szCs w:val="24"/>
                <w:lang w:val="en-US" w:eastAsia="zh-CN"/>
              </w:rPr>
              <w:t>货物采购</w:t>
            </w:r>
          </w:p>
        </w:tc>
      </w:tr>
    </w:tbl>
    <w:p>
      <w:pPr>
        <w:widowControl w:val="0"/>
        <w:spacing w:line="400" w:lineRule="exact"/>
        <w:ind w:firstLine="541" w:firstLineChars="225"/>
        <w:rPr>
          <w:rFonts w:hint="default" w:ascii="Times New Roman" w:hAnsi="Times New Roman" w:cs="Times New Roman"/>
          <w:b/>
          <w:bCs/>
          <w:sz w:val="24"/>
          <w:szCs w:val="24"/>
          <w:lang w:val="en-US" w:eastAsia="zh-CN"/>
        </w:rPr>
      </w:pPr>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四．投标供应商资格要求:</w:t>
      </w:r>
    </w:p>
    <w:p>
      <w:pPr>
        <w:widowControl w:val="0"/>
        <w:spacing w:line="360" w:lineRule="auto"/>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（一）基本条件</w:t>
      </w:r>
    </w:p>
    <w:p>
      <w:pPr>
        <w:widowControl w:val="0"/>
        <w:spacing w:line="360" w:lineRule="auto"/>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1、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投标人须提供本项目采购《投标承诺函》（格式详见采购文件附件）。</w:t>
      </w:r>
    </w:p>
    <w:p>
      <w:pPr>
        <w:widowControl w:val="0"/>
        <w:spacing w:line="360" w:lineRule="auto"/>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b/>
          <w:sz w:val="24"/>
          <w:szCs w:val="24"/>
        </w:rPr>
        <w:t>根据财库〔2020〕46号的相关规定，本次采购投标人须为中小企业，投标时须提供《中小企业声明函》。残疾人福利性单位、监狱企业视同小型、微型企业。（格式见附件）。</w:t>
      </w:r>
    </w:p>
    <w:p>
      <w:pPr>
        <w:widowControl w:val="0"/>
        <w:spacing w:line="360" w:lineRule="auto"/>
        <w:ind w:firstLine="540" w:firstLineChars="225"/>
        <w:rPr>
          <w:rFonts w:hint="default" w:ascii="Times New Roman" w:hAnsi="Times New Roman" w:cs="Times New Roman"/>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default" w:ascii="Times New Roman" w:hAnsi="Times New Roman" w:cs="Times New Roman"/>
          <w:color w:val="000000"/>
          <w:sz w:val="24"/>
          <w:szCs w:val="24"/>
        </w:rPr>
        <w:t>本次招标</w:t>
      </w:r>
      <w:r>
        <w:rPr>
          <w:rFonts w:hint="default" w:ascii="Times New Roman" w:hAnsi="Times New Roman" w:cs="Times New Roman"/>
          <w:sz w:val="24"/>
          <w:szCs w:val="24"/>
        </w:rPr>
        <w:t>接受联合体投标人。</w:t>
      </w:r>
    </w:p>
    <w:p>
      <w:pPr>
        <w:widowControl w:val="0"/>
        <w:spacing w:line="360" w:lineRule="auto"/>
        <w:ind w:firstLine="540" w:firstLineChars="225"/>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（二）特定条件：</w:t>
      </w:r>
      <w:r>
        <w:rPr>
          <w:rFonts w:hint="default" w:ascii="Times New Roman" w:hAnsi="Times New Roman" w:cs="Times New Roman"/>
          <w:b/>
          <w:bCs/>
          <w:sz w:val="24"/>
          <w:szCs w:val="24"/>
          <w:lang w:val="en-US" w:eastAsia="zh-CN"/>
        </w:rPr>
        <w:t>无。</w:t>
      </w:r>
    </w:p>
    <w:p>
      <w:pPr>
        <w:pStyle w:val="17"/>
        <w:ind w:left="0" w:leftChars="0" w:firstLine="480"/>
        <w:rPr>
          <w:rFonts w:hint="default" w:ascii="Times New Roman" w:hAnsi="Times New Roman" w:cs="Times New Roman"/>
        </w:rPr>
      </w:pPr>
      <w:r>
        <w:rPr>
          <w:rFonts w:hint="default" w:ascii="Times New Roman" w:hAnsi="Times New Roman" w:cs="Times New Roman"/>
          <w:bCs/>
          <w:sz w:val="24"/>
        </w:rPr>
        <w:t>（三）是否专门面向中小微企业：</w:t>
      </w:r>
      <w:r>
        <w:rPr>
          <w:rFonts w:hint="default" w:ascii="Times New Roman" w:hAnsi="Times New Roman" w:cs="Times New Roman"/>
          <w:b/>
          <w:sz w:val="24"/>
          <w:lang w:eastAsia="zh-CN"/>
        </w:rPr>
        <w:t>是</w:t>
      </w:r>
      <w:r>
        <w:rPr>
          <w:rFonts w:hint="default" w:ascii="Times New Roman" w:hAnsi="Times New Roman" w:cs="Times New Roman"/>
          <w:b/>
          <w:sz w:val="24"/>
        </w:rPr>
        <w:t>。</w:t>
      </w:r>
    </w:p>
    <w:p>
      <w:pPr>
        <w:widowControl w:val="0"/>
        <w:spacing w:line="400" w:lineRule="exact"/>
        <w:ind w:firstLine="420"/>
        <w:rPr>
          <w:rFonts w:hint="default" w:ascii="Times New Roman" w:hAnsi="Times New Roman" w:cs="Times New Roman"/>
          <w:sz w:val="24"/>
          <w:szCs w:val="24"/>
        </w:rPr>
      </w:pPr>
      <w:r>
        <w:rPr>
          <w:rFonts w:hint="default" w:ascii="Times New Roman" w:hAnsi="Times New Roman" w:cs="Times New Roman"/>
          <w:sz w:val="24"/>
          <w:szCs w:val="24"/>
        </w:rPr>
        <w:t>五．获取招标文件方式</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1、本项目招标文件实行“政府采购云平台”（https://zfcg.czt.zj.gov.cn/）在线获取，不提供招标文件纸质版。供应商获取招标文件前应先完成“政府采购云平台”的账号注册；</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2、地点：政采云平台（https://zfcg.czt.zj.gov.cn/）；</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方式：潜在供应商登陆政采云平台，在线申请获取招标文件（进入“项目采购”，在获取招标文件菜单中选择项目，申请获取招标文件，填写获取采购文件的申请信息，提交后点击【下载采购文件】即可获取招标文件，本项目招标文件不收取工本费。仅需浏览招标文件的供应商可点击“游客，浏览招标文件”直接下载招标文件浏览。</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4、供应商获取招标文件时须提交的文件资料：无</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注：请供应商按上述要求获取招标文件，如未在“政采云”系统内完成相关流程，引起的投标无效责任自负。</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六、投标说明</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本项目实行电子投标，应按照本项目招标文件和政采云平台的要求编制、加密并递交投标文件，电子投标后不需要供应商提供纸质文件。供应商在使用系统进行投标的过程中遇到涉及平台使用的任何问题，可致电政采云平台技术支持热线咨询，联系方式：95763。</w:t>
      </w:r>
    </w:p>
    <w:p>
      <w:pPr>
        <w:widowControl w:val="0"/>
        <w:wordWrap w:val="0"/>
        <w:adjustRightInd w:val="0"/>
        <w:snapToGrid w:val="0"/>
        <w:spacing w:before="120" w:after="120"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2、投标人应在开标前完成CA数字证书办理以及驱动下载（办理流程详见浙江政府采购官网）。完成CA数字证书办理预计一周左右，建议各投标人抓紧时间办理。</w:t>
      </w:r>
    </w:p>
    <w:p>
      <w:pPr>
        <w:widowControl w:val="0"/>
        <w:wordWrap w:val="0"/>
        <w:adjustRightInd w:val="0"/>
        <w:snapToGrid w:val="0"/>
        <w:spacing w:before="120" w:after="120" w:line="500" w:lineRule="exact"/>
        <w:ind w:firstLine="480" w:firstLineChars="200"/>
        <w:rPr>
          <w:rFonts w:hint="default" w:ascii="Times New Roman" w:hAnsi="Times New Roman" w:cs="Times New Roman"/>
          <w:b/>
          <w:bCs/>
          <w:color w:val="FF0000"/>
          <w:sz w:val="28"/>
          <w:szCs w:val="28"/>
        </w:rPr>
      </w:pPr>
      <w:r>
        <w:rPr>
          <w:rFonts w:hint="default" w:ascii="Times New Roman" w:hAnsi="Times New Roman" w:cs="Times New Roman"/>
          <w:sz w:val="24"/>
          <w:szCs w:val="24"/>
        </w:rPr>
        <w:t>3、投标人通过政采云平台电子投标工具制作投标文件，电子投标工具请供应商自行前往浙江省政府采购网下载并安装，（下载网址：http://www.zjzfcg.gov.cn/bidClientTemplate/2019-09-24/12975.html），项目采购电子招投标全流程操作指南详见网址：https://help.zcygov.cn/web/site_2/2018/12-28/2573.html</w:t>
      </w:r>
    </w:p>
    <w:p>
      <w:pPr>
        <w:widowControl w:val="0"/>
        <w:numPr>
          <w:ilvl w:val="0"/>
          <w:numId w:val="4"/>
        </w:numPr>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投标截止时间：</w:t>
      </w:r>
      <w:r>
        <w:rPr>
          <w:rFonts w:hint="default" w:ascii="Times New Roman" w:hAnsi="Times New Roman" w:cs="Times New Roman"/>
          <w:color w:val="FF0000"/>
          <w:sz w:val="24"/>
          <w:szCs w:val="24"/>
          <w:highlight w:val="yellow"/>
        </w:rPr>
        <w:t>202</w:t>
      </w:r>
      <w:r>
        <w:rPr>
          <w:rFonts w:hint="default" w:ascii="Times New Roman" w:hAnsi="Times New Roman" w:cs="Times New Roman"/>
          <w:color w:val="FF0000"/>
          <w:sz w:val="24"/>
          <w:szCs w:val="24"/>
          <w:highlight w:val="yellow"/>
          <w:lang w:val="en-US" w:eastAsia="zh-CN"/>
        </w:rPr>
        <w:t>6</w:t>
      </w:r>
      <w:r>
        <w:rPr>
          <w:rFonts w:hint="default" w:ascii="Times New Roman" w:hAnsi="Times New Roman" w:cs="Times New Roman"/>
          <w:color w:val="FF0000"/>
          <w:sz w:val="24"/>
          <w:szCs w:val="24"/>
          <w:highlight w:val="yellow"/>
        </w:rPr>
        <w:t>年</w:t>
      </w:r>
      <w:r>
        <w:rPr>
          <w:rFonts w:hint="eastAsia" w:ascii="Times New Roman" w:hAnsi="Times New Roman" w:cs="Times New Roman"/>
          <w:color w:val="FF0000"/>
          <w:sz w:val="24"/>
          <w:szCs w:val="24"/>
          <w:highlight w:val="yellow"/>
          <w:lang w:val="en-US" w:eastAsia="zh-CN"/>
        </w:rPr>
        <w:t>6月3日</w:t>
      </w:r>
      <w:r>
        <w:rPr>
          <w:rFonts w:hint="default" w:ascii="Times New Roman" w:hAnsi="Times New Roman" w:cs="Times New Roman"/>
          <w:color w:val="FF0000"/>
          <w:sz w:val="24"/>
          <w:szCs w:val="24"/>
        </w:rPr>
        <w:t xml:space="preserve"> 0</w:t>
      </w:r>
      <w:r>
        <w:rPr>
          <w:rFonts w:hint="default" w:ascii="Times New Roman" w:hAnsi="Times New Roman" w:cs="Times New Roman"/>
          <w:color w:val="FF0000"/>
          <w:sz w:val="24"/>
          <w:szCs w:val="24"/>
          <w:lang w:val="en-US" w:eastAsia="zh-CN"/>
        </w:rPr>
        <w:t>9</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3</w:t>
      </w:r>
      <w:r>
        <w:rPr>
          <w:rFonts w:hint="default" w:ascii="Times New Roman" w:hAnsi="Times New Roman" w:cs="Times New Roman"/>
          <w:color w:val="FF0000"/>
          <w:sz w:val="24"/>
          <w:szCs w:val="24"/>
        </w:rPr>
        <w:t>0:00</w:t>
      </w:r>
    </w:p>
    <w:p>
      <w:pPr>
        <w:pStyle w:val="21"/>
        <w:adjustRightInd w:val="0"/>
        <w:snapToGrid w:val="0"/>
        <w:spacing w:line="500" w:lineRule="exact"/>
        <w:ind w:firstLine="482" w:firstLineChars="201"/>
        <w:rPr>
          <w:rFonts w:hint="default" w:ascii="Times New Roman" w:hAnsi="Times New Roman" w:cs="Times New Roman"/>
        </w:rPr>
      </w:pPr>
      <w:r>
        <w:rPr>
          <w:rFonts w:hint="default" w:ascii="Times New Roman" w:hAnsi="Times New Roman" w:cs="Times New Roman"/>
          <w:sz w:val="24"/>
          <w:szCs w:val="24"/>
        </w:rPr>
        <w:t>投标人应当在投标截止时间前完成电子投标文件的传输递交。如认为需要，投标人可以选择递交备份投标文件（递交方式详见第二章）。</w:t>
      </w:r>
    </w:p>
    <w:p>
      <w:pPr>
        <w:widowControl w:val="0"/>
        <w:spacing w:line="400" w:lineRule="exact"/>
        <w:ind w:firstLine="540" w:firstLineChars="225"/>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八．开标时间：</w:t>
      </w:r>
      <w:r>
        <w:rPr>
          <w:rFonts w:hint="default" w:ascii="Times New Roman" w:hAnsi="Times New Roman" w:cs="Times New Roman"/>
          <w:color w:val="FF0000"/>
          <w:sz w:val="24"/>
          <w:szCs w:val="24"/>
          <w:highlight w:val="yellow"/>
        </w:rPr>
        <w:t>202</w:t>
      </w:r>
      <w:r>
        <w:rPr>
          <w:rFonts w:hint="default" w:ascii="Times New Roman" w:hAnsi="Times New Roman" w:cs="Times New Roman"/>
          <w:color w:val="FF0000"/>
          <w:sz w:val="24"/>
          <w:szCs w:val="24"/>
          <w:highlight w:val="yellow"/>
          <w:lang w:val="en-US" w:eastAsia="zh-CN"/>
        </w:rPr>
        <w:t>6</w:t>
      </w:r>
      <w:r>
        <w:rPr>
          <w:rFonts w:hint="default" w:ascii="Times New Roman" w:hAnsi="Times New Roman" w:cs="Times New Roman"/>
          <w:color w:val="FF0000"/>
          <w:sz w:val="24"/>
          <w:szCs w:val="24"/>
          <w:highlight w:val="yellow"/>
        </w:rPr>
        <w:t>年</w:t>
      </w:r>
      <w:r>
        <w:rPr>
          <w:rFonts w:hint="eastAsia" w:ascii="Times New Roman" w:hAnsi="Times New Roman" w:cs="Times New Roman"/>
          <w:color w:val="FF0000"/>
          <w:sz w:val="24"/>
          <w:szCs w:val="24"/>
          <w:highlight w:val="yellow"/>
          <w:lang w:val="en-US" w:eastAsia="zh-CN"/>
        </w:rPr>
        <w:t>6月3日</w:t>
      </w:r>
      <w:r>
        <w:rPr>
          <w:rFonts w:hint="default" w:ascii="Times New Roman" w:hAnsi="Times New Roman" w:cs="Times New Roman"/>
          <w:color w:val="FF0000"/>
          <w:sz w:val="24"/>
          <w:szCs w:val="24"/>
        </w:rPr>
        <w:t xml:space="preserve"> 0</w:t>
      </w:r>
      <w:r>
        <w:rPr>
          <w:rFonts w:hint="default" w:ascii="Times New Roman" w:hAnsi="Times New Roman" w:cs="Times New Roman"/>
          <w:color w:val="FF0000"/>
          <w:sz w:val="24"/>
          <w:szCs w:val="24"/>
          <w:lang w:val="en-US" w:eastAsia="zh-CN"/>
        </w:rPr>
        <w:t>9</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3</w:t>
      </w:r>
      <w:r>
        <w:rPr>
          <w:rFonts w:hint="default" w:ascii="Times New Roman" w:hAnsi="Times New Roman" w:cs="Times New Roman"/>
          <w:color w:val="FF0000"/>
          <w:sz w:val="24"/>
          <w:szCs w:val="24"/>
        </w:rPr>
        <w:t>0:00</w:t>
      </w:r>
      <w:r>
        <w:rPr>
          <w:rFonts w:hint="default" w:ascii="Times New Roman" w:hAnsi="Times New Roman" w:cs="Times New Roman"/>
          <w:color w:val="FF0000"/>
          <w:sz w:val="24"/>
          <w:szCs w:val="24"/>
          <w:lang w:val="en-US" w:eastAsia="zh-CN"/>
        </w:rPr>
        <w:t xml:space="preserve">                                                                                                                                                                                                                                                                                                                                                                                                                                                                                                                                                             </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九．开标地址：金华市政府采购中心永康市分中心（永康市五湖路1号国际会展中心办公楼六楼开标室）</w:t>
      </w:r>
    </w:p>
    <w:p>
      <w:pPr>
        <w:widowControl w:val="0"/>
        <w:spacing w:line="400" w:lineRule="exact"/>
        <w:ind w:firstLine="540" w:firstLineChars="225"/>
        <w:rPr>
          <w:rFonts w:hint="default" w:ascii="Times New Roman" w:hAnsi="Times New Roman" w:cs="Times New Roman"/>
          <w:color w:val="FF0000"/>
          <w:sz w:val="24"/>
          <w:szCs w:val="24"/>
        </w:rPr>
      </w:pPr>
      <w:r>
        <w:rPr>
          <w:rFonts w:hint="default" w:ascii="Times New Roman" w:hAnsi="Times New Roman" w:cs="Times New Roman"/>
          <w:sz w:val="24"/>
          <w:szCs w:val="24"/>
        </w:rPr>
        <w:t>十．投标保证金：本项目不收取投标保证金。</w:t>
      </w:r>
    </w:p>
    <w:p>
      <w:pPr>
        <w:widowControl w:val="0"/>
        <w:spacing w:line="4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十一．联系方式</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1、采购代理机构名称：金华市政府采购中心永康市分中心</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业务咨询联系人：</w:t>
      </w:r>
      <w:r>
        <w:rPr>
          <w:rFonts w:hint="default" w:ascii="Times New Roman" w:hAnsi="Times New Roman" w:cs="Times New Roman"/>
          <w:sz w:val="24"/>
          <w:szCs w:val="24"/>
          <w:lang w:eastAsia="zh-CN"/>
        </w:rPr>
        <w:t>朱华琳</w:t>
      </w:r>
      <w:r>
        <w:rPr>
          <w:rFonts w:hint="default" w:ascii="Times New Roman" w:hAnsi="Times New Roman" w:cs="Times New Roman"/>
          <w:sz w:val="24"/>
          <w:szCs w:val="24"/>
        </w:rPr>
        <w:t xml:space="preserve">  </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联系电话：0579-89295177</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地址：永康市五湖路1号国际会展中心办公楼六楼6607室</w:t>
      </w:r>
    </w:p>
    <w:p>
      <w:pPr>
        <w:widowControl w:val="0"/>
        <w:spacing w:line="400" w:lineRule="exact"/>
        <w:ind w:firstLine="540" w:firstLineChars="225"/>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2、采购人名称：</w:t>
      </w:r>
      <w:r>
        <w:rPr>
          <w:rFonts w:hint="default" w:ascii="Times New Roman" w:hAnsi="Times New Roman" w:cs="Times New Roman"/>
          <w:sz w:val="24"/>
          <w:szCs w:val="24"/>
          <w:lang w:eastAsia="zh-CN"/>
        </w:rPr>
        <w:t>永康市芝英镇人民政府</w:t>
      </w:r>
    </w:p>
    <w:p>
      <w:pPr>
        <w:widowControl w:val="0"/>
        <w:spacing w:line="400" w:lineRule="exact"/>
        <w:ind w:firstLine="540" w:firstLineChars="225"/>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采购需求咨询联系人：</w:t>
      </w:r>
      <w:r>
        <w:rPr>
          <w:rFonts w:hint="default" w:ascii="Times New Roman" w:hAnsi="Times New Roman" w:cs="Times New Roman"/>
          <w:sz w:val="24"/>
          <w:szCs w:val="24"/>
          <w:lang w:eastAsia="zh-CN"/>
        </w:rPr>
        <w:t>任华一</w:t>
      </w:r>
    </w:p>
    <w:p>
      <w:pPr>
        <w:widowControl w:val="0"/>
        <w:spacing w:line="400" w:lineRule="exact"/>
        <w:ind w:firstLine="540" w:firstLineChars="225"/>
        <w:rPr>
          <w:rFonts w:hint="default" w:ascii="Times New Roman" w:hAnsi="Times New Roman" w:cs="Times New Roman"/>
          <w:sz w:val="24"/>
          <w:szCs w:val="24"/>
          <w:lang w:val="en-US" w:eastAsia="zh-CN"/>
        </w:rPr>
      </w:pPr>
      <w:r>
        <w:rPr>
          <w:rFonts w:hint="default" w:ascii="Times New Roman" w:hAnsi="Times New Roman" w:cs="Times New Roman"/>
          <w:sz w:val="24"/>
          <w:szCs w:val="24"/>
        </w:rPr>
        <w:t>联系电话：</w:t>
      </w:r>
      <w:r>
        <w:rPr>
          <w:rFonts w:hint="default" w:ascii="Times New Roman" w:hAnsi="Times New Roman" w:cs="Times New Roman"/>
          <w:sz w:val="24"/>
          <w:szCs w:val="24"/>
          <w:lang w:val="en-US" w:eastAsia="zh-CN"/>
        </w:rPr>
        <w:t>0579-87446937</w:t>
      </w:r>
    </w:p>
    <w:p>
      <w:pPr>
        <w:widowControl w:val="0"/>
        <w:spacing w:line="400" w:lineRule="exact"/>
        <w:ind w:firstLine="540" w:firstLineChars="225"/>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地址：</w:t>
      </w:r>
      <w:r>
        <w:rPr>
          <w:rFonts w:hint="default" w:ascii="Times New Roman" w:hAnsi="Times New Roman" w:cs="Times New Roman"/>
          <w:sz w:val="24"/>
          <w:szCs w:val="24"/>
          <w:lang w:eastAsia="zh-CN"/>
        </w:rPr>
        <w:t>永康市芝英镇人民政府</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3、同级政府采购监督管理部门名称：永康市财政局政府采购监管科</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联系人：徐亮</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监督投诉电话：0579-87171293</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地址：浙江省永康市总部中心花园大道585号208室</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4、系统技术支持：政采云有限公司</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联系人：客服</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t>联系电话：95763</w:t>
      </w:r>
    </w:p>
    <w:p>
      <w:pPr>
        <w:widowControl w:val="0"/>
        <w:spacing w:line="400" w:lineRule="exact"/>
        <w:ind w:firstLine="540" w:firstLineChars="225"/>
        <w:rPr>
          <w:rFonts w:hint="default" w:ascii="Times New Roman" w:hAnsi="Times New Roman" w:cs="Times New Roman"/>
          <w:sz w:val="24"/>
          <w:szCs w:val="24"/>
        </w:rPr>
      </w:pPr>
      <w:r>
        <w:rPr>
          <w:rFonts w:hint="default" w:ascii="Times New Roman" w:hAnsi="Times New Roman" w:cs="Times New Roman"/>
          <w:sz w:val="24"/>
          <w:szCs w:val="24"/>
        </w:rPr>
        <w:br w:type="page"/>
      </w:r>
    </w:p>
    <w:p>
      <w:pPr>
        <w:widowControl w:val="0"/>
        <w:spacing w:line="360" w:lineRule="auto"/>
        <w:jc w:val="center"/>
        <w:rPr>
          <w:rFonts w:hint="default" w:ascii="Times New Roman" w:hAnsi="Times New Roman" w:cs="Times New Roman"/>
          <w:sz w:val="28"/>
          <w:szCs w:val="28"/>
        </w:rPr>
      </w:pPr>
      <w:r>
        <w:rPr>
          <w:rFonts w:hint="default" w:ascii="Times New Roman" w:hAnsi="Times New Roman" w:cs="Times New Roman"/>
          <w:b/>
          <w:bCs/>
          <w:sz w:val="28"/>
          <w:szCs w:val="28"/>
        </w:rPr>
        <w:t>政府采购金融服务简介</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为优化政府采购营商环境，缓解供应商资金难题，有需要的中标供应商可根据需要申请办理政府采购合同贷款（以下简称“政采贷”）、履约保函、预付款保函等政府采购金融服务。</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1、政采贷</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通过发挥政府采购政策功能，依托政采云在互联网、云计算、大数据等方面的优势，由各银行向平台用户提供中短期贷款（主要包括流水贷和合同贷），以解决中小微企业“融资难”、“担保难”问题的信用融资产品。</w:t>
      </w:r>
    </w:p>
    <w:p>
      <w:pPr>
        <w:widowControl w:val="0"/>
        <w:rPr>
          <w:rFonts w:hint="default" w:ascii="Times New Roman" w:hAnsi="Times New Roman" w:cs="Times New Roman"/>
          <w:sz w:val="24"/>
          <w:szCs w:val="24"/>
        </w:rPr>
      </w:pPr>
      <w:r>
        <w:rPr>
          <w:rFonts w:hint="default" w:ascii="Times New Roman" w:hAnsi="Times New Roman" w:cs="Times New Roman"/>
          <w:sz w:val="24"/>
          <w:szCs w:val="24"/>
        </w:rPr>
        <w:t>具体要求、条件和操作教程可通过政采云首页右上角——网站导航——金融服务查看，也可拨打政采云客服热线95763咨询，也可查看公告附件中的相关宣传资料，或向各地已开通政采贷的银行咨询办理。</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2、履约保函</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中标供应商可通过以保函的形式提交履约保证金，减少对中小微企业的资金占用，降低财务成本。</w:t>
      </w:r>
    </w:p>
    <w:p>
      <w:pPr>
        <w:widowControl w:val="0"/>
        <w:rPr>
          <w:rFonts w:hint="default" w:ascii="Times New Roman" w:hAnsi="Times New Roman" w:cs="Times New Roman"/>
          <w:sz w:val="24"/>
          <w:szCs w:val="24"/>
        </w:rPr>
      </w:pPr>
      <w:r>
        <w:rPr>
          <w:rFonts w:hint="default" w:ascii="Times New Roman" w:hAnsi="Times New Roman" w:cs="Times New Roman"/>
          <w:sz w:val="24"/>
          <w:szCs w:val="24"/>
        </w:rPr>
        <w:t>具体的条件、要求和操作程序由申请贷款的中标供应商向各地保险公司、银行咨询办理。</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3、预付款保函</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采购单位根据项目特点、供应商诚信等因素，可以要求供应商提交银行、保险公司等金融机构出具的预付款保函或其他担保措施</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4.风险提示</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（1）本宣传简介内容仅为提供给各中标供应商对办理政府采购金融服务的宣传和了解之方便，对金融服务的具体内容和操作流程均以各金融机构的要求为准，也不作强制要求。</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（2）政府采购金融服务有风险，请详细了解并综合评估后再决定。</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（3）政府采购金融服务遵循平等自愿、风险自担的原则。采购人、代理机构、财政部门不为任何政府采购金融服务项目承担任何形式的担保、解释或其他连带责任。</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5、政采贷合作单位分为线上线下共四家。 </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永康招商银行： 陈豪 联系电话：13605896913/676913 （线上）</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永康农商银行： 陈中升 联系电话 15158900186/578260 （线上）</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金华银行永康支行:杨望 联系电话：13858931020，0579-87217221（线下） </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浙商银行金华永康支行：胡风华 联系电话：13758976161（676161）， 0579-87576758 （线下）</w:t>
      </w:r>
    </w:p>
    <w:p>
      <w:pPr>
        <w:widowControl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保函合作单位:</w:t>
      </w:r>
    </w:p>
    <w:tbl>
      <w:tblPr>
        <w:tblStyle w:val="37"/>
        <w:tblpPr w:leftFromText="180" w:rightFromText="180" w:vertAnchor="text" w:horzAnchor="page" w:tblpX="1890" w:tblpY="1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4"/>
        <w:gridCol w:w="1350"/>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4" w:type="dxa"/>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单位</w:t>
            </w:r>
          </w:p>
        </w:tc>
        <w:tc>
          <w:tcPr>
            <w:tcW w:w="1350" w:type="dxa"/>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联系人</w:t>
            </w:r>
          </w:p>
        </w:tc>
        <w:tc>
          <w:tcPr>
            <w:tcW w:w="3574" w:type="dxa"/>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4" w:type="dxa"/>
            <w:vAlign w:val="center"/>
          </w:tcPr>
          <w:p>
            <w:pPr>
              <w:widowControl w:val="0"/>
              <w:rPr>
                <w:rFonts w:hint="default" w:ascii="Times New Roman" w:hAnsi="Times New Roman" w:cs="Times New Roman"/>
                <w:sz w:val="24"/>
                <w:szCs w:val="24"/>
              </w:rPr>
            </w:pPr>
            <w:r>
              <w:rPr>
                <w:rFonts w:hint="default" w:ascii="Times New Roman" w:hAnsi="Times New Roman" w:cs="Times New Roman"/>
                <w:sz w:val="24"/>
                <w:szCs w:val="24"/>
              </w:rPr>
              <w:t>中国人民财产保险股份有限公司永康支公司</w:t>
            </w:r>
          </w:p>
        </w:tc>
        <w:tc>
          <w:tcPr>
            <w:tcW w:w="1350"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倪海涛</w:t>
            </w:r>
          </w:p>
        </w:tc>
        <w:tc>
          <w:tcPr>
            <w:tcW w:w="3574"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13758982628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4" w:type="dxa"/>
            <w:vAlign w:val="center"/>
          </w:tcPr>
          <w:p>
            <w:pPr>
              <w:widowControl w:val="0"/>
              <w:rPr>
                <w:rFonts w:hint="default" w:ascii="Times New Roman" w:hAnsi="Times New Roman" w:cs="Times New Roman"/>
                <w:sz w:val="24"/>
                <w:szCs w:val="24"/>
              </w:rPr>
            </w:pPr>
            <w:r>
              <w:rPr>
                <w:rFonts w:hint="default" w:ascii="Times New Roman" w:hAnsi="Times New Roman" w:cs="Times New Roman"/>
                <w:sz w:val="24"/>
                <w:szCs w:val="24"/>
              </w:rPr>
              <w:t>中华联合财产保险股份有限公司永康支公司</w:t>
            </w:r>
          </w:p>
        </w:tc>
        <w:tc>
          <w:tcPr>
            <w:tcW w:w="1350"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章卓航</w:t>
            </w:r>
          </w:p>
        </w:tc>
        <w:tc>
          <w:tcPr>
            <w:tcW w:w="3574"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13819905616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4" w:type="dxa"/>
            <w:vAlign w:val="center"/>
          </w:tcPr>
          <w:p>
            <w:pPr>
              <w:widowControl w:val="0"/>
              <w:rPr>
                <w:rFonts w:hint="default" w:ascii="Times New Roman" w:hAnsi="Times New Roman" w:cs="Times New Roman"/>
                <w:sz w:val="24"/>
                <w:szCs w:val="24"/>
              </w:rPr>
            </w:pPr>
            <w:r>
              <w:rPr>
                <w:rFonts w:hint="default" w:ascii="Times New Roman" w:hAnsi="Times New Roman" w:cs="Times New Roman"/>
                <w:sz w:val="24"/>
                <w:szCs w:val="24"/>
              </w:rPr>
              <w:t>天安财产保险股份有限公司永康支公司</w:t>
            </w:r>
          </w:p>
        </w:tc>
        <w:tc>
          <w:tcPr>
            <w:tcW w:w="1350"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钱磊</w:t>
            </w:r>
          </w:p>
        </w:tc>
        <w:tc>
          <w:tcPr>
            <w:tcW w:w="3574"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13758980258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4" w:type="dxa"/>
            <w:vAlign w:val="center"/>
          </w:tcPr>
          <w:p>
            <w:pPr>
              <w:widowControl w:val="0"/>
              <w:rPr>
                <w:rFonts w:hint="default" w:ascii="Times New Roman" w:hAnsi="Times New Roman" w:cs="Times New Roman"/>
                <w:sz w:val="24"/>
                <w:szCs w:val="24"/>
              </w:rPr>
            </w:pPr>
            <w:r>
              <w:rPr>
                <w:rFonts w:hint="default" w:ascii="Times New Roman" w:hAnsi="Times New Roman" w:cs="Times New Roman"/>
                <w:sz w:val="24"/>
                <w:szCs w:val="24"/>
              </w:rPr>
              <w:t>永安财产保险股份有限公司永康营销服务部</w:t>
            </w:r>
          </w:p>
        </w:tc>
        <w:tc>
          <w:tcPr>
            <w:tcW w:w="1350"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徐绍舜</w:t>
            </w:r>
          </w:p>
        </w:tc>
        <w:tc>
          <w:tcPr>
            <w:tcW w:w="3574" w:type="dxa"/>
            <w:vAlign w:val="center"/>
          </w:tcPr>
          <w:p>
            <w:pPr>
              <w:widowControl w:val="0"/>
              <w:jc w:val="center"/>
              <w:rPr>
                <w:rFonts w:hint="default" w:ascii="Times New Roman" w:hAnsi="Times New Roman" w:cs="Times New Roman"/>
                <w:sz w:val="24"/>
                <w:szCs w:val="24"/>
              </w:rPr>
            </w:pPr>
            <w:r>
              <w:rPr>
                <w:rFonts w:hint="default" w:ascii="Times New Roman" w:hAnsi="Times New Roman" w:cs="Times New Roman"/>
                <w:sz w:val="24"/>
                <w:szCs w:val="24"/>
              </w:rPr>
              <w:t>13858928383</w:t>
            </w:r>
          </w:p>
        </w:tc>
      </w:tr>
    </w:tbl>
    <w:p>
      <w:pPr>
        <w:widowControl w:val="0"/>
        <w:spacing w:line="400" w:lineRule="exact"/>
        <w:ind w:firstLine="601" w:firstLineChars="250"/>
        <w:rPr>
          <w:rFonts w:hint="default" w:ascii="Times New Roman" w:hAnsi="Times New Roman" w:cs="Times New Roman"/>
        </w:rPr>
      </w:pPr>
      <w:r>
        <w:rPr>
          <w:rFonts w:hint="default" w:ascii="Times New Roman" w:hAnsi="Times New Roman" w:cs="Times New Roman"/>
          <w:b/>
          <w:bCs/>
          <w:sz w:val="24"/>
          <w:szCs w:val="24"/>
        </w:rPr>
        <w:br w:type="page"/>
      </w: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eastAsia="黑体" w:cs="Times New Roman"/>
          <w:b/>
          <w:bCs/>
          <w:sz w:val="52"/>
          <w:szCs w:val="52"/>
        </w:rPr>
      </w:pPr>
      <w:r>
        <w:rPr>
          <w:rFonts w:hint="default" w:ascii="Times New Roman" w:hAnsi="Times New Roman" w:eastAsia="黑体" w:cs="Times New Roman"/>
          <w:b/>
          <w:bCs/>
          <w:sz w:val="52"/>
          <w:szCs w:val="52"/>
        </w:rPr>
        <w:t>第二章</w:t>
      </w:r>
    </w:p>
    <w:p>
      <w:pPr>
        <w:widowControl w:val="0"/>
        <w:spacing w:line="780" w:lineRule="exact"/>
        <w:jc w:val="center"/>
        <w:rPr>
          <w:rFonts w:hint="default" w:ascii="Times New Roman" w:hAnsi="Times New Roman" w:eastAsia="黑体" w:cs="Times New Roman"/>
          <w:b/>
          <w:bCs/>
          <w:sz w:val="52"/>
          <w:szCs w:val="52"/>
        </w:rPr>
      </w:pPr>
      <w:r>
        <w:rPr>
          <w:rFonts w:hint="default" w:ascii="Times New Roman" w:hAnsi="Times New Roman" w:eastAsia="黑体" w:cs="Times New Roman"/>
          <w:b/>
          <w:bCs/>
          <w:sz w:val="52"/>
          <w:szCs w:val="52"/>
        </w:rPr>
        <w:t>前附表、投标人须知</w:t>
      </w:r>
    </w:p>
    <w:p>
      <w:pPr>
        <w:widowControl w:val="0"/>
        <w:jc w:val="center"/>
        <w:rPr>
          <w:rFonts w:hint="default" w:ascii="Times New Roman" w:hAnsi="Times New Roman" w:cs="Times New Roman"/>
        </w:rPr>
      </w:pPr>
    </w:p>
    <w:p>
      <w:pPr>
        <w:keepNext/>
        <w:keepLines/>
        <w:widowControl w:val="0"/>
        <w:spacing w:before="120" w:after="120"/>
        <w:jc w:val="center"/>
        <w:outlineLvl w:val="0"/>
        <w:rPr>
          <w:rFonts w:hint="default" w:ascii="Times New Roman" w:hAnsi="Times New Roman" w:cs="Times New Roman"/>
          <w:b/>
          <w:bCs/>
          <w:kern w:val="44"/>
          <w:sz w:val="44"/>
          <w:szCs w:val="44"/>
        </w:rPr>
      </w:pPr>
      <w:r>
        <w:rPr>
          <w:rFonts w:hint="default" w:ascii="Times New Roman" w:hAnsi="Times New Roman" w:cs="Times New Roman"/>
          <w:b/>
          <w:bCs/>
          <w:kern w:val="44"/>
          <w:sz w:val="44"/>
          <w:szCs w:val="44"/>
        </w:rPr>
        <w:br w:type="page"/>
      </w:r>
      <w:r>
        <w:rPr>
          <w:rFonts w:hint="default" w:ascii="Times New Roman" w:hAnsi="Times New Roman" w:cs="Times New Roman"/>
          <w:b/>
          <w:bCs/>
          <w:kern w:val="44"/>
          <w:sz w:val="44"/>
          <w:szCs w:val="44"/>
          <w:lang w:val="en-US" w:eastAsia="zh-CN"/>
        </w:rPr>
        <w:t xml:space="preserve">    </w:t>
      </w:r>
      <w:r>
        <w:rPr>
          <w:rFonts w:hint="default" w:ascii="Times New Roman" w:hAnsi="Times New Roman" w:cs="Times New Roman"/>
          <w:b/>
          <w:bCs/>
          <w:kern w:val="44"/>
          <w:sz w:val="48"/>
          <w:szCs w:val="48"/>
        </w:rPr>
        <w:t>前</w:t>
      </w:r>
      <w:r>
        <w:rPr>
          <w:rFonts w:hint="default" w:ascii="Times New Roman" w:hAnsi="Times New Roman" w:cs="Times New Roman"/>
          <w:b/>
          <w:bCs/>
          <w:kern w:val="44"/>
          <w:sz w:val="48"/>
          <w:szCs w:val="48"/>
          <w:lang w:val="en-US" w:eastAsia="zh-CN"/>
        </w:rPr>
        <w:t xml:space="preserve"> </w:t>
      </w:r>
      <w:r>
        <w:rPr>
          <w:rFonts w:hint="default" w:ascii="Times New Roman" w:hAnsi="Times New Roman" w:cs="Times New Roman"/>
          <w:b/>
          <w:bCs/>
          <w:kern w:val="44"/>
          <w:sz w:val="48"/>
          <w:szCs w:val="48"/>
        </w:rPr>
        <w:t>附</w:t>
      </w:r>
      <w:r>
        <w:rPr>
          <w:rFonts w:hint="default" w:ascii="Times New Roman" w:hAnsi="Times New Roman" w:cs="Times New Roman"/>
          <w:b/>
          <w:bCs/>
          <w:kern w:val="44"/>
          <w:sz w:val="48"/>
          <w:szCs w:val="48"/>
          <w:lang w:val="en-US" w:eastAsia="zh-CN"/>
        </w:rPr>
        <w:t xml:space="preserve"> </w:t>
      </w:r>
      <w:r>
        <w:rPr>
          <w:rFonts w:hint="default" w:ascii="Times New Roman" w:hAnsi="Times New Roman" w:cs="Times New Roman"/>
          <w:b/>
          <w:bCs/>
          <w:kern w:val="44"/>
          <w:sz w:val="48"/>
          <w:szCs w:val="48"/>
        </w:rPr>
        <w:t>表</w:t>
      </w:r>
    </w:p>
    <w:tbl>
      <w:tblPr>
        <w:tblStyle w:val="36"/>
        <w:tblW w:w="94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0"/>
        <w:gridCol w:w="1292"/>
        <w:gridCol w:w="73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8"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序号</w:t>
            </w:r>
          </w:p>
        </w:tc>
        <w:tc>
          <w:tcPr>
            <w:tcW w:w="129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内容</w:t>
            </w:r>
          </w:p>
        </w:tc>
        <w:tc>
          <w:tcPr>
            <w:tcW w:w="736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1</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lang w:val="en-US" w:eastAsia="zh-CN"/>
              </w:rPr>
            </w:pPr>
            <w:r>
              <w:rPr>
                <w:rFonts w:hint="default" w:ascii="Times New Roman" w:hAnsi="Times New Roman" w:cs="Times New Roman" w:eastAsiaTheme="minorEastAsia"/>
                <w:bCs/>
                <w:color w:val="000000"/>
                <w:sz w:val="24"/>
                <w:lang w:val="en-US" w:eastAsia="zh-CN"/>
              </w:rPr>
              <w:t>项目属性与核心产品</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b/>
                <w:color w:val="auto"/>
                <w:sz w:val="24"/>
                <w:highlight w:val="none"/>
              </w:rPr>
              <w:t>项目属性</w:t>
            </w: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lang w:val="en-US" w:eastAsia="zh-CN"/>
              </w:rPr>
              <w:t>货物类</w:t>
            </w:r>
            <w:r>
              <w:rPr>
                <w:rFonts w:hint="default" w:ascii="Times New Roman" w:hAnsi="Times New Roman" w:cs="Times New Roman"/>
                <w:b/>
                <w:color w:val="auto"/>
                <w:sz w:val="24"/>
                <w:highlight w:val="none"/>
                <w:lang w:val="en-US" w:eastAsia="zh-CN"/>
              </w:rPr>
              <w:br w:type="textWrapping"/>
            </w:r>
            <w:r>
              <w:rPr>
                <w:rFonts w:hint="default" w:ascii="Times New Roman" w:hAnsi="Times New Roman" w:cs="Times New Roman"/>
                <w:b/>
                <w:color w:val="auto"/>
                <w:sz w:val="24"/>
                <w:highlight w:val="none"/>
              </w:rPr>
              <w:t>核心产品</w:t>
            </w:r>
            <w:r>
              <w:rPr>
                <w:rFonts w:hint="default"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u w:val="single"/>
                <w:lang w:val="en-US" w:eastAsia="zh-CN"/>
              </w:rPr>
              <w:t>办公桌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2</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信用记录</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根据财库[2016]125号文件，通过“信用中国”网站（www.creditchina.gov.cn）、中国政府采购网（www.ccgp.gov.cn），以开标当日网页查询记录为准。对列入失信被执行人、重大税收违法案件当事人名单（重大税收违法失信主体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3</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中小企业预留份额情况</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根据《政府采购促进中小企业发展管理办法》财库〔2020〕46号，《关于进一步加大政府采购支持中小企业力度的通知》财库〔2022〕19号文件的规定，</w:t>
            </w:r>
            <w:r>
              <w:rPr>
                <w:rFonts w:hint="default" w:ascii="Times New Roman" w:hAnsi="Times New Roman" w:cs="Times New Roman" w:eastAsiaTheme="minorEastAsia"/>
                <w:b/>
                <w:bCs/>
                <w:color w:val="000000"/>
                <w:sz w:val="24"/>
                <w:szCs w:val="24"/>
              </w:rPr>
              <w:t>本项目属于预留份额专门面向中小企业采购的项目。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4</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bCs/>
                <w:color w:val="000000"/>
                <w:sz w:val="24"/>
              </w:rPr>
              <w:t>中小企业优惠措施</w:t>
            </w:r>
          </w:p>
        </w:tc>
        <w:tc>
          <w:tcPr>
            <w:tcW w:w="7368" w:type="dxa"/>
            <w:tcBorders>
              <w:top w:val="single" w:color="auto" w:sz="4" w:space="0"/>
              <w:left w:val="single" w:color="auto" w:sz="4" w:space="0"/>
              <w:bottom w:val="single" w:color="auto" w:sz="4" w:space="0"/>
              <w:right w:val="single" w:color="auto" w:sz="4" w:space="0"/>
            </w:tcBorders>
            <w:vAlign w:val="center"/>
          </w:tcPr>
          <w:p>
            <w:pPr>
              <w:numPr>
                <w:ilvl w:val="0"/>
                <w:numId w:val="5"/>
              </w:numPr>
              <w:snapToGrid w:val="0"/>
              <w:spacing w:line="460" w:lineRule="exact"/>
              <w:rPr>
                <w:rFonts w:hint="default" w:ascii="Times New Roman" w:hAnsi="Times New Roman" w:cs="Times New Roman" w:eastAsiaTheme="minorEastAsia"/>
                <w:b w:val="0"/>
                <w:bCs/>
                <w:color w:val="000000"/>
                <w:sz w:val="24"/>
                <w:szCs w:val="24"/>
                <w:u w:val="single"/>
              </w:rPr>
            </w:pPr>
            <w:r>
              <w:rPr>
                <w:rFonts w:hint="default" w:ascii="Times New Roman" w:hAnsi="Times New Roman" w:cs="Times New Roman" w:eastAsiaTheme="minorEastAsia"/>
                <w:b w:val="0"/>
                <w:bCs/>
                <w:color w:val="000000"/>
                <w:sz w:val="24"/>
                <w:szCs w:val="24"/>
              </w:rPr>
              <w:t>项目属性（货物类）</w:t>
            </w:r>
          </w:p>
          <w:p>
            <w:pPr>
              <w:numPr>
                <w:ilvl w:val="0"/>
                <w:numId w:val="5"/>
              </w:numPr>
              <w:snapToGrid w:val="0"/>
              <w:spacing w:line="460" w:lineRule="exact"/>
              <w:rPr>
                <w:rFonts w:hint="default" w:ascii="Times New Roman" w:hAnsi="Times New Roman" w:cs="Times New Roman" w:eastAsiaTheme="minorEastAsia"/>
                <w:b w:val="0"/>
                <w:bCs/>
                <w:color w:val="000000"/>
                <w:sz w:val="24"/>
                <w:szCs w:val="24"/>
              </w:rPr>
            </w:pPr>
            <w:r>
              <w:rPr>
                <w:rFonts w:hint="default" w:ascii="Times New Roman" w:hAnsi="Times New Roman" w:cs="Times New Roman" w:eastAsiaTheme="minorEastAsia"/>
                <w:b w:val="0"/>
                <w:bCs/>
                <w:color w:val="000000"/>
                <w:sz w:val="24"/>
                <w:szCs w:val="24"/>
              </w:rPr>
              <w:t>中小企业划分标准所属行业（具体根据《中小企业划型标准规定》执行）</w:t>
            </w:r>
          </w:p>
          <w:p>
            <w:pPr>
              <w:snapToGrid w:val="0"/>
              <w:spacing w:line="460" w:lineRule="exact"/>
              <w:ind w:left="600"/>
              <w:rPr>
                <w:rFonts w:hint="default" w:ascii="Times New Roman" w:hAnsi="Times New Roman" w:cs="Times New Roman" w:eastAsiaTheme="minorEastAsia"/>
                <w:b w:val="0"/>
                <w:bCs/>
                <w:color w:val="000000"/>
                <w:sz w:val="24"/>
                <w:szCs w:val="24"/>
                <w:u w:val="single"/>
                <w:lang w:val="en-US" w:eastAsia="zh-CN"/>
              </w:rPr>
            </w:pPr>
            <w:r>
              <w:rPr>
                <w:rFonts w:hint="default" w:ascii="Times New Roman" w:hAnsi="Times New Roman" w:cs="Times New Roman" w:eastAsiaTheme="minorEastAsia"/>
                <w:b w:val="0"/>
                <w:bCs/>
                <w:color w:val="000000"/>
                <w:sz w:val="24"/>
                <w:szCs w:val="24"/>
              </w:rPr>
              <w:t>采购标的：</w:t>
            </w:r>
            <w:r>
              <w:rPr>
                <w:rFonts w:hint="default" w:ascii="Times New Roman" w:hAnsi="Times New Roman" w:cs="Times New Roman" w:eastAsiaTheme="minorEastAsia"/>
                <w:b/>
                <w:bCs w:val="0"/>
                <w:color w:val="000000" w:themeColor="text1"/>
                <w:sz w:val="24"/>
                <w:szCs w:val="24"/>
                <w:lang w:val="en-US" w:eastAsia="zh-CN"/>
                <w14:textFill>
                  <w14:solidFill>
                    <w14:schemeClr w14:val="tx1"/>
                  </w14:solidFill>
                </w14:textFill>
              </w:rPr>
              <w:t>详见采购需求清单</w:t>
            </w:r>
            <w:r>
              <w:rPr>
                <w:rFonts w:hint="default" w:ascii="Times New Roman" w:hAnsi="Times New Roman" w:cs="Times New Roman" w:eastAsiaTheme="minorEastAsia"/>
                <w:b w:val="0"/>
                <w:bCs/>
                <w:color w:val="000000"/>
                <w:sz w:val="24"/>
                <w:szCs w:val="24"/>
              </w:rPr>
              <w:t>，所属行业：</w:t>
            </w:r>
            <w:r>
              <w:rPr>
                <w:rFonts w:hint="default" w:ascii="Times New Roman" w:hAnsi="Times New Roman" w:cs="Times New Roman" w:eastAsiaTheme="minorEastAsia"/>
                <w:b w:val="0"/>
                <w:bCs/>
                <w:color w:val="000000"/>
                <w:sz w:val="24"/>
                <w:szCs w:val="24"/>
                <w:u w:val="single"/>
                <w:lang w:val="en-US" w:eastAsia="zh-CN"/>
              </w:rPr>
              <w:t xml:space="preserve"> </w:t>
            </w:r>
            <w:r>
              <w:rPr>
                <w:rFonts w:hint="default" w:ascii="Times New Roman" w:hAnsi="Times New Roman" w:cs="Times New Roman" w:eastAsiaTheme="minorEastAsia"/>
                <w:b/>
                <w:bCs w:val="0"/>
                <w:color w:val="000000"/>
                <w:sz w:val="24"/>
                <w:szCs w:val="24"/>
                <w:u w:val="single"/>
              </w:rPr>
              <w:t>工业</w:t>
            </w:r>
            <w:r>
              <w:rPr>
                <w:rFonts w:hint="default" w:ascii="Times New Roman" w:hAnsi="Times New Roman" w:cs="Times New Roman" w:eastAsiaTheme="minorEastAsia"/>
                <w:b w:val="0"/>
                <w:bCs/>
                <w:color w:val="000000"/>
                <w:sz w:val="24"/>
                <w:szCs w:val="24"/>
                <w:u w:val="single"/>
                <w:lang w:val="en-US" w:eastAsia="zh-CN"/>
              </w:rPr>
              <w:t xml:space="preserve"> </w:t>
            </w:r>
          </w:p>
          <w:p>
            <w:pPr>
              <w:snapToGrid w:val="0"/>
              <w:spacing w:line="460" w:lineRule="exact"/>
              <w:ind w:left="600"/>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val="0"/>
                <w:bCs/>
                <w:color w:val="000000"/>
                <w:sz w:val="24"/>
                <w:szCs w:val="24"/>
                <w:u w:val="single"/>
                <w:lang w:val="en-US" w:eastAsia="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24"/>
              </w:rPr>
            </w:pPr>
            <w:r>
              <w:rPr>
                <w:rFonts w:hint="default" w:ascii="Times New Roman" w:hAnsi="Times New Roman" w:cs="Times New Roman"/>
                <w:sz w:val="24"/>
              </w:rPr>
              <w:t>支持本</w:t>
            </w:r>
          </w:p>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sz w:val="24"/>
              </w:rPr>
              <w:t>国产品</w:t>
            </w:r>
          </w:p>
        </w:tc>
        <w:tc>
          <w:tcPr>
            <w:tcW w:w="736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1、本国产品标准的适用范围：</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本国产品标准适用于货物，包括政府采购货物项目和服务项目中涉及的货物。</w:t>
            </w:r>
            <w:r>
              <w:rPr>
                <w:rFonts w:hint="default" w:ascii="Times New Roman" w:hAnsi="Times New Roman" w:cs="Times New Roman"/>
                <w:sz w:val="24"/>
              </w:rPr>
              <w:t>但不包括其中的房屋和构筑物，文物和陈列品，图书和档案，特种动植物，农林牧渔业产品，矿与矿物，电力、城市燃气、蒸汽和热水、水，食品、饮料和烟草原料，无形资产。</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2、本采购项目：</w:t>
            </w:r>
          </w:p>
          <w:p>
            <w:pPr>
              <w:spacing w:line="360" w:lineRule="auto"/>
              <w:rPr>
                <w:rFonts w:hint="default" w:ascii="Times New Roman" w:hAnsi="Times New Roman" w:cs="Times New Roman"/>
                <w:kern w:val="0"/>
                <w:sz w:val="24"/>
              </w:rPr>
            </w:pPr>
            <w:r>
              <w:rPr>
                <w:rFonts w:hint="default" w:ascii="Times New Roman" w:hAnsi="Times New Roman" w:eastAsia="MS Mincho" w:cs="Times New Roman"/>
                <w:kern w:val="0"/>
                <w:sz w:val="24"/>
              </w:rPr>
              <w:t>☐</w:t>
            </w:r>
            <w:r>
              <w:rPr>
                <w:rFonts w:hint="default" w:ascii="Times New Roman" w:hAnsi="Times New Roman" w:cs="Times New Roman"/>
                <w:kern w:val="0"/>
                <w:sz w:val="24"/>
              </w:rPr>
              <w:t xml:space="preserve"> 不适用本国产品标准及相关政策。</w:t>
            </w:r>
          </w:p>
          <w:p>
            <w:pPr>
              <w:spacing w:line="360" w:lineRule="auto"/>
              <w:rPr>
                <w:rFonts w:hint="default" w:ascii="Times New Roman" w:hAnsi="Times New Roman" w:cs="Times New Roman"/>
                <w:kern w:val="0"/>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eq \o\ac(□,√)</w:instrText>
            </w:r>
            <w:r>
              <w:rPr>
                <w:rFonts w:hint="default" w:ascii="Times New Roman" w:hAnsi="Times New Roman" w:cs="Times New Roman"/>
                <w:sz w:val="24"/>
              </w:rPr>
              <w:fldChar w:fldCharType="end"/>
            </w:r>
            <w:r>
              <w:rPr>
                <w:rFonts w:hint="default" w:ascii="Times New Roman" w:hAnsi="Times New Roman" w:cs="Times New Roman"/>
                <w:kern w:val="0"/>
                <w:sz w:val="24"/>
              </w:rPr>
              <w:t xml:space="preserve"> 适用本国产品标准及相关政策。</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3、本国产品标准：</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（1）产品在中国境内生产；</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（2）产品在中国境内生产的组件成本占比达到规定比例：</w:t>
            </w:r>
          </w:p>
          <w:p>
            <w:pPr>
              <w:spacing w:line="360" w:lineRule="auto"/>
              <w:ind w:firstLine="240" w:firstLineChars="100"/>
              <w:rPr>
                <w:rFonts w:hint="default" w:ascii="Times New Roman" w:hAnsi="Times New Roman" w:cs="Times New Roman"/>
                <w:kern w:val="0"/>
                <w:sz w:val="24"/>
              </w:rPr>
            </w:pPr>
            <w:r>
              <w:rPr>
                <w:rFonts w:hint="default" w:ascii="Times New Roman" w:hAnsi="Times New Roman" w:cs="Times New Roman"/>
                <w:kern w:val="0"/>
                <w:sz w:val="24"/>
              </w:rPr>
              <w:t>尚未实施</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（3）产品关键组件符合相关要求：</w:t>
            </w:r>
          </w:p>
          <w:p>
            <w:pPr>
              <w:spacing w:line="360" w:lineRule="auto"/>
              <w:ind w:firstLine="240" w:firstLineChars="100"/>
              <w:rPr>
                <w:rFonts w:hint="default" w:ascii="Times New Roman" w:hAnsi="Times New Roman" w:cs="Times New Roman"/>
                <w:kern w:val="0"/>
                <w:sz w:val="24"/>
              </w:rPr>
            </w:pPr>
            <w:r>
              <w:rPr>
                <w:rFonts w:hint="default" w:ascii="Times New Roman" w:hAnsi="Times New Roman" w:cs="Times New Roman"/>
                <w:kern w:val="0"/>
                <w:sz w:val="24"/>
              </w:rPr>
              <w:t>尚未实施</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（4）产品关键工序符合相关要求：</w:t>
            </w:r>
          </w:p>
          <w:p>
            <w:pPr>
              <w:spacing w:line="360" w:lineRule="auto"/>
              <w:ind w:firstLine="240" w:firstLineChars="100"/>
              <w:rPr>
                <w:rFonts w:hint="default" w:ascii="Times New Roman" w:hAnsi="Times New Roman" w:cs="Times New Roman"/>
                <w:kern w:val="0"/>
                <w:sz w:val="24"/>
              </w:rPr>
            </w:pPr>
            <w:r>
              <w:rPr>
                <w:rFonts w:hint="default" w:ascii="Times New Roman" w:hAnsi="Times New Roman" w:cs="Times New Roman"/>
                <w:kern w:val="0"/>
                <w:sz w:val="24"/>
              </w:rPr>
              <w:t>尚未实施</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4、</w:t>
            </w:r>
            <w:r>
              <w:rPr>
                <w:rFonts w:hint="default" w:ascii="Times New Roman" w:hAnsi="Times New Roman" w:cs="Times New Roman"/>
                <w:b/>
                <w:bCs/>
                <w:kern w:val="0"/>
                <w:sz w:val="24"/>
              </w:rPr>
              <w:t>出具符合要求的《关于符合本国产品标准的声明函》（格式见</w:t>
            </w:r>
            <w:r>
              <w:rPr>
                <w:rFonts w:hint="default" w:ascii="Times New Roman" w:hAnsi="Times New Roman" w:cs="Times New Roman"/>
                <w:b/>
                <w:bCs/>
                <w:kern w:val="0"/>
                <w:sz w:val="24"/>
                <w:lang w:val="en-US" w:eastAsia="zh-CN"/>
              </w:rPr>
              <w:t>附件</w:t>
            </w:r>
            <w:r>
              <w:rPr>
                <w:rFonts w:hint="default" w:ascii="Times New Roman" w:hAnsi="Times New Roman" w:cs="Times New Roman"/>
                <w:b/>
                <w:bCs/>
                <w:kern w:val="0"/>
                <w:sz w:val="24"/>
              </w:rPr>
              <w:t>）</w:t>
            </w:r>
            <w:r>
              <w:rPr>
                <w:rFonts w:hint="default" w:ascii="Times New Roman" w:hAnsi="Times New Roman" w:cs="Times New Roman"/>
                <w:b/>
                <w:bCs/>
                <w:sz w:val="24"/>
              </w:rPr>
              <w:t>或财政部会同有关部门规定的有关证明文件</w:t>
            </w:r>
            <w:r>
              <w:rPr>
                <w:rFonts w:hint="default" w:ascii="Times New Roman" w:hAnsi="Times New Roman" w:cs="Times New Roman"/>
                <w:b/>
                <w:bCs/>
                <w:kern w:val="0"/>
                <w:sz w:val="24"/>
              </w:rPr>
              <w:t>的，该产品视为本国产品。</w:t>
            </w:r>
          </w:p>
          <w:p>
            <w:pPr>
              <w:spacing w:line="360" w:lineRule="auto"/>
              <w:rPr>
                <w:rFonts w:hint="default" w:ascii="Times New Roman" w:hAnsi="Times New Roman" w:cs="Times New Roman"/>
                <w:kern w:val="0"/>
                <w:sz w:val="24"/>
              </w:rPr>
            </w:pPr>
            <w:r>
              <w:rPr>
                <w:rFonts w:hint="default" w:ascii="Times New Roman" w:hAnsi="Times New Roman" w:cs="Times New Roman"/>
                <w:kern w:val="0"/>
                <w:sz w:val="24"/>
              </w:rPr>
              <w:t>5、对本国产品的支持政策：</w:t>
            </w:r>
          </w:p>
          <w:p>
            <w:pPr>
              <w:spacing w:line="360" w:lineRule="auto"/>
              <w:rPr>
                <w:rFonts w:hint="default" w:ascii="Times New Roman" w:hAnsi="Times New Roman" w:eastAsia="宋体" w:cs="Times New Roman"/>
                <w:kern w:val="0"/>
                <w:sz w:val="24"/>
              </w:rPr>
            </w:pPr>
            <w:r>
              <w:rPr>
                <w:rFonts w:hint="default" w:ascii="Times New Roman" w:hAnsi="Times New Roman" w:cs="Times New Roman"/>
                <w:kern w:val="0"/>
                <w:sz w:val="24"/>
              </w:rPr>
              <w:t>政府采购活动中既有本国产品又有非本国产品参与竞争的，依法对本国产品给予价格评审优惠，对本</w:t>
            </w:r>
            <w:r>
              <w:rPr>
                <w:rFonts w:hint="default" w:ascii="Times New Roman" w:hAnsi="Times New Roman" w:eastAsia="宋体" w:cs="Times New Roman"/>
                <w:kern w:val="0"/>
                <w:sz w:val="24"/>
              </w:rPr>
              <w:t>国产品的报价给予</w:t>
            </w:r>
            <w:r>
              <w:rPr>
                <w:rFonts w:hint="default" w:ascii="Times New Roman" w:hAnsi="Times New Roman" w:eastAsia="宋体" w:cs="Times New Roman"/>
                <w:b/>
                <w:bCs/>
                <w:kern w:val="0"/>
                <w:sz w:val="24"/>
              </w:rPr>
              <w:t>20%</w:t>
            </w:r>
            <w:r>
              <w:rPr>
                <w:rFonts w:hint="default" w:ascii="Times New Roman" w:hAnsi="Times New Roman" w:eastAsia="宋体" w:cs="Times New Roman"/>
                <w:kern w:val="0"/>
                <w:sz w:val="24"/>
              </w:rPr>
              <w:t>的价格扣除，用扣除后的价格参与评审。</w:t>
            </w:r>
          </w:p>
          <w:p>
            <w:pPr>
              <w:spacing w:line="360" w:lineRule="auto"/>
              <w:rPr>
                <w:rFonts w:hint="default" w:ascii="Times New Roman" w:hAnsi="Times New Roman" w:cs="Times New Roman" w:eastAsiaTheme="minorEastAsia"/>
                <w:b/>
                <w:color w:val="000000"/>
                <w:sz w:val="24"/>
                <w:szCs w:val="24"/>
              </w:rPr>
            </w:pPr>
            <w:r>
              <w:rPr>
                <w:rFonts w:hint="default" w:ascii="Times New Roman" w:hAnsi="Times New Roman" w:eastAsia="宋体" w:cs="Times New Roman"/>
                <w:kern w:val="0"/>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w:t>
            </w:r>
            <w:r>
              <w:rPr>
                <w:rFonts w:hint="default" w:ascii="Times New Roman" w:hAnsi="Times New Roman" w:eastAsia="宋体" w:cs="Times New Roman"/>
                <w:b/>
                <w:bCs/>
                <w:kern w:val="0"/>
                <w:sz w:val="24"/>
              </w:rPr>
              <w:t>20%</w:t>
            </w:r>
            <w:r>
              <w:rPr>
                <w:rFonts w:hint="default" w:ascii="Times New Roman" w:hAnsi="Times New Roman" w:eastAsia="宋体" w:cs="Times New Roman"/>
                <w:kern w:val="0"/>
                <w:sz w:val="24"/>
              </w:rPr>
              <w:t>的价格扣除，用扣除后的价格参与评审。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节能产品</w:t>
            </w:r>
          </w:p>
        </w:tc>
        <w:tc>
          <w:tcPr>
            <w:tcW w:w="736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hint="default" w:ascii="Times New Roman" w:hAnsi="Times New Roman" w:cs="Times New Roman"/>
                <w:sz w:val="24"/>
              </w:rPr>
            </w:pPr>
            <w:r>
              <w:rPr>
                <w:rFonts w:hint="default" w:ascii="Times New Roman" w:hAnsi="Times New Roman" w:cs="Times New Roman"/>
                <w:sz w:val="24"/>
              </w:rPr>
              <w:t>□ 强制采购节能产品</w:t>
            </w:r>
          </w:p>
          <w:p>
            <w:pPr>
              <w:autoSpaceDE w:val="0"/>
              <w:autoSpaceDN w:val="0"/>
              <w:snapToGrid w:val="0"/>
              <w:spacing w:line="360" w:lineRule="auto"/>
              <w:textAlignment w:val="bottom"/>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eq \o\ac(□,√)</w:instrText>
            </w:r>
            <w:r>
              <w:rPr>
                <w:rFonts w:hint="default" w:ascii="Times New Roman" w:hAnsi="Times New Roman" w:cs="Times New Roman"/>
                <w:sz w:val="24"/>
              </w:rPr>
              <w:fldChar w:fldCharType="end"/>
            </w:r>
            <w:r>
              <w:rPr>
                <w:rFonts w:hint="default" w:ascii="Times New Roman" w:hAnsi="Times New Roman" w:cs="Times New Roman"/>
                <w:sz w:val="24"/>
              </w:rPr>
              <w:t xml:space="preserve"> 优先采购节能产品</w:t>
            </w:r>
          </w:p>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sz w:val="24"/>
              </w:rPr>
              <w:t>□ 不适用</w:t>
            </w:r>
          </w:p>
          <w:p>
            <w:pPr>
              <w:snapToGrid w:val="0"/>
              <w:spacing w:line="460" w:lineRule="exact"/>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spacing w:line="460" w:lineRule="exact"/>
              <w:ind w:firstLine="480" w:firstLineChars="200"/>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产品属于政府强制采购节能品目的（详见《关于印发节能产品政府采购品目清单的通知》财库〔2019〕19号），投标人须按上款要求提供节能产品认证证书或规定网站证书查询截图。</w:t>
            </w:r>
            <w:r>
              <w:rPr>
                <w:rFonts w:hint="default" w:ascii="Times New Roman" w:hAnsi="Times New Roman" w:cs="Times New Roman" w:eastAsiaTheme="minorEastAsia"/>
                <w:b/>
                <w:color w:val="000000"/>
                <w:sz w:val="24"/>
                <w:szCs w:val="24"/>
              </w:rPr>
              <w:t>产品属于政府强制采购节能产品品目的，投标人未提供节能产品的，其投标将作无效标处理；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环境标志产品</w:t>
            </w:r>
          </w:p>
        </w:tc>
        <w:tc>
          <w:tcPr>
            <w:tcW w:w="7368" w:type="dxa"/>
            <w:tcBorders>
              <w:top w:val="single" w:color="auto" w:sz="4" w:space="0"/>
              <w:left w:val="single" w:color="auto" w:sz="4" w:space="0"/>
              <w:bottom w:val="single" w:color="auto" w:sz="4" w:space="0"/>
              <w:right w:val="single" w:color="auto" w:sz="4" w:space="0"/>
            </w:tcBorders>
            <w:vAlign w:val="center"/>
          </w:tcPr>
          <w:p>
            <w:pPr>
              <w:pStyle w:val="151"/>
              <w:ind w:firstLine="0" w:firstLineChars="0"/>
              <w:rPr>
                <w:rFonts w:hint="default" w:ascii="Times New Roman" w:hAnsi="Times New Roman" w:cs="Times New Roman" w:eastAsiaTheme="minorEastAsia"/>
                <w:color w:val="000000"/>
                <w:kern w:val="2"/>
                <w:sz w:val="24"/>
                <w:szCs w:val="24"/>
                <w:lang w:val="en-US" w:eastAsia="zh-CN" w:bidi="ar-SA"/>
              </w:rPr>
            </w:pPr>
            <w:r>
              <w:rPr>
                <w:rFonts w:hint="default" w:ascii="Times New Roman" w:hAnsi="Times New Roman" w:cs="Times New Roman" w:eastAsiaTheme="minorEastAsia"/>
                <w:color w:val="000000"/>
                <w:kern w:val="2"/>
                <w:sz w:val="24"/>
                <w:szCs w:val="24"/>
                <w:lang w:val="en-US" w:eastAsia="zh-CN" w:bidi="ar-SA"/>
              </w:rPr>
              <w:sym w:font="Wingdings 2" w:char="0052"/>
            </w:r>
            <w:r>
              <w:rPr>
                <w:rFonts w:hint="default" w:ascii="Times New Roman" w:hAnsi="Times New Roman" w:cs="Times New Roman" w:eastAsiaTheme="minorEastAsia"/>
                <w:color w:val="000000"/>
                <w:kern w:val="2"/>
                <w:sz w:val="24"/>
                <w:szCs w:val="24"/>
                <w:lang w:val="en-US" w:eastAsia="zh-CN" w:bidi="ar-SA"/>
              </w:rPr>
              <w:t xml:space="preserve"> 优先采购环境标志产品</w:t>
            </w:r>
          </w:p>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kern w:val="2"/>
                <w:sz w:val="24"/>
                <w:szCs w:val="24"/>
                <w:lang w:val="en-US" w:eastAsia="zh-CN" w:bidi="ar-SA"/>
              </w:rPr>
              <w:sym w:font="Wingdings" w:char="00A8"/>
            </w:r>
            <w:r>
              <w:rPr>
                <w:rFonts w:hint="default" w:ascii="Times New Roman" w:hAnsi="Times New Roman" w:cs="Times New Roman" w:eastAsiaTheme="minorEastAsia"/>
                <w:color w:val="000000"/>
                <w:kern w:val="2"/>
                <w:sz w:val="24"/>
                <w:szCs w:val="24"/>
                <w:lang w:val="en-US" w:eastAsia="zh-CN" w:bidi="ar-SA"/>
              </w:rPr>
              <w:t xml:space="preserve">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val="en-US" w:eastAsia="zh-CN"/>
              </w:rPr>
              <w:t>8</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促进绿色发展有关政策</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投标人参与政府采购活动中，涉及商品包装和快递包装的，其包装要参考财政部办公厅、生态环境部办公厅、国家邮政局办公室印发的《商品包装政府采购需求标准（试行）》、《快递包装政府采购需求标准（试行）》（财办库〔2020〕123号文件）。提倡供应商优先采购绿色包装产品、绿色物流配送服务以及循环利用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val="en-US" w:eastAsia="zh-CN"/>
              </w:rPr>
              <w:t>9</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首台套政策</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首台套产品被纳入《首台套产品推广应用指导目录》之日起3年内，视同已具备相应销售业绩，参加政府采购活动时业绩分值为满分。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10</w:t>
            </w:r>
          </w:p>
        </w:tc>
        <w:tc>
          <w:tcPr>
            <w:tcW w:w="129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询问和质疑</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鼓励供应商在线提起询问，路径为：政采云-项目采购-询问质疑投诉-询问列表:鼓励供应商在线提起质疑，路径为：政采云-项目采购-询问质疑投诉-质疑列表。质疑供应商对在线质疑答复不满意的，可在线提起投诉，路径为：政采云平台-项目采购-询问质疑投诉-投诉列表。同时接受以书面形式（现场或邮寄）递交到金华市政府采购中心永康市分中心的质疑函。地址：永康市五湖路1号国际会展中心办公楼六楼。联系人：</w:t>
            </w:r>
            <w:r>
              <w:rPr>
                <w:rFonts w:hint="default" w:ascii="Times New Roman" w:hAnsi="Times New Roman" w:cs="Times New Roman" w:eastAsiaTheme="minorEastAsia"/>
                <w:color w:val="000000"/>
                <w:sz w:val="24"/>
                <w:szCs w:val="24"/>
                <w:lang w:val="en-US" w:eastAsia="zh-CN"/>
              </w:rPr>
              <w:t>钱海汇</w:t>
            </w:r>
            <w:r>
              <w:rPr>
                <w:rFonts w:hint="default" w:ascii="Times New Roman" w:hAnsi="Times New Roman" w:cs="Times New Roman" w:eastAsiaTheme="minorEastAsia"/>
                <w:color w:val="000000"/>
                <w:sz w:val="24"/>
                <w:szCs w:val="24"/>
              </w:rPr>
              <w:t>，电话、传真：0579-89295179。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11</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是否允许采购进口产品</w:t>
            </w:r>
          </w:p>
        </w:tc>
        <w:tc>
          <w:tcPr>
            <w:tcW w:w="736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kern w:val="0"/>
                <w:sz w:val="24"/>
                <w:highlight w:val="none"/>
              </w:rPr>
            </w:pPr>
            <w:sdt>
              <w:sdtPr>
                <w:rPr>
                  <w:rFonts w:hint="default" w:ascii="Times New Roman" w:hAnsi="Times New Roman" w:cs="Times New Roman"/>
                  <w:color w:val="auto"/>
                  <w:kern w:val="0"/>
                  <w:sz w:val="24"/>
                  <w:highlight w:val="none"/>
                </w:rPr>
                <w:id w:val="147474361"/>
                <w14:checkbox>
                  <w14:checked w14:val="1"/>
                  <w14:checkedState w14:val="00FE" w14:font="Wingdings"/>
                  <w14:uncheckedState w14:val="2610" w14:font="MS Gothic"/>
                </w14:checkbox>
              </w:sdtPr>
              <w:sdtEndPr>
                <w:rPr>
                  <w:rFonts w:hint="default" w:ascii="Times New Roman" w:hAnsi="Times New Roman" w:cs="Times New Roman"/>
                  <w:color w:val="auto"/>
                  <w:kern w:val="0"/>
                  <w:sz w:val="24"/>
                  <w:highlight w:val="none"/>
                </w:rPr>
              </w:sdtEndPr>
              <w:sdtContent>
                <w:r>
                  <w:rPr>
                    <w:rFonts w:hint="default" w:ascii="Times New Roman" w:hAnsi="Times New Roman" w:cs="Times New Roman"/>
                    <w:color w:val="auto"/>
                    <w:kern w:val="0"/>
                    <w:sz w:val="24"/>
                    <w:highlight w:val="none"/>
                  </w:rPr>
                  <w:sym w:font="Wingdings" w:char="F0FE"/>
                </w:r>
              </w:sdtContent>
            </w:sdt>
            <w:r>
              <w:rPr>
                <w:rFonts w:hint="default" w:ascii="Times New Roman" w:hAnsi="Times New Roman" w:cs="Times New Roman"/>
                <w:color w:val="auto"/>
                <w:kern w:val="0"/>
                <w:sz w:val="24"/>
                <w:highlight w:val="none"/>
              </w:rPr>
              <w:t>本项目不允许采购进口产品。</w:t>
            </w:r>
          </w:p>
          <w:p>
            <w:pPr>
              <w:spacing w:line="500" w:lineRule="exact"/>
              <w:jc w:val="left"/>
              <w:rPr>
                <w:rFonts w:hint="default" w:ascii="Times New Roman" w:hAnsi="Times New Roman" w:cs="Times New Roman" w:eastAsiaTheme="minorEastAsia"/>
                <w:color w:val="000000"/>
                <w:sz w:val="24"/>
                <w:szCs w:val="24"/>
              </w:rPr>
            </w:pPr>
            <w:sdt>
              <w:sdtPr>
                <w:rPr>
                  <w:rFonts w:hint="default" w:ascii="Times New Roman" w:hAnsi="Times New Roman" w:cs="Times New Roman"/>
                  <w:color w:val="auto"/>
                  <w:kern w:val="0"/>
                  <w:sz w:val="24"/>
                  <w:highlight w:val="none"/>
                </w:rPr>
                <w:id w:val="147466363"/>
                <w14:checkbox>
                  <w14:checked w14:val="0"/>
                  <w14:checkedState w14:val="00FE" w14:font="Wingdings"/>
                  <w14:uncheckedState w14:val="2610" w14:font="MS Gothic"/>
                </w14:checkbox>
              </w:sdtPr>
              <w:sdtEndPr>
                <w:rPr>
                  <w:rFonts w:hint="default" w:ascii="Times New Roman" w:hAnsi="Times New Roman" w:cs="Times New Roman"/>
                  <w:color w:val="auto"/>
                  <w:kern w:val="0"/>
                  <w:sz w:val="24"/>
                  <w:highlight w:val="none"/>
                </w:rPr>
              </w:sdtEndPr>
              <w:sdtContent>
                <w:r>
                  <w:rPr>
                    <w:rFonts w:hint="default" w:ascii="Times New Roman" w:hAnsi="Times New Roman" w:eastAsia="MS Mincho" w:cs="Times New Roman"/>
                    <w:color w:val="auto"/>
                    <w:kern w:val="0"/>
                    <w:sz w:val="24"/>
                    <w:highlight w:val="none"/>
                  </w:rPr>
                  <w:t>☐</w:t>
                </w:r>
              </w:sdtContent>
            </w:sdt>
            <w:r>
              <w:rPr>
                <w:rFonts w:hint="default" w:ascii="Times New Roman" w:hAnsi="Times New Roman" w:cs="Times New Roman"/>
                <w:color w:val="auto"/>
                <w:kern w:val="0"/>
                <w:sz w:val="24"/>
                <w:highlight w:val="none"/>
              </w:rPr>
              <w:t>可以就</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kern w:val="0"/>
                <w:sz w:val="24"/>
                <w:highlight w:val="none"/>
              </w:rPr>
              <w:t>采购进口产品。优先采购向我国企业转让技术、与我国企业签订消化吸收再创新方案的供应商的进口产品。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是否允许转包与分包</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sz w:val="24"/>
                <w:lang w:val="en-US" w:eastAsia="zh-CN"/>
              </w:rPr>
            </w:pPr>
            <w:r>
              <w:rPr>
                <w:rFonts w:hint="default" w:ascii="Times New Roman" w:hAnsi="Times New Roman" w:cs="Times New Roman" w:eastAsiaTheme="minorEastAsia"/>
                <w:bCs/>
                <w:color w:val="000000"/>
                <w:sz w:val="24"/>
              </w:rPr>
              <w:t>转包：</w:t>
            </w:r>
            <w:r>
              <w:rPr>
                <w:rFonts w:hint="default" w:ascii="Times New Roman" w:hAnsi="Times New Roman" w:cs="Times New Roman" w:eastAsiaTheme="minorEastAsia"/>
                <w:bCs/>
                <w:color w:val="000000"/>
                <w:sz w:val="24"/>
                <w:lang w:val="en-US" w:eastAsia="zh-CN"/>
              </w:rPr>
              <w:t>不允许转包。</w:t>
            </w:r>
          </w:p>
          <w:p>
            <w:pPr>
              <w:spacing w:line="360" w:lineRule="auto"/>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分包：</w:t>
            </w:r>
          </w:p>
          <w:p>
            <w:pPr>
              <w:spacing w:line="360" w:lineRule="auto"/>
              <w:rPr>
                <w:rFonts w:hint="default" w:ascii="Times New Roman" w:hAnsi="Times New Roman" w:cs="Times New Roman"/>
                <w:color w:val="auto"/>
                <w:sz w:val="24"/>
                <w:highlight w:val="none"/>
              </w:rPr>
            </w:pPr>
            <w:sdt>
              <w:sdtPr>
                <w:rPr>
                  <w:rFonts w:hint="default" w:ascii="Times New Roman" w:hAnsi="Times New Roman" w:cs="Times New Roman"/>
                  <w:color w:val="auto"/>
                  <w:kern w:val="0"/>
                  <w:sz w:val="24"/>
                  <w:highlight w:val="none"/>
                </w:rPr>
                <w:id w:val="147464703"/>
                <w14:checkbox>
                  <w14:checked w14:val="1"/>
                  <w14:checkedState w14:val="00FE" w14:font="Wingdings"/>
                  <w14:uncheckedState w14:val="2610" w14:font="MS Gothic"/>
                </w14:checkbox>
              </w:sdtPr>
              <w:sdtEndPr>
                <w:rPr>
                  <w:rFonts w:hint="default" w:ascii="Times New Roman" w:hAnsi="Times New Roman" w:cs="Times New Roman"/>
                  <w:color w:val="auto"/>
                  <w:kern w:val="0"/>
                  <w:sz w:val="24"/>
                  <w:highlight w:val="none"/>
                </w:rPr>
              </w:sdtEndPr>
              <w:sdtContent>
                <w:r>
                  <w:rPr>
                    <w:rFonts w:hint="default" w:ascii="Times New Roman" w:hAnsi="Times New Roman" w:cs="Times New Roman"/>
                    <w:color w:val="auto"/>
                    <w:kern w:val="0"/>
                    <w:sz w:val="24"/>
                    <w:highlight w:val="none"/>
                  </w:rPr>
                  <w:t></w:t>
                </w:r>
              </w:sdtContent>
            </w:sdt>
            <w:r>
              <w:rPr>
                <w:rFonts w:hint="default" w:ascii="Times New Roman" w:hAnsi="Times New Roman" w:cs="Times New Roman"/>
                <w:color w:val="auto"/>
                <w:kern w:val="0"/>
                <w:sz w:val="24"/>
                <w:highlight w:val="none"/>
              </w:rPr>
              <w:t xml:space="preserve"> A</w:t>
            </w:r>
            <w:r>
              <w:rPr>
                <w:rFonts w:hint="default" w:ascii="Times New Roman" w:hAnsi="Times New Roman" w:cs="Times New Roman"/>
                <w:color w:val="auto"/>
                <w:kern w:val="0"/>
                <w:sz w:val="24"/>
                <w:highlight w:val="none"/>
                <w:lang w:val="en-US" w:eastAsia="zh-CN"/>
              </w:rPr>
              <w:t>采购人仅</w:t>
            </w:r>
            <w:r>
              <w:rPr>
                <w:rFonts w:hint="default" w:ascii="Times New Roman" w:hAnsi="Times New Roman" w:cs="Times New Roman"/>
                <w:color w:val="auto"/>
                <w:sz w:val="24"/>
                <w:highlight w:val="none"/>
              </w:rPr>
              <w:t>同意将非主体、非关键性的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运输</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工作分包。供应商将其他内容分包的视为“</w:t>
            </w:r>
            <w:r>
              <w:rPr>
                <w:rFonts w:hint="default" w:ascii="Times New Roman" w:hAnsi="Times New Roman" w:cs="Times New Roman"/>
                <w:color w:val="auto"/>
                <w:kern w:val="0"/>
                <w:sz w:val="24"/>
                <w:highlight w:val="none"/>
              </w:rPr>
              <w:t>投标文件含有采购人不能接受的附加条件”，投标无效。</w:t>
            </w:r>
          </w:p>
          <w:p>
            <w:pPr>
              <w:spacing w:line="360" w:lineRule="auto"/>
              <w:rPr>
                <w:rFonts w:hint="default" w:ascii="Times New Roman" w:hAnsi="Times New Roman" w:cs="Times New Roman"/>
                <w:color w:val="auto"/>
                <w:sz w:val="24"/>
                <w:highlight w:val="none"/>
              </w:rPr>
            </w:pPr>
            <w:sdt>
              <w:sdtPr>
                <w:rPr>
                  <w:rFonts w:hint="default" w:ascii="Times New Roman" w:hAnsi="Times New Roman" w:cs="Times New Roman"/>
                  <w:color w:val="auto"/>
                  <w:kern w:val="0"/>
                  <w:sz w:val="24"/>
                  <w:highlight w:val="none"/>
                </w:rPr>
                <w:id w:val="147460582"/>
                <w14:checkbox>
                  <w14:checked w14:val="0"/>
                  <w14:checkedState w14:val="00FE" w14:font="Wingdings"/>
                  <w14:uncheckedState w14:val="2610" w14:font="MS Gothic"/>
                </w14:checkbox>
              </w:sdtPr>
              <w:sdtEndPr>
                <w:rPr>
                  <w:rFonts w:hint="default" w:ascii="Times New Roman" w:hAnsi="Times New Roman" w:cs="Times New Roman"/>
                  <w:color w:val="auto"/>
                  <w:kern w:val="0"/>
                  <w:sz w:val="24"/>
                  <w:highlight w:val="none"/>
                </w:rPr>
              </w:sdtEndPr>
              <w:sdtContent>
                <w:r>
                  <w:rPr>
                    <w:rFonts w:hint="default" w:ascii="Times New Roman" w:hAnsi="Times New Roman" w:cs="Times New Roman"/>
                    <w:color w:val="auto"/>
                    <w:kern w:val="0"/>
                    <w:sz w:val="24"/>
                    <w:highlight w:val="none"/>
                  </w:rPr>
                  <w:t>☐</w:t>
                </w:r>
              </w:sdtContent>
            </w:sdt>
            <w:r>
              <w:rPr>
                <w:rFonts w:hint="default" w:ascii="Times New Roman" w:hAnsi="Times New Roman" w:cs="Times New Roman"/>
                <w:color w:val="auto"/>
                <w:kern w:val="0"/>
                <w:sz w:val="24"/>
                <w:highlight w:val="none"/>
              </w:rPr>
              <w:t xml:space="preserve"> B</w:t>
            </w:r>
            <w:r>
              <w:rPr>
                <w:rFonts w:hint="default" w:ascii="Times New Roman" w:hAnsi="Times New Roman" w:cs="Times New Roman"/>
                <w:color w:val="auto"/>
                <w:sz w:val="24"/>
                <w:highlight w:val="none"/>
              </w:rPr>
              <w:t>不同意分包。</w:t>
            </w:r>
          </w:p>
          <w:p>
            <w:pPr>
              <w:spacing w:line="500" w:lineRule="exact"/>
              <w:jc w:val="left"/>
              <w:rPr>
                <w:rFonts w:hint="default" w:ascii="Times New Roman" w:hAnsi="Times New Roman" w:cs="Times New Roman" w:eastAsiaTheme="minorEastAsia"/>
                <w:bCs/>
                <w:color w:val="000000"/>
                <w:sz w:val="24"/>
              </w:rPr>
            </w:pPr>
            <w:r>
              <w:rPr>
                <w:rFonts w:hint="default" w:ascii="Times New Roman" w:hAnsi="Times New Roman" w:cs="Times New Roman"/>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联合体投标</w:t>
            </w:r>
          </w:p>
        </w:tc>
        <w:tc>
          <w:tcPr>
            <w:tcW w:w="7368"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允许。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联合体商务和技术证明材料认定</w:t>
            </w:r>
          </w:p>
        </w:tc>
        <w:tc>
          <w:tcPr>
            <w:tcW w:w="7368"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（1）联合体业绩认定：联合体投标的，联合体各方分别提供与联合体协议中规定的分工内容相应的业绩证明材料，业绩数量以提供材料较少的一方为准。</w:t>
            </w:r>
          </w:p>
          <w:p>
            <w:pPr>
              <w:spacing w:line="500" w:lineRule="exact"/>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（2）联合体商务和技术证明材料认定：</w:t>
            </w:r>
          </w:p>
          <w:p>
            <w:pPr>
              <w:spacing w:line="500" w:lineRule="exact"/>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□联合体投标的，联合体各方均需按招标文件“第三章评标</w:t>
            </w:r>
            <w:r>
              <w:rPr>
                <w:rFonts w:hint="default" w:ascii="Times New Roman" w:hAnsi="Times New Roman" w:cs="Times New Roman" w:eastAsiaTheme="minorEastAsia"/>
                <w:color w:val="000000"/>
                <w:sz w:val="24"/>
                <w:szCs w:val="24"/>
                <w:lang w:val="en-US" w:eastAsia="zh-CN"/>
              </w:rPr>
              <w:t>定标</w:t>
            </w:r>
            <w:r>
              <w:rPr>
                <w:rFonts w:hint="default" w:ascii="Times New Roman" w:hAnsi="Times New Roman" w:cs="Times New Roman" w:eastAsiaTheme="minorEastAsia"/>
                <w:color w:val="000000"/>
                <w:sz w:val="24"/>
                <w:szCs w:val="24"/>
              </w:rPr>
              <w:t>办法及评分标准”要求提供商务和技术证明材料，否则视为不符合相关要求。</w:t>
            </w:r>
          </w:p>
          <w:p>
            <w:pPr>
              <w:spacing w:line="500" w:lineRule="exact"/>
              <w:jc w:val="left"/>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☑联合体投标的，联合体中有一方或者联合体成员根据分工按招标文件“第三章评标</w:t>
            </w:r>
            <w:r>
              <w:rPr>
                <w:rFonts w:hint="default" w:ascii="Times New Roman" w:hAnsi="Times New Roman" w:cs="Times New Roman" w:eastAsiaTheme="minorEastAsia"/>
                <w:color w:val="000000"/>
                <w:sz w:val="24"/>
                <w:szCs w:val="24"/>
                <w:lang w:val="en-US" w:eastAsia="zh-CN"/>
              </w:rPr>
              <w:t>定标</w:t>
            </w:r>
            <w:r>
              <w:rPr>
                <w:rFonts w:hint="default" w:ascii="Times New Roman" w:hAnsi="Times New Roman" w:cs="Times New Roman" w:eastAsiaTheme="minorEastAsia"/>
                <w:color w:val="000000"/>
                <w:sz w:val="24"/>
                <w:szCs w:val="24"/>
              </w:rPr>
              <w:t>办法及评分标准”要求提供了商务和技术证明材料的，视为符合了相关要求。</w:t>
            </w:r>
          </w:p>
          <w:p>
            <w:pPr>
              <w:spacing w:line="500" w:lineRule="exact"/>
              <w:jc w:val="left"/>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color w:val="000000"/>
                <w:sz w:val="24"/>
                <w:szCs w:val="24"/>
              </w:rPr>
              <w:t>注：“第三章评标</w:t>
            </w:r>
            <w:r>
              <w:rPr>
                <w:rFonts w:hint="default" w:ascii="Times New Roman" w:hAnsi="Times New Roman" w:cs="Times New Roman" w:eastAsiaTheme="minorEastAsia"/>
                <w:color w:val="000000"/>
                <w:sz w:val="24"/>
                <w:szCs w:val="24"/>
                <w:lang w:val="en-US" w:eastAsia="zh-CN"/>
              </w:rPr>
              <w:t>定标</w:t>
            </w:r>
            <w:r>
              <w:rPr>
                <w:rFonts w:hint="default" w:ascii="Times New Roman" w:hAnsi="Times New Roman" w:cs="Times New Roman" w:eastAsiaTheme="minorEastAsia"/>
                <w:color w:val="000000"/>
                <w:sz w:val="24"/>
                <w:szCs w:val="24"/>
              </w:rPr>
              <w:t>办法及评分标准”有其他约定的，以“第三章评标</w:t>
            </w:r>
            <w:r>
              <w:rPr>
                <w:rFonts w:hint="default" w:ascii="Times New Roman" w:hAnsi="Times New Roman" w:cs="Times New Roman" w:eastAsiaTheme="minorEastAsia"/>
                <w:color w:val="000000"/>
                <w:sz w:val="24"/>
                <w:szCs w:val="24"/>
                <w:lang w:val="en-US" w:eastAsia="zh-CN"/>
              </w:rPr>
              <w:t>定标</w:t>
            </w:r>
            <w:r>
              <w:rPr>
                <w:rFonts w:hint="default" w:ascii="Times New Roman" w:hAnsi="Times New Roman" w:cs="Times New Roman" w:eastAsiaTheme="minorEastAsia"/>
                <w:color w:val="000000"/>
                <w:sz w:val="24"/>
                <w:szCs w:val="24"/>
              </w:rPr>
              <w:t>办法及评分标准”为准。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是否现场踏勘</w:t>
            </w:r>
          </w:p>
        </w:tc>
        <w:tc>
          <w:tcPr>
            <w:tcW w:w="7368"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default" w:ascii="Times New Roman" w:hAnsi="Times New Roman" w:cs="Times New Roman" w:eastAsiaTheme="minorEastAsia"/>
                <w:color w:val="000000"/>
                <w:sz w:val="24"/>
                <w:szCs w:val="24"/>
              </w:rPr>
            </w:pPr>
            <w:bookmarkStart w:id="0" w:name="PO_15528_PM040"/>
            <w:r>
              <w:rPr>
                <w:rFonts w:hint="default" w:ascii="Times New Roman" w:hAnsi="Times New Roman" w:cs="Times New Roman" w:eastAsiaTheme="minorEastAsia"/>
                <w:color w:val="000000"/>
                <w:sz w:val="24"/>
                <w:szCs w:val="24"/>
              </w:rPr>
              <w:t>不组织现场踏勘</w:t>
            </w:r>
            <w:bookmarkEnd w:id="0"/>
            <w:r>
              <w:rPr>
                <w:rFonts w:hint="default" w:ascii="Times New Roman" w:hAnsi="Times New Roman" w:cs="Times New Roman" w:eastAsiaTheme="minorEastAsia"/>
                <w:color w:val="00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是否提供演示</w:t>
            </w:r>
          </w:p>
        </w:tc>
        <w:tc>
          <w:tcPr>
            <w:tcW w:w="7368"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default" w:ascii="Times New Roman" w:hAnsi="Times New Roman" w:cs="Times New Roman" w:eastAsiaTheme="minorEastAsia"/>
                <w:color w:val="000000"/>
                <w:sz w:val="24"/>
                <w:szCs w:val="24"/>
              </w:rPr>
            </w:pPr>
            <w:bookmarkStart w:id="1" w:name="PO_1000000445_PM041"/>
            <w:r>
              <w:rPr>
                <w:rFonts w:hint="default" w:ascii="Times New Roman" w:hAnsi="Times New Roman" w:cs="Times New Roman" w:eastAsiaTheme="minorEastAsia"/>
                <w:color w:val="000000"/>
                <w:sz w:val="24"/>
                <w:szCs w:val="24"/>
              </w:rPr>
              <w:t>不进行演示</w:t>
            </w:r>
            <w:bookmarkEnd w:id="1"/>
            <w:r>
              <w:rPr>
                <w:rFonts w:hint="default" w:ascii="Times New Roman" w:hAnsi="Times New Roman" w:cs="Times New Roman" w:eastAsiaTheme="minorEastAsia"/>
                <w:color w:val="00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3"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是否提供样品</w:t>
            </w:r>
          </w:p>
        </w:tc>
        <w:tc>
          <w:tcPr>
            <w:tcW w:w="7368"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hint="default" w:ascii="Times New Roman" w:hAnsi="Times New Roman" w:cs="Times New Roman" w:eastAsiaTheme="minorEastAsia"/>
                <w:color w:val="000000"/>
                <w:sz w:val="24"/>
                <w:szCs w:val="24"/>
              </w:rPr>
            </w:pPr>
            <w:bookmarkStart w:id="2" w:name="PO_1000000445_PM043"/>
            <w:r>
              <w:rPr>
                <w:rFonts w:hint="default" w:ascii="Times New Roman" w:hAnsi="Times New Roman" w:cs="Times New Roman" w:eastAsiaTheme="minorEastAsia"/>
                <w:color w:val="000000"/>
                <w:sz w:val="24"/>
                <w:szCs w:val="24"/>
              </w:rPr>
              <w:t>不要求提供样品</w:t>
            </w:r>
            <w:bookmarkEnd w:id="2"/>
            <w:r>
              <w:rPr>
                <w:rFonts w:hint="default" w:ascii="Times New Roman" w:hAnsi="Times New Roman" w:cs="Times New Roman" w:eastAsiaTheme="minorEastAsia"/>
                <w:color w:val="00000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25"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8</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投标文件组成</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投标文件均由资格文件、技术商务文件、报价文件组成。</w:t>
            </w:r>
          </w:p>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投标人提供备份投标文件（正本）的，数量为1份。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25"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1</w:t>
            </w:r>
            <w:r>
              <w:rPr>
                <w:rFonts w:hint="default" w:ascii="Times New Roman" w:hAnsi="Times New Roman" w:cs="Times New Roman" w:eastAsiaTheme="minorEastAsia"/>
                <w:color w:val="000000"/>
                <w:sz w:val="24"/>
                <w:szCs w:val="24"/>
                <w:lang w:val="en-US" w:eastAsia="zh-CN"/>
              </w:rPr>
              <w:t>9</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电子交易平台登录方法</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第一步：供应商登记</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投标人应在投标前登记成为浙江政府采购网的正式供应商（注册网址：</w:t>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HYPERLINK "https://middle.zcygov.cn/v-settle-front/registry"</w:instrText>
            </w:r>
            <w:r>
              <w:rPr>
                <w:rFonts w:hint="default" w:ascii="Times New Roman" w:hAnsi="Times New Roman" w:cs="Times New Roman"/>
                <w:b w:val="0"/>
                <w:bCs/>
              </w:rPr>
              <w:fldChar w:fldCharType="separate"/>
            </w:r>
            <w:r>
              <w:rPr>
                <w:rFonts w:hint="default" w:ascii="Times New Roman" w:hAnsi="Times New Roman" w:cs="Times New Roman" w:eastAsiaTheme="minorEastAsia"/>
                <w:b w:val="0"/>
                <w:bCs/>
                <w:color w:val="000000" w:themeColor="text1"/>
                <w:sz w:val="24"/>
                <w14:textFill>
                  <w14:solidFill>
                    <w14:schemeClr w14:val="tx1"/>
                  </w14:solidFill>
                </w14:textFill>
              </w:rPr>
              <w:t>https://middle.zcygov.cn/v-settle-front/registry</w:t>
            </w:r>
            <w:r>
              <w:rPr>
                <w:rFonts w:hint="default" w:ascii="Times New Roman" w:hAnsi="Times New Roman" w:cs="Times New Roman"/>
                <w:b w:val="0"/>
                <w:bCs/>
              </w:rPr>
              <w:fldChar w:fldCharType="end"/>
            </w:r>
            <w:r>
              <w:rPr>
                <w:rFonts w:hint="default" w:ascii="Times New Roman" w:hAnsi="Times New Roman" w:cs="Times New Roman" w:eastAsiaTheme="minorEastAsia"/>
                <w:b w:val="0"/>
                <w:bCs/>
                <w:color w:val="000000" w:themeColor="text1"/>
                <w:sz w:val="24"/>
                <w14:textFill>
                  <w14:solidFill>
                    <w14:schemeClr w14:val="tx1"/>
                  </w14:solidFill>
                </w14:textFill>
              </w:rPr>
              <w:t>）；</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第二步：申请CA</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投标人应在投标前完成CA数字证书办理（办理流程详见http://zfcg.czt.zj.gov.cn/bidClientTemplate/2019-05-27/12945.html）。完成CA数字证书办理预计一周左右，建议各投标人抓紧时间办理；</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第三步：下载客户端</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投标人通过政采云电子交易客户端制作投标文件，请自行前往浙江政府采购网下载并安装（下载网址：</w:t>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HYPERLINK "http://zfcg.czt.zj.gov.cn/bidClientTemplate/2019-09-24/12975.html"</w:instrText>
            </w:r>
            <w:r>
              <w:rPr>
                <w:rFonts w:hint="default" w:ascii="Times New Roman" w:hAnsi="Times New Roman" w:cs="Times New Roman"/>
                <w:b w:val="0"/>
                <w:bCs/>
              </w:rPr>
              <w:fldChar w:fldCharType="separate"/>
            </w:r>
            <w:r>
              <w:rPr>
                <w:rFonts w:hint="default" w:ascii="Times New Roman" w:hAnsi="Times New Roman" w:cs="Times New Roman" w:eastAsiaTheme="minorEastAsia"/>
                <w:b w:val="0"/>
                <w:bCs/>
                <w:color w:val="000000" w:themeColor="text1"/>
                <w:sz w:val="24"/>
                <w14:textFill>
                  <w14:solidFill>
                    <w14:schemeClr w14:val="tx1"/>
                  </w14:solidFill>
                </w14:textFill>
              </w:rPr>
              <w:t>http://zfcg.czt.zj.gov.cn/bidClientTemplate/2019-09-24/12975.html</w:t>
            </w:r>
            <w:r>
              <w:rPr>
                <w:rFonts w:hint="default" w:ascii="Times New Roman" w:hAnsi="Times New Roman" w:cs="Times New Roman"/>
                <w:b w:val="0"/>
                <w:bCs/>
              </w:rPr>
              <w:fldChar w:fldCharType="end"/>
            </w:r>
            <w:r>
              <w:rPr>
                <w:rFonts w:hint="default" w:ascii="Times New Roman" w:hAnsi="Times New Roman" w:cs="Times New Roman" w:eastAsiaTheme="minorEastAsia"/>
                <w:b w:val="0"/>
                <w:bCs/>
                <w:color w:val="000000" w:themeColor="text1"/>
                <w:sz w:val="24"/>
                <w14:textFill>
                  <w14:solidFill>
                    <w14:schemeClr w14:val="tx1"/>
                  </w14:solidFill>
                </w14:textFill>
              </w:rPr>
              <w:t>）；</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第四步：具体流程</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详见浙江省“电子交易/不见面开评标”学习专题（网址</w:t>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HYPERLINK "https://edu.zcygov.cn/luban/e-biding"</w:instrText>
            </w:r>
            <w:r>
              <w:rPr>
                <w:rFonts w:hint="default" w:ascii="Times New Roman" w:hAnsi="Times New Roman" w:cs="Times New Roman"/>
                <w:b w:val="0"/>
                <w:bCs/>
              </w:rPr>
              <w:fldChar w:fldCharType="separate"/>
            </w:r>
            <w:r>
              <w:rPr>
                <w:rFonts w:hint="default" w:ascii="Times New Roman" w:hAnsi="Times New Roman" w:cs="Times New Roman" w:eastAsiaTheme="minorEastAsia"/>
                <w:b w:val="0"/>
                <w:bCs/>
                <w:color w:val="000000" w:themeColor="text1"/>
                <w:sz w:val="24"/>
                <w14:textFill>
                  <w14:solidFill>
                    <w14:schemeClr w14:val="tx1"/>
                  </w14:solidFill>
                </w14:textFill>
              </w:rPr>
              <w:t>https://edu.zcygov.cn/luban/e-biding</w:t>
            </w:r>
            <w:r>
              <w:rPr>
                <w:rFonts w:hint="default" w:ascii="Times New Roman" w:hAnsi="Times New Roman" w:cs="Times New Roman"/>
                <w:b w:val="0"/>
                <w:bCs/>
              </w:rPr>
              <w:fldChar w:fldCharType="end"/>
            </w:r>
            <w:r>
              <w:rPr>
                <w:rFonts w:hint="default" w:ascii="Times New Roman" w:hAnsi="Times New Roman" w:cs="Times New Roman" w:eastAsiaTheme="minorEastAsia"/>
                <w:b w:val="0"/>
                <w:bCs/>
                <w:color w:val="000000" w:themeColor="text1"/>
                <w:sz w:val="24"/>
                <w14:textFill>
                  <w14:solidFill>
                    <w14:schemeClr w14:val="tx1"/>
                  </w14:solidFill>
                </w14:textFill>
              </w:rPr>
              <w:t>）</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提醒：</w:t>
            </w:r>
          </w:p>
          <w:p>
            <w:pPr>
              <w:snapToGrid w:val="0"/>
              <w:spacing w:line="460" w:lineRule="exact"/>
              <w:jc w:val="lef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1.请各投标人合理安排时间，尽快完成第一、二、三步骤，避免影响投标。</w:t>
            </w:r>
          </w:p>
          <w:p>
            <w:pPr>
              <w:snapToGrid w:val="0"/>
              <w:spacing w:line="460" w:lineRule="exact"/>
              <w:jc w:val="lef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2.为避免页面存在兼容性等问题，投标人须使用谷歌Chrome浏览器或360浏览器极速模式，涉及视频会议等功能的，还应安装摄像头和麦克风。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20</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投标文件的递交与接收</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pPr>
              <w:snapToGrid w:val="0"/>
              <w:spacing w:line="460" w:lineRule="exac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投标文件的接收以本项目公告要求的时间、地点和“投标文件的编制”等要求为准。</w:t>
            </w:r>
          </w:p>
          <w:p>
            <w:pPr>
              <w:snapToGrid w:val="0"/>
              <w:spacing w:line="460" w:lineRule="exac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投标人递交备份投标文件，出现下列情况之一的，将被拒收：</w:t>
            </w:r>
          </w:p>
          <w:p>
            <w:pPr>
              <w:snapToGrid w:val="0"/>
              <w:spacing w:line="460" w:lineRule="exac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1.未按规定密封或标记的；</w:t>
            </w:r>
          </w:p>
          <w:p>
            <w:pPr>
              <w:snapToGrid w:val="0"/>
              <w:spacing w:line="460" w:lineRule="exact"/>
              <w:rPr>
                <w:rFonts w:hint="default" w:ascii="Times New Roman" w:hAnsi="Times New Roman" w:cs="Times New Roman" w:eastAsiaTheme="minorEastAsia"/>
                <w:b w:val="0"/>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2.由于包装不妥，在送交途中严重破损或失散的；</w:t>
            </w:r>
          </w:p>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 w:val="0"/>
                <w:bCs/>
                <w:color w:val="000000" w:themeColor="text1"/>
                <w:sz w:val="24"/>
                <w14:textFill>
                  <w14:solidFill>
                    <w14:schemeClr w14:val="tx1"/>
                  </w14:solidFill>
                </w14:textFill>
              </w:rPr>
              <w:t>3.超过投标截止时间送达的。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21</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投标撤销（撤回）</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1.在投标截止时间起至投标有效期届满，供应商投标文件不可撤销。</w:t>
            </w:r>
          </w:p>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2.供应商撤销（撤回）投标不得损害国家利益、社会公共利益、采购人利益、代理机构利益、其他供应商利益，否则，供应商撤销（撤回）投标无效。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2</w:t>
            </w:r>
            <w:r>
              <w:rPr>
                <w:rFonts w:hint="default" w:ascii="Times New Roman" w:hAnsi="Times New Roman" w:cs="Times New Roman" w:eastAsiaTheme="minorEastAsia"/>
                <w:color w:val="00000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中标结果公告</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中标供应商确定之日起2个工作日内，将在浙江省政府采购网(</w:t>
            </w:r>
            <w:r>
              <w:rPr>
                <w:rFonts w:hint="default" w:ascii="Times New Roman" w:hAnsi="Times New Roman" w:cs="Times New Roman"/>
              </w:rPr>
              <w:fldChar w:fldCharType="begin"/>
            </w:r>
            <w:r>
              <w:rPr>
                <w:rFonts w:hint="default" w:ascii="Times New Roman" w:hAnsi="Times New Roman" w:cs="Times New Roman"/>
              </w:rPr>
              <w:instrText xml:space="preserve"> HYPERLINK "http://www.zjzfcg.gov.cn/new" </w:instrText>
            </w:r>
            <w:r>
              <w:rPr>
                <w:rFonts w:hint="default" w:ascii="Times New Roman" w:hAnsi="Times New Roman" w:cs="Times New Roman"/>
              </w:rPr>
              <w:fldChar w:fldCharType="separate"/>
            </w:r>
            <w:r>
              <w:rPr>
                <w:rFonts w:hint="default" w:ascii="Times New Roman" w:hAnsi="Times New Roman" w:cs="Times New Roman" w:eastAsiaTheme="minorEastAsia"/>
                <w:bCs/>
                <w:color w:val="000000" w:themeColor="text1"/>
                <w:sz w:val="24"/>
                <w14:textFill>
                  <w14:solidFill>
                    <w14:schemeClr w14:val="tx1"/>
                  </w14:solidFill>
                </w14:textFill>
              </w:rPr>
              <w:t>http://www.zjzfcg.gov.cn</w:t>
            </w:r>
            <w:r>
              <w:rPr>
                <w:rFonts w:hint="default" w:ascii="Times New Roman" w:hAnsi="Times New Roman" w:cs="Times New Roman" w:eastAsiaTheme="minorEastAsia"/>
                <w:bCs/>
                <w:color w:val="000000" w:themeColor="text1"/>
                <w:sz w:val="24"/>
                <w14:textFill>
                  <w14:solidFill>
                    <w14:schemeClr w14:val="tx1"/>
                  </w14:solidFill>
                </w14:textFill>
              </w:rPr>
              <w:fldChar w:fldCharType="end"/>
            </w:r>
            <w:r>
              <w:rPr>
                <w:rFonts w:hint="default" w:ascii="Times New Roman" w:hAnsi="Times New Roman" w:cs="Times New Roman" w:eastAsiaTheme="minorEastAsia"/>
                <w:bCs/>
                <w:color w:val="000000" w:themeColor="text1"/>
                <w:sz w:val="24"/>
                <w14:textFill>
                  <w14:solidFill>
                    <w14:schemeClr w14:val="tx1"/>
                  </w14:solidFill>
                </w14:textFill>
              </w:rPr>
              <w:t>)发布中标公告</w:t>
            </w:r>
            <w:r>
              <w:rPr>
                <w:rFonts w:hint="default" w:ascii="Times New Roman" w:hAnsi="Times New Roman" w:cs="Times New Roman" w:eastAsiaTheme="minorEastAsia"/>
                <w:b/>
                <w:color w:val="000000" w:themeColor="text1"/>
                <w:sz w:val="24"/>
                <w14:textFill>
                  <w14:solidFill>
                    <w14:schemeClr w14:val="tx1"/>
                  </w14:solidFill>
                </w14:textFill>
              </w:rPr>
              <w:t>（中标人为中小企业的，其声明函将随中标结果同时公告），</w:t>
            </w:r>
            <w:r>
              <w:rPr>
                <w:rFonts w:hint="default" w:ascii="Times New Roman" w:hAnsi="Times New Roman" w:cs="Times New Roman" w:eastAsiaTheme="minorEastAsia"/>
                <w:bCs/>
                <w:color w:val="000000" w:themeColor="text1"/>
                <w:sz w:val="24"/>
                <w14:textFill>
                  <w14:solidFill>
                    <w14:schemeClr w14:val="tx1"/>
                  </w14:solidFill>
                </w14:textFill>
              </w:rPr>
              <w:t>公告期限为1个工作日。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2</w:t>
            </w:r>
            <w:r>
              <w:rPr>
                <w:rFonts w:hint="default" w:ascii="Times New Roman" w:hAnsi="Times New Roman" w:cs="Times New Roman" w:eastAsiaTheme="minorEastAsia"/>
                <w:color w:val="00000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中标供应商放弃中标赔偿责任</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中标供应商放弃中标资格导致重新采购的，应当承担支付专家评审费等费用在内的赔偿责任（不可抗力除外）。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2</w:t>
            </w:r>
            <w:r>
              <w:rPr>
                <w:rFonts w:hint="default" w:ascii="Times New Roman" w:hAnsi="Times New Roman" w:cs="Times New Roman" w:eastAsiaTheme="minorEastAsia"/>
                <w:color w:val="00000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bCs/>
                <w:color w:val="000000"/>
                <w:sz w:val="24"/>
              </w:rPr>
              <w:t>履约保证金</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eastAsia" w:ascii="Times New Roman" w:hAnsi="Times New Roman" w:cs="Times New Roman" w:eastAsiaTheme="minorEastAsia"/>
                <w:bCs/>
                <w:color w:val="000000" w:themeColor="text1"/>
                <w:sz w:val="24"/>
                <w:lang w:eastAsia="zh-CN"/>
                <w14:textFill>
                  <w14:solidFill>
                    <w14:schemeClr w14:val="tx1"/>
                  </w14:solidFill>
                </w14:textFill>
              </w:rPr>
            </w:pPr>
            <w:r>
              <w:rPr>
                <w:rFonts w:hint="eastAsia" w:ascii="Times New Roman" w:hAnsi="Times New Roman" w:cs="Times New Roman" w:eastAsiaTheme="minorEastAsia"/>
                <w:bCs/>
                <w:color w:val="000000" w:themeColor="text1"/>
                <w:sz w:val="24"/>
                <w:lang w:eastAsia="zh-CN"/>
                <w14:textFill>
                  <w14:solidFill>
                    <w14:schemeClr w14:val="tx1"/>
                  </w14:solidFill>
                </w14:textFill>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9"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2</w:t>
            </w:r>
            <w:r>
              <w:rPr>
                <w:rFonts w:hint="default" w:ascii="Times New Roman" w:hAnsi="Times New Roman" w:cs="Times New Roman" w:eastAsiaTheme="minorEastAsia"/>
                <w:color w:val="00000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付款方式</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根据《中华人民共和国中小企业促进法》《保障中小企业款项支付条例》《浙江省财政厅关于进一步发挥政府采购政策功能全力推动经济稳进提质的通知》《浙江省财政厅关于进一步加大政府采购支持中小企业力度助力扎实稳住经济的通知》等规范要求，采购人须在第四部分《招标需求》付款条件中，明确对相关企业在资金支付期限、预付款比例等方面的优惠措施。（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2</w:t>
            </w:r>
            <w:r>
              <w:rPr>
                <w:rFonts w:hint="default" w:ascii="Times New Roman" w:hAnsi="Times New Roman" w:cs="Times New Roman" w:eastAsiaTheme="minorEastAsia"/>
                <w:color w:val="00000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投标文件有效期</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rPr>
              <w:t>2</w:t>
            </w:r>
            <w:r>
              <w:rPr>
                <w:rFonts w:hint="default" w:ascii="Times New Roman" w:hAnsi="Times New Roman" w:cs="Times New Roman" w:eastAsiaTheme="minorEastAsia"/>
                <w:color w:val="000000"/>
                <w:sz w:val="24"/>
                <w:szCs w:val="24"/>
                <w:lang w:val="en-US" w:eastAsia="zh-CN"/>
              </w:rPr>
              <w:t>7</w:t>
            </w:r>
          </w:p>
        </w:tc>
        <w:tc>
          <w:tcPr>
            <w:tcW w:w="12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Cs/>
                <w:color w:val="000000"/>
                <w:sz w:val="24"/>
              </w:rPr>
              <w:t>合同签订时间</w:t>
            </w:r>
          </w:p>
        </w:tc>
        <w:tc>
          <w:tcPr>
            <w:tcW w:w="7368"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中标通知书发出之日起30日内。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80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28</w:t>
            </w:r>
          </w:p>
        </w:tc>
        <w:tc>
          <w:tcPr>
            <w:tcW w:w="129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hint="default" w:ascii="Times New Roman" w:hAnsi="Times New Roman" w:eastAsia="宋体" w:cs="Times New Roman"/>
                <w:b/>
                <w:kern w:val="2"/>
                <w:sz w:val="24"/>
                <w:szCs w:val="21"/>
                <w:highlight w:val="none"/>
                <w:lang w:val="en-US" w:eastAsia="zh-CN" w:bidi="ar-SA"/>
              </w:rPr>
            </w:pPr>
            <w:r>
              <w:rPr>
                <w:rFonts w:hint="default" w:ascii="Times New Roman" w:hAnsi="Times New Roman" w:cs="Times New Roman" w:eastAsiaTheme="minorEastAsia"/>
                <w:bCs/>
                <w:color w:val="000000"/>
                <w:sz w:val="24"/>
                <w:lang w:val="en" w:eastAsia="zh-CN"/>
              </w:rPr>
              <w:t>中标候选人数量</w:t>
            </w:r>
          </w:p>
        </w:tc>
        <w:tc>
          <w:tcPr>
            <w:tcW w:w="73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rFonts w:hint="default" w:ascii="Times New Roman" w:hAnsi="Times New Roman" w:eastAsia="宋体" w:cs="Times New Roman"/>
                <w:color w:val="0000FF"/>
                <w:kern w:val="0"/>
                <w:sz w:val="24"/>
                <w:szCs w:val="21"/>
                <w:highlight w:val="none"/>
                <w:lang w:val="en" w:eastAsia="zh-CN" w:bidi="ar-SA"/>
              </w:rPr>
            </w:pPr>
            <w:r>
              <w:rPr>
                <w:rFonts w:hint="default" w:ascii="Times New Roman" w:hAnsi="Times New Roman" w:cs="Times New Roman"/>
                <w:kern w:val="0"/>
                <w:sz w:val="24"/>
                <w:highlight w:val="none"/>
                <w:lang w:val="en" w:eastAsia="zh-CN"/>
              </w:rPr>
              <w:t>本项目推荐的中标候选人数：</w:t>
            </w:r>
            <w:r>
              <w:rPr>
                <w:rFonts w:hint="default" w:ascii="Times New Roman" w:hAnsi="Times New Roman" w:cs="Times New Roman"/>
                <w:kern w:val="0"/>
                <w:sz w:val="24"/>
                <w:highlight w:val="none"/>
                <w:u w:val="single"/>
                <w:lang w:val="en-US" w:eastAsia="zh-CN"/>
              </w:rPr>
              <w:t xml:space="preserve">   1    </w:t>
            </w:r>
            <w:r>
              <w:rPr>
                <w:rFonts w:hint="default" w:ascii="Times New Roman" w:hAnsi="Times New Roman" w:cs="Times New Roman"/>
                <w:kern w:val="0"/>
                <w:sz w:val="24"/>
                <w:highlight w:val="none"/>
                <w:lang w:val="en" w:eastAsia="zh-CN"/>
              </w:rPr>
              <w:t>。</w:t>
            </w:r>
          </w:p>
        </w:tc>
      </w:tr>
    </w:tbl>
    <w:p>
      <w:pPr>
        <w:widowControl w:val="0"/>
        <w:spacing w:line="400" w:lineRule="exact"/>
        <w:rPr>
          <w:rFonts w:hint="default" w:ascii="Times New Roman" w:hAnsi="Times New Roman" w:cs="Times New Roman"/>
          <w:sz w:val="24"/>
          <w:szCs w:val="24"/>
        </w:rPr>
      </w:pPr>
      <w:r>
        <w:rPr>
          <w:rFonts w:hint="default" w:ascii="Times New Roman" w:hAnsi="Times New Roman" w:cs="Times New Roman"/>
          <w:b/>
          <w:bCs/>
          <w:sz w:val="32"/>
          <w:szCs w:val="32"/>
        </w:rPr>
        <w:br w:type="page"/>
      </w:r>
    </w:p>
    <w:p>
      <w:pPr>
        <w:widowControl w:val="0"/>
        <w:spacing w:line="380" w:lineRule="exact"/>
        <w:ind w:firstLine="721" w:firstLineChars="225"/>
        <w:jc w:val="center"/>
        <w:rPr>
          <w:rFonts w:hint="default" w:ascii="Times New Roman" w:hAnsi="Times New Roman" w:cs="Times New Roman"/>
          <w:b/>
          <w:bCs/>
          <w:color w:val="000000"/>
          <w:sz w:val="32"/>
          <w:szCs w:val="32"/>
        </w:rPr>
      </w:pPr>
      <w:r>
        <w:rPr>
          <w:rFonts w:hint="default" w:ascii="Times New Roman" w:hAnsi="Times New Roman" w:cs="Times New Roman"/>
          <w:b/>
          <w:bCs/>
          <w:color w:val="000000"/>
          <w:sz w:val="32"/>
          <w:szCs w:val="32"/>
        </w:rPr>
        <w:t>投标人须知</w:t>
      </w:r>
    </w:p>
    <w:p>
      <w:pPr>
        <w:widowControl w:val="0"/>
        <w:spacing w:line="380" w:lineRule="exact"/>
        <w:ind w:firstLine="721" w:firstLineChars="225"/>
        <w:jc w:val="center"/>
        <w:rPr>
          <w:rFonts w:hint="default" w:ascii="Times New Roman" w:hAnsi="Times New Roman" w:cs="Times New Roman"/>
          <w:b/>
          <w:bCs/>
          <w:color w:val="000000"/>
          <w:sz w:val="32"/>
          <w:szCs w:val="32"/>
        </w:rPr>
      </w:pPr>
      <w:r>
        <w:rPr>
          <w:rFonts w:hint="default" w:ascii="Times New Roman" w:hAnsi="Times New Roman" w:cs="Times New Roman"/>
          <w:b/>
          <w:bCs/>
          <w:color w:val="000000"/>
          <w:sz w:val="32"/>
          <w:szCs w:val="32"/>
        </w:rPr>
        <w:t>一、总则</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1、适用范围</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仅适用于本次招标文件中采购项目的招标、投标、评标、定标、验收、合同履约、付款等行为（法律、法规另有规定的，从其规定）。</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2、定义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2.1“采购人”系指</w:t>
      </w:r>
      <w:r>
        <w:rPr>
          <w:rFonts w:hint="default" w:ascii="Times New Roman" w:hAnsi="Times New Roman" w:cs="Times New Roman"/>
          <w:color w:val="FF0000"/>
          <w:kern w:val="0"/>
          <w:sz w:val="24"/>
          <w:szCs w:val="24"/>
          <w:lang w:eastAsia="zh-CN"/>
        </w:rPr>
        <w:t>永康市芝英镇人民政府</w:t>
      </w:r>
      <w:r>
        <w:rPr>
          <w:rFonts w:hint="default" w:ascii="Times New Roman" w:hAnsi="Times New Roman" w:cs="Times New Roman"/>
          <w:kern w:val="0"/>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2.2“投标人”系指向采购代理机构提交投标文件的供应商。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2.3“采购代理机构”系指组织本次招标的金华市政府采购中心永康市分中心。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2.4“货物”系指供方按招标文件规定须向需方提供的设备、软件、专用工具、手册及其它有关技术资料和辅助材料。</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2.5“服务”系指招标文件规定供方须承担的运输、设计、安装、调试、维护、培训、技术服务、及其它类似服务。</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2.6需方：即</w:t>
      </w:r>
      <w:r>
        <w:rPr>
          <w:rFonts w:hint="default" w:ascii="Times New Roman" w:hAnsi="Times New Roman" w:cs="Times New Roman"/>
          <w:color w:val="FF0000"/>
          <w:kern w:val="0"/>
          <w:sz w:val="24"/>
          <w:szCs w:val="24"/>
          <w:lang w:eastAsia="zh-CN"/>
        </w:rPr>
        <w:t>永康市芝英镇人民政府</w:t>
      </w:r>
      <w:r>
        <w:rPr>
          <w:rFonts w:hint="default" w:ascii="Times New Roman" w:hAnsi="Times New Roman" w:cs="Times New Roman"/>
          <w:kern w:val="0"/>
          <w:sz w:val="24"/>
          <w:szCs w:val="24"/>
        </w:rPr>
        <w:t>，在招投标阶段称为采购人，在签订和执行合同阶段称为需方。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2.7供方：在招投标阶段称为投标人，中标后在签订和执行合同阶段称为供方。</w:t>
      </w:r>
    </w:p>
    <w:p>
      <w:pPr>
        <w:spacing w:line="360" w:lineRule="auto"/>
        <w:rPr>
          <w:rFonts w:hint="default" w:ascii="Times New Roman" w:hAnsi="Times New Roman" w:cs="Times New Roman"/>
        </w:rPr>
      </w:pPr>
      <w:r>
        <w:rPr>
          <w:rFonts w:hint="default" w:ascii="Times New Roman" w:hAnsi="Times New Roman" w:cs="Times New Roman"/>
          <w:kern w:val="0"/>
          <w:sz w:val="24"/>
          <w:szCs w:val="24"/>
        </w:rPr>
        <w:t>2.8.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投标人及委托有关说明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360" w:hanging="360" w:hangingChars="15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3.1.如授权代表不是法定代表人，须有法定代表人出具的授权委托书（格式见附件）。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3.2.投标人投标所使用的资格、信誉、荣誉、业绩与企业认证必须为本法人所拥有。投标人投标所使用的采购项目实施人员必须为投标人员工（或投标人控股公司正式员工）。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3.3.单位负责人为同一人或者存在直接控股、管理关系的不同供应商，不得参加同一合同项下的政府采购活动。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3.4.投标人应仔细阅读招标文件的所有内容，按照招标文件的要求提交投标文件，并对所提供的全部资料的真实性承担法律责任。。</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4、投标费用</w:t>
      </w:r>
    </w:p>
    <w:p>
      <w:pPr>
        <w:widowControl w:val="0"/>
        <w:rPr>
          <w:rFonts w:hint="default" w:ascii="Times New Roman" w:hAnsi="Times New Roman" w:cs="Times New Roman"/>
          <w:kern w:val="0"/>
          <w:sz w:val="24"/>
          <w:szCs w:val="24"/>
        </w:rPr>
      </w:pPr>
      <w:r>
        <w:rPr>
          <w:rFonts w:hint="default" w:ascii="Times New Roman" w:hAnsi="Times New Roman" w:cs="Times New Roman"/>
          <w:kern w:val="0"/>
          <w:sz w:val="24"/>
          <w:szCs w:val="24"/>
        </w:rPr>
        <w:t>4.1不论投标结果如何，投标人均应自行承担所有与投标有关的全部费用（招标文件有其他相反规定除外）。</w:t>
      </w:r>
    </w:p>
    <w:p>
      <w:pPr>
        <w:pStyle w:val="17"/>
        <w:ind w:firstLine="480"/>
        <w:rPr>
          <w:rFonts w:hint="default" w:ascii="Times New Roman" w:hAnsi="Times New Roman" w:cs="Times New Roman"/>
          <w:kern w:val="0"/>
          <w:sz w:val="24"/>
          <w:szCs w:val="24"/>
        </w:rPr>
      </w:pPr>
    </w:p>
    <w:p>
      <w:pPr>
        <w:pStyle w:val="18"/>
        <w:rPr>
          <w:rFonts w:hint="default" w:ascii="Times New Roman" w:hAnsi="Times New Roman" w:cs="Times New Roman"/>
        </w:rPr>
      </w:pPr>
    </w:p>
    <w:p>
      <w:pPr>
        <w:widowControl w:val="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5、质疑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color w:val="000000"/>
          <w:kern w:val="0"/>
          <w:sz w:val="24"/>
          <w:szCs w:val="24"/>
        </w:rPr>
        <w:t>5.1、供应商认为采购文件、采购过程、中标或者成交结果使自己的权益受到损害的，可以在知道或者应知其权益受到损害之日起7个工作日内，一次性</w:t>
      </w:r>
      <w:r>
        <w:rPr>
          <w:rFonts w:hint="default" w:ascii="Times New Roman" w:hAnsi="Times New Roman" w:cs="Times New Roman"/>
          <w:kern w:val="0"/>
          <w:sz w:val="24"/>
          <w:szCs w:val="24"/>
        </w:rPr>
        <w:t>以网上或书面形式向采购人、采购代理机构提出针对同一采购程序环节的质疑。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color w:val="000000"/>
          <w:kern w:val="0"/>
          <w:sz w:val="24"/>
          <w:szCs w:val="24"/>
        </w:rPr>
      </w:pPr>
      <w:r>
        <w:rPr>
          <w:rFonts w:hint="default" w:ascii="Times New Roman" w:hAnsi="Times New Roman" w:cs="Times New Roman"/>
          <w:kern w:val="0"/>
          <w:sz w:val="24"/>
          <w:szCs w:val="24"/>
        </w:rPr>
        <w:t>5.2、质疑函格式见《政府采购质疑和投诉办法》（财政部令第94号）附件范本，</w:t>
      </w:r>
      <w:r>
        <w:rPr>
          <w:rFonts w:hint="default" w:ascii="Times New Roman" w:hAnsi="Times New Roman" w:cs="Times New Roman"/>
          <w:color w:val="000000"/>
          <w:kern w:val="0"/>
          <w:sz w:val="24"/>
          <w:szCs w:val="24"/>
        </w:rPr>
        <w:t>下载网址：浙江政府采购网(http://zfcg.czt.zj.gov.cn/)，位置：“首页-下载专区-质疑投诉模板”。供应商提出质疑应当提交质疑函和必要的证明材料。质疑函应当包括下列内容：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a.供应商的姓名或者名称、地址、邮编、联系人及联系电话；</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b.质疑项目的名称、编号；</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c.具体、明确的质疑事项和与质疑事项相关的请求；</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d.事实依据；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e.必要的法律依据；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f.提出质疑的日期。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5.3、质疑函受理：鼓励供应商在线提起询问，路径为：政采云-项目采购-询问质疑投诉-询问列表  :鼓励供应商在线提起质疑，路径为：政采云-项目采购-询问质疑投诉-质疑列表。质疑供应商对在线质疑答复不满意的，可在线提起投诉，路径为：政采云平台-项目采购-询问质疑投诉-投诉列表。同时接受以书面形式（现场或邮寄）递交到金华市政府采购中心永康市分中心的质疑函。地址：永康市五湖路1号国际会展中心办公楼六楼。联系人：</w:t>
      </w:r>
      <w:r>
        <w:rPr>
          <w:rFonts w:hint="default" w:ascii="Times New Roman" w:hAnsi="Times New Roman" w:cs="Times New Roman"/>
          <w:color w:val="000000"/>
          <w:kern w:val="0"/>
          <w:sz w:val="24"/>
          <w:szCs w:val="24"/>
          <w:lang w:eastAsia="zh-CN"/>
        </w:rPr>
        <w:t>钱海汇</w:t>
      </w:r>
      <w:r>
        <w:rPr>
          <w:rFonts w:hint="default" w:ascii="Times New Roman" w:hAnsi="Times New Roman" w:cs="Times New Roman"/>
          <w:color w:val="000000"/>
          <w:kern w:val="0"/>
          <w:sz w:val="24"/>
          <w:szCs w:val="24"/>
        </w:rPr>
        <w:t>，电话、传真：0579-89295179。</w:t>
      </w:r>
    </w:p>
    <w:p>
      <w:pPr>
        <w:widowControl w:val="0"/>
        <w:spacing w:line="400" w:lineRule="exac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5.4、为确保招投标活动的公开、公平、公正，切实维护各方合法权益，凡在招标投标、开标评标过程中，受到敲诈、勒索或发现围标串标、虚假投标、恶意竞标等涉黑涉恶线索者，请及时保留相关证据并向有关部门举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举报电话：金华市公共资源交易中心永康市分中心  0579-89295193</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b/>
          <w:bCs/>
          <w:kern w:val="0"/>
          <w:sz w:val="30"/>
          <w:szCs w:val="30"/>
        </w:rPr>
      </w:pPr>
      <w:r>
        <w:rPr>
          <w:rFonts w:hint="default" w:ascii="Times New Roman" w:hAnsi="Times New Roman" w:eastAsia="黑体" w:cs="Times New Roman"/>
          <w:b/>
          <w:bCs/>
          <w:kern w:val="0"/>
          <w:sz w:val="30"/>
          <w:szCs w:val="30"/>
        </w:rPr>
        <w:br w:type="page"/>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b/>
          <w:bCs/>
          <w:kern w:val="0"/>
          <w:sz w:val="30"/>
          <w:szCs w:val="30"/>
        </w:rPr>
      </w:pPr>
      <w:r>
        <w:rPr>
          <w:rFonts w:hint="default" w:ascii="Times New Roman" w:hAnsi="Times New Roman" w:eastAsia="黑体" w:cs="Times New Roman"/>
          <w:b/>
          <w:bCs/>
          <w:kern w:val="0"/>
          <w:sz w:val="30"/>
          <w:szCs w:val="30"/>
        </w:rPr>
        <w:t>二、招标文件的说明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1、招标文件的构成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1.1招标文件用以阐明所需供货、服务、招标程序和合同条款。招标文件由下述部分组成：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（1）招标公告</w:t>
      </w:r>
    </w:p>
    <w:p>
      <w:pPr>
        <w:widowControl w:val="0"/>
        <w:tabs>
          <w:tab w:val="left" w:pos="0"/>
        </w:tabs>
        <w:snapToGrid w:val="0"/>
        <w:spacing w:line="400" w:lineRule="exac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（2）投标人须知</w:t>
      </w:r>
    </w:p>
    <w:p>
      <w:pPr>
        <w:widowControl w:val="0"/>
        <w:tabs>
          <w:tab w:val="left" w:pos="0"/>
        </w:tabs>
        <w:snapToGrid w:val="0"/>
        <w:spacing w:line="400" w:lineRule="exac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（3）开标和评标须知</w:t>
      </w:r>
    </w:p>
    <w:p>
      <w:pPr>
        <w:widowControl w:val="0"/>
        <w:snapToGrid w:val="0"/>
        <w:spacing w:line="400" w:lineRule="exac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（4）货物需求一览表及技术商务要求</w:t>
      </w:r>
    </w:p>
    <w:p>
      <w:pPr>
        <w:widowControl w:val="0"/>
        <w:tabs>
          <w:tab w:val="left" w:pos="0"/>
        </w:tabs>
        <w:snapToGrid w:val="0"/>
        <w:spacing w:line="400" w:lineRule="exac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（5）附件—投标文件格式</w:t>
      </w:r>
    </w:p>
    <w:p>
      <w:pPr>
        <w:widowControl w:val="0"/>
        <w:tabs>
          <w:tab w:val="left" w:pos="6300"/>
        </w:tabs>
        <w:snapToGrid w:val="0"/>
        <w:spacing w:line="400" w:lineRule="exac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（6）永康市政府采购合同（样本）</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1.2除非有特殊要求，招标文件不单独提供采购地的自然环境气候条件、公用设施等情况，投标人被视为熟悉上述与履行合同有关的一切情况。</w:t>
      </w:r>
    </w:p>
    <w:p>
      <w:pPr>
        <w:widowControl w:val="0"/>
        <w:tabs>
          <w:tab w:val="left" w:pos="0"/>
        </w:tabs>
        <w:snapToGrid w:val="0"/>
        <w:spacing w:line="400" w:lineRule="exact"/>
        <w:rPr>
          <w:rFonts w:hint="default" w:ascii="Times New Roman" w:hAnsi="Times New Roman" w:cs="Times New Roman"/>
          <w:color w:val="auto"/>
        </w:rPr>
      </w:pPr>
      <w:r>
        <w:rPr>
          <w:rFonts w:hint="default" w:ascii="Times New Roman" w:hAnsi="Times New Roman" w:cs="Times New Roman"/>
          <w:color w:val="auto"/>
          <w:kern w:val="0"/>
          <w:sz w:val="24"/>
          <w:szCs w:val="24"/>
        </w:rPr>
        <w:t>1.3</w:t>
      </w:r>
      <w:r>
        <w:rPr>
          <w:rFonts w:hint="default" w:ascii="Times New Roman" w:hAnsi="Times New Roman" w:cs="Times New Roman"/>
          <w:color w:val="auto"/>
          <w:sz w:val="24"/>
          <w:szCs w:val="24"/>
        </w:rPr>
        <w:t>本文件中打“▲”号的条款视作强制要求或必须满足的条件和资料，不允许有负偏离或缺失，投标人必须满足，否则该投标将导致无效。</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2、招标文件的澄清与修改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2.1、投标人应认真阅读本招标文件，发现其中有误或有不合理要求的，投标人应当于公告发布之日起至公告期限满第7个工作日内以书面形式向招标方提出。招标方将在规定的时间内，在浙江政府采购网上发布更正公告。逾期提出招标方将不予受理。</w:t>
      </w:r>
      <w:r>
        <w:rPr>
          <w:rFonts w:hint="default" w:ascii="Times New Roman" w:hAnsi="Times New Roman" w:cs="Times New Roman"/>
          <w:color w:val="000000"/>
          <w:sz w:val="24"/>
          <w:szCs w:val="24"/>
        </w:rPr>
        <w:t>编制的投标文件对招标文件中有关条款未提出异议的，均被视为接受和同意。</w:t>
      </w:r>
    </w:p>
    <w:p>
      <w:pPr>
        <w:widowControl w:val="0"/>
        <w:spacing w:line="400" w:lineRule="exact"/>
        <w:rPr>
          <w:rFonts w:hint="default" w:ascii="Times New Roman" w:hAnsi="Times New Roman" w:cs="Times New Roman"/>
          <w:kern w:val="0"/>
          <w:sz w:val="24"/>
          <w:szCs w:val="24"/>
        </w:rPr>
      </w:pPr>
      <w:r>
        <w:rPr>
          <w:rFonts w:hint="default" w:ascii="Times New Roman" w:hAnsi="Times New Roman" w:cs="Times New Roman"/>
          <w:kern w:val="0"/>
          <w:sz w:val="24"/>
          <w:szCs w:val="24"/>
        </w:rPr>
        <w:t>2.2、招标方主动进行的澄清、修改：招标方无论出于何种原因，均可主动对招标文件中的相关事项，用补充文件等方式进行澄清和修改。</w:t>
      </w:r>
    </w:p>
    <w:p>
      <w:pPr>
        <w:widowControl w:val="0"/>
        <w:spacing w:line="400" w:lineRule="exact"/>
        <w:rPr>
          <w:rFonts w:hint="default" w:ascii="Times New Roman" w:hAnsi="Times New Roman" w:cs="Times New Roman"/>
          <w:kern w:val="0"/>
          <w:sz w:val="24"/>
          <w:szCs w:val="24"/>
        </w:rPr>
      </w:pPr>
      <w:r>
        <w:rPr>
          <w:rFonts w:hint="default" w:ascii="Times New Roman" w:hAnsi="Times New Roman" w:cs="Times New Roman"/>
          <w:kern w:val="0"/>
          <w:sz w:val="24"/>
          <w:szCs w:val="24"/>
        </w:rPr>
        <w:t>2.3、招标文件澄清、答复、修改、补充的内容为招标文件的组成部分。当招标文件与招标文件的答复、澄清、修改、补充通知就同一内容的表述不一致时，以最后发出的书面文件为准。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2.4为使投标人准备投标时有充分时间对招标文件的修改部分进行研究，采购代理机构可适当延长投标截止期。</w:t>
      </w:r>
    </w:p>
    <w:p>
      <w:pPr>
        <w:pStyle w:val="17"/>
        <w:rPr>
          <w:rFonts w:hint="default" w:ascii="Times New Roman" w:hAnsi="Times New Roman" w:cs="Times New Roman"/>
        </w:rPr>
      </w:pPr>
      <w:r>
        <w:rPr>
          <w:rFonts w:hint="default" w:ascii="Times New Roman" w:hAnsi="Times New Roman" w:cs="Times New Roman"/>
        </w:rPr>
        <w:br w:type="page"/>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三、投标文件的编制及投标</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1、编制要求</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1.1投标人应仔细阅读招标文件，了解招标文件的要求。在完全了解招标项目的技术要求和商务要求后，编制投标文件。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1.2投标人必须按招标文件的要求提供相关资料，并对招标文件中提出的所有内容要求给予实质性响应，须保证投标文件的准确、真实、明确。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2、投标的语言及计量单位</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2.1.投标文件以及投标人与招标方就有关投标事宜的所有来往函电，均应以中文简体字书写。除签名、盖章、专用名称等特殊情形外，投标文件中以中文汉语以外的文字表述部分视同未提供。</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2.2投标计量单位，招标文件已有明确规定的，使用招标文件规定的计量单位；招标文件没有规定的，应采用中华人民共和国法定计量单位（货币单位：人民币元），否则将作无效标处理。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3、投标文件构成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3.1本项目所称投标文件系指电子投标文件或备份投标文件。投标文件需按照本招标文件和电子交易平台的要求制作、加密并递交。</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3.2电子投标文件每个标项由</w:t>
      </w:r>
      <w:r>
        <w:rPr>
          <w:rFonts w:hint="default" w:ascii="Times New Roman" w:hAnsi="Times New Roman" w:cs="Times New Roman"/>
          <w:color w:val="FF0000"/>
          <w:kern w:val="0"/>
          <w:sz w:val="24"/>
          <w:szCs w:val="24"/>
        </w:rPr>
        <w:t>资格文件、技术商务文件、投标报价文件</w:t>
      </w:r>
      <w:r>
        <w:rPr>
          <w:rFonts w:hint="default" w:ascii="Times New Roman" w:hAnsi="Times New Roman" w:cs="Times New Roman"/>
          <w:kern w:val="0"/>
          <w:sz w:val="24"/>
          <w:szCs w:val="24"/>
        </w:rPr>
        <w:t>三部分组成，具体详见“第五章  投标文件格式附件”。备份投标文件的组成和内容等同电子投标文件。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3.3法定代表人授权委托书、投标声明书、投标承诺函、投标报价明细表必须按招标文件格式要求正确签署并加盖投标人公章。投标文件中所须加盖公章部分均采用CA签章。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4、投标文件的签署和包装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4.1.电子投标文件部分：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 投标人应根据本招标文件和电子交易平台规定的格式和顺序编制电子投标文件并进行关联定位。投标文件内容不完整、编排混乱、关联错误导致投标文件被误读、漏读或者查找不到相关内容的，所产生的后果由投标人承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（2）投标文件须由投标人在规定位置盖章并由法定代表人或法定代表人的授权委托人签署，投标人应写全称。</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（3）投标文件不得涂改，若有修改错漏处，须加盖投标人公章或者法定代表人或授权委托人签名或盖章。投标文件因字迹潦草或表达不清所引起的后果由投标人负责。</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4.2.投标人选择递交备份投标文件，备份投标文件另须满足以下条件：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 xml:space="preserve">（1）储存形式：U盘、DVD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密封要求：外包装封面上应注明投标人名称、投标人地址、投标人联系方式（授权代表手机）、投标文件名称（备份投标文件）、投标项目名称、项目编号、标项及“开标时启封”字样，并加盖投标人公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5、</w:t>
      </w:r>
      <w:r>
        <w:rPr>
          <w:rFonts w:hint="default" w:ascii="Times New Roman" w:hAnsi="Times New Roman" w:cs="Times New Roman"/>
          <w:b/>
          <w:bCs/>
          <w:color w:val="FF0000"/>
          <w:kern w:val="0"/>
          <w:sz w:val="24"/>
          <w:szCs w:val="24"/>
        </w:rPr>
        <w:t>投标人资格的有关证明资料（资格文件）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5.1内容包括：</w:t>
      </w:r>
    </w:p>
    <w:p>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投标声明书 (格式见附件)；</w:t>
      </w:r>
    </w:p>
    <w:p>
      <w:pPr>
        <w:pStyle w:val="17"/>
        <w:spacing w:line="360" w:lineRule="auto"/>
        <w:ind w:left="0" w:leftChars="0" w:firstLine="0" w:firstLineChars="0"/>
        <w:rPr>
          <w:rFonts w:hint="default" w:ascii="Times New Roman" w:hAnsi="Times New Roman" w:cs="Times New Roman"/>
        </w:rPr>
      </w:pPr>
      <w:r>
        <w:rPr>
          <w:rFonts w:hint="default" w:ascii="Times New Roman" w:hAnsi="Times New Roman" w:cs="Times New Roman"/>
          <w:kern w:val="0"/>
          <w:sz w:val="24"/>
          <w:szCs w:val="24"/>
        </w:rPr>
        <w:t>（2）《投标承诺函》（格式见附件）；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（3）法定代表人授权委托书(格式见附件)；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（4）提供有效的营业执照复印件并加盖公司公章；事业单位的，则提供有效的《事业单位法人证书》副本复印件并加盖单位公章；自然人的，则提供有效的身份证复印件并签字；</w:t>
      </w:r>
    </w:p>
    <w:p>
      <w:pPr>
        <w:pStyle w:val="13"/>
        <w:rPr>
          <w:rFonts w:hint="default" w:ascii="Times New Roman" w:hAnsi="Times New Roman" w:cs="Times New Roman"/>
          <w:kern w:val="0"/>
          <w:sz w:val="24"/>
          <w:szCs w:val="24"/>
        </w:rPr>
      </w:pPr>
      <w:r>
        <w:rPr>
          <w:rFonts w:hint="default" w:ascii="Times New Roman" w:hAnsi="Times New Roman" w:cs="Times New Roman"/>
          <w:kern w:val="0"/>
          <w:sz w:val="24"/>
          <w:szCs w:val="24"/>
          <w:lang w:val="en-US" w:eastAsia="zh-CN"/>
        </w:rPr>
        <w:t>（5）《中小企业声明函》；</w:t>
      </w:r>
    </w:p>
    <w:p>
      <w:pPr>
        <w:pStyle w:val="2"/>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）联合投标协议书（若需要）；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（7）联合投标授权委托书（若需要）；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（8）提供采购公告中符合投标人特定条件要求的有效的其他资质复印件并加盖公司公章及需要说明的资料。</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6、拟供货物及服务合格性符合招标文件的有关资料（技术商务文件）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6.1内容包括：</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（1）评分对应表（格式见附件，主要用于评委对应评分内容）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（2）投标项目明细清单（含货物、服务等）；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（3）技术响应表（格式见附件）；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（4）项目总体解决方案（可包含且不限于对项目总体要求的理解、项目总体架构及技术解决方案等）；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（5）项目实施计划（可包含且不限于保证工期的施工组织方案及人力资源安排、项目组人员清单等）；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（6）列入政府采购节能环保清单的证明资料（若有）；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（7）商务响应表（格式见附件）；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（8）售后服务计划（可包含且不限于对用户故障的响应、处理、定期巡检、备品备件、常用耗材提供、驻点人员情况等）；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（9）技术培训计划（若有）；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（10）投标人履约能力（可包含且不限于技术力量情况、投标人各项能力证书）；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（11）案例的业绩证明（投标人业绩情况一览表、合同复印件等）；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（12）投标人认为需要的其他文件资料。</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6.2证明响应内容和服务与招标文件的要求相一致的资料，可以是文字资料、表格、图纸和数据，它包括：</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（1）响应内容主要服务性质的详细说明。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（2）对照招标文件服务与商务要求，逐条说明所提供服务已对采购人的要求做出了实质性响应，若有偏离的均应在规范偏离表中提出。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（3）特别对于有具体要求的内容，投标人必须提供具体说明。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投标人在阐述上述内容时应注意采购人和采购代理机构在服务与商务要求中指出的要求、规范仅起说明作用，并没有任何限制投标人在投标中可以选用替代规范，但这些替代要实质上相当于招标文件的要求，并使采购人满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6.3编制的投标文件对招标文件中有关条款未提出异议的，均被视为接受和同意。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6.4投标人应根据“政采云供应商项目采购-电子招投标操作指南”及本招标文件规定</w:t>
      </w:r>
      <w:r>
        <w:rPr>
          <w:rFonts w:hint="default" w:ascii="Times New Roman" w:hAnsi="Times New Roman" w:cs="Times New Roman"/>
          <w:color w:val="FF0000"/>
          <w:kern w:val="0"/>
          <w:sz w:val="24"/>
          <w:szCs w:val="24"/>
        </w:rPr>
        <w:t>编制电子投标文件并进行评分条款对应的关联定位</w:t>
      </w:r>
      <w:r>
        <w:rPr>
          <w:rFonts w:hint="default" w:ascii="Times New Roman" w:hAnsi="Times New Roman" w:cs="Times New Roman"/>
          <w:kern w:val="0"/>
          <w:sz w:val="24"/>
          <w:szCs w:val="24"/>
        </w:rPr>
        <w:t>，以便评标委员会在评标时，点击评分项，可直接定位到该评分项内容。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sz w:val="24"/>
          <w:szCs w:val="24"/>
        </w:rPr>
      </w:pPr>
      <w:r>
        <w:rPr>
          <w:rFonts w:hint="default" w:ascii="Times New Roman" w:hAnsi="Times New Roman" w:cs="Times New Roman"/>
          <w:b/>
          <w:bCs/>
          <w:kern w:val="0"/>
          <w:sz w:val="24"/>
          <w:szCs w:val="24"/>
        </w:rPr>
        <w:t>7、投标书及投标报价（投标报价文件）</w:t>
      </w:r>
    </w:p>
    <w:p>
      <w:pPr>
        <w:pStyle w:val="22"/>
        <w:snapToGrid w:val="0"/>
        <w:spacing w:line="460" w:lineRule="exact"/>
        <w:ind w:left="0" w:leftChars="0"/>
        <w:rPr>
          <w:rFonts w:hint="default" w:ascii="Times New Roman" w:hAnsi="Times New Roman" w:cs="Times New Roman"/>
          <w:kern w:val="0"/>
          <w:sz w:val="24"/>
          <w:szCs w:val="24"/>
        </w:rPr>
      </w:pPr>
      <w:r>
        <w:rPr>
          <w:rFonts w:hint="default" w:ascii="Times New Roman" w:hAnsi="Times New Roman" w:cs="Times New Roman"/>
          <w:sz w:val="24"/>
          <w:szCs w:val="24"/>
        </w:rPr>
        <w:t>7.1</w:t>
      </w:r>
      <w:r>
        <w:rPr>
          <w:rFonts w:hint="default" w:ascii="Times New Roman" w:hAnsi="Times New Roman" w:eastAsia="宋体" w:cs="Times New Roman"/>
          <w:sz w:val="24"/>
          <w:szCs w:val="24"/>
        </w:rPr>
        <w:t>内容包括：</w:t>
      </w:r>
    </w:p>
    <w:p>
      <w:pPr>
        <w:pStyle w:val="22"/>
        <w:snapToGrid w:val="0"/>
        <w:spacing w:line="460" w:lineRule="exact"/>
        <w:ind w:left="0" w:left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（1）投标报价明细表（格式见附件）；</w:t>
      </w:r>
    </w:p>
    <w:p>
      <w:pPr>
        <w:pStyle w:val="22"/>
        <w:snapToGrid w:val="0"/>
        <w:spacing w:line="460" w:lineRule="exact"/>
        <w:ind w:left="0" w:left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（2）投标人针对报价需要说明的其他文件和说明（格式自拟）；</w:t>
      </w:r>
    </w:p>
    <w:p>
      <w:pPr>
        <w:snapToGrid w:val="0"/>
        <w:spacing w:line="460" w:lineRule="exact"/>
        <w:jc w:val="left"/>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（3）</w:t>
      </w:r>
      <w:r>
        <w:rPr>
          <w:rFonts w:hint="default" w:ascii="Times New Roman" w:hAnsi="Times New Roman" w:cs="Times New Roman"/>
          <w:sz w:val="24"/>
          <w:szCs w:val="24"/>
          <w:lang w:eastAsia="zh-CN"/>
        </w:rPr>
        <w:t>关于符合本国产品标准的声明函。</w:t>
      </w:r>
    </w:p>
    <w:p>
      <w:pPr>
        <w:widowControl w:val="0"/>
        <w:spacing w:line="400" w:lineRule="exact"/>
        <w:rPr>
          <w:rFonts w:hint="default" w:ascii="Times New Roman" w:hAnsi="Times New Roman" w:cs="Times New Roman"/>
          <w:sz w:val="24"/>
          <w:szCs w:val="24"/>
          <w:shd w:val="pct10" w:color="auto" w:fill="FFFFFF"/>
        </w:rPr>
      </w:pPr>
      <w:r>
        <w:rPr>
          <w:rFonts w:hint="default" w:ascii="Times New Roman" w:hAnsi="Times New Roman" w:cs="Times New Roman"/>
          <w:sz w:val="24"/>
          <w:szCs w:val="24"/>
        </w:rPr>
        <w:t>7.2投标人应在招标文件所附的投标报价一览表上写明提供货物的单价和总价。投标人对每种项目只允许有一个报价，采购人不接受任何有选择性的报价。</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7.3投标报价以人民币为结算货币，须包括完成本次招标项目中的所有服务内容、连带内容、关联内容及合同中明示或暗示的所有一般风险、责任和义务等一切应由采购人支付的费用。</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7.4填写报价一览表时应注意下列几点：</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（1）投标文件只允许有一个报价，投标报价应按招标文件中相关附表格式填报，该投标报价应与明细报价汇总相等，且不允许出现报价优惠等字样（明细出现“0”元，视同赠送，按无效标处理）。</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2）投标报价应包含项目所需全部产品、服务，不得缺漏，是履行合同的最终价格（含货款、标准附件、备品备件、专用工具、包装、运输、装卸、保险、货到就位以及安装、调试、培训、保修等和费用，本项目不含车辆购置税）。</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（3）投标报价金额到元为止，如投标报价总价出现角、分，将被抹除。</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7.5投标人应在“政府采购云平台”中填写报价，报价应与上传的报价文件一致，如有不一致，以上传的报价文件中报价为准。</w:t>
      </w:r>
    </w:p>
    <w:p>
      <w:pPr>
        <w:widowControl w:val="0"/>
        <w:spacing w:line="400" w:lineRule="exact"/>
        <w:rPr>
          <w:rFonts w:hint="default" w:ascii="Times New Roman" w:hAnsi="Times New Roman" w:cs="Times New Roman"/>
          <w:sz w:val="24"/>
          <w:szCs w:val="24"/>
        </w:rPr>
      </w:pPr>
      <w:r>
        <w:rPr>
          <w:rFonts w:hint="default" w:ascii="Times New Roman" w:hAnsi="Times New Roman" w:cs="Times New Roman"/>
          <w:sz w:val="24"/>
          <w:szCs w:val="24"/>
        </w:rPr>
        <w:t>7.6投标人特别要求的其它附带服务的费用，投标人如不填写，将被视为已汇总到投标总价之中。</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rPr>
      </w:pPr>
      <w:r>
        <w:rPr>
          <w:rFonts w:hint="default" w:ascii="Times New Roman" w:hAnsi="Times New Roman" w:cs="Times New Roman"/>
          <w:sz w:val="24"/>
          <w:szCs w:val="24"/>
        </w:rPr>
        <w:t>7.7采购人和采购代理机构不接受招标项目范围内的捐赠。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8、在线演示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8.1如招标文件中设有演示环节，则供应商通过电子交易平台（政采云系统）嵌入的第三方视频会议系统在线向专家进行讲解、演示、答疑。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8.2演示开始时间由评审小组在项目评审期间以在线短信或电话方式通知各投标人，故各投标人应在项目评审期间保持通讯工具的畅通并随时关注。</w:t>
      </w:r>
    </w:p>
    <w:p>
      <w:pPr>
        <w:pStyle w:val="8"/>
        <w:spacing w:line="360" w:lineRule="auto"/>
        <w:ind w:firstLine="0"/>
        <w:rPr>
          <w:rFonts w:hint="default" w:ascii="Times New Roman" w:hAnsi="Times New Roman" w:cs="Times New Roman"/>
          <w:color w:val="auto"/>
        </w:rPr>
      </w:pPr>
      <w:r>
        <w:rPr>
          <w:rFonts w:hint="default" w:ascii="Times New Roman" w:hAnsi="Times New Roman" w:cs="Times New Roman"/>
          <w:color w:val="auto"/>
          <w:kern w:val="0"/>
          <w:sz w:val="24"/>
          <w:szCs w:val="24"/>
        </w:rPr>
        <w:t>8.3演示时供应商应自备电脑、摄像头、耳麦等演示所必备的硬件及演示内容。由于自身设备原因无法正常完成在线演示的，后果由投标人自行承担。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9、投标有效期</w:t>
      </w:r>
    </w:p>
    <w:p>
      <w:pPr>
        <w:widowControl w:val="0"/>
        <w:snapToGrid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9.1.自投标截止日起90天内投标文件应保持有效。有效期不足的投标文件将作无效标处理。</w:t>
      </w:r>
    </w:p>
    <w:p>
      <w:pPr>
        <w:widowControl w:val="0"/>
        <w:snapToGrid w:val="0"/>
        <w:spacing w:line="360" w:lineRule="auto"/>
        <w:rPr>
          <w:rFonts w:hint="default" w:ascii="Times New Roman" w:hAnsi="Times New Roman" w:cs="Times New Roman"/>
          <w:kern w:val="0"/>
          <w:sz w:val="24"/>
          <w:szCs w:val="24"/>
        </w:rPr>
      </w:pPr>
      <w:r>
        <w:rPr>
          <w:rFonts w:hint="default" w:ascii="Times New Roman" w:hAnsi="Times New Roman" w:cs="Times New Roman"/>
          <w:kern w:val="0"/>
          <w:sz w:val="24"/>
          <w:szCs w:val="24"/>
        </w:rPr>
        <w:t>9.2.中标供应商的投标文件自开标之日起至合同履行完毕止均应保持有效。</w:t>
      </w:r>
    </w:p>
    <w:p>
      <w:pPr>
        <w:widowControl w:val="0"/>
        <w:snapToGrid w:val="0"/>
        <w:spacing w:line="500" w:lineRule="exac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10.投标文件的形式</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投标文件为电子投标文件。电子投标文件按政采云平台供应商项目采购-电子招投标操作指南（网址：https://help.zcygov.cn/web/site_2/2018/12-28/2573.html）及本招标文件要求制作、加密并递交。</w:t>
      </w:r>
    </w:p>
    <w:p>
      <w:pPr>
        <w:widowControl w:val="0"/>
        <w:snapToGrid w:val="0"/>
        <w:spacing w:line="500" w:lineRule="exac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11. 提交投标文件</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11.1电子投标文件传输提交</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投标人应当在投标截止时间前完成电子投标文件的传输提交至政府采购云平台（https://zfcg.czt.zj.gov.cn/），投标截止时间前未完成传输提交的，视为未提交投标文件。投标截止时间以后传输提交的投标文件，将被拒收。投标截止时间前可以补充、修改或者撤回电子投标文件。补充或者修改电子投标文件的，应当先行撤回原文件，补充、修改后重新传输递交。投标截止时间前未完成传输的，视为撤回投标文件。</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11.2备份电子投标文件提交</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如认为需要，投标人可以选择递交备份投标文件，采用数据电文形式，以U盘或DVD光盘形式存储，并在投标截止时间前，通过邮寄方式，送达指定地点，逾期送达或未密封将被拒收。</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color w:val="auto"/>
          <w:kern w:val="0"/>
          <w:sz w:val="24"/>
          <w:szCs w:val="24"/>
        </w:rPr>
        <w:t>投标文件收件填写人：</w:t>
      </w:r>
      <w:r>
        <w:rPr>
          <w:rFonts w:hint="default" w:ascii="Times New Roman" w:hAnsi="Times New Roman" w:cs="Times New Roman"/>
          <w:color w:val="auto"/>
          <w:kern w:val="0"/>
          <w:sz w:val="24"/>
          <w:szCs w:val="24"/>
          <w:lang w:eastAsia="zh-CN"/>
        </w:rPr>
        <w:t>朱华琳</w:t>
      </w:r>
      <w:r>
        <w:rPr>
          <w:rFonts w:hint="default" w:ascii="Times New Roman" w:hAnsi="Times New Roman" w:cs="Times New Roman"/>
          <w:color w:val="auto"/>
          <w:kern w:val="0"/>
          <w:sz w:val="24"/>
          <w:szCs w:val="24"/>
        </w:rPr>
        <w:t>，联系方式：0579-89295177，收件地址：永康市五湖路1号国际会展中心办公楼六楼</w:t>
      </w:r>
      <w:r>
        <w:rPr>
          <w:rFonts w:hint="default" w:ascii="Times New Roman" w:hAnsi="Times New Roman" w:cs="Times New Roman"/>
          <w:color w:val="FF0000"/>
          <w:kern w:val="0"/>
          <w:sz w:val="24"/>
          <w:szCs w:val="24"/>
        </w:rPr>
        <w:t xml:space="preserve"> </w:t>
      </w:r>
      <w:r>
        <w:rPr>
          <w:rFonts w:hint="default" w:ascii="Times New Roman" w:hAnsi="Times New Roman" w:cs="Times New Roman"/>
          <w:kern w:val="0"/>
          <w:sz w:val="24"/>
          <w:szCs w:val="24"/>
        </w:rPr>
        <w:t>，收件时间上午08:30-11:30 下午：14:00-17:00。备份电子投标文件仅在在线解密异常处理时使用。投标文件已按时解密的，备份电子投标文件自动失效。</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11.3投标人提交的投标文件均不予退还。</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11.4 逾期传输的或逾期送达的或者未送达指定地点的投标文件，采购人将不予受理。</w:t>
      </w:r>
    </w:p>
    <w:p>
      <w:pPr>
        <w:widowControl w:val="0"/>
        <w:snapToGrid w:val="0"/>
        <w:spacing w:line="500" w:lineRule="exac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12.采购过程中的异常情况及处理措施</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采购过程中出现以下情形，导致电子交易平台无法正常运行，或者无法保证电子交易的公平、公正和安全时，招标方可中止电子交易活动：</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（1）电子交易平台发生故障而无法登录访问的；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（2）电子交易平台应用或数据库出现错误，不能进行正常操作的；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（3）电子交易平台发现严重安全漏洞，有潜在泄密危险的；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（4）病毒发作导致不能进行正常操作的；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（5）其他无法保证电子交易的公平、公正和安全的情况。</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出现前款规定情形，不影响采购公平、公正性的，招标方可以待上述情形消除后继续组织电子交易活动，也可以决定某些环节以纸质形式进行；影响或可能影响采购公平、公正性的，应当重新采购。</w:t>
      </w:r>
    </w:p>
    <w:p>
      <w:pPr>
        <w:pageBreakBefore/>
        <w:widowControl w:val="0"/>
        <w:snapToGrid w:val="0"/>
        <w:spacing w:line="500" w:lineRule="exact"/>
        <w:ind w:firstLine="601" w:firstLineChars="200"/>
        <w:jc w:val="center"/>
        <w:rPr>
          <w:rFonts w:hint="default" w:ascii="Times New Roman" w:hAnsi="Times New Roman" w:cs="Times New Roman"/>
          <w:kern w:val="0"/>
          <w:sz w:val="24"/>
          <w:szCs w:val="24"/>
        </w:rPr>
      </w:pPr>
      <w:r>
        <w:rPr>
          <w:rFonts w:hint="default" w:ascii="Times New Roman" w:hAnsi="Times New Roman" w:cs="Times New Roman"/>
          <w:b/>
          <w:bCs/>
          <w:kern w:val="0"/>
          <w:sz w:val="30"/>
          <w:szCs w:val="30"/>
        </w:rPr>
        <w:t>四、开标、评标及合同签订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hint="default" w:ascii="Times New Roman" w:hAnsi="Times New Roman" w:cs="Times New Roman"/>
          <w:color w:val="000000"/>
          <w:kern w:val="0"/>
          <w:sz w:val="24"/>
          <w:szCs w:val="24"/>
        </w:rPr>
      </w:pPr>
    </w:p>
    <w:p>
      <w:pPr>
        <w:widowControl w:val="0"/>
        <w:snapToGrid w:val="0"/>
        <w:spacing w:line="500" w:lineRule="exact"/>
        <w:jc w:val="left"/>
        <w:rPr>
          <w:rFonts w:hint="default" w:ascii="Times New Roman" w:hAnsi="Times New Roman" w:cs="Times New Roman"/>
          <w:b/>
          <w:bCs/>
          <w:kern w:val="0"/>
          <w:sz w:val="24"/>
          <w:szCs w:val="24"/>
          <w:lang w:val="zh-CN"/>
        </w:rPr>
      </w:pPr>
      <w:r>
        <w:rPr>
          <w:rFonts w:hint="default" w:ascii="Times New Roman" w:hAnsi="Times New Roman" w:cs="Times New Roman"/>
          <w:b/>
          <w:bCs/>
          <w:kern w:val="0"/>
          <w:sz w:val="24"/>
          <w:szCs w:val="24"/>
          <w:lang w:val="zh-CN"/>
        </w:rPr>
        <w:t>1、开标</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采购代理机构按招标文件规定的时间、地点通过“政府采购云平台”组织开标、开启投标文件，所有投标供应商均应当准时在线参加。投标供应商因未在线参加开标而导致投标文件无法按时解密等一切后果由供应商自行承担。</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1.2、开标流程</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向各投标供应商发出电子加密投标文件【开始解密】通知，由供应商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（2）投标文件解密结束，开启资格文件，进入资格审查环节，采购人代表或由采购人委托的评标委员会依法对投标供应商的资格进行审查，具体见本章节“投标供应商资格审查”相关规定。</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（3）开启资格审查通过的投标供应商的商务技术文件进入符合性审查及商务技术评审；</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符合性审查、商务技术评审结束后，开启符合性审查、商务技术评审有效投标供应商的报价文件。由评标委员会对报价文件的符合性等进行审查核实。投标供应商在线制作投标文件时《开标一览表》中填写的金额与解密后“电子加密投标文件”中《开标一览表》填写的金额不一致的，以解密后“电子加密投标文件”中《开标一览表》填写的金额为准，投标供应商拒绝接受此调整的，按无效投标处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开标时，报价文件中投标报价出现前后不一致的，按照下列规定修正：</w:t>
      </w:r>
    </w:p>
    <w:p>
      <w:pPr>
        <w:widowControl w:val="0"/>
        <w:numPr>
          <w:ilvl w:val="0"/>
          <w:numId w:val="8"/>
        </w:numPr>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color w:val="auto"/>
          <w:kern w:val="0"/>
          <w:sz w:val="24"/>
          <w:szCs w:val="24"/>
          <w:highlight w:val="none"/>
        </w:rPr>
        <w:t>如投标人在政府采购云平台填写的投标报价与投标文件报价文件中开标一览表（报价表）不一致的，以报价文件中开标一览表（报价表）为准。投标文件中价格全部采用人民币报价</w:t>
      </w:r>
      <w:r>
        <w:rPr>
          <w:rFonts w:hint="default" w:ascii="Times New Roman" w:hAnsi="Times New Roman" w:cs="Times New Roman"/>
          <w:color w:val="auto"/>
          <w:kern w:val="0"/>
          <w:sz w:val="24"/>
          <w:szCs w:val="24"/>
          <w:highlight w:val="none"/>
          <w:lang w:eastAsia="zh-CN"/>
        </w:rPr>
        <w:t>；</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（二）大写金额和小写金额不一致的，以大写金额为准；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（三）单价金额小数点或者百分比有明显错位的，以开标一览表的总价为准，并修改单价；</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（四）总价金额与按单价汇总金额不一致的，以单价金额计算结果为准。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同时出现两种以上不一致的，按照前款规定的顺序修正。修正后的报价按照《政府采购货物和服务招标投标管理办法》（财政部令第87号）第五十一条第二款的规定经投标供应商确认后产生约束力，投标供应商不确认的，其投标无效。</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w:t>
      </w:r>
      <w:r>
        <w:rPr>
          <w:rFonts w:hint="default" w:ascii="Times New Roman" w:hAnsi="Times New Roman" w:cs="Times New Roman"/>
          <w:kern w:val="0"/>
          <w:sz w:val="24"/>
          <w:szCs w:val="24"/>
          <w:lang w:eastAsia="zh-CN"/>
        </w:rPr>
        <w:t>五</w:t>
      </w:r>
      <w:r>
        <w:rPr>
          <w:rFonts w:hint="default" w:ascii="Times New Roman" w:hAnsi="Times New Roman" w:cs="Times New Roman"/>
          <w:kern w:val="0"/>
          <w:sz w:val="24"/>
          <w:szCs w:val="24"/>
        </w:rPr>
        <w:t>）评审结束后，公布采购结果。</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特别说明：如遇“政府采购云平台”电子化开标或评审程序调整的，按调整后程序执行。</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2、投标供应商资格审查</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2.1、开标后，采购人代表或由采购人委托的评标委员会应当依法对投标供应商的资格进行审查，审查各投标供应商的资格是否满足招标文件的要求。采购人或采购人委托的评标委员会对投标供应商所提交的资格证明材料仅负审核的责任。如发现投标供应商所提交的资格证明材料不合法或与事实不符，采购人可取消其中标资格并追究投标供应商的法律责任。</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2.2、投标供应商提交的资格证明材料无法证明其符合招标文件规定的“投标供应商资格要求”的，采购人或采购人委托的评标委员会将对其作资格审查不通过处理（无效投标），并不再将其投标进行后续评审。</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2.3、单位负责人为同一人或者存在直接控股、管理关系的不同供应商参加同一合同项下的政府采购活动的，相关投标供应商均作资格无效处理。</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3、评标</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3.1、评标由依法组建的评标委员会负责，并独立履行下列职责：</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1）审查投标文件是否符合招标文件要求，并作出评价；</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2）要求投标供应商对投标文件有关事项作出解释或者澄清；</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3）按照招标文件确定的评标办法对各投标供应商进行排序，推荐中标候选供应商；综合得分最高的供应商推荐为中标供应商；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4）向采购人推荐综合得分第一名的供应商为中标供应商，并提交评审报告。如果第一名得分相同，以投标报价低的优先；投标报价也相同，则以政采云系统记录的投标文件解密时间排序在前面的优先。</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5）向采购代理机构或者有关部门报告非法干预评标工作的行为。</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3.2、评标应当遵循下列工作程序：</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1）投标文件符合性审查。依据招标文件的规定，从投标文件的有效性、完整性和对招标文件的响应程度进行审查，以确定是否对招标文件的实质性要求作出响应。</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 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3）比较与评价。按招标文件中规定的评标方法和标准，对资格审查和符合性审查合格的投标文件进行商务和技术评估，综合比较与评价。</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3.3、投标供应商存在下列情况之一的，投标无效：</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1）投标文件未按招标文件要求签署或CA电子签章的；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2）不具备招标文件中规定的资格要求的；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3）报价超过招标文件中规定的预算金额或者最高限价的；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4）供应商递交两份或两份以上内容不同的投标文件，未声明哪一份有效的；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5）对关键条文的偏离、保留或反对，例如关于付款方式、服务期、适用法律法规、标准、税费等其他内容；</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6）存在串标、抬标或弄虚作假情况的；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7）参与本项目的不同供应商单位负责人为同一人或者存在直接控股、管理关系的；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8）供应商的资格文件或者商务技术文件中出现投标报价的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9）投标供应商在线制作投标文件时《开标一览表》中填写的金额与解密后“电子加密投标文件”中《开标一览表》填写的金额不一致并拒绝按招标文件要求接受此调整的；</w:t>
      </w:r>
    </w:p>
    <w:p>
      <w:pPr>
        <w:widowControl w:val="0"/>
        <w:snapToGrid w:val="0"/>
        <w:spacing w:line="500" w:lineRule="exact"/>
        <w:ind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10）法律、法规和招标文件规定的其他无效情形（或出现重大偏差）。</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11)不同投标人被政采云系统识别为硬件设备或 IP 地址相同。</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12)不同投标人被政采云系统识别为投标行为异常，即两家投标人累计超过30次以上共同投标，且其中一家中标率为0%。</w:t>
      </w:r>
    </w:p>
    <w:p>
      <w:pPr>
        <w:widowControl w:val="0"/>
        <w:snapToGrid w:val="0"/>
        <w:spacing w:line="500" w:lineRule="exact"/>
        <w:ind w:firstLine="480" w:firstLineChars="200"/>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w:t>
      </w:r>
      <w:r>
        <w:rPr>
          <w:rFonts w:hint="default" w:ascii="Times New Roman" w:hAnsi="Times New Roman" w:cs="Times New Roman"/>
          <w:b/>
          <w:bCs/>
          <w:kern w:val="0"/>
          <w:sz w:val="24"/>
          <w:szCs w:val="24"/>
          <w:lang w:val="en-US" w:eastAsia="zh-CN"/>
        </w:rPr>
        <w:t>3</w:t>
      </w:r>
      <w:r>
        <w:rPr>
          <w:rFonts w:hint="default" w:ascii="Times New Roman" w:hAnsi="Times New Roman" w:cs="Times New Roman"/>
          <w:b/>
          <w:bCs/>
          <w:kern w:val="0"/>
          <w:sz w:val="24"/>
          <w:szCs w:val="24"/>
        </w:rPr>
        <w:t>）除政府采购法律法规规定的恶意串通、视同串通投标情形外，在不影响公平竞争的前提下，采购人、采购代理机构应在采购文件中明确规定参与同一个标段(包)的供应商存在下列情形之一的，其投标(响应)文件无效：(一)不同供应商制作电子投标(响应)文件的计算机网卡MAC地址相同的；(二)不同供应商制作电子投标(响应)文件的计算机硬盘序列号相同的；(三)不同供应商的投标(响应)文件的内容存在两处以上细节错误一致，且无法合理解释的。（四）不同供应商联系人为同一人或不同联系人的联系电话一致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3.4 评标委员会发现投标文件有下列情形之一的属于重大偏差(评标委员会按少数服从多数原则认定),按照无效投标处理：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1）未按招标文件要求编制或字迹模糊、辨认不清的投标文件；</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2）除3.3条款以外，明显不符合招标文件要求的规格型号、质量标准，或者与招标文件中标“</w:t>
      </w:r>
      <w:r>
        <w:rPr>
          <w:rFonts w:hint="default" w:ascii="Times New Roman" w:hAnsi="Times New Roman" w:cs="Times New Roman"/>
          <w:color w:val="FF0000"/>
          <w:sz w:val="24"/>
          <w:szCs w:val="24"/>
        </w:rPr>
        <w:t>▲</w:t>
      </w:r>
      <w:r>
        <w:rPr>
          <w:rFonts w:hint="default" w:ascii="Times New Roman" w:hAnsi="Times New Roman" w:cs="Times New Roman"/>
          <w:kern w:val="0"/>
          <w:sz w:val="24"/>
          <w:szCs w:val="24"/>
        </w:rPr>
        <w:t xml:space="preserve">”的技术指标、主要功能项目发生实质性偏离的； </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3）除3.3条款以外，未提供或未如实提供投标货物的技术参数，或者投标文件标明的响应或偏离与事实不符或虚假投标的；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3.5、本次采购，如果投标供应商的投标报价均超出采购预算，本次招标做流标处理。</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3.6、开启投标供应商报价文件后发现价格、数量有误，其投标价将按下述原则处理：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 任何有漏去一些小项货物或服务的投标将被视为其费用已包含在投标总价中，投标价格不予调整。</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 任何有多报一些小项工程或货物的投标其投标价不予调整，如果该投标供应商中标，则合同价格必须为核减掉多报的一些小项工程或货物后的价格。</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3）对于计算错误的其投标价不予调整，如果该投标供应商中标，如其投标价格计算错误导致多报者合同价格予以据实核减，少报者合同价格不予调整。</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4）对于计算错误，多报或漏报的一些小项工程或货物、服务的仅仅为非实质性重大偏差范围内的偏离，并经过评标委员会按少数服从多数原则认定为细微偏差，评审时其投标价不予调整。</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5）供应商不接受上述处理方式，将按无效投标处理。</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3.7、评标委员会认为投标供应商的报价明显低于其他通过符合性审查投标供应商的报价，有可能影响产品质量或者不能诚信履约的，应当要求其在合理的时间内提供说明，必要时提交相关证明材料；投标供应商不能证明其报价合理性的，评标委员会应当将其作为无效投标处理。</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3.8、评标过程中遇到特殊情况，由评标委员会遵循公开、公正原则，采取投票方式按照少数服从多数原则决定。</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3.9、实质上没有响应招标文件要求的投标将被拒绝。评标委员会不得通过询标使投标供应商修正或撤消不合要求的偏离从而使其投标成为实质上响应的投标。</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3.10、评标委员会对投标文件的判定，只依据投标内容本身，不依靠开标后的任何外来证明。</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3.11、评标委员会在评标中，不得改变招标文件中规定的评标标准、方法和中标条件。</w:t>
      </w:r>
    </w:p>
    <w:p>
      <w:pPr>
        <w:widowControl w:val="0"/>
        <w:snapToGrid w:val="0"/>
        <w:spacing w:line="500" w:lineRule="exact"/>
        <w:jc w:val="left"/>
        <w:rPr>
          <w:rFonts w:hint="default" w:ascii="Times New Roman" w:hAnsi="Times New Roman" w:cs="Times New Roman"/>
          <w:kern w:val="0"/>
          <w:sz w:val="24"/>
          <w:szCs w:val="24"/>
          <w:highlight w:val="red"/>
        </w:rPr>
      </w:pPr>
      <w:r>
        <w:rPr>
          <w:rFonts w:hint="default" w:ascii="Times New Roman" w:hAnsi="Times New Roman" w:cs="Times New Roman"/>
          <w:kern w:val="0"/>
          <w:sz w:val="24"/>
          <w:szCs w:val="24"/>
        </w:rPr>
        <w:t>3.12、评标委员会对未中标的供应商不作解释。同时根据政府采购法实施条例第四十条规定，本项目不对各投标供应商公布详细的评审情况。</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4、投标文件的澄清</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4.1、为有利于对投标文件的评审，必要时评标委员会可要求投标供应商对投标文件相关事宜进行澄清。评标委员会将通过“政府采购云平台”在线询标的形式要求投标供应商在规定的时间内作出必要的澄清、说明，供投标供应商澄清、说明时间不多于30分钟，投标供应商未在规定的时间内作出必要的澄清、说明可能导致对其不利的评定。</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4.2、投标供应商的澄清、说明应当通过“政府采购云平台”在线答复形式提交。投标供应商的澄清、说明不得超出投标文件的范围或者改变投标文件的实质性内容。 </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5、有下列情形之一的，视为投标供应商相互串通投标：</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5.1、不同投标供应商的投标文件由同一单位或者个人编制；</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5.2、不同投标供应商委托同一单位或者个人办理投标事宜；</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5.3、不同投标供应商的投标文件载明的项目管理成员为同一人；</w:t>
      </w:r>
    </w:p>
    <w:p>
      <w:pPr>
        <w:widowControl w:val="0"/>
        <w:snapToGrid w:val="0"/>
        <w:spacing w:line="500" w:lineRule="exact"/>
        <w:jc w:val="left"/>
        <w:rPr>
          <w:rFonts w:hint="default" w:ascii="Times New Roman" w:hAnsi="Times New Roman" w:cs="Times New Roman"/>
        </w:rPr>
      </w:pPr>
      <w:r>
        <w:rPr>
          <w:rFonts w:hint="default" w:ascii="Times New Roman" w:hAnsi="Times New Roman" w:cs="Times New Roman"/>
          <w:kern w:val="0"/>
          <w:sz w:val="24"/>
          <w:szCs w:val="24"/>
        </w:rPr>
        <w:t>5.4、不同投标供应商的投标文件异常一致或者投标报价呈规律性差异。</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6、串通投标处理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经评标委员会认定投标供应商进行串通投标的，评标委员会可以对相关投标供应商做出无效投标处理，并上报政府采购管理部门进行进一步处理。</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7、评标原则</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投标截止时或评审过程中有效投标供应商不足三家的，不予开标或评标。</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评标委员会按照招标文件的要求和条件对投标文件进行商务和技术评估，综合比较与评价。评标办法具体见本招标文件第三章。</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8、可中止电子交易活动的情形</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采购过程中出现以下情形，导致电子交易平台无法正常运行，或者无法保证电子交易的公平、公正和安全时，采购组织机构可中止电子交易活动：</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8.1、电子交易平台发生故障而无法登录访问的；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8.2、电子交易平台应用或数据库出现错误，不能进行正常操作的；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8.3、电子交易平台发现严重安全漏洞，有潜在泄密危险的；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8.4、病毒发作导致不能进行正常操作的；</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8.5、其他无法保证电子交易的公平、公正和安全的情况。</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出现前款规定情形，不影响采购公平、公正性的，采购组织机构可以待上述情形消除后继续组织电子交易活动；影响或可能影响采购公平、公正性的，应当重新采购。</w:t>
      </w:r>
    </w:p>
    <w:p>
      <w:pPr>
        <w:widowControl w:val="0"/>
        <w:snapToGrid w:val="0"/>
        <w:spacing w:line="500" w:lineRule="exact"/>
        <w:jc w:val="left"/>
        <w:rPr>
          <w:rFonts w:hint="default" w:ascii="Times New Roman" w:hAnsi="Times New Roman" w:cs="Times New Roman"/>
          <w:b/>
          <w:bCs/>
          <w:kern w:val="0"/>
          <w:sz w:val="24"/>
          <w:szCs w:val="24"/>
        </w:rPr>
      </w:pPr>
      <w:bookmarkStart w:id="3" w:name="_Toc132655778"/>
      <w:bookmarkStart w:id="4" w:name="_Toc132123636"/>
      <w:bookmarkStart w:id="5" w:name="_Toc132125039"/>
      <w:bookmarkStart w:id="6" w:name="_Toc132125097"/>
      <w:bookmarkStart w:id="7" w:name="_Toc132125153"/>
      <w:bookmarkStart w:id="8" w:name="_Toc132122418"/>
      <w:bookmarkStart w:id="9" w:name="_Toc132126156"/>
      <w:bookmarkStart w:id="10" w:name="_Toc132124596"/>
      <w:bookmarkStart w:id="11" w:name="_Toc132123549"/>
      <w:bookmarkStart w:id="12" w:name="_Toc132123441"/>
      <w:bookmarkStart w:id="13" w:name="_Toc132122121"/>
      <w:bookmarkStart w:id="14" w:name="_Toc132125576"/>
      <w:bookmarkStart w:id="15" w:name="_Toc132125985"/>
      <w:bookmarkStart w:id="16" w:name="_Toc132123883"/>
      <w:bookmarkStart w:id="17" w:name="_Toc132123840"/>
      <w:r>
        <w:rPr>
          <w:rFonts w:hint="default" w:ascii="Times New Roman" w:hAnsi="Times New Roman" w:cs="Times New Roman"/>
          <w:b/>
          <w:bCs/>
          <w:kern w:val="0"/>
          <w:sz w:val="24"/>
          <w:szCs w:val="24"/>
        </w:rPr>
        <w:t>9、授予合同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9.1、中标条件</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9.1.1投标文件基本符合招标文件要求，能够最大限度满足招标文件中规定的各项综合评价标准；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9.1.2投标供应商有很好的执行合同的能力；</w:t>
      </w:r>
    </w:p>
    <w:p>
      <w:pPr>
        <w:widowControl w:val="0"/>
        <w:snapToGrid w:val="0"/>
        <w:spacing w:line="500" w:lineRule="exact"/>
        <w:ind w:firstLine="480" w:firstLineChars="200"/>
        <w:jc w:val="left"/>
        <w:rPr>
          <w:rFonts w:hint="default" w:ascii="Times New Roman" w:hAnsi="Times New Roman" w:cs="Times New Roman"/>
          <w:kern w:val="0"/>
          <w:sz w:val="24"/>
          <w:szCs w:val="24"/>
        </w:rPr>
      </w:pPr>
      <w:bookmarkStart w:id="18" w:name="_Toc132122122"/>
      <w:bookmarkStart w:id="19" w:name="_Toc132122419"/>
      <w:r>
        <w:rPr>
          <w:rFonts w:hint="default" w:ascii="Times New Roman" w:hAnsi="Times New Roman" w:cs="Times New Roman"/>
          <w:kern w:val="0"/>
          <w:sz w:val="24"/>
          <w:szCs w:val="24"/>
        </w:rPr>
        <w:t>9.1.3投标供应商能够提供质量技术、商务经济占综合优势的产品及服务</w:t>
      </w:r>
      <w:bookmarkEnd w:id="18"/>
      <w:bookmarkEnd w:id="19"/>
      <w:r>
        <w:rPr>
          <w:rFonts w:hint="default" w:ascii="Times New Roman" w:hAnsi="Times New Roman" w:cs="Times New Roman"/>
          <w:kern w:val="0"/>
          <w:sz w:val="24"/>
          <w:szCs w:val="24"/>
        </w:rPr>
        <w:t>。</w:t>
      </w:r>
    </w:p>
    <w:p>
      <w:pPr>
        <w:widowControl w:val="0"/>
        <w:snapToGrid w:val="0"/>
        <w:spacing w:line="500" w:lineRule="exact"/>
        <w:jc w:val="left"/>
        <w:rPr>
          <w:rFonts w:hint="default" w:ascii="Times New Roman" w:hAnsi="Times New Roman" w:cs="Times New Roman"/>
          <w:kern w:val="0"/>
          <w:sz w:val="24"/>
          <w:szCs w:val="24"/>
        </w:rPr>
      </w:pPr>
      <w:bookmarkStart w:id="20" w:name="_Toc132122420"/>
      <w:bookmarkStart w:id="21" w:name="_Toc132122123"/>
      <w:r>
        <w:rPr>
          <w:rFonts w:hint="default" w:ascii="Times New Roman" w:hAnsi="Times New Roman" w:cs="Times New Roman"/>
          <w:kern w:val="0"/>
          <w:sz w:val="24"/>
          <w:szCs w:val="24"/>
        </w:rPr>
        <w:t>9.2中标通知</w:t>
      </w:r>
      <w:bookmarkEnd w:id="20"/>
      <w:bookmarkEnd w:id="21"/>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9.2.1采购人依法确认中标供应商后，采购代理机构在浙江政府采购网公告中标结果，同时发出中标通知书，中标公告期限为1个工作日。</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9.2.2中标通知书对采购单位和中标供应商具有法律约束力。中标通知书发出后，采购人改变中标结果或者中标供应商放弃中标的，应当承担法律责任。</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9.3中标无效</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9.3.1发现中标供应商资格无效或中标供应商放弃中标或拒绝与采购人签订合同的,按相关规定执行。</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9.3.2有《中华人民共和国政府采购法实施条例》第七十一条、第七十二条、第七十三条、第七十四条规定的违法行为之一，由政府采购监管部门依法处理。</w:t>
      </w:r>
    </w:p>
    <w:p>
      <w:pPr>
        <w:widowControl w:val="0"/>
        <w:snapToGrid w:val="0"/>
        <w:spacing w:line="500" w:lineRule="exact"/>
        <w:jc w:val="left"/>
        <w:rPr>
          <w:rFonts w:hint="default" w:ascii="Times New Roman" w:hAnsi="Times New Roman" w:cs="Times New Roman"/>
          <w:b/>
          <w:bCs/>
          <w:kern w:val="0"/>
          <w:sz w:val="24"/>
          <w:szCs w:val="24"/>
        </w:rPr>
      </w:pPr>
      <w:bookmarkStart w:id="22" w:name="_Toc132122124"/>
      <w:bookmarkStart w:id="23" w:name="_Toc132122421"/>
      <w:r>
        <w:rPr>
          <w:rFonts w:hint="default" w:ascii="Times New Roman" w:hAnsi="Times New Roman" w:cs="Times New Roman"/>
          <w:b/>
          <w:bCs/>
          <w:kern w:val="0"/>
          <w:sz w:val="24"/>
          <w:szCs w:val="24"/>
        </w:rPr>
        <w:t>10、签订合同</w:t>
      </w:r>
      <w:bookmarkEnd w:id="22"/>
      <w:bookmarkEnd w:id="23"/>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10.1除不可抗力等特殊情况外，采购人原则上应当在中标通知书发出之日起</w:t>
      </w:r>
      <w:r>
        <w:rPr>
          <w:rFonts w:hint="default" w:ascii="Times New Roman" w:hAnsi="Times New Roman" w:cs="Times New Roman"/>
          <w:color w:val="FF0000"/>
          <w:kern w:val="0"/>
          <w:sz w:val="24"/>
          <w:szCs w:val="24"/>
        </w:rPr>
        <w:t>20日</w:t>
      </w:r>
      <w:r>
        <w:rPr>
          <w:rFonts w:hint="default" w:ascii="Times New Roman" w:hAnsi="Times New Roman" w:cs="Times New Roman"/>
          <w:kern w:val="0"/>
          <w:sz w:val="24"/>
          <w:szCs w:val="24"/>
        </w:rPr>
        <w:t>内，与成交人按照采购文件确定的事项签订政府采购合同，并在签订之日起2个工作日内将政府采购合同在浙江政府采购网上公告。</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w:t>
      </w:r>
      <w:r>
        <w:rPr>
          <w:rFonts w:hint="default" w:ascii="Times New Roman" w:hAnsi="Times New Roman" w:cs="Times New Roman"/>
          <w:kern w:val="0"/>
          <w:sz w:val="24"/>
          <w:szCs w:val="24"/>
          <w:lang w:val="zh-CN"/>
        </w:rPr>
        <w:t>.2成交人按规定的日期、时间、地点，由法定代表人或其授权代表与采购人代表签订合同。如成交人为联合体的，由联合体成员各方法定代表人或其授权代表与采购人代表签订合同。</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10.3如签订合同并生效后，供应商无故拒绝或延期，除按照合同条款处理外，列入不良行为记录一次，并给予通报。</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10.4成交人拒绝与采购人签订合同的，采购人可以按照评审报告推荐的中标或者成交候选人名单排序，确定下一候选人为成交人，也可以重新开展政府采购活动。</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10.5采购合同由采购人与成交人根据采购文件、磋商响应文件等内容通过政府采购电子交易平台在线签订，自动备案。</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10.6政府采购货物和服务项目不得收取质量保证金。政府采购工程以及与工程建设有关的货物、服务，采用招标方式采购的，按国家和省有关规定执行。</w:t>
      </w:r>
    </w:p>
    <w:p>
      <w:pPr>
        <w:widowControl w:val="0"/>
        <w:snapToGrid w:val="0"/>
        <w:spacing w:line="500" w:lineRule="exact"/>
        <w:jc w:val="lef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11、预付款</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pPr>
        <w:pageBreakBefore/>
        <w:widowControl w:val="0"/>
        <w:numPr>
          <w:ilvl w:val="0"/>
          <w:numId w:val="9"/>
        </w:numPr>
        <w:snapToGrid w:val="0"/>
        <w:spacing w:line="500" w:lineRule="exact"/>
        <w:ind w:firstLine="601" w:firstLineChars="200"/>
        <w:jc w:val="center"/>
        <w:rPr>
          <w:rFonts w:hint="default" w:ascii="Times New Roman" w:hAnsi="Times New Roman" w:cs="Times New Roman"/>
          <w:b/>
          <w:bCs/>
          <w:kern w:val="0"/>
          <w:sz w:val="30"/>
          <w:szCs w:val="30"/>
        </w:rPr>
      </w:pPr>
      <w:r>
        <w:rPr>
          <w:rFonts w:hint="default" w:ascii="Times New Roman" w:hAnsi="Times New Roman" w:cs="Times New Roman"/>
          <w:b/>
          <w:bCs/>
          <w:kern w:val="0"/>
          <w:sz w:val="30"/>
          <w:szCs w:val="30"/>
        </w:rPr>
        <w:t>验收</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2.采购人可以邀请参加本项目的其他供应商或者第三方机构参与验收。参与验收的供应商或者第三方机构的意见作为验收书的参考资料一并存档。</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4.采购人原则上应当在履约验收之日起2个工作日内，将履约验收结果在浙江政府采购网上公告。</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5.验收合格的项目，采购人将根据采购合同的约定及时向供应商支付采购资金、退还履约保证金。</w:t>
      </w:r>
    </w:p>
    <w:p>
      <w:pPr>
        <w:pStyle w:val="2"/>
        <w:rPr>
          <w:rFonts w:hint="default" w:ascii="Times New Roman" w:hAnsi="Times New Roman" w:cs="Times New Roman"/>
        </w:rPr>
      </w:pPr>
      <w:r>
        <w:rPr>
          <w:rFonts w:hint="default" w:ascii="Times New Roman" w:hAnsi="Times New Roman" w:cs="Times New Roman"/>
          <w:kern w:val="0"/>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widowControl w:val="0"/>
        <w:spacing w:line="780" w:lineRule="exact"/>
        <w:jc w:val="center"/>
        <w:rPr>
          <w:rFonts w:hint="default" w:ascii="Times New Roman" w:hAnsi="Times New Roman" w:cs="Times New Roman"/>
        </w:rPr>
      </w:pPr>
      <w:r>
        <w:rPr>
          <w:rFonts w:hint="default" w:ascii="Times New Roman" w:hAnsi="Times New Roman" w:cs="Times New Roman"/>
        </w:rPr>
        <w:br w:type="page"/>
      </w: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widowControl w:val="0"/>
        <w:spacing w:line="780" w:lineRule="exact"/>
        <w:jc w:val="center"/>
        <w:rPr>
          <w:rFonts w:hint="default" w:ascii="Times New Roman" w:hAnsi="Times New Roman" w:cs="Times New Roman"/>
          <w:b/>
          <w:bCs/>
          <w:sz w:val="52"/>
          <w:szCs w:val="52"/>
        </w:rPr>
      </w:pPr>
      <w:r>
        <w:rPr>
          <w:rFonts w:hint="default" w:ascii="Times New Roman" w:hAnsi="Times New Roman" w:cs="Times New Roman"/>
          <w:b/>
          <w:bCs/>
          <w:sz w:val="52"/>
          <w:szCs w:val="52"/>
        </w:rPr>
        <w:t>第三章</w:t>
      </w:r>
    </w:p>
    <w:p>
      <w:pPr>
        <w:widowControl w:val="0"/>
        <w:snapToGrid w:val="0"/>
        <w:spacing w:line="500" w:lineRule="exact"/>
        <w:jc w:val="center"/>
        <w:rPr>
          <w:rFonts w:hint="default" w:ascii="Times New Roman" w:hAnsi="Times New Roman" w:cs="Times New Roman"/>
          <w:kern w:val="0"/>
          <w:sz w:val="24"/>
          <w:szCs w:val="24"/>
        </w:rPr>
      </w:pPr>
      <w:r>
        <w:rPr>
          <w:rFonts w:hint="default" w:ascii="Times New Roman" w:hAnsi="Times New Roman" w:cs="Times New Roman"/>
          <w:b/>
          <w:bCs/>
          <w:sz w:val="52"/>
          <w:szCs w:val="52"/>
        </w:rPr>
        <w:t>评标定标办法</w:t>
      </w:r>
      <w:r>
        <w:rPr>
          <w:rFonts w:hint="default" w:ascii="Times New Roman" w:hAnsi="Times New Roman" w:cs="Times New Roman"/>
        </w:rPr>
        <w:br w:type="page"/>
      </w:r>
      <w:bookmarkStart w:id="24" w:name="_Toc31816"/>
      <w:r>
        <w:rPr>
          <w:rFonts w:hint="default" w:ascii="Times New Roman" w:hAnsi="Times New Roman" w:cs="Times New Roman"/>
          <w:b/>
          <w:bCs/>
          <w:kern w:val="0"/>
          <w:sz w:val="32"/>
          <w:szCs w:val="32"/>
        </w:rPr>
        <w:t>一、总则</w:t>
      </w:r>
      <w:bookmarkEnd w:id="24"/>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本评标办法遵照《中华人民共和国政府采购法》等政府采购有关规定，并结合本项目的具体情况制定。</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标工作遵循公正、公平、科学、择优的原则，评标人员将本着认真、公正、诚实、廉洁的精神，进行评标工作，择优推荐中标候选人。在评标期间，评标委员及相关工作人员必须严格遵守保密规定，不得泄露评标的有关情况。评标委员会成员对需要共同认定的事项存在争议的，应当按照少数服从多数的原则作出结论。持不同意见的评标委员会成员应当在评标报告上签署不同意见及理由，否则视为同意评标报告。</w:t>
      </w:r>
    </w:p>
    <w:p>
      <w:pPr>
        <w:widowControl w:val="0"/>
        <w:snapToGrid w:val="0"/>
        <w:spacing w:line="500" w:lineRule="exact"/>
        <w:jc w:val="left"/>
        <w:rPr>
          <w:rFonts w:hint="default" w:ascii="Times New Roman" w:hAnsi="Times New Roman" w:cs="Times New Roman"/>
          <w:b/>
          <w:bCs/>
          <w:kern w:val="0"/>
          <w:sz w:val="32"/>
          <w:szCs w:val="32"/>
        </w:rPr>
      </w:pPr>
      <w:bookmarkStart w:id="25" w:name="_Toc20091"/>
      <w:r>
        <w:rPr>
          <w:rFonts w:hint="default" w:ascii="Times New Roman" w:hAnsi="Times New Roman" w:cs="Times New Roman"/>
          <w:b/>
          <w:bCs/>
          <w:kern w:val="0"/>
          <w:sz w:val="32"/>
          <w:szCs w:val="32"/>
        </w:rPr>
        <w:t>二、评标组织</w:t>
      </w:r>
      <w:bookmarkEnd w:id="25"/>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评标工作由采购人依法组建的评标委员会负责。评标委员会负责审标、询标、评审等工作，并向采购人提出评审意见和评标报告。</w:t>
      </w:r>
    </w:p>
    <w:p>
      <w:pPr>
        <w:widowControl w:val="0"/>
        <w:snapToGrid w:val="0"/>
        <w:spacing w:line="500" w:lineRule="exact"/>
        <w:jc w:val="left"/>
        <w:rPr>
          <w:rFonts w:hint="default" w:ascii="Times New Roman" w:hAnsi="Times New Roman" w:cs="Times New Roman"/>
          <w:b/>
          <w:bCs/>
          <w:kern w:val="0"/>
          <w:sz w:val="32"/>
          <w:szCs w:val="32"/>
        </w:rPr>
      </w:pPr>
      <w:bookmarkStart w:id="26" w:name="_Toc22667"/>
      <w:r>
        <w:rPr>
          <w:rFonts w:hint="default" w:ascii="Times New Roman" w:hAnsi="Times New Roman" w:cs="Times New Roman"/>
          <w:b/>
          <w:bCs/>
          <w:kern w:val="0"/>
          <w:sz w:val="32"/>
          <w:szCs w:val="32"/>
        </w:rPr>
        <w:t>三、符合性审查</w:t>
      </w:r>
      <w:bookmarkEnd w:id="26"/>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评标委员会对投标文件依据招标文件规定进行符合性审查。符合性审查条件详见《第二章  投标人须知》</w:t>
      </w:r>
    </w:p>
    <w:p>
      <w:pPr>
        <w:widowControl w:val="0"/>
        <w:snapToGrid w:val="0"/>
        <w:spacing w:line="500" w:lineRule="exact"/>
        <w:jc w:val="left"/>
        <w:rPr>
          <w:rFonts w:hint="default" w:ascii="Times New Roman" w:hAnsi="Times New Roman" w:cs="Times New Roman"/>
          <w:b/>
          <w:bCs/>
          <w:kern w:val="0"/>
          <w:sz w:val="32"/>
          <w:szCs w:val="32"/>
        </w:rPr>
      </w:pPr>
      <w:bookmarkStart w:id="27" w:name="_Toc9937"/>
      <w:r>
        <w:rPr>
          <w:rFonts w:hint="default" w:ascii="Times New Roman" w:hAnsi="Times New Roman" w:cs="Times New Roman"/>
          <w:b/>
          <w:bCs/>
          <w:kern w:val="0"/>
          <w:sz w:val="32"/>
          <w:szCs w:val="32"/>
        </w:rPr>
        <w:t>四、投标文件的澄清、说明或者补正</w:t>
      </w:r>
      <w:bookmarkEnd w:id="27"/>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投标人根据评标委员会要求对投标文件进行澄清、说明或者补正。评标期间，投标人应随时随地答复评标委员会的询标。程序要求详见《第二章  投标人须知》</w:t>
      </w:r>
    </w:p>
    <w:p>
      <w:pPr>
        <w:widowControl w:val="0"/>
        <w:snapToGrid w:val="0"/>
        <w:spacing w:line="500" w:lineRule="exact"/>
        <w:jc w:val="left"/>
        <w:rPr>
          <w:rFonts w:hint="default" w:ascii="Times New Roman" w:hAnsi="Times New Roman" w:cs="Times New Roman"/>
          <w:kern w:val="0"/>
          <w:sz w:val="24"/>
          <w:szCs w:val="24"/>
        </w:rPr>
      </w:pPr>
      <w:bookmarkStart w:id="28" w:name="_Toc27471"/>
      <w:r>
        <w:rPr>
          <w:rFonts w:hint="default" w:ascii="Times New Roman" w:hAnsi="Times New Roman" w:cs="Times New Roman"/>
          <w:b/>
          <w:bCs/>
          <w:kern w:val="0"/>
          <w:sz w:val="32"/>
          <w:szCs w:val="32"/>
        </w:rPr>
        <w:t>五、评标细则</w:t>
      </w:r>
      <w:bookmarkEnd w:id="28"/>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1、本项目采用综合评分法（总分100分）。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评标委员会根据本评标办法进行评审，对符合性审查合格的投标文件进行商务和技术评估，综合比较与评价。每个投标人最终得分=商务技术分+价格分。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票表决方式确定，其他同品牌投标人不作为中标候选人。</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本项目为非单一产品采购项目，采购人根据采购项目技术构成、产品价格比重等合理确定核心产品为</w:t>
      </w:r>
      <w:r>
        <w:rPr>
          <w:rFonts w:hint="default" w:ascii="Times New Roman" w:hAnsi="Times New Roman" w:cs="Times New Roman"/>
          <w:kern w:val="0"/>
          <w:sz w:val="24"/>
          <w:szCs w:val="24"/>
          <w:lang w:val="en-US" w:eastAsia="zh-CN"/>
        </w:rPr>
        <w:t>:</w:t>
      </w:r>
      <w:r>
        <w:rPr>
          <w:rFonts w:hint="default" w:ascii="Times New Roman" w:hAnsi="Times New Roman" w:cs="Times New Roman"/>
          <w:b/>
          <w:bCs/>
          <w:color w:val="FF0000"/>
          <w:kern w:val="0"/>
          <w:sz w:val="24"/>
          <w:szCs w:val="24"/>
          <w:highlight w:val="yellow"/>
          <w:lang w:val="en-US" w:eastAsia="zh-CN"/>
        </w:rPr>
        <w:t>办公桌</w:t>
      </w:r>
      <w:r>
        <w:rPr>
          <w:rFonts w:hint="default" w:ascii="Times New Roman" w:hAnsi="Times New Roman" w:cs="Times New Roman"/>
          <w:color w:val="auto"/>
          <w:kern w:val="0"/>
          <w:sz w:val="24"/>
          <w:szCs w:val="24"/>
        </w:rPr>
        <w:t>。</w:t>
      </w:r>
      <w:r>
        <w:rPr>
          <w:rFonts w:hint="default" w:ascii="Times New Roman" w:hAnsi="Times New Roman" w:cs="Times New Roman"/>
          <w:kern w:val="0"/>
          <w:sz w:val="24"/>
          <w:szCs w:val="24"/>
        </w:rPr>
        <w:t>多家投标人提供的核心产品品牌均相同的，按前款规定处理。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2、评审时，评标委员会各成员应当独立对每个有效响应的文件进行评价、打分，然后汇总每个投标人每项评分因素的得分。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3、对投标人的价格分等客观评分项的评分应当一致，对其他需要借助专业知识评判的主观评分项，应当严格按照评分细则公正评分。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w:t>
      </w:r>
      <w:r>
        <w:rPr>
          <w:rFonts w:hint="default" w:ascii="Times New Roman" w:hAnsi="Times New Roman" w:cs="Times New Roman"/>
          <w:sz w:val="24"/>
          <w:szCs w:val="24"/>
        </w:rPr>
        <w:t>评标结果按投标文件满足招标文件全部实质性要求且评审后总分由高到低顺序排列，推荐总分</w:t>
      </w:r>
      <w:bookmarkStart w:id="29" w:name="OLE_LINK3"/>
      <w:r>
        <w:rPr>
          <w:rFonts w:hint="default" w:ascii="Times New Roman" w:hAnsi="Times New Roman" w:cs="Times New Roman"/>
          <w:sz w:val="24"/>
          <w:szCs w:val="24"/>
        </w:rPr>
        <w:t>第一名</w:t>
      </w:r>
      <w:bookmarkEnd w:id="29"/>
      <w:r>
        <w:rPr>
          <w:rFonts w:hint="default" w:ascii="Times New Roman" w:hAnsi="Times New Roman" w:cs="Times New Roman"/>
          <w:sz w:val="24"/>
          <w:szCs w:val="24"/>
        </w:rPr>
        <w:t>的供应商为中标候选人。</w:t>
      </w:r>
      <w:r>
        <w:rPr>
          <w:rFonts w:hint="default" w:ascii="Times New Roman" w:hAnsi="Times New Roman" w:cs="Times New Roman"/>
          <w:kern w:val="0"/>
          <w:sz w:val="24"/>
          <w:szCs w:val="24"/>
        </w:rPr>
        <w:t>如果第一名得分相同，以投标报价低的优先；投标报价也相同，则以政采云系统记录的投标文件解密时间排序在前面的优先。并编写评标报告。</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5、评分因素及分值范围</w:t>
      </w:r>
    </w:p>
    <w:p>
      <w:pPr>
        <w:widowControl w:val="0"/>
        <w:snapToGrid w:val="0"/>
        <w:spacing w:line="500" w:lineRule="exact"/>
        <w:ind w:firstLine="480" w:firstLineChars="200"/>
        <w:jc w:val="left"/>
        <w:rPr>
          <w:rFonts w:hint="default" w:ascii="Times New Roman" w:hAnsi="Times New Roman" w:cs="Times New Roman"/>
          <w:kern w:val="0"/>
          <w:sz w:val="24"/>
          <w:szCs w:val="24"/>
        </w:rPr>
      </w:pPr>
      <w:bookmarkStart w:id="30" w:name="_Toc345320402"/>
      <w:r>
        <w:rPr>
          <w:rFonts w:hint="default" w:ascii="Times New Roman" w:hAnsi="Times New Roman" w:cs="Times New Roman"/>
          <w:kern w:val="0"/>
          <w:sz w:val="24"/>
          <w:szCs w:val="24"/>
        </w:rPr>
        <w:t>5.1 商务技术分</w:t>
      </w:r>
      <w:bookmarkEnd w:id="30"/>
      <w:r>
        <w:rPr>
          <w:rFonts w:hint="default" w:ascii="Times New Roman" w:hAnsi="Times New Roman" w:cs="Times New Roman"/>
          <w:kern w:val="0"/>
          <w:sz w:val="24"/>
          <w:szCs w:val="24"/>
        </w:rPr>
        <w:t>（70分）</w:t>
      </w:r>
    </w:p>
    <w:tbl>
      <w:tblPr>
        <w:tblStyle w:val="36"/>
        <w:tblpPr w:leftFromText="180" w:rightFromText="180" w:vertAnchor="text" w:horzAnchor="page" w:tblpX="1492" w:tblpY="1977"/>
        <w:tblOverlap w:val="never"/>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98"/>
        <w:gridCol w:w="5"/>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232" w:type="dxa"/>
            <w:noWrap w:val="0"/>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
                <w:sz w:val="24"/>
                <w:szCs w:val="24"/>
                <w:highlight w:val="none"/>
                <w:lang w:val="en-US" w:eastAsia="zh-CN"/>
              </w:rPr>
            </w:pPr>
            <w:r>
              <w:rPr>
                <w:rFonts w:hint="default" w:ascii="Times New Roman" w:hAnsi="Times New Roman" w:cs="Times New Roman"/>
                <w:b/>
                <w:sz w:val="24"/>
                <w:szCs w:val="24"/>
                <w:highlight w:val="none"/>
                <w:lang w:val="en-US" w:eastAsia="zh-CN"/>
              </w:rPr>
              <w:t>评分内容</w:t>
            </w:r>
          </w:p>
        </w:tc>
        <w:tc>
          <w:tcPr>
            <w:tcW w:w="803" w:type="dxa"/>
            <w:gridSpan w:val="2"/>
            <w:noWrap w:val="0"/>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b/>
                <w:sz w:val="24"/>
                <w:szCs w:val="24"/>
                <w:highlight w:val="none"/>
              </w:rPr>
              <w:t>分值</w:t>
            </w:r>
          </w:p>
        </w:tc>
        <w:tc>
          <w:tcPr>
            <w:tcW w:w="7005" w:type="dxa"/>
            <w:noWrap w:val="0"/>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业绩</w:t>
            </w:r>
            <w:r>
              <w:rPr>
                <w:rFonts w:hint="default" w:ascii="Times New Roman" w:hAnsi="Times New Roman" w:eastAsia="宋体" w:cs="Times New Roman"/>
                <w:color w:val="000000"/>
                <w:kern w:val="0"/>
                <w:sz w:val="24"/>
                <w:szCs w:val="24"/>
                <w:highlight w:val="none"/>
                <w:lang w:bidi="ar"/>
              </w:rPr>
              <w:t>要求</w:t>
            </w:r>
          </w:p>
        </w:tc>
        <w:tc>
          <w:tcPr>
            <w:tcW w:w="79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color w:val="000000"/>
                <w:kern w:val="0"/>
                <w:sz w:val="24"/>
                <w:szCs w:val="24"/>
                <w:highlight w:val="none"/>
                <w:lang w:val="en-US" w:eastAsia="zh-CN" w:bidi="ar"/>
              </w:rPr>
              <w:t>3</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根据投标人提供2023年1月1日以来（以合同签订日期为准）的同类业绩情况，每提供一个业绩得1分，最高得3分。需提供合同关键页、正式发票的扫描件，不提供不得分。</w:t>
            </w:r>
            <w:r>
              <w:rPr>
                <w:rFonts w:hint="default" w:ascii="Times New Roman" w:hAnsi="Times New Roman" w:eastAsia="宋体" w:cs="Times New Roman"/>
                <w:color w:val="auto"/>
                <w:sz w:val="24"/>
                <w:szCs w:val="24"/>
                <w:highlight w:val="none"/>
              </w:rPr>
              <w:t>同一个客户的案例只能算一个。是否同类案例由评标委员会判定。</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（对省级以上主管部门认定的首台套产品，自纳入《省推广应用指导目录》起三年内参加政府采购活动，视同已具备相应销售业绩，业绩分为满分）。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000000"/>
                <w:kern w:val="0"/>
                <w:sz w:val="24"/>
                <w:szCs w:val="24"/>
                <w:highlight w:val="none"/>
                <w:lang w:bidi="ar"/>
              </w:rPr>
              <w:t>认证</w:t>
            </w:r>
            <w:r>
              <w:rPr>
                <w:rFonts w:hint="default" w:ascii="Times New Roman" w:hAnsi="Times New Roman" w:cs="Times New Roman"/>
                <w:color w:val="000000"/>
                <w:kern w:val="0"/>
                <w:sz w:val="24"/>
                <w:szCs w:val="24"/>
                <w:highlight w:val="none"/>
                <w:lang w:val="en-US" w:eastAsia="zh-CN" w:bidi="ar"/>
              </w:rPr>
              <w:t>证书</w:t>
            </w:r>
          </w:p>
        </w:tc>
        <w:tc>
          <w:tcPr>
            <w:tcW w:w="79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color w:val="000000"/>
                <w:kern w:val="0"/>
                <w:sz w:val="24"/>
                <w:szCs w:val="24"/>
                <w:highlight w:val="none"/>
                <w:lang w:val="en-US" w:eastAsia="zh-CN" w:bidi="ar"/>
              </w:rPr>
              <w:t>3</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8"/>
                <w:szCs w:val="28"/>
                <w:highlight w:val="none"/>
              </w:rPr>
            </w:pPr>
            <w:r>
              <w:rPr>
                <w:rFonts w:hint="default" w:ascii="Times New Roman" w:hAnsi="Times New Roman" w:eastAsia="宋体" w:cs="Times New Roman"/>
                <w:sz w:val="24"/>
                <w:szCs w:val="24"/>
                <w:highlight w:val="none"/>
                <w:lang w:val="en-US" w:eastAsia="zh-CN"/>
              </w:rPr>
              <w:t>投标人</w:t>
            </w:r>
            <w:r>
              <w:rPr>
                <w:rFonts w:hint="default" w:ascii="Times New Roman" w:hAnsi="Times New Roman" w:eastAsia="宋体" w:cs="Times New Roman"/>
                <w:sz w:val="24"/>
                <w:szCs w:val="24"/>
                <w:highlight w:val="none"/>
              </w:rPr>
              <w:t>具有以下有效期内的证书，每提供1个得1分，本项满分</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（1）具备有效的质量管理体系认证证书；</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（2）具备有效的</w:t>
            </w:r>
            <w:r>
              <w:rPr>
                <w:rFonts w:hint="eastAsia" w:ascii="Times New Roman" w:hAnsi="Times New Roman" w:cs="Times New Roman"/>
                <w:sz w:val="24"/>
                <w:szCs w:val="24"/>
                <w:highlight w:val="none"/>
                <w:lang w:val="en-US" w:eastAsia="zh-CN"/>
              </w:rPr>
              <w:t>环境</w:t>
            </w:r>
            <w:r>
              <w:rPr>
                <w:rFonts w:hint="default" w:ascii="Times New Roman" w:hAnsi="Times New Roman" w:eastAsia="宋体" w:cs="Times New Roman"/>
                <w:sz w:val="24"/>
                <w:szCs w:val="24"/>
                <w:highlight w:val="none"/>
                <w:lang w:val="en-US" w:eastAsia="zh-CN"/>
              </w:rPr>
              <w:t>管理体系认证证书</w:t>
            </w:r>
            <w:r>
              <w:rPr>
                <w:rFonts w:hint="default" w:ascii="Times New Roman" w:hAnsi="Times New Roman" w:eastAsia="宋体" w:cs="Times New Roman"/>
                <w:sz w:val="24"/>
                <w:szCs w:val="24"/>
                <w:highlight w:val="none"/>
              </w:rPr>
              <w:t>；</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具备有效的</w:t>
            </w:r>
            <w:r>
              <w:rPr>
                <w:rFonts w:hint="default" w:ascii="Times New Roman" w:hAnsi="Times New Roman" w:eastAsia="宋体" w:cs="Times New Roman"/>
                <w:sz w:val="24"/>
                <w:szCs w:val="24"/>
                <w:highlight w:val="none"/>
                <w:lang w:val="en-US" w:eastAsia="zh-CN"/>
              </w:rPr>
              <w:t>中国环境标志产品认证证书</w:t>
            </w:r>
            <w:r>
              <w:rPr>
                <w:rFonts w:hint="default" w:ascii="Times New Roman" w:hAnsi="Times New Roman" w:eastAsia="宋体" w:cs="Times New Roman"/>
                <w:sz w:val="24"/>
                <w:szCs w:val="24"/>
                <w:highlight w:val="none"/>
              </w:rPr>
              <w:t>；</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以上证书认证范围须包括:</w:t>
            </w:r>
            <w:r>
              <w:rPr>
                <w:rFonts w:hint="default" w:ascii="Times New Roman" w:hAnsi="Times New Roman" w:eastAsia="宋体" w:cs="Times New Roman"/>
                <w:sz w:val="24"/>
                <w:szCs w:val="24"/>
                <w:highlight w:val="none"/>
                <w:lang w:val="en-US" w:eastAsia="zh-CN"/>
              </w:rPr>
              <w:t>人造板类家具、综合类家具、</w:t>
            </w:r>
            <w:r>
              <w:rPr>
                <w:rFonts w:hint="default" w:ascii="Times New Roman" w:hAnsi="Times New Roman" w:cs="Times New Roman"/>
                <w:sz w:val="24"/>
                <w:szCs w:val="24"/>
                <w:highlight w:val="none"/>
                <w:lang w:val="en-US" w:eastAsia="zh-CN"/>
              </w:rPr>
              <w:t>金属家具、</w:t>
            </w:r>
            <w:r>
              <w:rPr>
                <w:rFonts w:hint="default" w:ascii="Times New Roman" w:hAnsi="Times New Roman" w:eastAsia="宋体" w:cs="Times New Roman"/>
                <w:sz w:val="24"/>
                <w:szCs w:val="24"/>
                <w:highlight w:val="none"/>
                <w:lang w:val="en-US" w:eastAsia="zh-CN"/>
              </w:rPr>
              <w:t>软体家具</w:t>
            </w:r>
            <w:r>
              <w:rPr>
                <w:rFonts w:hint="default" w:ascii="Times New Roman" w:hAnsi="Times New Roman" w:eastAsia="宋体" w:cs="Times New Roman"/>
                <w:sz w:val="24"/>
                <w:szCs w:val="24"/>
                <w:highlight w:val="none"/>
              </w:rPr>
              <w:t>；</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注：须提供相关证书扫描件及在“全国认证认可信息公共服务平台”(http://cx.cnca.cn)信息查询截图作为评审依据，须显示有效已失效或撤销或暂停的不得分，无提供不得分。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32"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企业实力</w:t>
            </w:r>
          </w:p>
        </w:tc>
        <w:tc>
          <w:tcPr>
            <w:tcW w:w="798"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6</w:t>
            </w:r>
          </w:p>
        </w:tc>
        <w:tc>
          <w:tcPr>
            <w:tcW w:w="7010" w:type="dxa"/>
            <w:gridSpan w:val="2"/>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1、投标人具有中国绿色产品认证证书，</w:t>
            </w:r>
            <w:r>
              <w:rPr>
                <w:rFonts w:hint="default" w:ascii="Times New Roman" w:hAnsi="Times New Roman" w:eastAsia="宋体" w:cs="Times New Roman"/>
                <w:sz w:val="24"/>
                <w:szCs w:val="24"/>
                <w:highlight w:val="none"/>
              </w:rPr>
              <w:t>证书认证范围须包括:</w:t>
            </w:r>
            <w:r>
              <w:rPr>
                <w:rFonts w:hint="default" w:ascii="Times New Roman" w:hAnsi="Times New Roman" w:cs="Times New Roman"/>
                <w:sz w:val="24"/>
                <w:szCs w:val="24"/>
                <w:highlight w:val="none"/>
                <w:lang w:val="en-US" w:eastAsia="zh-CN"/>
              </w:rPr>
              <w:t>木家具（人造板、板木、实木）</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sz w:val="24"/>
                <w:szCs w:val="24"/>
                <w:highlight w:val="none"/>
                <w:lang w:val="en-US" w:eastAsia="zh-CN"/>
              </w:rPr>
              <w:t>金属家具、</w:t>
            </w:r>
            <w:r>
              <w:rPr>
                <w:rFonts w:hint="default" w:ascii="Times New Roman" w:hAnsi="Times New Roman" w:eastAsia="宋体" w:cs="Times New Roman"/>
                <w:sz w:val="24"/>
                <w:szCs w:val="24"/>
                <w:highlight w:val="none"/>
                <w:lang w:val="en-US" w:eastAsia="zh-CN"/>
              </w:rPr>
              <w:t>软体家具</w:t>
            </w:r>
            <w:r>
              <w:rPr>
                <w:rFonts w:hint="default" w:ascii="Times New Roman" w:hAnsi="Times New Roman" w:cs="Times New Roman"/>
                <w:sz w:val="24"/>
                <w:szCs w:val="24"/>
                <w:highlight w:val="none"/>
                <w:lang w:val="en-US" w:eastAsia="zh-CN"/>
              </w:rPr>
              <w:t>（椅类、沙发、床垫），</w:t>
            </w:r>
            <w:r>
              <w:rPr>
                <w:rFonts w:hint="default" w:ascii="Times New Roman" w:hAnsi="Times New Roman" w:eastAsia="宋体" w:cs="Times New Roman"/>
                <w:sz w:val="24"/>
                <w:szCs w:val="24"/>
                <w:highlight w:val="none"/>
                <w:lang w:val="en-US" w:eastAsia="zh-CN"/>
              </w:rPr>
              <w:t>得1分，否则不得分</w:t>
            </w:r>
            <w:r>
              <w:rPr>
                <w:rFonts w:hint="default" w:ascii="Times New Roman" w:hAnsi="Times New Roman" w:cs="Times New Roman"/>
                <w:sz w:val="24"/>
                <w:szCs w:val="24"/>
                <w:highlight w:val="none"/>
                <w:lang w:val="en-US" w:eastAsia="zh-CN"/>
              </w:rPr>
              <w:t>；</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、投标人具有家具中有害物质限量认证证书，</w:t>
            </w:r>
            <w:r>
              <w:rPr>
                <w:rFonts w:hint="default" w:ascii="Times New Roman" w:hAnsi="Times New Roman" w:eastAsia="宋体" w:cs="Times New Roman"/>
                <w:sz w:val="24"/>
                <w:szCs w:val="24"/>
                <w:highlight w:val="none"/>
              </w:rPr>
              <w:t>证书认证范围须包括:</w:t>
            </w:r>
            <w:r>
              <w:rPr>
                <w:rFonts w:hint="default" w:ascii="Times New Roman" w:hAnsi="Times New Roman" w:cs="Times New Roman"/>
                <w:sz w:val="24"/>
                <w:szCs w:val="24"/>
                <w:highlight w:val="none"/>
                <w:lang w:val="en-US" w:eastAsia="zh-CN"/>
              </w:rPr>
              <w:t>木家具（人造板、板木、实木）</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sz w:val="24"/>
                <w:szCs w:val="24"/>
                <w:highlight w:val="none"/>
                <w:lang w:val="en-US" w:eastAsia="zh-CN"/>
              </w:rPr>
              <w:t>金属家具、钢木家具、</w:t>
            </w:r>
            <w:r>
              <w:rPr>
                <w:rFonts w:hint="default" w:ascii="Times New Roman" w:hAnsi="Times New Roman" w:eastAsia="宋体" w:cs="Times New Roman"/>
                <w:sz w:val="24"/>
                <w:szCs w:val="24"/>
                <w:highlight w:val="none"/>
                <w:lang w:val="en-US" w:eastAsia="zh-CN"/>
              </w:rPr>
              <w:t>软体家具</w:t>
            </w:r>
            <w:r>
              <w:rPr>
                <w:rFonts w:hint="default" w:ascii="Times New Roman" w:hAnsi="Times New Roman" w:cs="Times New Roman"/>
                <w:sz w:val="24"/>
                <w:szCs w:val="24"/>
                <w:highlight w:val="none"/>
                <w:lang w:val="en-US" w:eastAsia="zh-CN"/>
              </w:rPr>
              <w:t>（椅类、沙发类、床垫），</w:t>
            </w:r>
            <w:r>
              <w:rPr>
                <w:rFonts w:hint="default" w:ascii="Times New Roman" w:hAnsi="Times New Roman" w:eastAsia="宋体" w:cs="Times New Roman"/>
                <w:sz w:val="24"/>
                <w:szCs w:val="24"/>
                <w:highlight w:val="none"/>
                <w:lang w:val="en-US" w:eastAsia="zh-CN"/>
              </w:rPr>
              <w:t>得1分，否则不得分</w:t>
            </w:r>
            <w:r>
              <w:rPr>
                <w:rFonts w:hint="default" w:ascii="Times New Roman" w:hAnsi="Times New Roman" w:cs="Times New Roman"/>
                <w:sz w:val="24"/>
                <w:szCs w:val="24"/>
                <w:highlight w:val="none"/>
                <w:lang w:val="en-US" w:eastAsia="zh-CN"/>
              </w:rPr>
              <w:t>；</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、投标人具有低VOCS家具产品认证证书，</w:t>
            </w:r>
            <w:r>
              <w:rPr>
                <w:rFonts w:hint="default" w:ascii="Times New Roman" w:hAnsi="Times New Roman" w:eastAsia="宋体" w:cs="Times New Roman"/>
                <w:sz w:val="24"/>
                <w:szCs w:val="24"/>
                <w:highlight w:val="none"/>
              </w:rPr>
              <w:t>证书认证范围须包括:</w:t>
            </w:r>
            <w:r>
              <w:rPr>
                <w:rFonts w:hint="default" w:ascii="Times New Roman" w:hAnsi="Times New Roman" w:cs="Times New Roman"/>
                <w:sz w:val="24"/>
                <w:szCs w:val="24"/>
                <w:highlight w:val="none"/>
                <w:lang w:val="en-US" w:eastAsia="zh-CN"/>
              </w:rPr>
              <w:t>木家具</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sz w:val="24"/>
                <w:szCs w:val="24"/>
                <w:highlight w:val="none"/>
                <w:lang w:val="en-US" w:eastAsia="zh-CN"/>
              </w:rPr>
              <w:t>金属家具、</w:t>
            </w:r>
            <w:r>
              <w:rPr>
                <w:rFonts w:hint="default" w:ascii="Times New Roman" w:hAnsi="Times New Roman" w:eastAsia="宋体" w:cs="Times New Roman"/>
                <w:sz w:val="24"/>
                <w:szCs w:val="24"/>
                <w:highlight w:val="none"/>
                <w:lang w:val="en-US" w:eastAsia="zh-CN"/>
              </w:rPr>
              <w:t>软体家具</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得1分，否则不得分</w:t>
            </w:r>
            <w:r>
              <w:rPr>
                <w:rFonts w:hint="default" w:ascii="Times New Roman" w:hAnsi="Times New Roman" w:cs="Times New Roman"/>
                <w:sz w:val="24"/>
                <w:szCs w:val="24"/>
                <w:highlight w:val="none"/>
                <w:lang w:val="en-US" w:eastAsia="zh-CN"/>
              </w:rPr>
              <w:t>；</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、投标人具有家具防火阻燃质量等级认证证书，证书认证范围须包括:木家具</w:t>
            </w:r>
            <w:r>
              <w:rPr>
                <w:rFonts w:hint="eastAsia" w:ascii="Times New Roman" w:hAnsi="Times New Roman" w:cs="Times New Roman"/>
                <w:sz w:val="24"/>
                <w:szCs w:val="24"/>
                <w:highlight w:val="none"/>
                <w:lang w:val="en-US" w:eastAsia="zh-CN"/>
              </w:rPr>
              <w:t>（人造板家具）</w:t>
            </w:r>
            <w:r>
              <w:rPr>
                <w:rFonts w:hint="default" w:ascii="Times New Roman" w:hAnsi="Times New Roman" w:eastAsia="宋体" w:cs="Times New Roman"/>
                <w:sz w:val="24"/>
                <w:szCs w:val="24"/>
                <w:highlight w:val="none"/>
                <w:lang w:val="en-US" w:eastAsia="zh-CN"/>
              </w:rPr>
              <w:t>、软体家具，得1分，否则不得分；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5、投标人具有家具</w:t>
            </w:r>
            <w:r>
              <w:rPr>
                <w:rFonts w:hint="eastAsia" w:ascii="Times New Roman" w:hAnsi="Times New Roman" w:cs="Times New Roman"/>
                <w:sz w:val="24"/>
                <w:szCs w:val="24"/>
                <w:highlight w:val="none"/>
                <w:lang w:val="en-US" w:eastAsia="zh-CN"/>
              </w:rPr>
              <w:t>耐久性质量认证证书</w:t>
            </w:r>
            <w:r>
              <w:rPr>
                <w:rFonts w:hint="default" w:ascii="Times New Roman" w:hAnsi="Times New Roman" w:eastAsia="宋体" w:cs="Times New Roman"/>
                <w:sz w:val="24"/>
                <w:szCs w:val="24"/>
                <w:highlight w:val="none"/>
                <w:lang w:val="en-US" w:eastAsia="zh-CN"/>
              </w:rPr>
              <w:t>，证书认证范围须包括:木家具</w:t>
            </w:r>
            <w:r>
              <w:rPr>
                <w:rFonts w:hint="eastAsia" w:ascii="Times New Roman" w:hAnsi="Times New Roman" w:cs="Times New Roman"/>
                <w:sz w:val="24"/>
                <w:szCs w:val="24"/>
                <w:highlight w:val="none"/>
                <w:lang w:val="en-US" w:eastAsia="zh-CN"/>
              </w:rPr>
              <w:t>（人造板家具）</w:t>
            </w:r>
            <w:r>
              <w:rPr>
                <w:rFonts w:hint="default" w:ascii="Times New Roman" w:hAnsi="Times New Roman" w:eastAsia="宋体" w:cs="Times New Roman"/>
                <w:sz w:val="24"/>
                <w:szCs w:val="24"/>
                <w:highlight w:val="none"/>
                <w:lang w:val="en-US" w:eastAsia="zh-CN"/>
              </w:rPr>
              <w:t>、金属家具、软体家具，得1分，否则不得分；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6、投标人具有家具</w:t>
            </w:r>
            <w:r>
              <w:rPr>
                <w:rFonts w:hint="eastAsia" w:ascii="Times New Roman" w:hAnsi="Times New Roman" w:cs="Times New Roman"/>
                <w:sz w:val="24"/>
                <w:szCs w:val="24"/>
                <w:highlight w:val="none"/>
                <w:lang w:val="en-US" w:eastAsia="zh-CN"/>
              </w:rPr>
              <w:t>中国环保产品认证证书</w:t>
            </w:r>
            <w:r>
              <w:rPr>
                <w:rFonts w:hint="default" w:ascii="Times New Roman" w:hAnsi="Times New Roman" w:eastAsia="宋体" w:cs="Times New Roman"/>
                <w:sz w:val="24"/>
                <w:szCs w:val="24"/>
                <w:highlight w:val="none"/>
                <w:lang w:val="en-US" w:eastAsia="zh-CN"/>
              </w:rPr>
              <w:t>，证书认证范围须包括:</w:t>
            </w:r>
            <w:r>
              <w:rPr>
                <w:rFonts w:hint="eastAsia" w:ascii="Times New Roman" w:hAnsi="Times New Roman" w:cs="Times New Roman"/>
                <w:sz w:val="24"/>
                <w:szCs w:val="24"/>
                <w:highlight w:val="none"/>
                <w:lang w:val="en-US" w:eastAsia="zh-CN"/>
              </w:rPr>
              <w:t>木制办公家具、木制公寓家具、木制餐厅家具、软体家具/沙发、软体家具-床垫</w:t>
            </w:r>
            <w:r>
              <w:rPr>
                <w:rFonts w:hint="default" w:ascii="Times New Roman" w:hAnsi="Times New Roman" w:eastAsia="宋体" w:cs="Times New Roman"/>
                <w:sz w:val="24"/>
                <w:szCs w:val="24"/>
                <w:highlight w:val="none"/>
                <w:lang w:val="en-US" w:eastAsia="zh-CN"/>
              </w:rPr>
              <w:t>，得1分，否则不得分；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注：须提供相关证书扫描件及在“全国认证认可信息公共服务平台”(http://cx.cnca.cn)信息查询截图作为评审依据，须显示有效已失效或撤销或暂停的不得分，无提供不得分。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32"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成品</w:t>
            </w:r>
            <w:r>
              <w:rPr>
                <w:rFonts w:hint="default" w:ascii="Times New Roman" w:hAnsi="Times New Roman" w:eastAsia="宋体" w:cs="Times New Roman"/>
                <w:color w:val="000000"/>
                <w:kern w:val="0"/>
                <w:sz w:val="24"/>
                <w:szCs w:val="24"/>
                <w:highlight w:val="none"/>
                <w:lang w:bidi="ar"/>
              </w:rPr>
              <w:t>检测报告</w:t>
            </w:r>
            <w:r>
              <w:rPr>
                <w:rFonts w:hint="default" w:ascii="Times New Roman" w:hAnsi="Times New Roman" w:eastAsia="宋体" w:cs="Times New Roman"/>
                <w:color w:val="000000"/>
                <w:kern w:val="0"/>
                <w:sz w:val="24"/>
                <w:szCs w:val="24"/>
                <w:highlight w:val="none"/>
                <w:lang w:eastAsia="zh-CN" w:bidi="ar"/>
              </w:rPr>
              <w:t>承诺</w:t>
            </w:r>
          </w:p>
        </w:tc>
        <w:tc>
          <w:tcPr>
            <w:tcW w:w="798"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color w:val="000000"/>
                <w:kern w:val="0"/>
                <w:sz w:val="24"/>
                <w:szCs w:val="24"/>
                <w:highlight w:val="none"/>
                <w:lang w:val="en-US" w:eastAsia="zh-CN" w:bidi="ar"/>
              </w:rPr>
              <w:t>10</w:t>
            </w:r>
          </w:p>
        </w:tc>
        <w:tc>
          <w:tcPr>
            <w:tcW w:w="7010" w:type="dxa"/>
            <w:gridSpan w:val="2"/>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投标人</w:t>
            </w:r>
            <w:r>
              <w:rPr>
                <w:rFonts w:hint="default" w:ascii="Times New Roman" w:hAnsi="Times New Roman" w:eastAsia="宋体" w:cs="Times New Roman"/>
                <w:color w:val="auto"/>
                <w:sz w:val="24"/>
                <w:szCs w:val="24"/>
                <w:highlight w:val="none"/>
                <w:lang w:eastAsia="zh-CN"/>
              </w:rPr>
              <w:t>承诺</w:t>
            </w:r>
            <w:r>
              <w:rPr>
                <w:rFonts w:hint="default" w:ascii="Times New Roman" w:hAnsi="Times New Roman" w:eastAsia="宋体" w:cs="Times New Roman"/>
                <w:color w:val="auto"/>
                <w:sz w:val="24"/>
                <w:szCs w:val="24"/>
                <w:highlight w:val="none"/>
              </w:rPr>
              <w:t>提供自202</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年1月1日起由</w:t>
            </w:r>
            <w:r>
              <w:rPr>
                <w:rFonts w:hint="default" w:ascii="Times New Roman" w:hAnsi="Times New Roman" w:cs="Times New Roman"/>
                <w:color w:val="auto"/>
                <w:sz w:val="24"/>
                <w:szCs w:val="24"/>
                <w:highlight w:val="none"/>
                <w:lang w:val="en-US" w:eastAsia="zh-CN"/>
              </w:rPr>
              <w:t>省级及以上</w:t>
            </w:r>
            <w:r>
              <w:rPr>
                <w:rFonts w:hint="default" w:ascii="Times New Roman" w:hAnsi="Times New Roman" w:eastAsia="宋体" w:cs="Times New Roman"/>
                <w:color w:val="auto"/>
                <w:sz w:val="24"/>
                <w:szCs w:val="24"/>
                <w:highlight w:val="none"/>
              </w:rPr>
              <w:t>的质量检测机构</w:t>
            </w:r>
            <w:r>
              <w:rPr>
                <w:rFonts w:hint="default" w:ascii="Times New Roman" w:hAnsi="Times New Roman" w:eastAsia="宋体" w:cs="Times New Roman"/>
                <w:color w:val="auto"/>
                <w:sz w:val="24"/>
                <w:szCs w:val="24"/>
                <w:highlight w:val="none"/>
                <w:lang w:val="en-US" w:eastAsia="zh-CN"/>
              </w:rPr>
              <w:t>出具</w:t>
            </w:r>
            <w:r>
              <w:rPr>
                <w:rFonts w:hint="default" w:ascii="Times New Roman" w:hAnsi="Times New Roman" w:eastAsia="宋体" w:cs="Times New Roman"/>
                <w:color w:val="auto"/>
                <w:sz w:val="24"/>
                <w:szCs w:val="24"/>
                <w:highlight w:val="none"/>
              </w:rPr>
              <w:t>具有CMA认证标识的“抽样”有效检测报告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包括：①办公桌</w:t>
            </w:r>
            <w:r>
              <w:rPr>
                <w:rFonts w:hint="default" w:ascii="Times New Roman" w:hAnsi="Times New Roman"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办公椅</w:t>
            </w:r>
            <w:r>
              <w:rPr>
                <w:rFonts w:hint="default" w:ascii="Times New Roman" w:hAnsi="Times New Roman"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会议桌</w:t>
            </w:r>
            <w:r>
              <w:rPr>
                <w:rFonts w:hint="default" w:ascii="Times New Roman" w:hAnsi="Times New Roman"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会议椅</w:t>
            </w:r>
            <w:r>
              <w:rPr>
                <w:rFonts w:hint="default" w:ascii="Times New Roman" w:hAnsi="Times New Roman"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沙发</w:t>
            </w:r>
            <w:r>
              <w:rPr>
                <w:rFonts w:hint="default" w:ascii="Times New Roman" w:hAnsi="Times New Roman" w:cs="Times New Roman"/>
                <w:color w:val="auto"/>
                <w:sz w:val="24"/>
                <w:szCs w:val="24"/>
                <w:highlight w:val="none"/>
                <w:lang w:val="en-US" w:eastAsia="zh-CN"/>
              </w:rPr>
              <w:t>、⑥床、⑦床头柜、</w:t>
            </w:r>
            <w:r>
              <w:rPr>
                <w:rFonts w:hint="default" w:ascii="Times New Roman" w:hAnsi="Times New Roman" w:cs="Times New Roman"/>
                <w:i w:val="0"/>
                <w:iCs w:val="0"/>
                <w:color w:val="auto"/>
                <w:sz w:val="24"/>
                <w:szCs w:val="24"/>
                <w:highlight w:val="none"/>
                <w:lang w:val="en-US" w:eastAsia="zh-CN"/>
              </w:rPr>
              <w:t>⑧床</w:t>
            </w:r>
            <w:r>
              <w:rPr>
                <w:rFonts w:hint="default" w:ascii="Times New Roman" w:hAnsi="Times New Roman" w:cs="Times New Roman"/>
                <w:color w:val="auto"/>
                <w:sz w:val="24"/>
                <w:szCs w:val="24"/>
                <w:highlight w:val="none"/>
                <w:lang w:val="en-US" w:eastAsia="zh-CN"/>
              </w:rPr>
              <w:t>垫、⑨学习研讨桌</w:t>
            </w:r>
            <w:r>
              <w:rPr>
                <w:rFonts w:hint="eastAsia" w:ascii="Times New Roman" w:hAnsi="Times New Roman" w:cs="Times New Roman"/>
                <w:color w:val="auto"/>
                <w:sz w:val="24"/>
                <w:szCs w:val="24"/>
                <w:highlight w:val="none"/>
                <w:lang w:val="en-US" w:eastAsia="zh-CN"/>
              </w:rPr>
              <w:t>（学习桌）</w:t>
            </w:r>
            <w:r>
              <w:rPr>
                <w:rFonts w:hint="default" w:ascii="Times New Roman" w:hAnsi="Times New Roman" w:cs="Times New Roman"/>
                <w:color w:val="auto"/>
                <w:sz w:val="24"/>
                <w:szCs w:val="24"/>
                <w:highlight w:val="none"/>
                <w:lang w:val="en-US" w:eastAsia="zh-CN"/>
              </w:rPr>
              <w:t>、⑩学习椅；上述原材料检验报告参数中包括主要尺寸或形状和位置公差（或外形对称度）检测合格；</w:t>
            </w:r>
            <w:r>
              <w:rPr>
                <w:rFonts w:hint="default" w:ascii="Times New Roman" w:hAnsi="Times New Roman" w:eastAsia="宋体" w:cs="Times New Roman"/>
                <w:color w:val="auto"/>
                <w:sz w:val="24"/>
                <w:szCs w:val="24"/>
                <w:highlight w:val="none"/>
                <w:lang w:val="en-US" w:eastAsia="zh-CN"/>
              </w:rPr>
              <w:t>甲醛释放量≤0.05mg/m³；苯≤0.05mg/m³、甲苯≤0.1mg/m³、二甲苯≤0.1mg/m³、TVOC≤0.3mg/m³；</w:t>
            </w:r>
            <w:r>
              <w:rPr>
                <w:rFonts w:hint="default" w:ascii="Times New Roman" w:hAnsi="Times New Roman" w:cs="Times New Roman"/>
                <w:color w:val="auto"/>
                <w:sz w:val="24"/>
                <w:szCs w:val="24"/>
                <w:highlight w:val="none"/>
                <w:lang w:val="en-US" w:eastAsia="zh-CN"/>
              </w:rPr>
              <w:t>通过</w:t>
            </w:r>
            <w:r>
              <w:rPr>
                <w:rFonts w:hint="default" w:ascii="Times New Roman" w:hAnsi="Times New Roman" w:eastAsia="宋体" w:cs="Times New Roman"/>
                <w:color w:val="auto"/>
                <w:sz w:val="24"/>
                <w:szCs w:val="24"/>
                <w:highlight w:val="none"/>
                <w:lang w:val="en-US" w:eastAsia="zh-CN"/>
              </w:rPr>
              <w:t>耐久性试验；每提供</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lang w:val="en-US" w:eastAsia="zh-CN"/>
              </w:rPr>
              <w:t>项</w:t>
            </w:r>
            <w:r>
              <w:rPr>
                <w:rFonts w:hint="default" w:ascii="Times New Roman" w:hAnsi="Times New Roman" w:cs="Times New Roman"/>
                <w:color w:val="auto"/>
                <w:sz w:val="24"/>
                <w:szCs w:val="24"/>
                <w:highlight w:val="none"/>
                <w:lang w:val="en-US" w:eastAsia="zh-CN"/>
              </w:rPr>
              <w:t>检测报告承诺以满足以上参数</w:t>
            </w:r>
            <w:r>
              <w:rPr>
                <w:rFonts w:hint="default" w:ascii="Times New Roman" w:hAnsi="Times New Roman" w:eastAsia="宋体" w:cs="Times New Roman"/>
                <w:color w:val="auto"/>
                <w:sz w:val="24"/>
                <w:szCs w:val="24"/>
                <w:highlight w:val="none"/>
                <w:lang w:val="en-US" w:eastAsia="zh-CN"/>
              </w:rPr>
              <w:t>得</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分，本小项满分</w:t>
            </w:r>
            <w:r>
              <w:rPr>
                <w:rFonts w:hint="default"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eastAsia="zh-CN"/>
              </w:rPr>
              <w:t>注：</w:t>
            </w:r>
            <w:r>
              <w:rPr>
                <w:rFonts w:hint="default" w:ascii="Times New Roman" w:hAnsi="Times New Roman" w:eastAsia="宋体" w:cs="Times New Roman"/>
                <w:b/>
                <w:bCs/>
                <w:color w:val="auto"/>
                <w:sz w:val="24"/>
                <w:szCs w:val="24"/>
                <w:highlight w:val="none"/>
              </w:rPr>
              <w:t>投标人须在</w:t>
            </w:r>
            <w:r>
              <w:rPr>
                <w:rFonts w:hint="default" w:ascii="Times New Roman" w:hAnsi="Times New Roman" w:eastAsia="宋体" w:cs="Times New Roman"/>
                <w:b/>
                <w:bCs/>
                <w:color w:val="auto"/>
                <w:sz w:val="24"/>
                <w:szCs w:val="24"/>
                <w:highlight w:val="none"/>
                <w:lang w:eastAsia="zh-CN"/>
              </w:rPr>
              <w:t>承诺函</w:t>
            </w:r>
            <w:r>
              <w:rPr>
                <w:rFonts w:hint="default" w:ascii="Times New Roman" w:hAnsi="Times New Roman" w:eastAsia="宋体" w:cs="Times New Roman"/>
                <w:b/>
                <w:bCs/>
                <w:color w:val="auto"/>
                <w:sz w:val="24"/>
                <w:szCs w:val="24"/>
                <w:highlight w:val="none"/>
              </w:rPr>
              <w:t>中承诺中标后25个工作日内，按采购人要求提供具有CMA认证标识的“抽样”有效检测报告（检测机构须具备家具成品及其原辅材料检测能力）。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9" w:hRule="atLeast"/>
        </w:trPr>
        <w:tc>
          <w:tcPr>
            <w:tcW w:w="1232"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技术参数响应情况</w:t>
            </w:r>
          </w:p>
        </w:tc>
        <w:tc>
          <w:tcPr>
            <w:tcW w:w="798"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24</w:t>
            </w:r>
          </w:p>
        </w:tc>
        <w:tc>
          <w:tcPr>
            <w:tcW w:w="7010" w:type="dxa"/>
            <w:gridSpan w:val="2"/>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考查各投标人对“技术标准与要求”的响应程度，全部满足得</w:t>
            </w: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分；带“★”项条款</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每有一项负偏离扣</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【备注：如“技术标准与要求”的内容中有要求提供相应证明材料的，必须在投标文件中提供符合要求的证明材料（证明材料为检测报告的，则需提供</w:t>
            </w:r>
            <w:r>
              <w:rPr>
                <w:rFonts w:hint="default" w:ascii="Times New Roman" w:hAnsi="Times New Roman" w:cs="Times New Roman"/>
                <w:color w:val="auto"/>
                <w:sz w:val="24"/>
                <w:szCs w:val="24"/>
                <w:highlight w:val="none"/>
                <w:lang w:val="en-US" w:eastAsia="zh-CN"/>
              </w:rPr>
              <w:t>2023年1月1日以来至</w:t>
            </w:r>
            <w:r>
              <w:rPr>
                <w:rFonts w:hint="default" w:ascii="Times New Roman" w:hAnsi="Times New Roman" w:eastAsia="宋体" w:cs="Times New Roman"/>
                <w:color w:val="auto"/>
                <w:sz w:val="24"/>
                <w:szCs w:val="24"/>
                <w:highlight w:val="none"/>
                <w:lang w:val="en-US" w:eastAsia="zh-CN"/>
              </w:rPr>
              <w:t>投标截止日前的检测报告）并加盖投标人公章，证明材料无提供、缺漏、模糊或没有按要求盖章等未能有效证明是否满足相应参数要求的，该项条款将视为不满足。】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3" w:hRule="atLeast"/>
        </w:trPr>
        <w:tc>
          <w:tcPr>
            <w:tcW w:w="1232" w:type="dxa"/>
            <w:vMerge w:val="restar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项目实施方案</w:t>
            </w:r>
          </w:p>
        </w:tc>
        <w:tc>
          <w:tcPr>
            <w:tcW w:w="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4</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项目实施规划方案评价。</w:t>
            </w:r>
            <w:r>
              <w:rPr>
                <w:rFonts w:hint="default" w:ascii="Times New Roman" w:hAnsi="Times New Roman" w:eastAsia="宋体" w:cs="Times New Roman"/>
                <w:sz w:val="24"/>
                <w:szCs w:val="24"/>
                <w:highlight w:val="none"/>
                <w:lang w:val="en-US" w:eastAsia="zh-CN"/>
              </w:rPr>
              <w:t>投标人提供项目实施规划方案，从①项目分解节点、②可跟踪实施、③安全施工保障进行描述角度由评审小组综合评定。</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trPr>
        <w:tc>
          <w:tcPr>
            <w:tcW w:w="1232"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4</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投标人提供生产实施方案，从①生产进度计划；②原材料采购方案和生产投入设备方案；③突发事件预案；④质量保证措施等角度由评审小组综合评定。</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32" w:type="dxa"/>
            <w:vMerge w:val="continue"/>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p>
        </w:tc>
        <w:tc>
          <w:tcPr>
            <w:tcW w:w="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4</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安装方案的制定，根据货物交付时间节点，落实送货安装时间和人员安排，确保按期交付使用,方案内容完整、清晰、明确，且具备可行性的视为满足采购要求</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根据甲方实际需求分批供货），由评审小组综合评定。</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（4，3，2，1，0）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32"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bidi="ar"/>
              </w:rPr>
              <w:t>生产检测能力</w:t>
            </w:r>
          </w:p>
        </w:tc>
        <w:tc>
          <w:tcPr>
            <w:tcW w:w="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color w:val="000000"/>
                <w:kern w:val="0"/>
                <w:sz w:val="24"/>
                <w:szCs w:val="24"/>
                <w:highlight w:val="none"/>
                <w:lang w:val="en-US" w:eastAsia="zh-CN" w:bidi="ar"/>
              </w:rPr>
              <w:t>5</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投标人具有完成本次项目所需的基本制作及试验检验设备如下：高速电脑裁板锯、喷漆房设备、双胶锅反向封边机、加工中心、综合性实木自动化加工中心；全部提供得</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分，每缺一项扣1分。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注：提供相应设备的购置发票</w:t>
            </w:r>
            <w:r>
              <w:rPr>
                <w:rFonts w:hint="default" w:ascii="Times New Roman" w:hAnsi="Times New Roman" w:cs="Times New Roman"/>
                <w:color w:val="auto"/>
                <w:sz w:val="24"/>
                <w:szCs w:val="24"/>
                <w:highlight w:val="none"/>
                <w:lang w:val="en-US" w:eastAsia="zh-CN"/>
              </w:rPr>
              <w:t>或租赁合同</w:t>
            </w:r>
            <w:r>
              <w:rPr>
                <w:rFonts w:hint="default" w:ascii="Times New Roman" w:hAnsi="Times New Roman" w:eastAsia="宋体" w:cs="Times New Roman"/>
                <w:sz w:val="24"/>
                <w:szCs w:val="24"/>
                <w:highlight w:val="none"/>
              </w:rPr>
              <w:t>扫描件加盖投标单位公章，</w:t>
            </w:r>
            <w:r>
              <w:rPr>
                <w:rFonts w:hint="default" w:ascii="Times New Roman" w:hAnsi="Times New Roman" w:eastAsia="宋体" w:cs="Times New Roman"/>
                <w:sz w:val="24"/>
                <w:szCs w:val="24"/>
                <w:highlight w:val="none"/>
                <w:lang w:val="en-US" w:eastAsia="zh-CN"/>
              </w:rPr>
              <w:t>上述设备购买方</w:t>
            </w:r>
            <w:r>
              <w:rPr>
                <w:rFonts w:hint="default" w:ascii="Times New Roman" w:hAnsi="Times New Roman" w:cs="Times New Roman"/>
                <w:sz w:val="24"/>
                <w:szCs w:val="24"/>
                <w:highlight w:val="none"/>
                <w:lang w:val="en-US" w:eastAsia="zh-CN"/>
              </w:rPr>
              <w:t>或租赁方</w:t>
            </w:r>
            <w:r>
              <w:rPr>
                <w:rFonts w:hint="default" w:ascii="Times New Roman" w:hAnsi="Times New Roman" w:eastAsia="宋体" w:cs="Times New Roman"/>
                <w:sz w:val="24"/>
                <w:szCs w:val="24"/>
                <w:highlight w:val="none"/>
              </w:rPr>
              <w:t>名称必须与投标人一致）</w:t>
            </w:r>
            <w:r>
              <w:rPr>
                <w:rFonts w:hint="default" w:ascii="Times New Roman" w:hAnsi="Times New Roman" w:eastAsia="宋体" w:cs="Times New Roman"/>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32"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质保期</w:t>
            </w:r>
          </w:p>
        </w:tc>
        <w:tc>
          <w:tcPr>
            <w:tcW w:w="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产品质保期在招标文件要求（</w:t>
            </w:r>
            <w:r>
              <w:rPr>
                <w:rFonts w:hint="default"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rPr>
              <w:t>年）的基础上，每增加1年加0.5分，最多加1分。</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需提供承诺函，格式自拟，不提供不得分。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32"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售后方案</w:t>
            </w:r>
          </w:p>
        </w:tc>
        <w:tc>
          <w:tcPr>
            <w:tcW w:w="7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6</w:t>
            </w:r>
          </w:p>
        </w:tc>
        <w:tc>
          <w:tcPr>
            <w:tcW w:w="70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投标人售后服务承诺及售后服务响应体系和保障措施的合理性、完备性评分，主要参考指标包括整体售后服务方案、维修服务队伍规模、技术力量、维修响应时间、配件储备情况以及其它优惠的售后服务措施等进行综合评审：</w:t>
            </w:r>
          </w:p>
          <w:p>
            <w:pPr>
              <w:keepNext w:val="0"/>
              <w:keepLines w:val="0"/>
              <w:widowControl/>
              <w:numPr>
                <w:ilvl w:val="0"/>
                <w:numId w:val="0"/>
              </w:numPr>
              <w:suppressLineNumbers w:val="0"/>
              <w:spacing w:before="0" w:beforeAutospacing="0" w:after="0" w:afterAutospacing="0"/>
              <w:ind w:left="0" w:right="0"/>
              <w:jc w:val="left"/>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6，5,4,3,2,1,0</w:t>
            </w:r>
            <w:r>
              <w:rPr>
                <w:rFonts w:hint="default" w:ascii="Times New Roman" w:hAnsi="Times New Roman" w:cs="Times New Roman"/>
                <w:sz w:val="24"/>
                <w:szCs w:val="24"/>
                <w:highlight w:val="none"/>
                <w:lang w:eastAsia="zh-CN"/>
              </w:rPr>
              <w:t>）</w:t>
            </w:r>
          </w:p>
        </w:tc>
      </w:tr>
    </w:tbl>
    <w:p>
      <w:pPr>
        <w:widowControl w:val="0"/>
        <w:snapToGrid w:val="0"/>
        <w:spacing w:line="500" w:lineRule="exact"/>
        <w:jc w:val="left"/>
        <w:rPr>
          <w:rFonts w:hint="default" w:ascii="Times New Roman" w:hAnsi="Times New Roman" w:cs="Times New Roman"/>
        </w:rPr>
      </w:pPr>
      <w:r>
        <w:rPr>
          <w:rFonts w:hint="default" w:ascii="Times New Roman" w:hAnsi="Times New Roman" w:cs="Times New Roman"/>
          <w:kern w:val="0"/>
          <w:sz w:val="24"/>
          <w:szCs w:val="24"/>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p>
      <w:pPr>
        <w:widowControl w:val="0"/>
        <w:snapToGrid w:val="0"/>
        <w:spacing w:line="500" w:lineRule="exact"/>
        <w:jc w:val="left"/>
        <w:rPr>
          <w:rFonts w:hint="default" w:ascii="Times New Roman" w:hAnsi="Times New Roman" w:cs="Times New Roman" w:eastAsiaTheme="minorEastAsia"/>
          <w:kern w:val="0"/>
          <w:sz w:val="24"/>
          <w:szCs w:val="24"/>
        </w:rPr>
      </w:pPr>
      <w:r>
        <w:rPr>
          <w:rFonts w:hint="default" w:ascii="Times New Roman" w:hAnsi="Times New Roman" w:cs="Times New Roman"/>
          <w:b/>
          <w:bCs/>
          <w:color w:val="FF0000"/>
          <w:kern w:val="0"/>
          <w:sz w:val="24"/>
          <w:szCs w:val="24"/>
        </w:rPr>
        <w:t>(注：请投标人在制作电子投标文件时设置与各评分条款对应的关联定位。)</w:t>
      </w:r>
      <w:bookmarkStart w:id="31" w:name="_Toc345320401"/>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5.2 价格分</w:t>
      </w:r>
      <w:bookmarkEnd w:id="31"/>
      <w:r>
        <w:rPr>
          <w:rFonts w:hint="default" w:ascii="Times New Roman" w:hAnsi="Times New Roman" w:cs="Times New Roman"/>
          <w:kern w:val="0"/>
          <w:sz w:val="24"/>
          <w:szCs w:val="24"/>
        </w:rPr>
        <w:t>（30分）</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价格评分将在有效投标人范围内进行，最高得30分，最低得 0分（小数点后保留二位小数，第三位四舍五入）。</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5.2.1评标价：在投标价基础上经政策调整及修正过后确定的价格。评标价仅作为价格标评审的依据，不等同于中标价、合同价。</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5.2.2评定评标基准价：技术入围投标人中的最低评标价作为评标基准价。</w:t>
      </w:r>
    </w:p>
    <w:p>
      <w:pPr>
        <w:widowControl w:val="0"/>
        <w:snapToGrid w:val="0"/>
        <w:spacing w:line="500" w:lineRule="exact"/>
        <w:ind w:firstLine="480" w:firstLineChars="20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5.2.3报价得分=（评标基准价/评标价）×价格分权值×100</w:t>
      </w:r>
      <w:bookmarkStart w:id="32" w:name="_Toc29140"/>
    </w:p>
    <w:p>
      <w:pPr>
        <w:widowControl w:val="0"/>
        <w:snapToGrid w:val="0"/>
        <w:spacing w:line="500" w:lineRule="exact"/>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5.2.4</w:t>
      </w:r>
      <w:r>
        <w:rPr>
          <w:rFonts w:hint="default" w:ascii="Times New Roman" w:hAnsi="Times New Roman" w:eastAsia="宋体" w:cs="Times New Roman"/>
          <w:kern w:val="0"/>
          <w:sz w:val="24"/>
          <w:szCs w:val="24"/>
        </w:rPr>
        <w:t>既有本国产品又有非本国产品参与竞争的，依法对本国产品给予价格评审优惠，对本国产品的报价给予20%的价格扣除，用扣除后的价格参与评审。</w:t>
      </w:r>
    </w:p>
    <w:p>
      <w:pPr>
        <w:widowControl w:val="0"/>
        <w:snapToGrid w:val="0"/>
        <w:spacing w:line="500" w:lineRule="exact"/>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widowControl w:val="0"/>
        <w:snapToGrid w:val="0"/>
        <w:spacing w:line="500" w:lineRule="exact"/>
        <w:jc w:val="left"/>
        <w:rPr>
          <w:rFonts w:hint="default" w:ascii="Times New Roman" w:hAnsi="Times New Roman" w:cs="Times New Roman"/>
          <w:b/>
          <w:bCs/>
          <w:kern w:val="0"/>
          <w:sz w:val="32"/>
          <w:szCs w:val="32"/>
        </w:rPr>
      </w:pPr>
      <w:r>
        <w:rPr>
          <w:rFonts w:hint="default" w:ascii="Times New Roman" w:hAnsi="Times New Roman" w:cs="Times New Roman"/>
          <w:b/>
          <w:bCs/>
          <w:kern w:val="0"/>
          <w:sz w:val="32"/>
          <w:szCs w:val="32"/>
        </w:rPr>
        <w:t>六、重新评审</w:t>
      </w:r>
      <w:bookmarkEnd w:id="32"/>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评审结果形成后，除下列情形外，任何人不得重新评审：</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（一）分值汇总计算错误的；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（二）分项评分超出评分标准范围的；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（三）评标委员会成员对客观评审因素评分不一致的；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（四）经评标委员会认定评分畸高、畸低的。</w:t>
      </w:r>
    </w:p>
    <w:p>
      <w:pPr>
        <w:pStyle w:val="149"/>
        <w:rPr>
          <w:rFonts w:hint="default" w:ascii="Times New Roman" w:hAnsi="Times New Roman" w:cs="Times New Roman"/>
          <w:kern w:val="0"/>
          <w:sz w:val="24"/>
          <w:szCs w:val="24"/>
        </w:rPr>
      </w:pPr>
    </w:p>
    <w:p>
      <w:pPr>
        <w:pStyle w:val="150"/>
        <w:numPr>
          <w:ilvl w:val="0"/>
          <w:numId w:val="10"/>
        </w:numPr>
        <w:rPr>
          <w:rFonts w:hint="default" w:ascii="Times New Roman" w:hAnsi="Times New Roman" w:cs="Times New Roman"/>
          <w:b/>
          <w:bCs/>
          <w:kern w:val="0"/>
          <w:sz w:val="32"/>
          <w:szCs w:val="32"/>
        </w:rPr>
      </w:pPr>
      <w:r>
        <w:rPr>
          <w:rFonts w:hint="default" w:ascii="Times New Roman" w:hAnsi="Times New Roman" w:cs="Times New Roman"/>
          <w:b/>
          <w:bCs/>
          <w:kern w:val="0"/>
          <w:sz w:val="32"/>
          <w:szCs w:val="32"/>
        </w:rPr>
        <w:t>评审纪律和要求</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1.评审专家必须公平、公正评审，遵纪守法，客观、廉洁地履行职责。</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2.评审专家在评审开始前，应关闭并上交随身携带的各种通信工具。</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3.评审专家在评审过程中，未经许可不得中途离开评审现场，不得迟到早退。</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4.评审专家和工作人员不得透露评审过程中的讨论情况和评审结果。</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6.采购人、采购代理机构不得向评审委员会的评审专家作倾向性、误导性的解释或者说明。</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8.评审专家在评审过程中不得将自己的观点强加给其他评审专家，评审专家应自主发表见解，对评审意见承担个人责任。</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11.评审专家应当遵守评审工作纪律，不得泄露评审文件、评审情况和评审中获悉的商业秘密。</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评审委员会在评审过程中发现投标人有行贿、提供虚假材料或者串通等违法行为的，应当及时向财政部门报告。</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12.招标文件内容违反国家有关强制性规定的，评审委员会应当停止评审并向采购代理机构说明情况。</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13.评审专家应当配合采购代理机构答复投标人提出的质疑。</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14.评审专家应当配合财政部门的投诉处理工作。</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15.评审专家有如下行为之一的，责令改正，给予警告，可以并处一千元以下的罚款：</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①明知应当回避而未主动回避的；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②在得知自己为评审专家身份后至评审结束前时段内私下接触投标人的；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③在评审过程中擅离职守，影响评审程序正常进行的；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④在评审过程有明显不合理或者不正当倾向性的；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⑤未按招标文件规定的评审方法和标准进行评审的。</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⑥上述①至⑤行为影响中标结果的，中标结果无效。</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政府采购评审专家与投标人存在利害关系未回避的，处2万元以上5万元以下的罚款，禁止其参加政府采购评审活动。</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pPr>
        <w:widowControl w:val="0"/>
        <w:snapToGrid w:val="0"/>
        <w:spacing w:line="500" w:lineRule="exact"/>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政府采购评审专家有上述违法行为的，其评审意见无效，不得获取评审费；有违法所得的，没收违法所得；给他人造成损失的，依法承担民事责任。</w:t>
      </w:r>
    </w:p>
    <w:p>
      <w:pPr>
        <w:pStyle w:val="2"/>
        <w:rPr>
          <w:rFonts w:hint="default" w:ascii="Times New Roman" w:hAnsi="Times New Roman" w:cs="Times New Roman"/>
        </w:rPr>
      </w:pPr>
    </w:p>
    <w:p>
      <w:pPr>
        <w:pStyle w:val="2"/>
        <w:numPr>
          <w:ilvl w:val="0"/>
          <w:numId w:val="10"/>
        </w:numPr>
        <w:rPr>
          <w:rFonts w:hint="default" w:ascii="Times New Roman" w:hAnsi="Times New Roman" w:cs="Times New Roman"/>
          <w:b/>
          <w:bCs/>
          <w:kern w:val="0"/>
          <w:sz w:val="32"/>
          <w:szCs w:val="32"/>
        </w:rPr>
      </w:pPr>
      <w:r>
        <w:rPr>
          <w:rFonts w:hint="default" w:ascii="Times New Roman" w:hAnsi="Times New Roman" w:cs="Times New Roman"/>
          <w:b/>
          <w:bCs/>
          <w:kern w:val="0"/>
          <w:sz w:val="32"/>
          <w:szCs w:val="32"/>
        </w:rPr>
        <w:t>政府采购政策落实</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.采购项目需要落实的政府采购政策</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1</w:t>
      </w:r>
      <w:r>
        <w:rPr>
          <w:rFonts w:hint="default" w:ascii="Times New Roman" w:hAnsi="Times New Roman" w:cs="Times New Roman"/>
          <w:kern w:val="0"/>
          <w:lang w:val="en-US" w:eastAsia="zh-CN"/>
        </w:rPr>
        <w:t>.1</w:t>
      </w:r>
      <w:r>
        <w:rPr>
          <w:rFonts w:hint="default" w:ascii="Times New Roman" w:hAnsi="Times New Roman" w:cs="Times New Roman"/>
          <w:kern w:val="0"/>
        </w:rPr>
        <w:t>采购本国产品</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1）政府采购原则上采购本国产品，不允许采购进口产品。除非采购人已经在采购活动开始前向财政部门提出申请并获得财政部门审核同意采购进口产品，且在采购文件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投标人的进口产品。</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（2）本国产品标准。本国产品应当符合以下条件：</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1）在中国境内生产</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产品应当在中国境内生产，即在中华人民共和国关境内实现从原材料、组件到产品的属性改变。</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属性改变是指经过制造、加工或者组装等工序，产生完全不同于原材料、组件的新产品，并具有新的名称和特征（用途）。属性改变不包括以下细微操作：</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a.为确保产品在运输或者储存期间保持某种状态而进行的操作；</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b.为产品运输或者销售进行的包装或者展示；</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c.在产品或者其包装上粘贴或者印刷品牌、标志、标识以及其他用于区别的标记；</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d.简单的上漆、磨光和分装；</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e.其他不属于属性改变的情形。</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2）在中国境内生产的组件成本占比达到规定比例</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产品在中国境内生产的组件成本占比应当达到规定比例，计算公式为：</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fldChar w:fldCharType="begin"/>
      </w:r>
      <w:r>
        <w:rPr>
          <w:rFonts w:hint="default" w:ascii="Times New Roman" w:hAnsi="Times New Roman" w:cs="Times New Roman"/>
          <w:kern w:val="0"/>
        </w:rPr>
        <w:instrText xml:space="preserve"> INCLUDEPICTURE "https://www.gov.cn/zhengce/content/202509/W020250930645245947614.png" \* MERGEFORMATINET </w:instrText>
      </w:r>
      <w:r>
        <w:rPr>
          <w:rFonts w:hint="default" w:ascii="Times New Roman" w:hAnsi="Times New Roman" w:cs="Times New Roman"/>
          <w:kern w:val="0"/>
        </w:rPr>
        <w:fldChar w:fldCharType="separate"/>
      </w:r>
      <w:r>
        <w:rPr>
          <w:rFonts w:hint="default" w:ascii="Times New Roman" w:hAnsi="Times New Roman" w:cs="Times New Roman"/>
          <w:kern w:val="0"/>
        </w:rPr>
        <w:drawing>
          <wp:inline distT="0" distB="0" distL="114300" distR="114300">
            <wp:extent cx="4235450" cy="611505"/>
            <wp:effectExtent l="0" t="0" r="3175" b="7620"/>
            <wp:docPr id="4" name="图片 2"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W020250930645245947614"/>
                    <pic:cNvPicPr>
                      <a:picLocks noChangeAspect="1"/>
                    </pic:cNvPicPr>
                  </pic:nvPicPr>
                  <pic:blipFill>
                    <a:blip r:embed="rId14"/>
                    <a:stretch>
                      <a:fillRect/>
                    </a:stretch>
                  </pic:blipFill>
                  <pic:spPr>
                    <a:xfrm>
                      <a:off x="0" y="0"/>
                      <a:ext cx="4235450" cy="611505"/>
                    </a:xfrm>
                    <a:prstGeom prst="rect">
                      <a:avLst/>
                    </a:prstGeom>
                    <a:noFill/>
                    <a:ln>
                      <a:noFill/>
                    </a:ln>
                  </pic:spPr>
                </pic:pic>
              </a:graphicData>
            </a:graphic>
          </wp:inline>
        </w:drawing>
      </w:r>
      <w:r>
        <w:rPr>
          <w:rFonts w:hint="default" w:ascii="Times New Roman" w:hAnsi="Times New Roman" w:cs="Times New Roman"/>
          <w:kern w:val="0"/>
        </w:rPr>
        <w:fldChar w:fldCharType="end"/>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财政部会同有关行业主管部门，分产品确定在中国境内生产的组件成本占比应当达到的规定比例。在分产品的中国境内生产的组件成本占比相关要求实施前，符合第1）项条件的产品在政府采购活动中视同本国产品。</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3）特定产品的关键组件、关键工序符合相关要求</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对特定产品，在符合第1）项和第2）项条件的基础上，应当符合财政部会同有关行业主管部门确定的其关键组件、关键工序在中国境内生产、完成等要求。</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（2）本国产品标准的适用范围</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（3）对本国产品的支持政策</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政府采购活动中既有本国产品又有非本国产品参与竞争的，依法对本国产品给予价格评审优惠，对本国产品的报价给予20%的价格扣除，用扣除后的价格参与评审。</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（4）本国产品证明文件</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1）出具符合要求的《关于符合本国产品标准的声明函》（格式见</w:t>
      </w:r>
      <w:r>
        <w:rPr>
          <w:rFonts w:hint="default" w:ascii="Times New Roman" w:hAnsi="Times New Roman" w:cs="Times New Roman"/>
          <w:kern w:val="0"/>
          <w:lang w:val="en-US" w:eastAsia="zh-CN"/>
        </w:rPr>
        <w:t>附件</w:t>
      </w:r>
      <w:r>
        <w:rPr>
          <w:rFonts w:hint="default" w:ascii="Times New Roman" w:hAnsi="Times New Roman" w:cs="Times New Roman"/>
          <w:kern w:val="0"/>
        </w:rPr>
        <w:t>）或有关证明文件的，该产品视为本国产品。</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2）《关于符合本国产品标准的声明函》填写注意事项：</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a.产品如有型号，请在“产品名称”栏一并填写。</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b.生产厂名与厂址应与生产厂营业执照载明的相关信息保持一致。</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c.该产品的中国境内生产的组件成本占比相关要求实施前，“规定比例”栏可不填写。</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d.该产品的关键组件要求实施前，“关键组件”栏可不填写。</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e.该产品的关键工序要求实施前，“关键工序”栏可不填写。</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.2 支持绿色发展</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.3支持中小企业发展</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符合中小企业划分标准的个体工商户，在政府采购活动中视同中小企业。</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.3.2在政府采购活动中，供应商提供的货物、工程或者服务符合下列情形的，享受中小企业扶持政策：</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.3.2.1在货物采购项目中，货物由中小企业制造，即货物由中小企业生产且使用该中小企业商号或者注册商标；</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.3.2.2在工程采购项目中，工程由中小企业承建，即工程施工单位为中小企业；</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.3.2.3在服务采购项目中，服务由中小企业承接，即提供服务的人员为中小企业依照《中华人民共和国劳动合同法》订立劳动合同的从业人员。</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在货物采购项目中，供应商提供的货物既有中小企业制造货物，也有大型企业制造货物的，不享受中小企业扶持政策。</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rPr>
        <w:t>以联合体形式参加政府采购活动，联合体各方均为中小企业的，联合体视同中小企业。其中，联合体各方均为小微企业的，联合体视同小微企业。</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.3.4符合《关于促进残疾人就业政府采购政策的通知》（财库〔2017〕141号）规定的条件并提供《残疾人福利性单位声明函》的残疾人福利性单位视同小型、微型企业；</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3.5符合《关于政府采购支持监狱企业发展有关问题的通知》（财库[2014]68号）规定的监狱企业并提供由省级以上监狱管理局、戒毒管理局（含新疆生产建设兵团）出具的属于监狱企业证明文件的，视同为小型、微型企业。</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.3.7中小企业享受扶持政策获得政府采购合同的，小微企业不得将合同分包给大中型企业，中型企业不得将合同分包给大型企业。</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.4支持创新发展</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.4.1 采购人优先采购被认定为首台套产品和“制造精品”的自主创新产品。</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pStyle w:val="33"/>
        <w:widowControl/>
        <w:adjustRightInd w:val="0"/>
        <w:snapToGrid w:val="0"/>
        <w:spacing w:line="360" w:lineRule="auto"/>
        <w:ind w:firstLine="480" w:firstLineChars="200"/>
        <w:rPr>
          <w:rFonts w:hint="default" w:ascii="Times New Roman" w:hAnsi="Times New Roman" w:cs="Times New Roman"/>
          <w:kern w:val="0"/>
        </w:rPr>
      </w:pPr>
      <w:r>
        <w:rPr>
          <w:rFonts w:hint="default" w:ascii="Times New Roman" w:hAnsi="Times New Roman" w:cs="Times New Roman"/>
          <w:kern w:val="0"/>
          <w:lang w:val="en"/>
        </w:rPr>
        <w:t>1</w:t>
      </w:r>
      <w:r>
        <w:rPr>
          <w:rFonts w:hint="default" w:ascii="Times New Roman" w:hAnsi="Times New Roman" w:cs="Times New Roman"/>
          <w:kern w:val="0"/>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pPr>
        <w:widowControl w:val="0"/>
        <w:spacing w:line="780" w:lineRule="exact"/>
        <w:rPr>
          <w:rFonts w:hint="default" w:ascii="Times New Roman" w:hAnsi="Times New Roman" w:cs="Times New Roman"/>
        </w:rPr>
      </w:pPr>
      <w:r>
        <w:rPr>
          <w:rFonts w:hint="default" w:ascii="Times New Roman" w:hAnsi="Times New Roman" w:cs="Times New Roman"/>
        </w:rPr>
        <w:br w:type="page"/>
      </w: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rPr>
      </w:pPr>
    </w:p>
    <w:p>
      <w:pPr>
        <w:widowControl w:val="0"/>
        <w:spacing w:line="780" w:lineRule="exact"/>
        <w:jc w:val="center"/>
        <w:rPr>
          <w:rFonts w:hint="default" w:ascii="Times New Roman" w:hAnsi="Times New Roman" w:cs="Times New Roman"/>
          <w:b/>
          <w:bCs/>
          <w:sz w:val="52"/>
          <w:szCs w:val="52"/>
        </w:rPr>
      </w:pPr>
      <w:r>
        <w:rPr>
          <w:rFonts w:hint="default" w:ascii="Times New Roman" w:hAnsi="Times New Roman" w:cs="Times New Roman"/>
          <w:b/>
          <w:bCs/>
          <w:sz w:val="52"/>
          <w:szCs w:val="52"/>
        </w:rPr>
        <w:t>第四章</w:t>
      </w:r>
    </w:p>
    <w:p>
      <w:pPr>
        <w:widowControl w:val="0"/>
        <w:spacing w:line="780" w:lineRule="exact"/>
        <w:jc w:val="center"/>
        <w:rPr>
          <w:rFonts w:hint="default" w:ascii="Times New Roman" w:hAnsi="Times New Roman" w:cs="Times New Roman"/>
          <w:b/>
          <w:bCs/>
          <w:sz w:val="52"/>
          <w:szCs w:val="52"/>
        </w:rPr>
      </w:pPr>
      <w:r>
        <w:rPr>
          <w:rFonts w:hint="default" w:ascii="Times New Roman" w:hAnsi="Times New Roman" w:cs="Times New Roman"/>
          <w:b/>
          <w:bCs/>
          <w:sz w:val="52"/>
          <w:szCs w:val="52"/>
        </w:rPr>
        <w:t>技术服务要求及货物需求一览表</w:t>
      </w:r>
    </w:p>
    <w:p>
      <w:pPr>
        <w:widowControl w:val="0"/>
        <w:spacing w:line="360" w:lineRule="auto"/>
        <w:rPr>
          <w:rFonts w:hint="default" w:ascii="Times New Roman" w:hAnsi="Times New Roman" w:cs="Times New Roman"/>
          <w:b/>
          <w:bCs/>
          <w:sz w:val="24"/>
          <w:szCs w:val="24"/>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widowControl w:val="0"/>
        <w:spacing w:line="360" w:lineRule="auto"/>
        <w:rPr>
          <w:rFonts w:hint="default" w:ascii="Times New Roman" w:hAnsi="Times New Roman" w:cs="Times New Roman"/>
        </w:rPr>
      </w:pPr>
    </w:p>
    <w:p>
      <w:pPr>
        <w:spacing w:before="120" w:beforeLines="50" w:after="120" w:afterLines="50" w:line="360" w:lineRule="auto"/>
        <w:outlineLvl w:val="0"/>
        <w:rPr>
          <w:rFonts w:hint="default" w:ascii="Times New Roman" w:hAnsi="Times New Roman" w:cs="Times New Roman"/>
          <w:lang w:val="en-US" w:eastAsia="zh-CN"/>
        </w:rPr>
      </w:pPr>
    </w:p>
    <w:tbl>
      <w:tblPr>
        <w:tblStyle w:val="36"/>
        <w:tblW w:w="10514" w:type="dxa"/>
        <w:tblInd w:w="-1102" w:type="dxa"/>
        <w:tblLayout w:type="fixed"/>
        <w:tblCellMar>
          <w:top w:w="0" w:type="dxa"/>
          <w:left w:w="108" w:type="dxa"/>
          <w:bottom w:w="0" w:type="dxa"/>
          <w:right w:w="108" w:type="dxa"/>
        </w:tblCellMar>
      </w:tblPr>
      <w:tblGrid>
        <w:gridCol w:w="914"/>
        <w:gridCol w:w="821"/>
        <w:gridCol w:w="636"/>
        <w:gridCol w:w="220"/>
        <w:gridCol w:w="791"/>
        <w:gridCol w:w="523"/>
        <w:gridCol w:w="363"/>
        <w:gridCol w:w="273"/>
        <w:gridCol w:w="273"/>
        <w:gridCol w:w="363"/>
        <w:gridCol w:w="196"/>
        <w:gridCol w:w="648"/>
        <w:gridCol w:w="4493"/>
      </w:tblGrid>
      <w:tr>
        <w:tblPrEx>
          <w:tblLayout w:type="fixed"/>
          <w:tblCellMar>
            <w:top w:w="0" w:type="dxa"/>
            <w:left w:w="108" w:type="dxa"/>
            <w:bottom w:w="0" w:type="dxa"/>
            <w:right w:w="108" w:type="dxa"/>
          </w:tblCellMar>
        </w:tblPrEx>
        <w:trPr>
          <w:trHeight w:val="1060" w:hRule="atLeast"/>
        </w:trPr>
        <w:tc>
          <w:tcPr>
            <w:tcW w:w="10514" w:type="dxa"/>
            <w:gridSpan w:val="1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32"/>
                <w:szCs w:val="32"/>
                <w:lang w:bidi="ar"/>
              </w:rPr>
              <w:t>芝英消防站家具清单</w:t>
            </w:r>
          </w:p>
        </w:tc>
      </w:tr>
      <w:tr>
        <w:tblPrEx>
          <w:tblLayout w:type="fixed"/>
          <w:tblCellMar>
            <w:top w:w="0" w:type="dxa"/>
            <w:left w:w="108" w:type="dxa"/>
            <w:bottom w:w="0" w:type="dxa"/>
            <w:right w:w="108" w:type="dxa"/>
          </w:tblCellMar>
        </w:tblPrEx>
        <w:trPr>
          <w:trHeight w:val="76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产品名称</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参 考 图 片</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尺 寸</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数量</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单位</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sz w:val="24"/>
              </w:rPr>
              <w:t>技术标准与要求</w:t>
            </w:r>
          </w:p>
        </w:tc>
      </w:tr>
      <w:tr>
        <w:tblPrEx>
          <w:tblLayout w:type="fixed"/>
          <w:tblCellMar>
            <w:top w:w="0" w:type="dxa"/>
            <w:left w:w="108" w:type="dxa"/>
            <w:bottom w:w="0" w:type="dxa"/>
            <w:right w:w="108" w:type="dxa"/>
          </w:tblCellMar>
        </w:tblPrEx>
        <w:trPr>
          <w:trHeight w:val="720" w:hRule="atLeast"/>
        </w:trPr>
        <w:tc>
          <w:tcPr>
            <w:tcW w:w="10514" w:type="dxa"/>
            <w:gridSpan w:val="1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center"/>
              <w:textAlignment w:val="top"/>
              <w:rPr>
                <w:rFonts w:hint="eastAsia" w:ascii="宋体" w:hAnsi="宋体" w:cs="宋体"/>
                <w:b/>
                <w:bCs/>
                <w:color w:val="000000"/>
                <w:sz w:val="24"/>
              </w:rPr>
            </w:pPr>
            <w:r>
              <w:rPr>
                <w:rFonts w:hint="eastAsia" w:ascii="宋体" w:hAnsi="宋体" w:cs="宋体"/>
                <w:b/>
                <w:bCs/>
                <w:color w:val="000000"/>
                <w:kern w:val="0"/>
                <w:sz w:val="24"/>
                <w:lang w:bidi="ar"/>
              </w:rPr>
              <w:t>接警中心</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接警中心2人间备勤室（共计1间）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上下铺</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41" name="图片 2" descr="0b5f0741a13713ff0acec8c7f472d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0b5f0741a13713ff0acec8c7f472d865"/>
                          <pic:cNvPicPr>
                            <a:picLocks noChangeAspect="1"/>
                          </pic:cNvPicPr>
                        </pic:nvPicPr>
                        <pic:blipFill>
                          <a:blip r:embed="rId15"/>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900*2000*1800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1、闭口型材立柱65*65*1.2mm；</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2、横梁50*25*1.2mm；</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3、护栏φ19mm*1.2mm；</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4、床撑20*30*1.0mm；</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5、连接挂件2.0mm；</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6、侧梯20*30mm*1.2mm；</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7、含15mm樟子松木条</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床头柜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42" name="图片 3" descr="D:/文件/家具/柜子2.jpg柜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D:/文件/家具/柜子2.jpg柜子2"/>
                          <pic:cNvPicPr>
                            <a:picLocks noChangeAspect="1"/>
                          </pic:cNvPicPr>
                        </pic:nvPicPr>
                        <pic:blipFill>
                          <a:blip r:embed="rId16"/>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450*450*470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1297"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床垫</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inline distT="0" distB="0" distL="114300" distR="114300">
                  <wp:extent cx="949960" cy="294005"/>
                  <wp:effectExtent l="0" t="0" r="2540" b="10795"/>
                  <wp:docPr id="44" name="图片 4"/>
                  <wp:cNvGraphicFramePr/>
                  <a:graphic xmlns:a="http://schemas.openxmlformats.org/drawingml/2006/main">
                    <a:graphicData uri="http://schemas.openxmlformats.org/drawingml/2006/picture">
                      <pic:pic xmlns:pic="http://schemas.openxmlformats.org/drawingml/2006/picture">
                        <pic:nvPicPr>
                          <pic:cNvPr id="44" name="图片 4"/>
                          <pic:cNvPicPr/>
                        </pic:nvPicPr>
                        <pic:blipFill>
                          <a:blip r:embed="rId17"/>
                          <a:stretch>
                            <a:fillRect/>
                          </a:stretch>
                        </pic:blipFill>
                        <pic:spPr>
                          <a:xfrm>
                            <a:off x="0" y="0"/>
                            <a:ext cx="949960" cy="29400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900*2000*50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1、材质：椰棕，天然材质更环保健康。</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2、硬度：适中</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3、透气性：有透气孔设计，透气性好。</w:t>
            </w:r>
          </w:p>
        </w:tc>
      </w:tr>
      <w:tr>
        <w:tblPrEx>
          <w:tblLayout w:type="fixed"/>
          <w:tblCellMar>
            <w:top w:w="0" w:type="dxa"/>
            <w:left w:w="108" w:type="dxa"/>
            <w:bottom w:w="0" w:type="dxa"/>
            <w:right w:w="108" w:type="dxa"/>
          </w:tblCellMar>
        </w:tblPrEx>
        <w:trPr>
          <w:trHeight w:val="980" w:hRule="atLeast"/>
        </w:trPr>
        <w:tc>
          <w:tcPr>
            <w:tcW w:w="10514" w:type="dxa"/>
            <w:gridSpan w:val="1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附属楼</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圆餐桌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45" name="图片 5" descr="cb5551b1b9f4a9703991c83dc7da0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cb5551b1b9f4a9703991c83dc7da0b62"/>
                          <pic:cNvPicPr>
                            <a:picLocks noChangeAspect="1"/>
                          </pic:cNvPicPr>
                        </pic:nvPicPr>
                        <pic:blipFill>
                          <a:blip r:embed="rId18"/>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Φ1800*750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基材：优质环保实木多层板，甲醛释放量（1m³气候箱法）≤0.01mg/m³，防霉性能0级，抗菌性能抑菌率≥99.4%、抗菌等级Ⅰ级，总半挥发性有机化合物（TSVOC）的释放量≤20μg/（㎡·h），人造板防腐性能评价1级，符合GB/T9846-2015、GB18580-2017、LY/T2230-2013、LY/T1926-2020、LY/T3044-2018标准。</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2、油漆：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                                                                                                                                             3、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tc>
      </w:tr>
      <w:tr>
        <w:tblPrEx>
          <w:tblLayout w:type="fixed"/>
          <w:tblCellMar>
            <w:top w:w="0" w:type="dxa"/>
            <w:left w:w="108" w:type="dxa"/>
            <w:bottom w:w="0" w:type="dxa"/>
            <w:right w:w="108" w:type="dxa"/>
          </w:tblCellMar>
        </w:tblPrEx>
        <w:trPr>
          <w:trHeight w:val="41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圆餐桌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46" name="图片 6" descr="cb5551b1b9f4a9703991c83dc7da0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cb5551b1b9f4a9703991c83dc7da0b62"/>
                          <pic:cNvPicPr>
                            <a:picLocks noChangeAspect="1"/>
                          </pic:cNvPicPr>
                        </pic:nvPicPr>
                        <pic:blipFill>
                          <a:blip r:embed="rId18"/>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Φ2000*750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基材：优质环保实木多层板，甲醛释放量（1m³气候箱法）≤0.01mg/m³，防霉性能0级，抗菌性能抑菌率≥99.4%、抗菌等级Ⅰ级，总半挥发性有机化合物（TSVOC）的释放量≤20μg/（㎡·h），人造板防腐性能评价1级，符合GB/T9846-2015、GB18580-2017、LY/T2230-2013、LY/T1926-2020、LY/T3044-2018标准。</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2、油漆：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                                                                                                                                             3、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餐椅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43" name="图片 7" descr="1caa55b7b62b3e070fb01d03dbf64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1caa55b7b62b3e070fb01d03dbf64edc"/>
                          <pic:cNvPicPr>
                            <a:picLocks noChangeAspect="1"/>
                          </pic:cNvPicPr>
                        </pic:nvPicPr>
                        <pic:blipFill>
                          <a:blip r:embed="rId19"/>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470*400*830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45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sz w:val="24"/>
              </w:rPr>
              <w:t>★</w:t>
            </w:r>
            <w:r>
              <w:rPr>
                <w:rFonts w:hint="eastAsia" w:ascii="宋体" w:hAnsi="宋体" w:cs="宋体"/>
                <w:color w:val="000000"/>
                <w:kern w:val="0"/>
                <w:sz w:val="24"/>
                <w:lang w:bidi="ar"/>
              </w:rPr>
              <w:t>1、实木框架：符合GB/T 6043-2009、JC/T 2039-2010、GB/T 1927.19-2021、GB 18580-2017、QB</w:t>
            </w:r>
            <w:r>
              <w:rPr>
                <w:rFonts w:hint="eastAsia" w:ascii="宋体" w:cs="宋体"/>
                <w:color w:val="000000"/>
                <w:kern w:val="0"/>
                <w:sz w:val="24"/>
                <w:lang w:val="en-US" w:eastAsia="zh-CN" w:bidi="ar"/>
              </w:rPr>
              <w:t>/T</w:t>
            </w:r>
            <w:r>
              <w:rPr>
                <w:rFonts w:hint="eastAsia" w:ascii="宋体" w:hAnsi="宋体" w:cs="宋体"/>
                <w:color w:val="000000"/>
                <w:kern w:val="0"/>
                <w:sz w:val="24"/>
                <w:lang w:bidi="ar"/>
              </w:rPr>
              <w:t>4371-2012标准，木材含水率8%～16%，甲醛释放量≤0.01mg/m³，抗菌性能（白色假丝酵母菌）抑菌率≥99.9%，木材硬度端面≥6600N，弦面≥6400N，径面≥6000N，pH值6.83，产品有害物质可接触防霉菌性能（可可毛球二孢）防霉菌等级0级，木制件外观无贯通、无虫蛀现象。</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2、油漆：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tc>
      </w:tr>
      <w:tr>
        <w:tblPrEx>
          <w:tblLayout w:type="fixed"/>
          <w:tblCellMar>
            <w:top w:w="0" w:type="dxa"/>
            <w:left w:w="108" w:type="dxa"/>
            <w:bottom w:w="0" w:type="dxa"/>
            <w:right w:w="108" w:type="dxa"/>
          </w:tblCellMar>
        </w:tblPrEx>
        <w:trPr>
          <w:trHeight w:val="238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sz w:val="24"/>
              </w:rPr>
            </w:pPr>
            <w:r>
              <w:rPr>
                <w:rFonts w:hint="eastAsia" w:ascii="宋体" w:hAnsi="宋体" w:cs="宋体"/>
                <w:sz w:val="24"/>
              </w:rPr>
              <w:t>附属楼屋面平台160目字拼花台</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920750" cy="731520"/>
                  <wp:effectExtent l="0" t="0" r="12700" b="1143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20"/>
                          <a:stretch>
                            <a:fillRect/>
                          </a:stretch>
                        </pic:blipFill>
                        <pic:spPr>
                          <a:xfrm>
                            <a:off x="0" y="0"/>
                            <a:ext cx="920750" cy="731520"/>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1600*900*730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全铝合骨架+黑色压纹塑木</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sz w:val="24"/>
              </w:rPr>
            </w:pPr>
            <w:r>
              <w:rPr>
                <w:rFonts w:hint="eastAsia" w:ascii="宋体" w:hAnsi="宋体" w:cs="宋体"/>
                <w:sz w:val="24"/>
              </w:rPr>
              <w:t>椅子</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920750" cy="731520"/>
                  <wp:effectExtent l="0" t="0" r="12700" b="1143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20"/>
                          <a:stretch>
                            <a:fillRect/>
                          </a:stretch>
                        </pic:blipFill>
                        <pic:spPr>
                          <a:xfrm>
                            <a:off x="0" y="0"/>
                            <a:ext cx="920750" cy="731520"/>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6</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全铝合骨架+黑色压纹塑木</w:t>
            </w:r>
          </w:p>
        </w:tc>
      </w:tr>
      <w:tr>
        <w:tblPrEx>
          <w:tblLayout w:type="fixed"/>
          <w:tblCellMar>
            <w:top w:w="0" w:type="dxa"/>
            <w:left w:w="108" w:type="dxa"/>
            <w:bottom w:w="0" w:type="dxa"/>
            <w:right w:w="108" w:type="dxa"/>
          </w:tblCellMar>
        </w:tblPrEx>
        <w:trPr>
          <w:trHeight w:val="600" w:hRule="atLeast"/>
        </w:trPr>
        <w:tc>
          <w:tcPr>
            <w:tcW w:w="10514" w:type="dxa"/>
            <w:gridSpan w:val="1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执勤综合楼</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2楼更衣室（共计1间）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更衣凳</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0528" behindDoc="0" locked="0" layoutInCell="1" allowOverlap="1">
                  <wp:simplePos x="0" y="0"/>
                  <wp:positionH relativeFrom="column">
                    <wp:posOffset>-31115</wp:posOffset>
                  </wp:positionH>
                  <wp:positionV relativeFrom="paragraph">
                    <wp:posOffset>1077595</wp:posOffset>
                  </wp:positionV>
                  <wp:extent cx="879475" cy="299720"/>
                  <wp:effectExtent l="0" t="0" r="15875" b="5080"/>
                  <wp:wrapNone/>
                  <wp:docPr id="50" name="ID_B0758F36592D45AEB8891E2E46AB743F" descr="D:/文件/家具/更衣凳.jpg更衣凳"/>
                  <wp:cNvGraphicFramePr/>
                  <a:graphic xmlns:a="http://schemas.openxmlformats.org/drawingml/2006/main">
                    <a:graphicData uri="http://schemas.openxmlformats.org/drawingml/2006/picture">
                      <pic:pic xmlns:pic="http://schemas.openxmlformats.org/drawingml/2006/picture">
                        <pic:nvPicPr>
                          <pic:cNvPr id="50" name="ID_B0758F36592D45AEB8891E2E46AB743F" descr="D:/文件/家具/更衣凳.jpg更衣凳"/>
                          <pic:cNvPicPr/>
                        </pic:nvPicPr>
                        <pic:blipFill>
                          <a:blip r:embed="rId21"/>
                          <a:srcRect t="27145" b="27145"/>
                          <a:stretch>
                            <a:fillRect/>
                          </a:stretch>
                        </pic:blipFill>
                        <pic:spPr>
                          <a:xfrm>
                            <a:off x="0" y="0"/>
                            <a:ext cx="879475" cy="29972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1800*370*450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Fonts w:hint="eastAsia" w:ascii="宋体" w:hAnsi="宋体" w:cs="宋体"/>
                <w:sz w:val="24"/>
              </w:rPr>
              <w:t>★</w:t>
            </w:r>
            <w:r>
              <w:rPr>
                <w:rStyle w:val="162"/>
                <w:sz w:val="24"/>
                <w:szCs w:val="24"/>
                <w:lang w:bidi="ar"/>
              </w:rPr>
              <w:t>1、基材：采用橡胶木实木，甲醛释放量≤0.01mg/m</w:t>
            </w:r>
            <w:r>
              <w:rPr>
                <w:rStyle w:val="82"/>
                <w:rFonts w:hint="eastAsia"/>
                <w:sz w:val="24"/>
                <w:szCs w:val="24"/>
                <w:lang w:bidi="ar"/>
              </w:rPr>
              <w:t>³</w:t>
            </w:r>
            <w:r>
              <w:rPr>
                <w:rStyle w:val="162"/>
                <w:sz w:val="24"/>
                <w:szCs w:val="24"/>
                <w:lang w:bidi="ar"/>
              </w:rPr>
              <w:t>，木材硬度端面≥6500N，弦面≥6300N，径面≥6100N，抗弯弹性模量≥11300MPa，抗菌性能（金黄色葡萄球菌、肺炎克雷伯氏菌、铜绿假单胞菌、大肠杆菌、白色假丝酵母菌、肺炎链球菌）抑菌率≥99.9%，防霉菌性能（黑曲霉、出芽短梗霉、黄曲霉、可可毛球二孢、长枝木霉、桔灰青霉）等级0级，符合GB18580-2017、QB/T4371-2012、JC/T 2039-2010、GB/T 1927.10-2021标准。</w:t>
            </w:r>
          </w:p>
          <w:p>
            <w:pPr>
              <w:widowControl/>
              <w:jc w:val="left"/>
              <w:textAlignment w:val="center"/>
              <w:rPr>
                <w:rStyle w:val="162"/>
                <w:sz w:val="24"/>
                <w:szCs w:val="24"/>
                <w:lang w:bidi="ar"/>
              </w:rPr>
            </w:pPr>
            <w:r>
              <w:rPr>
                <w:rStyle w:val="162"/>
                <w:sz w:val="24"/>
                <w:szCs w:val="24"/>
                <w:lang w:bidi="ar"/>
              </w:rPr>
              <w:t>2、油漆：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3、钢管：乙酸盐雾试验连续喷雾≥600h，镀（涂）层对基体的保护等级、耐腐蚀等级≥10级，中性盐雾试验连续喷雾≥600h，镀（涂）层对基体的保护等级、耐腐蚀等级≥10级，耐霉菌性等级（黑曲霉）0级，金属喷漆（塑）涂层硬度≥5H，金属件管材外观无裂缝、叠缝，符合QB/T 3827-1999、GB/T 1741-2020、QB/T 3832-1999、QB/T 3826-1999标准。</w:t>
            </w:r>
          </w:p>
          <w:p>
            <w:pPr>
              <w:widowControl/>
              <w:jc w:val="left"/>
              <w:textAlignment w:val="center"/>
              <w:rPr>
                <w:rFonts w:hint="eastAsia" w:ascii="宋体" w:hAnsi="宋体" w:cs="宋体"/>
                <w:color w:val="000000"/>
                <w:sz w:val="24"/>
              </w:rPr>
            </w:pPr>
            <w:r>
              <w:rPr>
                <w:rStyle w:val="162"/>
                <w:sz w:val="24"/>
                <w:szCs w:val="24"/>
                <w:lang w:bidi="ar"/>
              </w:rPr>
              <w:t>4、粉末：采用抗菌防霉粉末涂料，铅笔硬度≥5H，耐磨性≤40mg，总铅含量、可溶性重金属含量镉、铬、汞均未检出，抗菌性能（嗜麦芽糖寡养单胞菌、金黄色葡萄球菌）抗细菌率≥99.9%，抗霉菌（黑曲霉）等级0级，符合GB/T 21866-2008、HG/T 3950-2007、HG/T2006-2022、GB 18581-2020标准。</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2楼备勤室（共计5间）</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单人床</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1552" behindDoc="0" locked="0" layoutInCell="1" allowOverlap="1">
                  <wp:simplePos x="0" y="0"/>
                  <wp:positionH relativeFrom="column">
                    <wp:posOffset>-41275</wp:posOffset>
                  </wp:positionH>
                  <wp:positionV relativeFrom="paragraph">
                    <wp:posOffset>114935</wp:posOffset>
                  </wp:positionV>
                  <wp:extent cx="1021080" cy="915670"/>
                  <wp:effectExtent l="0" t="0" r="7620" b="17780"/>
                  <wp:wrapNone/>
                  <wp:docPr id="47" name="ID_5AE9BCB56DB049CCA8B3F3CC36F0D880" descr="D:/文件/家具/床.jpg床"/>
                  <wp:cNvGraphicFramePr/>
                  <a:graphic xmlns:a="http://schemas.openxmlformats.org/drawingml/2006/main">
                    <a:graphicData uri="http://schemas.openxmlformats.org/drawingml/2006/picture">
                      <pic:pic xmlns:pic="http://schemas.openxmlformats.org/drawingml/2006/picture">
                        <pic:nvPicPr>
                          <pic:cNvPr id="47" name="ID_5AE9BCB56DB049CCA8B3F3CC36F0D880" descr="D:/文件/家具/床.jpg床"/>
                          <pic:cNvPicPr/>
                        </pic:nvPicPr>
                        <pic:blipFill>
                          <a:blip r:embed="rId22"/>
                          <a:srcRect t="5162" b="5162"/>
                          <a:stretch>
                            <a:fillRect/>
                          </a:stretch>
                        </pic:blipFill>
                        <pic:spPr>
                          <a:xfrm>
                            <a:off x="0" y="0"/>
                            <a:ext cx="1021080" cy="91567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900*2000*1100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72"/>
                <w:rFonts w:hint="eastAsia"/>
                <w:sz w:val="24"/>
                <w:szCs w:val="24"/>
                <w:lang w:bidi="ar"/>
              </w:rPr>
            </w:pPr>
            <w:r>
              <w:rPr>
                <w:rFonts w:hint="eastAsia" w:ascii="宋体" w:hAnsi="宋体" w:cs="宋体"/>
                <w:sz w:val="24"/>
              </w:rPr>
              <w:t>★</w:t>
            </w:r>
            <w:r>
              <w:rPr>
                <w:rStyle w:val="72"/>
                <w:rFonts w:hint="eastAsia"/>
                <w:sz w:val="24"/>
                <w:szCs w:val="24"/>
                <w:lang w:bidi="ar"/>
              </w:rPr>
              <w:t>1、基材：优质环保实木多层板，甲醛释放量（1m³气候箱法）≤0.01mg/m³，防霉性能0级，抗菌性能抑菌率≥99.4%、抗菌等级Ⅰ级，总半挥发性有机化合物（TSVOC）的释放量≤20μg/（㎡·h），人造板防腐性能评价1级，符合GB/T9846-2015、GB18580-2017、LY/T2230-2013、LY/T1926-2020、LY/T3044-2018标准。</w:t>
            </w:r>
          </w:p>
          <w:p>
            <w:pPr>
              <w:widowControl/>
              <w:jc w:val="left"/>
              <w:textAlignment w:val="center"/>
              <w:rPr>
                <w:rStyle w:val="72"/>
                <w:rFonts w:hint="eastAsia"/>
                <w:sz w:val="24"/>
                <w:szCs w:val="24"/>
                <w:lang w:bidi="ar"/>
              </w:rPr>
            </w:pPr>
            <w:r>
              <w:rPr>
                <w:rFonts w:hint="eastAsia" w:ascii="宋体" w:hAnsi="宋体" w:cs="宋体"/>
                <w:sz w:val="24"/>
              </w:rPr>
              <w:t>★</w:t>
            </w:r>
            <w:r>
              <w:rPr>
                <w:rStyle w:val="72"/>
                <w:rFonts w:hint="eastAsia"/>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72"/>
                <w:rFonts w:hint="eastAsia"/>
                <w:sz w:val="24"/>
                <w:szCs w:val="24"/>
                <w:lang w:bidi="ar"/>
              </w:rPr>
            </w:pPr>
            <w:r>
              <w:rPr>
                <w:rFonts w:hint="eastAsia" w:ascii="宋体" w:hAnsi="宋体" w:cs="宋体"/>
                <w:sz w:val="24"/>
              </w:rPr>
              <w:t>★</w:t>
            </w:r>
            <w:r>
              <w:rPr>
                <w:rStyle w:val="72"/>
                <w:rFonts w:hint="eastAsia"/>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72"/>
                <w:rFonts w:hint="eastAsia"/>
                <w:sz w:val="24"/>
                <w:szCs w:val="24"/>
                <w:lang w:bidi="ar"/>
              </w:rPr>
            </w:pPr>
            <w:r>
              <w:rPr>
                <w:rFonts w:hint="eastAsia" w:ascii="宋体" w:hAnsi="宋体" w:cs="宋体"/>
                <w:sz w:val="24"/>
              </w:rPr>
              <w:t>★</w:t>
            </w:r>
            <w:r>
              <w:rPr>
                <w:rStyle w:val="72"/>
                <w:rFonts w:hint="eastAsia"/>
                <w:sz w:val="24"/>
                <w:szCs w:val="24"/>
                <w:lang w:bidi="ar"/>
              </w:rPr>
              <w:t>4、胶水：</w:t>
            </w:r>
            <w:r>
              <w:rPr>
                <w:rStyle w:val="162"/>
                <w:sz w:val="24"/>
                <w:szCs w:val="24"/>
                <w:lang w:bidi="ar"/>
              </w:rPr>
              <w:t>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72"/>
                <w:rFonts w:hint="eastAsia"/>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1255"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床头柜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1" name="图片 10" descr="ef089afa8f8f1b38b83c5d7c37a1f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ef089afa8f8f1b38b83c5d7c37a1fe25"/>
                          <pic:cNvPicPr>
                            <a:picLocks noChangeAspect="1"/>
                          </pic:cNvPicPr>
                        </pic:nvPicPr>
                        <pic:blipFill>
                          <a:blip r:embed="rId23"/>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450*450*470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床垫</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2576" behindDoc="0" locked="0" layoutInCell="1" allowOverlap="1">
                  <wp:simplePos x="0" y="0"/>
                  <wp:positionH relativeFrom="column">
                    <wp:posOffset>97790</wp:posOffset>
                  </wp:positionH>
                  <wp:positionV relativeFrom="paragraph">
                    <wp:posOffset>172085</wp:posOffset>
                  </wp:positionV>
                  <wp:extent cx="773430" cy="334010"/>
                  <wp:effectExtent l="0" t="0" r="7620" b="8890"/>
                  <wp:wrapNone/>
                  <wp:docPr id="52" name="ID_117BB8F3153B4404A5E7E1B8D5E801DC"/>
                  <wp:cNvGraphicFramePr/>
                  <a:graphic xmlns:a="http://schemas.openxmlformats.org/drawingml/2006/main">
                    <a:graphicData uri="http://schemas.openxmlformats.org/drawingml/2006/picture">
                      <pic:pic xmlns:pic="http://schemas.openxmlformats.org/drawingml/2006/picture">
                        <pic:nvPicPr>
                          <pic:cNvPr id="52" name="ID_117BB8F3153B4404A5E7E1B8D5E801DC"/>
                          <pic:cNvPicPr/>
                        </pic:nvPicPr>
                        <pic:blipFill>
                          <a:blip r:embed="rId24"/>
                          <a:stretch>
                            <a:fillRect/>
                          </a:stretch>
                        </pic:blipFill>
                        <pic:spPr>
                          <a:xfrm>
                            <a:off x="0" y="0"/>
                            <a:ext cx="773430" cy="33401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900*2000*50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1、材质：椰棕，天然材质更环保健康。</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2、硬度：适中</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3、透气性：有透气孔设计，透气性好。</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鞋柜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3" name="图片 11" descr="86d52e57f330bc09660eb24f274fa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86d52e57f330bc09660eb24f274facb5"/>
                          <pic:cNvPicPr>
                            <a:picLocks noChangeAspect="1"/>
                          </pic:cNvPicPr>
                        </pic:nvPicPr>
                        <pic:blipFill>
                          <a:blip r:embed="rId25"/>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  2000*400*1000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5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套</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³气候箱法）≤0.01mg/m³，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带：采用PVC封边条同色封边，耐光色牢度≥4级，多溴联苯未检出，多溴联苯醚未检出，甲醛释放量≤0.05mg/L，可溶性重金属铅、镉、铬、汞、砷、钡、锑、硒未检出，邻苯二甲酸酯未检出，氯乙烯单体未检出，16种多环芳烃(PAH)总量未检出，弯曲强度≥75MPa，拉伸强度≥36MPa,燃烧性能等级B1级，符合QB/T 4463-2013、GB 28481-2012、GB/T 9341-2008、GB/T 1040.1-2018、GB 8624-2012检测标准。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5、五金：国标铝材/国内品牌静音滑轨</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2楼学习室（共计2间）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kern w:val="0"/>
                <w:sz w:val="24"/>
                <w:lang w:bidi="ar"/>
              </w:rPr>
              <w:t>学习研讨桌</w:t>
            </w:r>
            <w:r>
              <w:rPr>
                <w:rFonts w:hint="eastAsia" w:ascii="宋体" w:cs="宋体"/>
                <w:color w:val="000000"/>
                <w:kern w:val="0"/>
                <w:sz w:val="24"/>
                <w:lang w:eastAsia="zh-CN" w:bidi="ar"/>
              </w:rPr>
              <w:t>（</w:t>
            </w:r>
            <w:r>
              <w:rPr>
                <w:rFonts w:hint="eastAsia" w:ascii="宋体" w:cs="宋体"/>
                <w:color w:val="000000"/>
                <w:kern w:val="0"/>
                <w:sz w:val="24"/>
                <w:lang w:val="en-US" w:eastAsia="zh-CN" w:bidi="ar"/>
              </w:rPr>
              <w:t>学习桌</w:t>
            </w:r>
            <w:r>
              <w:rPr>
                <w:rFonts w:hint="eastAsia" w:ascii="宋体" w:cs="宋体"/>
                <w:color w:val="000000"/>
                <w:kern w:val="0"/>
                <w:sz w:val="24"/>
                <w:lang w:eastAsia="zh-CN" w:bidi="ar"/>
              </w:rPr>
              <w:t>）</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4" name="图片 12" descr="20f17340c64b86d960e0997cd0c47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20f17340c64b86d960e0997cd0c47f37"/>
                          <pic:cNvPicPr>
                            <a:picLocks noChangeAspect="1"/>
                          </pic:cNvPicPr>
                        </pic:nvPicPr>
                        <pic:blipFill>
                          <a:blip r:embed="rId26"/>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1000*550*650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244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学习椅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5" name="图片 13" descr="905370dfd7ffe243e4fe11adf453e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descr="905370dfd7ffe243e4fe11adf453ecac"/>
                          <pic:cNvPicPr>
                            <a:picLocks noChangeAspect="1"/>
                          </pic:cNvPicPr>
                        </pic:nvPicPr>
                        <pic:blipFill>
                          <a:blip r:embed="rId27"/>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1、基材：采用实木框架，木材含水率8～16%，甲醛释放量≤0.01mg/m</w:t>
            </w:r>
            <w:r>
              <w:rPr>
                <w:rStyle w:val="82"/>
                <w:rFonts w:hint="eastAsia"/>
                <w:sz w:val="24"/>
                <w:szCs w:val="24"/>
                <w:lang w:bidi="ar"/>
              </w:rPr>
              <w:t>³</w:t>
            </w:r>
            <w:r>
              <w:rPr>
                <w:rStyle w:val="162"/>
                <w:sz w:val="24"/>
                <w:szCs w:val="24"/>
                <w:lang w:bidi="ar"/>
              </w:rPr>
              <w:t>，抗菌性能（金黄色葡萄球菌、肺炎克雷伯氏菌、铜绿假单胞菌、大肠杆菌、白色假丝酵母菌、肺炎链球菌）抑菌率≥99.9%，防霉菌性能（黑曲霉、出芽短梗霉、黄曲霉、可可毛球二孢、长枝木霉、桔灰青霉、马氏拟青霉）防霉菌等级均为0级，抗弯弹性模量≥11600MPa，木制件外观无贯通裂缝、无虫蛀现象，符合GB 18580-2017、QB/T 4371-2012、JC/T 2039-2010、GB/T1927.10-202检测标准。</w:t>
            </w:r>
          </w:p>
          <w:p>
            <w:pPr>
              <w:widowControl/>
              <w:jc w:val="left"/>
              <w:textAlignment w:val="center"/>
              <w:rPr>
                <w:rFonts w:hint="eastAsia" w:ascii="宋体" w:hAnsi="宋体" w:cs="宋体"/>
                <w:color w:val="000000"/>
                <w:sz w:val="24"/>
              </w:rPr>
            </w:pPr>
            <w:r>
              <w:rPr>
                <w:rStyle w:val="162"/>
                <w:sz w:val="24"/>
                <w:szCs w:val="24"/>
                <w:lang w:bidi="ar"/>
              </w:rPr>
              <w:t>2、油漆：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tc>
      </w:tr>
      <w:tr>
        <w:tblPrEx>
          <w:tblLayout w:type="fixed"/>
          <w:tblCellMar>
            <w:top w:w="0" w:type="dxa"/>
            <w:left w:w="108" w:type="dxa"/>
            <w:bottom w:w="0" w:type="dxa"/>
            <w:right w:w="108" w:type="dxa"/>
          </w:tblCellMar>
        </w:tblPrEx>
        <w:trPr>
          <w:trHeight w:val="693"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定制书柜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3600" behindDoc="0" locked="0" layoutInCell="1" allowOverlap="1">
                  <wp:simplePos x="0" y="0"/>
                  <wp:positionH relativeFrom="column">
                    <wp:posOffset>42545</wp:posOffset>
                  </wp:positionH>
                  <wp:positionV relativeFrom="paragraph">
                    <wp:posOffset>637540</wp:posOffset>
                  </wp:positionV>
                  <wp:extent cx="888365" cy="1134110"/>
                  <wp:effectExtent l="0" t="0" r="6985" b="8890"/>
                  <wp:wrapNone/>
                  <wp:docPr id="56" name="ID_E5F1B9A5AA8148E3906200C11B837849" descr="D:/文件/家具/柜子3.jpg柜子3"/>
                  <wp:cNvGraphicFramePr/>
                  <a:graphic xmlns:a="http://schemas.openxmlformats.org/drawingml/2006/main">
                    <a:graphicData uri="http://schemas.openxmlformats.org/drawingml/2006/picture">
                      <pic:pic xmlns:pic="http://schemas.openxmlformats.org/drawingml/2006/picture">
                        <pic:nvPicPr>
                          <pic:cNvPr id="56" name="ID_E5F1B9A5AA8148E3906200C11B837849" descr="D:/文件/家具/柜子3.jpg柜子3"/>
                          <pic:cNvPicPr/>
                        </pic:nvPicPr>
                        <pic:blipFill>
                          <a:blip r:embed="rId28"/>
                          <a:srcRect l="11284" r="11284"/>
                          <a:stretch>
                            <a:fillRect/>
                          </a:stretch>
                        </pic:blipFill>
                        <pic:spPr>
                          <a:xfrm>
                            <a:off x="0" y="0"/>
                            <a:ext cx="888365" cy="113411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1000*600*2800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72"/>
                <w:rFonts w:hint="eastAsia"/>
                <w:sz w:val="24"/>
                <w:szCs w:val="24"/>
                <w:lang w:bidi="ar"/>
              </w:rPr>
            </w:pPr>
            <w:r>
              <w:rPr>
                <w:rStyle w:val="72"/>
                <w:rFonts w:hint="eastAsia"/>
                <w:sz w:val="24"/>
                <w:szCs w:val="24"/>
                <w:lang w:bidi="ar"/>
              </w:rPr>
              <w:t>1、基材：优质环保实木多层板，甲醛释放量（1m³气候箱法）≤0.01mg/m³，防霉性能0级，抗菌性能抑菌率≥99.4%、抗菌等级Ⅰ级，总半挥发性有机化合物（TSVOC）的释放量≤20μg/（㎡·h），人造板防腐性能评价1级，符合GB/T9846-2015、GB18580-2017、LY/T2230-2013、LY/T1926-2020、LY/T3044-2018标准。</w:t>
            </w:r>
          </w:p>
          <w:p>
            <w:pPr>
              <w:widowControl/>
              <w:jc w:val="left"/>
              <w:textAlignment w:val="center"/>
              <w:rPr>
                <w:rStyle w:val="72"/>
                <w:rFonts w:hint="eastAsia"/>
                <w:sz w:val="24"/>
                <w:szCs w:val="24"/>
                <w:lang w:bidi="ar"/>
              </w:rPr>
            </w:pPr>
            <w:r>
              <w:rPr>
                <w:rStyle w:val="72"/>
                <w:rFonts w:hint="eastAsia"/>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72"/>
                <w:rFonts w:hint="eastAsia"/>
                <w:sz w:val="24"/>
                <w:szCs w:val="24"/>
                <w:lang w:bidi="ar"/>
              </w:rPr>
            </w:pPr>
            <w:r>
              <w:rPr>
                <w:rStyle w:val="72"/>
                <w:rFonts w:hint="eastAsia"/>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72"/>
                <w:rFonts w:hint="eastAsia"/>
                <w:sz w:val="24"/>
                <w:szCs w:val="24"/>
                <w:lang w:bidi="ar"/>
              </w:rPr>
            </w:pPr>
            <w:r>
              <w:rPr>
                <w:rStyle w:val="72"/>
                <w:rFonts w:hint="eastAsia"/>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72"/>
                <w:rFonts w:hint="eastAsia"/>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2楼党团活动室（共计1间）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370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会议桌(带多媒体桌插)</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4624" behindDoc="0" locked="0" layoutInCell="1" allowOverlap="1">
                  <wp:simplePos x="0" y="0"/>
                  <wp:positionH relativeFrom="column">
                    <wp:posOffset>15240</wp:posOffset>
                  </wp:positionH>
                  <wp:positionV relativeFrom="paragraph">
                    <wp:posOffset>901700</wp:posOffset>
                  </wp:positionV>
                  <wp:extent cx="754380" cy="549910"/>
                  <wp:effectExtent l="0" t="0" r="7620" b="2540"/>
                  <wp:wrapNone/>
                  <wp:docPr id="35" name="ID_FC7747E54F904E19A5029D315E72BB25" descr="D:/文件/家具/桌子4.jpg桌子4"/>
                  <wp:cNvGraphicFramePr/>
                  <a:graphic xmlns:a="http://schemas.openxmlformats.org/drawingml/2006/main">
                    <a:graphicData uri="http://schemas.openxmlformats.org/drawingml/2006/picture">
                      <pic:pic xmlns:pic="http://schemas.openxmlformats.org/drawingml/2006/picture">
                        <pic:nvPicPr>
                          <pic:cNvPr id="35" name="ID_FC7747E54F904E19A5029D315E72BB25" descr="D:/文件/家具/桌子4.jpg桌子4"/>
                          <pic:cNvPicPr/>
                        </pic:nvPicPr>
                        <pic:blipFill>
                          <a:blip r:embed="rId29"/>
                          <a:srcRect t="23073" b="23073"/>
                          <a:stretch>
                            <a:fillRect/>
                          </a:stretch>
                        </pic:blipFill>
                        <pic:spPr>
                          <a:xfrm>
                            <a:off x="0" y="0"/>
                            <a:ext cx="754380" cy="54991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  5600*1100*750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244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会议椅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7" name="图片 14" descr="a6b3f8493f18debc2a68c4edf5fb7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a6b3f8493f18debc2a68c4edf5fb78fe"/>
                          <pic:cNvPicPr>
                            <a:picLocks noChangeAspect="1"/>
                          </pic:cNvPicPr>
                        </pic:nvPicPr>
                        <pic:blipFill>
                          <a:blip r:embed="rId30"/>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  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sz w:val="24"/>
              </w:rPr>
              <w:t>★</w:t>
            </w:r>
            <w:r>
              <w:rPr>
                <w:rFonts w:hint="eastAsia" w:ascii="宋体" w:hAnsi="宋体" w:cs="宋体"/>
                <w:color w:val="000000"/>
                <w:kern w:val="0"/>
                <w:sz w:val="24"/>
                <w:lang w:bidi="ar"/>
              </w:rPr>
              <w:t>1、面料：采用优质网布面料，甲醛</w:t>
            </w:r>
            <w:r>
              <w:rPr>
                <w:rFonts w:hint="eastAsia" w:ascii="宋体" w:cs="宋体"/>
                <w:color w:val="000000"/>
                <w:kern w:val="0"/>
                <w:sz w:val="24"/>
                <w:lang w:val="en-US" w:eastAsia="zh-CN" w:bidi="ar"/>
              </w:rPr>
              <w:t>含</w:t>
            </w:r>
            <w:r>
              <w:rPr>
                <w:rFonts w:hint="eastAsia" w:ascii="宋体" w:hAnsi="宋体" w:cs="宋体"/>
                <w:color w:val="000000"/>
                <w:kern w:val="0"/>
                <w:sz w:val="24"/>
                <w:lang w:bidi="ar"/>
              </w:rPr>
              <w:t>量未检出，染色牢度（耐水、耐酸汗渍、耐碱汗渍、耐干摩擦、耐唾液）≥5级，无异味，可分解致癌芳香胺染料未检出，防霉等级0级，抗菌性能抑菌率≥99.5%，具有较好的抗菌效果，五氯苯酚未检出，总铅、总镉均未检出，耐光黄变色牢度4-5级（100h），短链氯化石蜡未检出，抗菌物质溶出性抗菌圈宽度≤2.8mm（微溶出性，培养24h），符合CB 18401-2010、GB/T20944.3-2008、GB/T24346-2009、HJ2546-2016、GB/T35611-2017、GB/T 30669-2014、GB/T 40263-2021、GB/T 31713-2015标准。</w:t>
            </w:r>
          </w:p>
          <w:p>
            <w:pPr>
              <w:widowControl/>
              <w:jc w:val="left"/>
              <w:textAlignment w:val="center"/>
              <w:rPr>
                <w:rFonts w:hint="eastAsia" w:ascii="宋体" w:hAnsi="宋体" w:cs="宋体"/>
                <w:color w:val="000000"/>
                <w:kern w:val="0"/>
                <w:sz w:val="24"/>
                <w:lang w:bidi="ar"/>
              </w:rPr>
            </w:pPr>
            <w:r>
              <w:rPr>
                <w:rFonts w:hint="eastAsia" w:ascii="宋体" w:hAnsi="宋体" w:cs="宋体"/>
                <w:sz w:val="24"/>
              </w:rPr>
              <w:t>★</w:t>
            </w:r>
            <w:r>
              <w:rPr>
                <w:rFonts w:hint="eastAsia" w:ascii="宋体" w:hAnsi="宋体" w:cs="宋体"/>
                <w:color w:val="000000"/>
                <w:kern w:val="0"/>
                <w:sz w:val="24"/>
                <w:lang w:bidi="ar"/>
              </w:rPr>
              <w:t>2、海绵：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sz w:val="24"/>
              </w:rPr>
            </w:pPr>
            <w:r>
              <w:rPr>
                <w:rFonts w:hint="eastAsia" w:ascii="宋体" w:hAnsi="宋体" w:cs="宋体"/>
                <w:sz w:val="24"/>
              </w:rPr>
              <w:t>★</w:t>
            </w:r>
            <w:r>
              <w:rPr>
                <w:rFonts w:hint="eastAsia" w:ascii="宋体" w:hAnsi="宋体" w:cs="宋体"/>
                <w:color w:val="000000"/>
                <w:kern w:val="0"/>
                <w:sz w:val="24"/>
                <w:lang w:bidi="ar"/>
              </w:rPr>
              <w:t>3、弓形架：金属件喷涂层外观无漏漆、锈蚀和脱色、掉色现象，光滑均匀、色泽一致，无流挂、疙瘩、皱皮、飞漆等缺陷，乙酸盐雾试验连续喷雾≥600h，镀（涂）层对基体的保护等级、耐腐蚀等级≥10级，中性盐雾试验连续喷雾≥600h，镀（涂）层对基体的保护等级、耐腐蚀等级≥10级，符合QB/T 3827-1999、QB/T 3826-1999、QB/T 3832-1999标准。</w:t>
            </w:r>
          </w:p>
        </w:tc>
      </w:tr>
      <w:tr>
        <w:tblPrEx>
          <w:tblLayout w:type="fixed"/>
          <w:tblCellMar>
            <w:top w:w="0" w:type="dxa"/>
            <w:left w:w="108" w:type="dxa"/>
            <w:bottom w:w="0" w:type="dxa"/>
            <w:right w:w="108" w:type="dxa"/>
          </w:tblCellMar>
        </w:tblPrEx>
        <w:trPr>
          <w:trHeight w:val="39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书柜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8" name="图片 15" descr="044e00d5a20269192bc121eb73a48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044e00d5a20269192bc121eb73a48d3d"/>
                          <pic:cNvPicPr>
                            <a:picLocks noChangeAspect="1"/>
                          </pic:cNvPicPr>
                        </pic:nvPicPr>
                        <pic:blipFill>
                          <a:blip r:embed="rId31"/>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800*400*2000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5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59" name="图片 16" descr="543e8f4cee6b7bab897f47739f0d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descr="543e8f4cee6b7bab897f47739f0d6078"/>
                          <pic:cNvPicPr>
                            <a:picLocks noChangeAspect="1"/>
                          </pic:cNvPicPr>
                        </pic:nvPicPr>
                        <pic:blipFill>
                          <a:blip r:embed="rId32"/>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800*400*800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2楼干部办公室（共计1间）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466"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办公桌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5648" behindDoc="0" locked="0" layoutInCell="1" allowOverlap="1">
                  <wp:simplePos x="0" y="0"/>
                  <wp:positionH relativeFrom="column">
                    <wp:posOffset>15240</wp:posOffset>
                  </wp:positionH>
                  <wp:positionV relativeFrom="paragraph">
                    <wp:posOffset>803910</wp:posOffset>
                  </wp:positionV>
                  <wp:extent cx="779780" cy="909955"/>
                  <wp:effectExtent l="0" t="0" r="1270" b="4445"/>
                  <wp:wrapNone/>
                  <wp:docPr id="60" name="ID_CED6D3D08DFB420A877A451DF4835E61" descr="D:/文件/家具/桌子3.jpg桌子3"/>
                  <wp:cNvGraphicFramePr/>
                  <a:graphic xmlns:a="http://schemas.openxmlformats.org/drawingml/2006/main">
                    <a:graphicData uri="http://schemas.openxmlformats.org/drawingml/2006/picture">
                      <pic:pic xmlns:pic="http://schemas.openxmlformats.org/drawingml/2006/picture">
                        <pic:nvPicPr>
                          <pic:cNvPr id="60" name="ID_CED6D3D08DFB420A877A451DF4835E61" descr="D:/文件/家具/桌子3.jpg桌子3"/>
                          <pic:cNvPicPr/>
                        </pic:nvPicPr>
                        <pic:blipFill>
                          <a:blip r:embed="rId33"/>
                          <a:srcRect t="4539" b="4539"/>
                          <a:stretch>
                            <a:fillRect/>
                          </a:stretch>
                        </pic:blipFill>
                        <pic:spPr>
                          <a:xfrm>
                            <a:off x="0" y="0"/>
                            <a:ext cx="779780" cy="909955"/>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1400*700*750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Fonts w:hint="eastAsia" w:ascii="宋体" w:hAnsi="宋体" w:cs="宋体"/>
                <w:sz w:val="24"/>
              </w:rPr>
              <w:t>★</w:t>
            </w: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办公椅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61" name="图片 17" descr="d147cacc3247c82cbbaca4abfccdd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d147cacc3247c82cbbaca4abfccddc3a"/>
                          <pic:cNvPicPr>
                            <a:picLocks noChangeAspect="1"/>
                          </pic:cNvPicPr>
                        </pic:nvPicPr>
                        <pic:blipFill>
                          <a:blip r:embed="rId34"/>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1、面料：采用优质网布面料，甲醛</w:t>
            </w:r>
            <w:r>
              <w:rPr>
                <w:rFonts w:hint="eastAsia" w:ascii="宋体" w:cs="宋体"/>
                <w:color w:val="000000"/>
                <w:kern w:val="0"/>
                <w:sz w:val="24"/>
                <w:lang w:val="en-US" w:eastAsia="zh-CN" w:bidi="ar"/>
              </w:rPr>
              <w:t>含</w:t>
            </w:r>
            <w:r>
              <w:rPr>
                <w:rFonts w:hint="eastAsia" w:ascii="宋体" w:hAnsi="宋体" w:cs="宋体"/>
                <w:color w:val="000000"/>
                <w:kern w:val="0"/>
                <w:sz w:val="24"/>
                <w:lang w:bidi="ar"/>
              </w:rPr>
              <w:t>量未检出，染色牢度（耐水、耐酸汗渍、耐碱汗渍、耐干摩擦、耐唾液）≥5级，无异味，可分解致癌芳香胺染料未检出，防霉等级0级，抗菌性能抑菌率≥99.5%，具有较好的抗菌效果，五氯苯酚未检出，总铅、总镉均未检出，耐光黄变色牢度4-5级（100h），短链氯化石蜡未检出，抗菌物质溶出性抗菌圈宽度≤2.8mm（微溶出性，培养24h），符合CB 18401-2010、GB/T20944.3-2008、GB/T24346-2009、HJ2546-2016、GB/T35611-2017、GB/T 30669-2014、GB/T 40263-2021、GB/T 31713-2015标准。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海绵：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3、扶手：采用PP材料扶手，重金属可溶性铅、镉、铬、汞均未检出，多环芳烃苯并[a]芘≤0.05mg/kg，16种多环芳烃总量≤0.7mg/kg，多溴联苯≤5mg/kg，多溴二苯醚≤5mg/kg，弯曲强度≥53MPa,邻苯二甲酸酯未检出，符合GB/T 32487-2016、GB 28481-2012、CB/T 9341-2008、HJ 2547-2016标准。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4、脚架：优质尼龙五星脚架，带活动脚轮。</w:t>
            </w:r>
          </w:p>
          <w:p>
            <w:pPr>
              <w:widowControl/>
              <w:jc w:val="left"/>
              <w:textAlignment w:val="center"/>
              <w:rPr>
                <w:rFonts w:hint="eastAsia" w:ascii="宋体" w:hAnsi="宋体" w:cs="宋体"/>
                <w:color w:val="000000"/>
                <w:sz w:val="24"/>
              </w:rPr>
            </w:pPr>
            <w:r>
              <w:rPr>
                <w:rFonts w:hint="eastAsia" w:ascii="宋体" w:hAnsi="宋体" w:cs="宋体"/>
                <w:sz w:val="24"/>
              </w:rPr>
              <w:t>★</w:t>
            </w:r>
            <w:r>
              <w:rPr>
                <w:rFonts w:hint="eastAsia" w:ascii="宋体" w:hAnsi="宋体" w:cs="宋体"/>
                <w:color w:val="000000"/>
                <w:kern w:val="0"/>
                <w:sz w:val="24"/>
                <w:lang w:bidi="ar"/>
              </w:rPr>
              <w:t>5、气压棒：密封性能、耐高低温性能、循环寿命、强度性能（抗压强度、侧拉强度、抗拉强度）、耐腐蚀性能均为检测合格，乙酸盐雾试验连续喷雾≥600h，镀（涂）层对基体的保护等级、耐腐蚀等级≥10级，中性盐雾试验连续喷雾≥600h，镀（涂）层对基体的保护等级、耐腐蚀等级≥10级，金属件外观喷涂层无漏漆、锈蚀和脱色掉色现象，符合QB/T 3827-1999、QB/T 3832-1999、GB/T 29525-2013、QB/T 3826-1999标准。</w:t>
            </w:r>
          </w:p>
        </w:tc>
      </w:tr>
      <w:tr>
        <w:tblPrEx>
          <w:tblLayout w:type="fixed"/>
          <w:tblCellMar>
            <w:top w:w="0" w:type="dxa"/>
            <w:left w:w="108" w:type="dxa"/>
            <w:bottom w:w="0" w:type="dxa"/>
            <w:right w:w="108" w:type="dxa"/>
          </w:tblCellMar>
        </w:tblPrEx>
        <w:trPr>
          <w:trHeight w:val="1662"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书柜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62" name="图片 18" descr="044e00d5a20269192bc121eb73a48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044e00d5a20269192bc121eb73a48d3d"/>
                          <pic:cNvPicPr>
                            <a:picLocks noChangeAspect="1"/>
                          </pic:cNvPicPr>
                        </pic:nvPicPr>
                        <pic:blipFill>
                          <a:blip r:embed="rId31"/>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ind w:firstLine="240" w:firstLineChars="100"/>
              <w:jc w:val="left"/>
              <w:textAlignment w:val="center"/>
              <w:rPr>
                <w:rFonts w:hint="eastAsia" w:ascii="宋体" w:hAnsi="宋体" w:cs="宋体"/>
                <w:color w:val="000000"/>
                <w:sz w:val="24"/>
              </w:rPr>
            </w:pPr>
            <w:r>
              <w:rPr>
                <w:rFonts w:hint="eastAsia" w:ascii="宋体" w:hAnsi="宋体" w:cs="宋体"/>
                <w:color w:val="000000"/>
                <w:kern w:val="0"/>
                <w:sz w:val="24"/>
                <w:lang w:bidi="ar"/>
              </w:rPr>
              <w:t xml:space="preserve">  800*400*2000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270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单人沙发</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6672" behindDoc="0" locked="0" layoutInCell="1" allowOverlap="1">
                  <wp:simplePos x="0" y="0"/>
                  <wp:positionH relativeFrom="column">
                    <wp:posOffset>59055</wp:posOffset>
                  </wp:positionH>
                  <wp:positionV relativeFrom="paragraph">
                    <wp:posOffset>494030</wp:posOffset>
                  </wp:positionV>
                  <wp:extent cx="932815" cy="734060"/>
                  <wp:effectExtent l="0" t="0" r="635" b="8890"/>
                  <wp:wrapNone/>
                  <wp:docPr id="63" name="ID_AB952D0F850749E094E4DB5F91EBAE8E" descr="D:/文件/家具/沙发22.jpg沙发22"/>
                  <wp:cNvGraphicFramePr/>
                  <a:graphic xmlns:a="http://schemas.openxmlformats.org/drawingml/2006/main">
                    <a:graphicData uri="http://schemas.openxmlformats.org/drawingml/2006/picture">
                      <pic:pic xmlns:pic="http://schemas.openxmlformats.org/drawingml/2006/picture">
                        <pic:nvPicPr>
                          <pic:cNvPr id="63" name="ID_AB952D0F850749E094E4DB5F91EBAE8E" descr="D:/文件/家具/沙发22.jpg沙发22"/>
                          <pic:cNvPicPr/>
                        </pic:nvPicPr>
                        <pic:blipFill>
                          <a:blip r:embed="rId35"/>
                          <a:srcRect t="10687" b="10687"/>
                          <a:stretch>
                            <a:fillRect/>
                          </a:stretch>
                        </pic:blipFill>
                        <pic:spPr>
                          <a:xfrm>
                            <a:off x="0" y="0"/>
                            <a:ext cx="932815" cy="73406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ind w:firstLine="240" w:firstLineChars="100"/>
              <w:jc w:val="left"/>
              <w:textAlignment w:val="center"/>
              <w:rPr>
                <w:rFonts w:hint="eastAsia" w:ascii="宋体" w:hAnsi="宋体" w:cs="宋体"/>
                <w:color w:val="000000"/>
                <w:sz w:val="24"/>
              </w:rPr>
            </w:pPr>
            <w:r>
              <w:rPr>
                <w:rFonts w:hint="eastAsia" w:ascii="宋体" w:hAnsi="宋体" w:cs="宋体"/>
                <w:color w:val="000000"/>
                <w:kern w:val="0"/>
                <w:sz w:val="24"/>
                <w:lang w:bidi="ar"/>
              </w:rPr>
              <w:t xml:space="preserve">  800*790*810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Fonts w:hint="eastAsia" w:ascii="宋体" w:hAnsi="宋体" w:cs="宋体"/>
                <w:sz w:val="24"/>
              </w:rPr>
              <w:t>★</w:t>
            </w:r>
            <w:r>
              <w:rPr>
                <w:rStyle w:val="162"/>
                <w:sz w:val="24"/>
                <w:szCs w:val="24"/>
                <w:lang w:bidi="ar"/>
              </w:rPr>
              <w:t>1、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Style w:val="162"/>
                <w:sz w:val="24"/>
                <w:szCs w:val="24"/>
                <w:lang w:bidi="ar"/>
              </w:rPr>
            </w:pPr>
            <w:r>
              <w:rPr>
                <w:rStyle w:val="162"/>
                <w:sz w:val="24"/>
                <w:szCs w:val="24"/>
                <w:lang w:bidi="ar"/>
              </w:rPr>
              <w:t>2、海绵：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sz w:val="24"/>
              </w:rPr>
            </w:pPr>
            <w:r>
              <w:rPr>
                <w:rStyle w:val="162"/>
                <w:sz w:val="24"/>
                <w:szCs w:val="24"/>
                <w:lang w:bidi="ar"/>
              </w:rPr>
              <w:t>3、框架：采用优质实木框架，甲醛释放量≤0.01mg/m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，抗菌性能（白色假丝酵母菌）抑菌率≥99.9%，木材硬度端面≥6600N，弦面≥6400N，径面≥6000N，pH值6.83，防霉菌性能（可可毛球二孢）等级0级，木制件外观无贯通、无虫蛀现象，符合JC/T 2039-2010、GB/T 1927.19-2021、GB 18580-2017、QB/T 4371-2012标准。</w:t>
            </w:r>
          </w:p>
        </w:tc>
      </w:tr>
      <w:tr>
        <w:tblPrEx>
          <w:tblLayout w:type="fixed"/>
          <w:tblCellMar>
            <w:top w:w="0" w:type="dxa"/>
            <w:left w:w="108" w:type="dxa"/>
            <w:bottom w:w="0" w:type="dxa"/>
            <w:right w:w="108" w:type="dxa"/>
          </w:tblCellMar>
        </w:tblPrEx>
        <w:trPr>
          <w:trHeight w:val="39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小茶几</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64" name="图片 19" descr="ed211af85c4ee736ef31809e0270d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ed211af85c4ee736ef31809e0270d7c8"/>
                          <pic:cNvPicPr>
                            <a:picLocks noChangeAspect="1"/>
                          </pic:cNvPicPr>
                        </pic:nvPicPr>
                        <pic:blipFill>
                          <a:blip r:embed="rId36"/>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ind w:firstLine="240" w:firstLineChars="100"/>
              <w:jc w:val="left"/>
              <w:textAlignment w:val="center"/>
              <w:rPr>
                <w:rFonts w:hint="eastAsia" w:ascii="宋体" w:hAnsi="宋体" w:cs="宋体"/>
                <w:color w:val="000000"/>
                <w:sz w:val="24"/>
              </w:rPr>
            </w:pPr>
            <w:r>
              <w:rPr>
                <w:rFonts w:hint="eastAsia" w:ascii="宋体" w:hAnsi="宋体" w:cs="宋体"/>
                <w:color w:val="000000"/>
                <w:kern w:val="0"/>
                <w:sz w:val="24"/>
                <w:lang w:bidi="ar"/>
              </w:rPr>
              <w:t xml:space="preserve">  600*600*450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65" name="图片 20" descr="543e8f4cee6b7bab897f47739f0d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descr="543e8f4cee6b7bab897f47739f0d6078"/>
                          <pic:cNvPicPr>
                            <a:picLocks noChangeAspect="1"/>
                          </pic:cNvPicPr>
                        </pic:nvPicPr>
                        <pic:blipFill>
                          <a:blip r:embed="rId32"/>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800*400*800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600"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3楼俱乐部</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休息沙发</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909955" cy="909955"/>
                  <wp:effectExtent l="0" t="0" r="4445" b="4445"/>
                  <wp:docPr id="68" name="图片 23" descr="沙发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descr="沙发11"/>
                          <pic:cNvPicPr>
                            <a:picLocks noChangeAspect="1"/>
                          </pic:cNvPicPr>
                        </pic:nvPicPr>
                        <pic:blipFill>
                          <a:blip r:embed="rId37"/>
                          <a:stretch>
                            <a:fillRect/>
                          </a:stretch>
                        </pic:blipFill>
                        <pic:spPr>
                          <a:xfrm>
                            <a:off x="0" y="0"/>
                            <a:ext cx="909955" cy="909955"/>
                          </a:xfrm>
                          <a:prstGeom prst="rect">
                            <a:avLst/>
                          </a:prstGeom>
                          <a:noFill/>
                          <a:ln>
                            <a:noFill/>
                          </a:ln>
                        </pic:spPr>
                      </pic:pic>
                    </a:graphicData>
                  </a:graphic>
                </wp:inline>
              </w:drawing>
            </w:r>
          </w:p>
        </w:tc>
        <w:tc>
          <w:tcPr>
            <w:tcW w:w="1677" w:type="dxa"/>
            <w:gridSpan w:val="3"/>
            <w:tcBorders>
              <w:top w:val="nil"/>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Style w:val="162"/>
                <w:sz w:val="24"/>
                <w:szCs w:val="24"/>
                <w:lang w:bidi="ar"/>
              </w:rPr>
            </w:pPr>
            <w:r>
              <w:rPr>
                <w:rStyle w:val="162"/>
                <w:sz w:val="24"/>
                <w:szCs w:val="24"/>
                <w:lang w:bidi="ar"/>
              </w:rPr>
              <w:t>2、海绵：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r>
              <w:rPr>
                <w:rStyle w:val="162"/>
                <w:sz w:val="24"/>
                <w:szCs w:val="24"/>
                <w:lang w:bidi="ar"/>
              </w:rPr>
              <w:t xml:space="preserve"> </w:t>
            </w:r>
          </w:p>
          <w:p>
            <w:pPr>
              <w:widowControl/>
              <w:jc w:val="left"/>
              <w:textAlignment w:val="center"/>
              <w:rPr>
                <w:rFonts w:hint="eastAsia" w:ascii="宋体" w:hAnsi="宋体" w:cs="宋体"/>
                <w:color w:val="000000"/>
                <w:sz w:val="24"/>
              </w:rPr>
            </w:pPr>
            <w:r>
              <w:rPr>
                <w:rStyle w:val="162"/>
                <w:sz w:val="24"/>
                <w:szCs w:val="24"/>
                <w:lang w:bidi="ar"/>
              </w:rPr>
              <w:t>3、白蜡木实木框架：符合GB/T 6043-2009、JC/T 2039-2010、GB/T 1927.19-2021、GB 18580-2017、</w:t>
            </w:r>
            <w:r>
              <w:rPr>
                <w:rFonts w:hint="eastAsia" w:ascii="宋体" w:hAnsi="宋体" w:cs="宋体"/>
                <w:color w:val="000000"/>
                <w:kern w:val="0"/>
                <w:sz w:val="24"/>
                <w:lang w:bidi="ar"/>
              </w:rPr>
              <w:t>QB</w:t>
            </w:r>
            <w:r>
              <w:rPr>
                <w:rFonts w:hint="eastAsia" w:ascii="宋体" w:cs="宋体"/>
                <w:color w:val="000000"/>
                <w:kern w:val="0"/>
                <w:sz w:val="24"/>
                <w:lang w:val="en-US" w:eastAsia="zh-CN" w:bidi="ar"/>
              </w:rPr>
              <w:t>/T</w:t>
            </w:r>
            <w:r>
              <w:rPr>
                <w:rFonts w:hint="eastAsia" w:ascii="宋体" w:hAnsi="宋体" w:cs="宋体"/>
                <w:color w:val="000000"/>
                <w:kern w:val="0"/>
                <w:sz w:val="24"/>
                <w:lang w:bidi="ar"/>
              </w:rPr>
              <w:t>4371-2012</w:t>
            </w:r>
            <w:r>
              <w:rPr>
                <w:rStyle w:val="162"/>
                <w:sz w:val="24"/>
                <w:szCs w:val="24"/>
                <w:lang w:bidi="ar"/>
              </w:rPr>
              <w:t>标准，木材含水率8%～16%，甲醛释放量≤0.01mg/m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w:t>
            </w:r>
          </w:p>
        </w:tc>
      </w:tr>
      <w:tr>
        <w:tblPrEx>
          <w:tblLayout w:type="fixed"/>
          <w:tblCellMar>
            <w:top w:w="0" w:type="dxa"/>
            <w:left w:w="108" w:type="dxa"/>
            <w:bottom w:w="0" w:type="dxa"/>
            <w:right w:w="108" w:type="dxa"/>
          </w:tblCellMar>
        </w:tblPrEx>
        <w:trPr>
          <w:trHeight w:val="150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休息茶几</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69" name="图片 24" descr="727a1e1c219c01cac8ab0a02a32cb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descr="727a1e1c219c01cac8ab0a02a32cb945"/>
                          <pic:cNvPicPr>
                            <a:picLocks noChangeAspect="1"/>
                          </pic:cNvPicPr>
                        </pic:nvPicPr>
                        <pic:blipFill>
                          <a:blip r:embed="rId38"/>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nil"/>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1、台面：实木多层板贴进口白蜡木木皮木饰面。</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2、台脚：白蜡木实木</w:t>
            </w:r>
          </w:p>
        </w:tc>
      </w:tr>
      <w:tr>
        <w:tblPrEx>
          <w:tblLayout w:type="fixed"/>
          <w:tblCellMar>
            <w:top w:w="0" w:type="dxa"/>
            <w:left w:w="108" w:type="dxa"/>
            <w:bottom w:w="0" w:type="dxa"/>
            <w:right w:w="108" w:type="dxa"/>
          </w:tblCellMar>
        </w:tblPrEx>
        <w:trPr>
          <w:trHeight w:val="460" w:hRule="atLeast"/>
        </w:trPr>
        <w:tc>
          <w:tcPr>
            <w:tcW w:w="5373" w:type="dxa"/>
            <w:gridSpan w:val="11"/>
            <w:tcBorders>
              <w:top w:val="single" w:color="000000" w:sz="4" w:space="0"/>
              <w:left w:val="single" w:color="000000" w:sz="4" w:space="0"/>
              <w:bottom w:val="nil"/>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3楼电脑室</w:t>
            </w:r>
          </w:p>
        </w:tc>
        <w:tc>
          <w:tcPr>
            <w:tcW w:w="5141" w:type="dxa"/>
            <w:gridSpan w:val="2"/>
            <w:tcBorders>
              <w:top w:val="single" w:color="000000" w:sz="4" w:space="0"/>
              <w:left w:val="nil"/>
              <w:bottom w:val="nil"/>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电脑桌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p>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77696" behindDoc="0" locked="0" layoutInCell="1" allowOverlap="1">
                  <wp:simplePos x="0" y="0"/>
                  <wp:positionH relativeFrom="column">
                    <wp:posOffset>20320</wp:posOffset>
                  </wp:positionH>
                  <wp:positionV relativeFrom="paragraph">
                    <wp:posOffset>725170</wp:posOffset>
                  </wp:positionV>
                  <wp:extent cx="837565" cy="852170"/>
                  <wp:effectExtent l="0" t="0" r="635" b="5080"/>
                  <wp:wrapNone/>
                  <wp:docPr id="70" name="ID_C9D0FD538D6D402A9DC11DBFA2EF8948" descr="d:/Desktop/47a9f1a0efeb2c88fb3191e4278a074e.jpg47a9f1a0efeb2c88fb3191e4278a074e"/>
                  <wp:cNvGraphicFramePr/>
                  <a:graphic xmlns:a="http://schemas.openxmlformats.org/drawingml/2006/main">
                    <a:graphicData uri="http://schemas.openxmlformats.org/drawingml/2006/picture">
                      <pic:pic xmlns:pic="http://schemas.openxmlformats.org/drawingml/2006/picture">
                        <pic:nvPicPr>
                          <pic:cNvPr id="70" name="ID_C9D0FD538D6D402A9DC11DBFA2EF8948" descr="d:/Desktop/47a9f1a0efeb2c88fb3191e4278a074e.jpg47a9f1a0efeb2c88fb3191e4278a074e"/>
                          <pic:cNvPicPr/>
                        </pic:nvPicPr>
                        <pic:blipFill>
                          <a:blip r:embed="rId39"/>
                          <a:srcRect l="2969" r="5264"/>
                          <a:stretch>
                            <a:fillRect/>
                          </a:stretch>
                        </pic:blipFill>
                        <pic:spPr>
                          <a:xfrm>
                            <a:off x="0" y="0"/>
                            <a:ext cx="837565" cy="85217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900*600*750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52"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电脑椅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71" name="图片 25" descr="d147cacc3247c82cbbaca4abfccdd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descr="d147cacc3247c82cbbaca4abfccddc3a"/>
                          <pic:cNvPicPr>
                            <a:picLocks noChangeAspect="1"/>
                          </pic:cNvPicPr>
                        </pic:nvPicPr>
                        <pic:blipFill>
                          <a:blip r:embed="rId34"/>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Style w:val="162"/>
                <w:sz w:val="24"/>
                <w:szCs w:val="24"/>
                <w:lang w:bidi="ar"/>
              </w:rPr>
            </w:pPr>
            <w:r>
              <w:rPr>
                <w:rStyle w:val="162"/>
                <w:sz w:val="24"/>
                <w:szCs w:val="24"/>
                <w:lang w:bidi="ar"/>
              </w:rPr>
              <w:t>2、海绵：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sz w:val="24"/>
              </w:rPr>
            </w:pPr>
            <w:r>
              <w:rPr>
                <w:rStyle w:val="162"/>
                <w:sz w:val="24"/>
                <w:szCs w:val="24"/>
                <w:lang w:bidi="ar"/>
              </w:rPr>
              <w:t>3、框架：采用优质实木框架，甲醛释放量≤0.01mg/m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，抗菌性能（白色假丝酵母菌）抑菌率≥99.9%，木材硬度端面≥6600N，弦面≥6400N，径面≥6000N，pH值6.83，防霉菌性能（可可毛球二孢）等级0级，木制件外观无贯通、无虫蛀现象，符合JC/T 2039-2010、GB/T 1927.19-2021、GB 18580-2017、QB/T 4371-2012标准。</w:t>
            </w:r>
          </w:p>
        </w:tc>
      </w:tr>
      <w:tr>
        <w:tblPrEx>
          <w:tblLayout w:type="fixed"/>
          <w:tblCellMar>
            <w:top w:w="0" w:type="dxa"/>
            <w:left w:w="108" w:type="dxa"/>
            <w:bottom w:w="0" w:type="dxa"/>
            <w:right w:w="108" w:type="dxa"/>
          </w:tblCellMar>
        </w:tblPrEx>
        <w:trPr>
          <w:trHeight w:val="480"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3楼个人物品储藏室（共计1间）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储物柜（带指纹锁）</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608330</wp:posOffset>
                  </wp:positionV>
                  <wp:extent cx="838200" cy="824865"/>
                  <wp:effectExtent l="0" t="0" r="0" b="13335"/>
                  <wp:wrapNone/>
                  <wp:docPr id="72" name="ID_8416B0D61C844B41BA8E29D64F7A82F1" descr="D:/文件/家具/柜子4.jpg柜子4"/>
                  <wp:cNvGraphicFramePr/>
                  <a:graphic xmlns:a="http://schemas.openxmlformats.org/drawingml/2006/main">
                    <a:graphicData uri="http://schemas.openxmlformats.org/drawingml/2006/picture">
                      <pic:pic xmlns:pic="http://schemas.openxmlformats.org/drawingml/2006/picture">
                        <pic:nvPicPr>
                          <pic:cNvPr id="72" name="ID_8416B0D61C844B41BA8E29D64F7A82F1" descr="D:/文件/家具/柜子4.jpg柜子4"/>
                          <pic:cNvPicPr/>
                        </pic:nvPicPr>
                        <pic:blipFill>
                          <a:blip r:embed="rId40"/>
                          <a:srcRect l="3207" r="3207"/>
                          <a:stretch>
                            <a:fillRect/>
                          </a:stretch>
                        </pic:blipFill>
                        <pic:spPr>
                          <a:xfrm>
                            <a:off x="0" y="0"/>
                            <a:ext cx="838200" cy="824865"/>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1100*600*2200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 xml:space="preserve">，防霉性能0级，抗菌性能抑菌率≥99.2%、抗菌等级Ⅰ级，总半挥发性有机化合物（TSVOC）的释放量≤20μg/（㎡·h），人造板防腐性能评价1级，符合GB/T15102-2017、GB18580-2017、LY/T2230-2013、LY/T1926-2020、LY/T3044-2018、GB/T42898-2023标准。                 </w:t>
            </w:r>
          </w:p>
          <w:p>
            <w:pPr>
              <w:widowControl/>
              <w:jc w:val="left"/>
              <w:textAlignment w:val="center"/>
              <w:rPr>
                <w:rStyle w:val="162"/>
                <w:sz w:val="24"/>
                <w:szCs w:val="24"/>
                <w:lang w:bidi="ar"/>
              </w:rPr>
            </w:pPr>
            <w:r>
              <w:rPr>
                <w:rStyle w:val="162"/>
                <w:sz w:val="24"/>
                <w:szCs w:val="24"/>
                <w:lang w:bidi="ar"/>
              </w:rPr>
              <w:t>2、面材：采用三聚氰胺饰面纸饰面，外观质量无色差、无污斑、无边角缺损、无裂纹、无漏胶，甲醛释放量≤0.1mg/L，可迁移性荧光增白剂的含量≤20.0mg/kg，符合GB/T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带：采用PVC封边条同色封边，耐光色牢度≥4级，多溴联苯未检出，多溴联苯醚未检出，甲醛释放量≤0.05mg/L，可溶性重金属铅、镉、铬、汞、砷、钡、锑、硒未检出，邻苯二甲酸酯未检出，氯乙烯单体未检出，16种多环芳烃(PAH)总量未检出，弯曲强度≥75MPa，拉伸强度≥36MPa,燃烧性能等级B1级，符合QB/T 4463-2013、GB 28481-2012、GB/T 9341-2008、GB/T 1040.1-2018、GB 8624-2012检测标准。</w:t>
            </w:r>
          </w:p>
          <w:p>
            <w:pPr>
              <w:widowControl/>
              <w:jc w:val="left"/>
              <w:textAlignment w:val="center"/>
              <w:rPr>
                <w:rStyle w:val="162"/>
                <w:sz w:val="24"/>
                <w:szCs w:val="24"/>
                <w:lang w:bidi="ar"/>
              </w:rPr>
            </w:pPr>
            <w:r>
              <w:rPr>
                <w:rStyle w:val="162"/>
                <w:sz w:val="24"/>
                <w:szCs w:val="24"/>
                <w:lang w:bidi="ar"/>
              </w:rPr>
              <w:t xml:space="preserve">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                 </w:t>
            </w:r>
          </w:p>
          <w:p>
            <w:pPr>
              <w:widowControl/>
              <w:jc w:val="left"/>
              <w:textAlignment w:val="center"/>
              <w:rPr>
                <w:rFonts w:hint="eastAsia" w:ascii="宋体" w:hAnsi="宋体" w:cs="宋体"/>
                <w:color w:val="000000"/>
                <w:sz w:val="24"/>
              </w:rPr>
            </w:pPr>
            <w:r>
              <w:rPr>
                <w:rStyle w:val="162"/>
                <w:sz w:val="24"/>
                <w:szCs w:val="24"/>
                <w:lang w:bidi="ar"/>
              </w:rPr>
              <w:t>5、五金：采用优质五金配件。</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3楼灭火救援研讨室（共计1间）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615"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会议条桌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73" name="图片 26" descr="2d42dd09d0ac57b7f7479f062db3a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descr="2d42dd09d0ac57b7f7479f062db3abac"/>
                          <pic:cNvPicPr>
                            <a:picLocks noChangeAspect="1"/>
                          </pic:cNvPicPr>
                        </pic:nvPicPr>
                        <pic:blipFill>
                          <a:blip r:embed="rId41"/>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1200*400*760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15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1、基材：采用优质环保中密度纤维板，防潮性能≥11.5MPa，静曲强度≥40MPa，弹性模量≥5200MPa，内胶合强度≥0.8MPa，表面胶合强度≥1.50MPa，吸水厚度膨胀率≤4.0%，甲醛释放量（1m</w:t>
            </w:r>
            <w:r>
              <w:rPr>
                <w:rStyle w:val="82"/>
                <w:rFonts w:hint="eastAsia"/>
                <w:sz w:val="24"/>
                <w:szCs w:val="24"/>
                <w:lang w:bidi="ar"/>
              </w:rPr>
              <w:t>³</w:t>
            </w:r>
            <w:r>
              <w:rPr>
                <w:rStyle w:val="162"/>
                <w:sz w:val="24"/>
                <w:szCs w:val="24"/>
                <w:lang w:bidi="ar"/>
              </w:rPr>
              <w:t>气候箱法）≤0.005mg/m</w:t>
            </w:r>
            <w:r>
              <w:rPr>
                <w:rStyle w:val="82"/>
                <w:rFonts w:hint="eastAsia"/>
                <w:sz w:val="24"/>
                <w:szCs w:val="24"/>
                <w:lang w:bidi="ar"/>
              </w:rPr>
              <w:t>³</w:t>
            </w:r>
            <w:r>
              <w:rPr>
                <w:rStyle w:val="162"/>
                <w:sz w:val="24"/>
                <w:szCs w:val="24"/>
                <w:lang w:bidi="ar"/>
              </w:rPr>
              <w:t>，苯≤0.2μg/m</w:t>
            </w:r>
            <w:r>
              <w:rPr>
                <w:rStyle w:val="82"/>
                <w:rFonts w:hint="eastAsia"/>
                <w:sz w:val="24"/>
                <w:szCs w:val="24"/>
                <w:lang w:bidi="ar"/>
              </w:rPr>
              <w:t>³</w:t>
            </w:r>
            <w:r>
              <w:rPr>
                <w:rStyle w:val="162"/>
                <w:sz w:val="24"/>
                <w:szCs w:val="24"/>
                <w:lang w:bidi="ar"/>
              </w:rPr>
              <w:t>，甲苯≤0.4μg/m</w:t>
            </w:r>
            <w:r>
              <w:rPr>
                <w:rStyle w:val="82"/>
                <w:rFonts w:hint="eastAsia"/>
                <w:sz w:val="24"/>
                <w:szCs w:val="24"/>
                <w:lang w:bidi="ar"/>
              </w:rPr>
              <w:t>³</w:t>
            </w:r>
            <w:r>
              <w:rPr>
                <w:rStyle w:val="162"/>
                <w:sz w:val="24"/>
                <w:szCs w:val="24"/>
                <w:lang w:bidi="ar"/>
              </w:rPr>
              <w:t>，二甲苯≤0.2μg/m</w:t>
            </w:r>
            <w:r>
              <w:rPr>
                <w:rStyle w:val="82"/>
                <w:rFonts w:hint="eastAsia"/>
                <w:sz w:val="24"/>
                <w:szCs w:val="24"/>
                <w:lang w:bidi="ar"/>
              </w:rPr>
              <w:t>³</w:t>
            </w:r>
            <w:r>
              <w:rPr>
                <w:rStyle w:val="162"/>
                <w:sz w:val="24"/>
                <w:szCs w:val="24"/>
                <w:lang w:bidi="ar"/>
              </w:rPr>
              <w:t>，总挥发性有机化合物（TVOC）≤0.4μg/m</w:t>
            </w:r>
            <w:r>
              <w:rPr>
                <w:rStyle w:val="82"/>
                <w:rFonts w:hint="eastAsia"/>
                <w:sz w:val="24"/>
                <w:szCs w:val="24"/>
                <w:lang w:bidi="ar"/>
              </w:rPr>
              <w:t>³</w:t>
            </w:r>
            <w:r>
              <w:rPr>
                <w:rStyle w:val="162"/>
                <w:sz w:val="24"/>
                <w:szCs w:val="24"/>
                <w:lang w:bidi="ar"/>
              </w:rPr>
              <w:t>，人造板防腐性能评价1级，总半挥发性有机化合物（TSVOC）的释放量未检出，防霉性能0级，抗菌性能抑菌率99.4%，抗菌等级Ⅰ级，握螺钉力板面≥1300N，板边≥1100N，符合GB/T11718-2021、GB/T39600-2021、GB18580-2017、LY/T2230-2013、LY/T1926-2020、GB/T35601-2024、LY/T3044-2018、GB/T42898-2023标准。</w:t>
            </w:r>
          </w:p>
          <w:p>
            <w:pPr>
              <w:widowControl/>
              <w:jc w:val="left"/>
              <w:textAlignment w:val="center"/>
              <w:rPr>
                <w:rStyle w:val="162"/>
                <w:sz w:val="24"/>
                <w:szCs w:val="24"/>
                <w:lang w:bidi="ar"/>
              </w:rPr>
            </w:pPr>
            <w:r>
              <w:rPr>
                <w:rStyle w:val="162"/>
                <w:sz w:val="24"/>
                <w:szCs w:val="24"/>
                <w:lang w:bidi="ar"/>
              </w:rPr>
              <w:t>2、饰面：采用优质实木皮饰面，甲醛释放量≤0.01mg/m</w:t>
            </w:r>
            <w:r>
              <w:rPr>
                <w:rStyle w:val="82"/>
                <w:rFonts w:hint="eastAsia"/>
                <w:sz w:val="24"/>
                <w:szCs w:val="24"/>
                <w:lang w:bidi="ar"/>
              </w:rPr>
              <w:t>³</w:t>
            </w:r>
            <w:r>
              <w:rPr>
                <w:rStyle w:val="162"/>
                <w:sz w:val="24"/>
                <w:szCs w:val="24"/>
                <w:lang w:bidi="ar"/>
              </w:rPr>
              <w:t>，防霉菌性能（黑曲霉、出芽短梗霉、黄曲霉、桔灰青霉、马氏拟青霉）等级0级，抗菌性能（金黄色葡萄球菌、肺炎克雷伯氏菌、大肠杆菌、肺炎链球菌、铜绿假单胞菌）抑菌率≥99.5%，挥发性有机化合物苯、甲苯、二甲苯均未检出，创切单板和锯切单板外观质量无活节、无死节、孔洞、夹皮、树脂道等，符合JC/T 2039-2010、GB18580-2017、QB/T 4371-2012、GB/T13010-2020标准。</w:t>
            </w:r>
          </w:p>
          <w:p>
            <w:pPr>
              <w:widowControl/>
              <w:jc w:val="left"/>
              <w:textAlignment w:val="center"/>
              <w:rPr>
                <w:rStyle w:val="162"/>
                <w:sz w:val="24"/>
                <w:szCs w:val="24"/>
                <w:lang w:bidi="ar"/>
              </w:rPr>
            </w:pPr>
            <w:r>
              <w:rPr>
                <w:rStyle w:val="162"/>
                <w:sz w:val="24"/>
                <w:szCs w:val="24"/>
                <w:lang w:bidi="ar"/>
              </w:rPr>
              <w:t>3、油漆：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会议条椅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36" name="图片 27" descr="a27d49b3a47e321223aa30de6f63e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a27d49b3a47e321223aa30de6f63e827"/>
                          <pic:cNvPicPr>
                            <a:picLocks noChangeAspect="1"/>
                          </pic:cNvPicPr>
                        </pic:nvPicPr>
                        <pic:blipFill>
                          <a:blip r:embed="rId42"/>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15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1、框架：采用优质实木框架，甲醛释放量≤0.01mg/m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，抗菌性能（白色假丝酵母菌）抑菌率≥99.9%，木材硬度端面≥6600N，弦面≥6400N，径面≥6000N，pH值6.83，防霉菌性能（可可毛球二孢）等级0级，木制件外观无贯通、无虫蛀现象，符合JC/T 2039-2010、GB/T 1927.19-2021、GB 18580-2017、QB/T 4371-2012标准。</w:t>
            </w:r>
          </w:p>
          <w:p>
            <w:pPr>
              <w:widowControl/>
              <w:jc w:val="left"/>
              <w:textAlignment w:val="center"/>
              <w:rPr>
                <w:rStyle w:val="162"/>
                <w:sz w:val="24"/>
                <w:szCs w:val="24"/>
                <w:lang w:bidi="ar"/>
              </w:rPr>
            </w:pPr>
            <w:r>
              <w:rPr>
                <w:rStyle w:val="162"/>
                <w:sz w:val="24"/>
                <w:szCs w:val="24"/>
                <w:lang w:bidi="ar"/>
              </w:rPr>
              <w:t>2、油漆：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3、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Fonts w:hint="eastAsia" w:ascii="宋体" w:hAnsi="宋体" w:cs="宋体"/>
                <w:color w:val="000000"/>
                <w:sz w:val="24"/>
              </w:rPr>
            </w:pPr>
            <w:r>
              <w:rPr>
                <w:rStyle w:val="162"/>
                <w:sz w:val="24"/>
                <w:szCs w:val="24"/>
                <w:lang w:bidi="ar"/>
              </w:rPr>
              <w:t>4、海绵：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tc>
      </w:tr>
      <w:tr>
        <w:tblPrEx>
          <w:tblLayout w:type="fixed"/>
          <w:tblCellMar>
            <w:top w:w="0" w:type="dxa"/>
            <w:left w:w="108" w:type="dxa"/>
            <w:bottom w:w="0" w:type="dxa"/>
            <w:right w:w="108" w:type="dxa"/>
          </w:tblCellMar>
        </w:tblPrEx>
        <w:trPr>
          <w:trHeight w:val="387"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1312" behindDoc="0" locked="0" layoutInCell="1" allowOverlap="1">
                  <wp:simplePos x="0" y="0"/>
                  <wp:positionH relativeFrom="column">
                    <wp:posOffset>15240</wp:posOffset>
                  </wp:positionH>
                  <wp:positionV relativeFrom="paragraph">
                    <wp:posOffset>841375</wp:posOffset>
                  </wp:positionV>
                  <wp:extent cx="646430" cy="1026160"/>
                  <wp:effectExtent l="0" t="0" r="1270" b="2540"/>
                  <wp:wrapNone/>
                  <wp:docPr id="74" name="ID_103023F564C6486B92B6CE70AD51B417" descr="D:/文件/家具/书柜1.jpg书柜1"/>
                  <wp:cNvGraphicFramePr/>
                  <a:graphic xmlns:a="http://schemas.openxmlformats.org/drawingml/2006/main">
                    <a:graphicData uri="http://schemas.openxmlformats.org/drawingml/2006/picture">
                      <pic:pic xmlns:pic="http://schemas.openxmlformats.org/drawingml/2006/picture">
                        <pic:nvPicPr>
                          <pic:cNvPr id="74" name="ID_103023F564C6486B92B6CE70AD51B417" descr="D:/文件/家具/书柜1.jpg书柜1"/>
                          <pic:cNvPicPr/>
                        </pic:nvPicPr>
                        <pic:blipFill>
                          <a:blip r:embed="rId43"/>
                          <a:srcRect l="4501" r="4501"/>
                          <a:stretch>
                            <a:fillRect/>
                          </a:stretch>
                        </pic:blipFill>
                        <pic:spPr>
                          <a:xfrm>
                            <a:off x="0" y="0"/>
                            <a:ext cx="646430" cy="102616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800*400*870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1、基材：采用优质环保中密度纤维板，防潮性能≥11.5MPa，静曲强度≥40MPa，弹性模量≥5200MPa，内胶合强度≥0.8MPa，表面胶合强度≥1.50MPa，吸水厚度膨胀率≤4.0%，甲醛释放量（1m</w:t>
            </w:r>
            <w:r>
              <w:rPr>
                <w:rStyle w:val="82"/>
                <w:rFonts w:hint="eastAsia"/>
                <w:sz w:val="24"/>
                <w:szCs w:val="24"/>
                <w:lang w:bidi="ar"/>
              </w:rPr>
              <w:t>³</w:t>
            </w:r>
            <w:r>
              <w:rPr>
                <w:rStyle w:val="162"/>
                <w:sz w:val="24"/>
                <w:szCs w:val="24"/>
                <w:lang w:bidi="ar"/>
              </w:rPr>
              <w:t>气候箱法）≤0.005mg/m</w:t>
            </w:r>
            <w:r>
              <w:rPr>
                <w:rStyle w:val="82"/>
                <w:rFonts w:hint="eastAsia"/>
                <w:sz w:val="24"/>
                <w:szCs w:val="24"/>
                <w:lang w:bidi="ar"/>
              </w:rPr>
              <w:t>³</w:t>
            </w:r>
            <w:r>
              <w:rPr>
                <w:rStyle w:val="162"/>
                <w:sz w:val="24"/>
                <w:szCs w:val="24"/>
                <w:lang w:bidi="ar"/>
              </w:rPr>
              <w:t>，苯≤0.2μg/m</w:t>
            </w:r>
            <w:r>
              <w:rPr>
                <w:rStyle w:val="82"/>
                <w:rFonts w:hint="eastAsia"/>
                <w:sz w:val="24"/>
                <w:szCs w:val="24"/>
                <w:lang w:bidi="ar"/>
              </w:rPr>
              <w:t>³</w:t>
            </w:r>
            <w:r>
              <w:rPr>
                <w:rStyle w:val="162"/>
                <w:sz w:val="24"/>
                <w:szCs w:val="24"/>
                <w:lang w:bidi="ar"/>
              </w:rPr>
              <w:t>，甲苯≤0.4μg/m</w:t>
            </w:r>
            <w:r>
              <w:rPr>
                <w:rStyle w:val="82"/>
                <w:rFonts w:hint="eastAsia"/>
                <w:sz w:val="24"/>
                <w:szCs w:val="24"/>
                <w:lang w:bidi="ar"/>
              </w:rPr>
              <w:t>³</w:t>
            </w:r>
            <w:r>
              <w:rPr>
                <w:rStyle w:val="162"/>
                <w:sz w:val="24"/>
                <w:szCs w:val="24"/>
                <w:lang w:bidi="ar"/>
              </w:rPr>
              <w:t>，二甲苯≤0.2μg/m</w:t>
            </w:r>
            <w:r>
              <w:rPr>
                <w:rStyle w:val="82"/>
                <w:rFonts w:hint="eastAsia"/>
                <w:sz w:val="24"/>
                <w:szCs w:val="24"/>
                <w:lang w:bidi="ar"/>
              </w:rPr>
              <w:t>³</w:t>
            </w:r>
            <w:r>
              <w:rPr>
                <w:rStyle w:val="162"/>
                <w:sz w:val="24"/>
                <w:szCs w:val="24"/>
                <w:lang w:bidi="ar"/>
              </w:rPr>
              <w:t>，总挥发性有机化合物（TVOC）≤0.4μg/m</w:t>
            </w:r>
            <w:r>
              <w:rPr>
                <w:rStyle w:val="82"/>
                <w:rFonts w:hint="eastAsia"/>
                <w:sz w:val="24"/>
                <w:szCs w:val="24"/>
                <w:lang w:bidi="ar"/>
              </w:rPr>
              <w:t>³</w:t>
            </w:r>
            <w:r>
              <w:rPr>
                <w:rStyle w:val="162"/>
                <w:sz w:val="24"/>
                <w:szCs w:val="24"/>
                <w:lang w:bidi="ar"/>
              </w:rPr>
              <w:t>，人造板防腐性能评价1级，总半挥发性有机化合物（TSVOC）的释放量未检出，防霉性能0级，抗菌性能抑菌率99.4%，抗菌等级Ⅰ级，握螺钉力板面≥1300N，板边≥1100N，符合GB/T11718-2021、GB/T39600-2021、GB18580-2017、LY/T2230-2013、LY/T1926-2020、GB/T35601-2024、LY/T3044-2018、GB/T42898-2023标准。</w:t>
            </w:r>
          </w:p>
          <w:p>
            <w:pPr>
              <w:widowControl/>
              <w:jc w:val="left"/>
              <w:textAlignment w:val="center"/>
              <w:rPr>
                <w:rStyle w:val="162"/>
                <w:sz w:val="24"/>
                <w:szCs w:val="24"/>
                <w:lang w:bidi="ar"/>
              </w:rPr>
            </w:pPr>
            <w:r>
              <w:rPr>
                <w:rStyle w:val="162"/>
                <w:sz w:val="24"/>
                <w:szCs w:val="24"/>
                <w:lang w:bidi="ar"/>
              </w:rPr>
              <w:t>2、饰面：采用优质实木皮饰面，甲醛释放量≤0.01mg/m</w:t>
            </w:r>
            <w:r>
              <w:rPr>
                <w:rStyle w:val="82"/>
                <w:rFonts w:hint="eastAsia"/>
                <w:sz w:val="24"/>
                <w:szCs w:val="24"/>
                <w:lang w:bidi="ar"/>
              </w:rPr>
              <w:t>³</w:t>
            </w:r>
            <w:r>
              <w:rPr>
                <w:rStyle w:val="162"/>
                <w:sz w:val="24"/>
                <w:szCs w:val="24"/>
                <w:lang w:bidi="ar"/>
              </w:rPr>
              <w:t>，防霉菌性能（黑曲霉、出芽短梗霉、黄曲霉、桔灰青霉、马氏拟青霉）等级0级，抗菌性能（金黄色葡萄球菌、肺炎克雷伯氏菌、大肠杆菌、肺炎链球菌、铜绿假单胞菌）抑菌率≥99.5%，挥发性有机化合物苯、甲苯、二甲苯均未检出，创切单板和锯切单板外观质量无活节、无死节、孔洞、夹皮、树脂道等，符合JC/T 2039-2010、GB18580-2017、QB/T 4371-2012、GB/T13010-2020标准。</w:t>
            </w:r>
          </w:p>
          <w:p>
            <w:pPr>
              <w:widowControl/>
              <w:jc w:val="left"/>
              <w:textAlignment w:val="center"/>
              <w:rPr>
                <w:rStyle w:val="162"/>
                <w:sz w:val="24"/>
                <w:szCs w:val="24"/>
                <w:lang w:bidi="ar"/>
              </w:rPr>
            </w:pPr>
            <w:r>
              <w:rPr>
                <w:rStyle w:val="162"/>
                <w:sz w:val="24"/>
                <w:szCs w:val="24"/>
                <w:lang w:bidi="ar"/>
              </w:rPr>
              <w:t>3、油漆：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3楼财务办公室（共计1间）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549"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办公桌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2336" behindDoc="0" locked="0" layoutInCell="1" allowOverlap="1">
                  <wp:simplePos x="0" y="0"/>
                  <wp:positionH relativeFrom="column">
                    <wp:posOffset>15240</wp:posOffset>
                  </wp:positionH>
                  <wp:positionV relativeFrom="paragraph">
                    <wp:posOffset>797560</wp:posOffset>
                  </wp:positionV>
                  <wp:extent cx="862965" cy="808355"/>
                  <wp:effectExtent l="0" t="0" r="13335" b="10795"/>
                  <wp:wrapNone/>
                  <wp:docPr id="37" name="ID_CED6D3D08DFB420A877A451DF4835E61_SpCnt_1" descr="D:/文件/家具/桌子3.jpg桌子3"/>
                  <wp:cNvGraphicFramePr/>
                  <a:graphic xmlns:a="http://schemas.openxmlformats.org/drawingml/2006/main">
                    <a:graphicData uri="http://schemas.openxmlformats.org/drawingml/2006/picture">
                      <pic:pic xmlns:pic="http://schemas.openxmlformats.org/drawingml/2006/picture">
                        <pic:nvPicPr>
                          <pic:cNvPr id="37" name="ID_CED6D3D08DFB420A877A451DF4835E61_SpCnt_1" descr="D:/文件/家具/桌子3.jpg桌子3"/>
                          <pic:cNvPicPr/>
                        </pic:nvPicPr>
                        <pic:blipFill>
                          <a:blip r:embed="rId33"/>
                          <a:srcRect t="4539" b="4539"/>
                          <a:stretch>
                            <a:fillRect/>
                          </a:stretch>
                        </pic:blipFill>
                        <pic:spPr>
                          <a:xfrm>
                            <a:off x="0" y="0"/>
                            <a:ext cx="862965" cy="808355"/>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1400*700*750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办公椅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75" name="图片 28" descr="d147cacc3247c82cbbaca4abfccdd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descr="d147cacc3247c82cbbaca4abfccddc3a"/>
                          <pic:cNvPicPr>
                            <a:picLocks noChangeAspect="1"/>
                          </pic:cNvPicPr>
                        </pic:nvPicPr>
                        <pic:blipFill>
                          <a:blip r:embed="rId34"/>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1、面料：采用优质网布面料，甲醛</w:t>
            </w:r>
            <w:r>
              <w:rPr>
                <w:rFonts w:hint="eastAsia" w:ascii="宋体" w:cs="宋体"/>
                <w:color w:val="000000"/>
                <w:kern w:val="0"/>
                <w:sz w:val="24"/>
                <w:lang w:val="en-US" w:eastAsia="zh-CN" w:bidi="ar"/>
              </w:rPr>
              <w:t>含</w:t>
            </w:r>
            <w:r>
              <w:rPr>
                <w:rFonts w:hint="eastAsia" w:ascii="宋体" w:hAnsi="宋体" w:cs="宋体"/>
                <w:color w:val="000000"/>
                <w:kern w:val="0"/>
                <w:sz w:val="24"/>
                <w:lang w:bidi="ar"/>
              </w:rPr>
              <w:t>量未检出，染色牢度（耐水、耐酸汗渍、耐碱汗渍、耐干摩擦、耐唾液）≥5级，无异味，可分解致癌芳香胺染料未检出，防霉等级0级，抗菌性能抑菌率≥99.5%，具有较好的抗菌效果，五氯苯酚未检出，总铅、总镉均未检出，耐光黄变色牢度4-5级（100h），短链氯化石蜡未检出，抗菌物质溶出性抗菌圈宽度≤2.8mm（微溶出性，培养24h），符合CB 18401-2010、GB/T20944.3-2008、GB/T24346-2009、HJ2546-2016、GB/T35611-2017、GB/T 30669-2014、GB/T 40263-2021、GB/T 31713-2015标准。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海绵：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3、扶手：采用PP材料扶手，重金属可溶性铅、镉、铬、汞均未检出，多环芳烃苯并[a]芘≤0.05mg/kg，16种多环芳烃总量≤0.7mg/kg，多溴联苯≤5mg/kg，多溴二苯醚≤5mg/kg，弯曲强度≥53MPa,邻苯二甲酸酯未检出，符合GB/T 32487-2016、GB 28481-2012、CB/T 9341-2008、HJ 2547-2016标准。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4、脚架：优质尼龙五星脚架，带活动脚轮。</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5、气压棒：密封性能、耐高低温性能、循环寿命、强度性能（抗压强度、侧拉强度、抗拉强度）、耐腐蚀性能均为检测合格，乙酸盐雾试验连续喷雾≥600h，镀（涂）层对基体的保护等级、耐腐蚀等级≥10级，中性盐雾试验连续喷雾≥600h，镀（涂）层对基体的保护等级、耐腐蚀等级≥10级，金属件外观喷涂层无漏漆、锈蚀和脱色掉色现象，符合QB/T 3827-1999、QB/T 3832-1999、GB/T 29525-2013、QB/T 3826-1999标准。</w:t>
            </w:r>
          </w:p>
        </w:tc>
      </w:tr>
      <w:tr>
        <w:tblPrEx>
          <w:tblLayout w:type="fixed"/>
          <w:tblCellMar>
            <w:top w:w="0" w:type="dxa"/>
            <w:left w:w="108" w:type="dxa"/>
            <w:bottom w:w="0" w:type="dxa"/>
            <w:right w:w="108" w:type="dxa"/>
          </w:tblCellMar>
        </w:tblPrEx>
        <w:trPr>
          <w:trHeight w:val="39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书柜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76" name="图片 29" descr="044e00d5a20269192bc121eb73a48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descr="044e00d5a20269192bc121eb73a48d3d"/>
                          <pic:cNvPicPr>
                            <a:picLocks noChangeAspect="1"/>
                          </pic:cNvPicPr>
                        </pic:nvPicPr>
                        <pic:blipFill>
                          <a:blip r:embed="rId31"/>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800*400*2000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258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单人沙发</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3360" behindDoc="0" locked="0" layoutInCell="1" allowOverlap="1">
                  <wp:simplePos x="0" y="0"/>
                  <wp:positionH relativeFrom="column">
                    <wp:posOffset>59055</wp:posOffset>
                  </wp:positionH>
                  <wp:positionV relativeFrom="paragraph">
                    <wp:posOffset>455930</wp:posOffset>
                  </wp:positionV>
                  <wp:extent cx="932815" cy="734060"/>
                  <wp:effectExtent l="0" t="0" r="635" b="8890"/>
                  <wp:wrapNone/>
                  <wp:docPr id="77" name="ID_AB952D0F850749E094E4DB5F91EBAE8E_SpCnt_1" descr="D:/文件/家具/沙发22.jpg沙发22"/>
                  <wp:cNvGraphicFramePr/>
                  <a:graphic xmlns:a="http://schemas.openxmlformats.org/drawingml/2006/main">
                    <a:graphicData uri="http://schemas.openxmlformats.org/drawingml/2006/picture">
                      <pic:pic xmlns:pic="http://schemas.openxmlformats.org/drawingml/2006/picture">
                        <pic:nvPicPr>
                          <pic:cNvPr id="77" name="ID_AB952D0F850749E094E4DB5F91EBAE8E_SpCnt_1" descr="D:/文件/家具/沙发22.jpg沙发22"/>
                          <pic:cNvPicPr/>
                        </pic:nvPicPr>
                        <pic:blipFill>
                          <a:blip r:embed="rId35"/>
                          <a:srcRect t="10687" b="10687"/>
                          <a:stretch>
                            <a:fillRect/>
                          </a:stretch>
                        </pic:blipFill>
                        <pic:spPr>
                          <a:xfrm>
                            <a:off x="0" y="0"/>
                            <a:ext cx="932815" cy="73406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800*790*810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Style w:val="162"/>
                <w:sz w:val="24"/>
                <w:szCs w:val="24"/>
                <w:lang w:bidi="ar"/>
              </w:rPr>
            </w:pPr>
            <w:r>
              <w:rPr>
                <w:rStyle w:val="162"/>
                <w:sz w:val="24"/>
                <w:szCs w:val="24"/>
                <w:lang w:bidi="ar"/>
              </w:rPr>
              <w:t>2、海绵：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sz w:val="24"/>
              </w:rPr>
            </w:pPr>
            <w:r>
              <w:rPr>
                <w:rStyle w:val="162"/>
                <w:sz w:val="24"/>
                <w:szCs w:val="24"/>
                <w:lang w:bidi="ar"/>
              </w:rPr>
              <w:t>3、框架：采用优质实木框架，甲醛释放量≤0.01mg/m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，抗菌性能（白色假丝酵母菌）抑菌率≥99.9%，木材硬度端面≥6600N，弦面≥6400N，径面≥6000N，pH值6.83，防霉菌性能（可可毛球二孢）等级0级，木制件外观无贯通、无虫蛀现象，符合JC/T 2039-2010、GB/T 1927.19-2021、GB 18580-2017、QB/T 4371-2012标准。</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小茶几</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78" name="图片 30" descr="ed211af85c4ee736ef31809e0270d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descr="ed211af85c4ee736ef31809e0270d7c8"/>
                          <pic:cNvPicPr>
                            <a:picLocks noChangeAspect="1"/>
                          </pic:cNvPicPr>
                        </pic:nvPicPr>
                        <pic:blipFill>
                          <a:blip r:embed="rId36"/>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600*600*450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个</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79" name="图片 31" descr="543e8f4cee6b7bab897f47739f0d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1" descr="543e8f4cee6b7bab897f47739f0d6078"/>
                          <pic:cNvPicPr>
                            <a:picLocks noChangeAspect="1"/>
                          </pic:cNvPicPr>
                        </pic:nvPicPr>
                        <pic:blipFill>
                          <a:blip r:embed="rId32"/>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800*400*800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个</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3楼图书阅览室（共计1间）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kern w:val="0"/>
                <w:sz w:val="24"/>
                <w:lang w:bidi="ar"/>
              </w:rPr>
              <w:t>学习研讨桌</w:t>
            </w:r>
            <w:r>
              <w:rPr>
                <w:rFonts w:hint="eastAsia" w:ascii="宋体" w:cs="宋体"/>
                <w:color w:val="000000"/>
                <w:kern w:val="0"/>
                <w:sz w:val="24"/>
                <w:lang w:eastAsia="zh-CN" w:bidi="ar"/>
              </w:rPr>
              <w:t>（</w:t>
            </w:r>
            <w:r>
              <w:rPr>
                <w:rFonts w:hint="eastAsia" w:ascii="宋体" w:cs="宋体"/>
                <w:color w:val="000000"/>
                <w:kern w:val="0"/>
                <w:sz w:val="24"/>
                <w:lang w:val="en-US" w:eastAsia="zh-CN" w:bidi="ar"/>
              </w:rPr>
              <w:t>学习桌</w:t>
            </w:r>
            <w:r>
              <w:rPr>
                <w:rFonts w:hint="eastAsia" w:ascii="宋体" w:cs="宋体"/>
                <w:color w:val="000000"/>
                <w:kern w:val="0"/>
                <w:sz w:val="24"/>
                <w:lang w:eastAsia="zh-CN" w:bidi="ar"/>
              </w:rPr>
              <w:t>）</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80" name="图片 32" descr="20f17340c64b86d960e0997cd0c47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descr="20f17340c64b86d960e0997cd0c47f37"/>
                          <pic:cNvPicPr>
                            <a:picLocks noChangeAspect="1"/>
                          </pic:cNvPicPr>
                        </pic:nvPicPr>
                        <pic:blipFill>
                          <a:blip r:embed="rId26"/>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1000*550*650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学习椅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81" name="图片 33" descr="905370dfd7ffe243e4fe11adf453e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descr="905370dfd7ffe243e4fe11adf453ecac"/>
                          <pic:cNvPicPr>
                            <a:picLocks noChangeAspect="1"/>
                          </pic:cNvPicPr>
                        </pic:nvPicPr>
                        <pic:blipFill>
                          <a:blip r:embed="rId27"/>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1、基材：采用实木框架，木材含水率8～16%，甲醛释放量≤0.01mg/m</w:t>
            </w:r>
            <w:r>
              <w:rPr>
                <w:rStyle w:val="82"/>
                <w:rFonts w:hint="eastAsia"/>
                <w:sz w:val="24"/>
                <w:szCs w:val="24"/>
                <w:lang w:bidi="ar"/>
              </w:rPr>
              <w:t>³</w:t>
            </w:r>
            <w:r>
              <w:rPr>
                <w:rStyle w:val="162"/>
                <w:sz w:val="24"/>
                <w:szCs w:val="24"/>
                <w:lang w:bidi="ar"/>
              </w:rPr>
              <w:t>，抗菌性能（金黄色葡萄球菌、肺炎克雷伯氏菌、铜绿假单胞菌、大肠杆菌、白色假丝酵母菌、肺炎链球菌）抑菌率≥99.9%，防霉菌性能（黑曲霉、出芽短梗霉、黄曲霉、可可毛球二孢、长枝木霉、桔灰青霉、马氏拟青霉）防霉菌等级均为0级，抗弯弹性模量≥11600MPa，木制件外观无贯通裂缝、无虫蛀现象，符合GB 18580-2017、QB/T 4371-2012、JC/T 2039-2010、GB/T1927.10-202检测标准。</w:t>
            </w:r>
          </w:p>
          <w:p>
            <w:pPr>
              <w:widowControl/>
              <w:jc w:val="left"/>
              <w:textAlignment w:val="center"/>
              <w:rPr>
                <w:rFonts w:hint="eastAsia" w:ascii="宋体" w:hAnsi="宋体" w:cs="宋体"/>
                <w:color w:val="000000"/>
                <w:sz w:val="24"/>
              </w:rPr>
            </w:pPr>
            <w:r>
              <w:rPr>
                <w:rStyle w:val="162"/>
                <w:sz w:val="24"/>
                <w:szCs w:val="24"/>
                <w:lang w:bidi="ar"/>
              </w:rPr>
              <w:t>2、油漆：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tc>
      </w:tr>
      <w:tr>
        <w:tblPrEx>
          <w:tblLayout w:type="fixed"/>
          <w:tblCellMar>
            <w:top w:w="0" w:type="dxa"/>
            <w:left w:w="108" w:type="dxa"/>
            <w:bottom w:w="0" w:type="dxa"/>
            <w:right w:w="108" w:type="dxa"/>
          </w:tblCellMar>
        </w:tblPrEx>
        <w:trPr>
          <w:trHeight w:val="39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办公桌</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4384" behindDoc="0" locked="0" layoutInCell="1" allowOverlap="1">
                  <wp:simplePos x="0" y="0"/>
                  <wp:positionH relativeFrom="column">
                    <wp:posOffset>15240</wp:posOffset>
                  </wp:positionH>
                  <wp:positionV relativeFrom="paragraph">
                    <wp:posOffset>812800</wp:posOffset>
                  </wp:positionV>
                  <wp:extent cx="888365" cy="797560"/>
                  <wp:effectExtent l="0" t="0" r="6985" b="2540"/>
                  <wp:wrapNone/>
                  <wp:docPr id="82" name="ID_36F93A78B8E34352A19BA694D4C5C102" descr="D:/文件/家具/桌子3.jpg桌子3"/>
                  <wp:cNvGraphicFramePr/>
                  <a:graphic xmlns:a="http://schemas.openxmlformats.org/drawingml/2006/main">
                    <a:graphicData uri="http://schemas.openxmlformats.org/drawingml/2006/picture">
                      <pic:pic xmlns:pic="http://schemas.openxmlformats.org/drawingml/2006/picture">
                        <pic:nvPicPr>
                          <pic:cNvPr id="82" name="ID_36F93A78B8E34352A19BA694D4C5C102" descr="D:/文件/家具/桌子3.jpg桌子3"/>
                          <pic:cNvPicPr/>
                        </pic:nvPicPr>
                        <pic:blipFill>
                          <a:blip r:embed="rId33"/>
                          <a:srcRect t="5348" b="5348"/>
                          <a:stretch>
                            <a:fillRect/>
                          </a:stretch>
                        </pic:blipFill>
                        <pic:spPr>
                          <a:xfrm>
                            <a:off x="0" y="0"/>
                            <a:ext cx="888365" cy="79756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1400*700*750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356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办公椅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83" name="图片 34" descr="d147cacc3247c82cbbaca4abfccdd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4" descr="d147cacc3247c82cbbaca4abfccddc3a"/>
                          <pic:cNvPicPr>
                            <a:picLocks noChangeAspect="1"/>
                          </pic:cNvPicPr>
                        </pic:nvPicPr>
                        <pic:blipFill>
                          <a:blip r:embed="rId34"/>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1、面料：采用优质网布面料，甲醛</w:t>
            </w:r>
            <w:r>
              <w:rPr>
                <w:rFonts w:hint="eastAsia" w:ascii="宋体" w:cs="宋体"/>
                <w:color w:val="000000"/>
                <w:kern w:val="0"/>
                <w:sz w:val="24"/>
                <w:lang w:val="en-US" w:eastAsia="zh-CN" w:bidi="ar"/>
              </w:rPr>
              <w:t>含</w:t>
            </w:r>
            <w:r>
              <w:rPr>
                <w:rFonts w:hint="eastAsia" w:ascii="宋体" w:hAnsi="宋体" w:cs="宋体"/>
                <w:color w:val="000000"/>
                <w:kern w:val="0"/>
                <w:sz w:val="24"/>
                <w:lang w:bidi="ar"/>
              </w:rPr>
              <w:t>量未检出，染色牢度（耐水、耐酸汗渍、耐碱汗渍、耐干摩擦、耐唾液）≥5级，无异味，可分解致癌芳香胺染料未检出，防霉等级0级，抗菌性能抑菌率≥99.5%，具有较好的抗菌效果，五氯苯酚未检出，总铅、总镉均未检出，耐光黄变色牢度4-5级（100h），短链氯化石蜡未检出，抗菌物质溶出性抗菌圈宽度≤2.8mm（微溶出性，培养24h），符合CB 18401-2010、GB/T20944.3-2008、GB/T24346-2009、HJ2546-2016、GB/T35611-2017、GB/T 30669-2014、GB/T 40263-2021、GB/T 31713-2015标准。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海绵：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3、扶手：采用PP材料扶手，重金属可溶性铅、镉、铬、汞均未检出，多环芳烃苯并[a]芘≤0.05mg/kg，16种多环芳烃总量≤0.7mg/kg，多溴联苯≤5mg/kg，多溴二苯醚≤5mg/kg，弯曲强度≥53MPa,邻苯二甲酸酯未检出，符合GB/T 32487-2016、GB 28481-2012、CB/T 9341-2008、HJ 2547-2016标准。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4、脚架：优质尼龙五星脚架，带活动脚轮。</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5、气压棒：密封性能、耐高低温性能、循环寿命、强度性能（抗压强度、侧拉强度、抗拉强度）、耐腐蚀性能均为检测合格，乙酸盐雾试验连续喷雾≥600h，镀（涂）层对基体的保护等级、耐腐蚀等级≥10级，中性盐雾试验连续喷雾≥600h，镀（涂）层对基体的保护等级、耐腐蚀等级≥10级，金属件外观喷涂层无漏漆、锈蚀和脱色掉色现象，符合QB/T 3827-1999、QB/T 3832-1999、GB/T 29525-2013、QB/T 3826-1999标准。</w:t>
            </w:r>
          </w:p>
        </w:tc>
      </w:tr>
      <w:tr>
        <w:tblPrEx>
          <w:tblLayout w:type="fixed"/>
          <w:tblCellMar>
            <w:top w:w="0" w:type="dxa"/>
            <w:left w:w="108" w:type="dxa"/>
            <w:bottom w:w="0" w:type="dxa"/>
            <w:right w:w="108" w:type="dxa"/>
          </w:tblCellMar>
        </w:tblPrEx>
        <w:trPr>
          <w:trHeight w:val="39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书柜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84" name="图片 35" descr="044e00d5a20269192bc121eb73a48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5" descr="044e00d5a20269192bc121eb73a48d3d"/>
                          <pic:cNvPicPr>
                            <a:picLocks noChangeAspect="1"/>
                          </pic:cNvPicPr>
                        </pic:nvPicPr>
                        <pic:blipFill>
                          <a:blip r:embed="rId31"/>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800*400*2000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258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单人沙发</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5408" behindDoc="0" locked="0" layoutInCell="1" allowOverlap="1">
                  <wp:simplePos x="0" y="0"/>
                  <wp:positionH relativeFrom="column">
                    <wp:posOffset>59055</wp:posOffset>
                  </wp:positionH>
                  <wp:positionV relativeFrom="paragraph">
                    <wp:posOffset>455930</wp:posOffset>
                  </wp:positionV>
                  <wp:extent cx="932815" cy="734060"/>
                  <wp:effectExtent l="0" t="0" r="635" b="8890"/>
                  <wp:wrapNone/>
                  <wp:docPr id="85" name="ID_AB952D0F850749E094E4DB5F91EBAE8E_SpCnt_2" descr="D:/文件/家具/沙发22.jpg沙发22"/>
                  <wp:cNvGraphicFramePr/>
                  <a:graphic xmlns:a="http://schemas.openxmlformats.org/drawingml/2006/main">
                    <a:graphicData uri="http://schemas.openxmlformats.org/drawingml/2006/picture">
                      <pic:pic xmlns:pic="http://schemas.openxmlformats.org/drawingml/2006/picture">
                        <pic:nvPicPr>
                          <pic:cNvPr id="85" name="ID_AB952D0F850749E094E4DB5F91EBAE8E_SpCnt_2" descr="D:/文件/家具/沙发22.jpg沙发22"/>
                          <pic:cNvPicPr/>
                        </pic:nvPicPr>
                        <pic:blipFill>
                          <a:blip r:embed="rId35"/>
                          <a:srcRect t="10687" b="10687"/>
                          <a:stretch>
                            <a:fillRect/>
                          </a:stretch>
                        </pic:blipFill>
                        <pic:spPr>
                          <a:xfrm>
                            <a:off x="0" y="0"/>
                            <a:ext cx="932815" cy="73406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800*790*810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Style w:val="162"/>
                <w:sz w:val="24"/>
                <w:szCs w:val="24"/>
                <w:lang w:bidi="ar"/>
              </w:rPr>
            </w:pPr>
            <w:r>
              <w:rPr>
                <w:rStyle w:val="162"/>
                <w:sz w:val="24"/>
                <w:szCs w:val="24"/>
                <w:lang w:bidi="ar"/>
              </w:rPr>
              <w:t>2、海绵：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sz w:val="24"/>
              </w:rPr>
            </w:pPr>
            <w:r>
              <w:rPr>
                <w:rStyle w:val="162"/>
                <w:sz w:val="24"/>
                <w:szCs w:val="24"/>
                <w:lang w:bidi="ar"/>
              </w:rPr>
              <w:t>3、框架：采用优质实木框架，甲醛释放量≤0.01mg/m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，抗菌性能（白色假丝酵母菌）抑菌率≥99.9%，木材硬度端面≥6600N，弦面≥6400N，径面≥6000N，pH值6.83，防霉菌性能（可可毛球二孢）等级0级，木制件外观无贯通、无虫蛀现象，符合JC/T 2039-2010、GB/T 1927.19-2021、GB 18580-2017、QB/T 4371-2012标准。</w:t>
            </w:r>
          </w:p>
        </w:tc>
      </w:tr>
      <w:tr>
        <w:tblPrEx>
          <w:tblLayout w:type="fixed"/>
          <w:tblCellMar>
            <w:top w:w="0" w:type="dxa"/>
            <w:left w:w="108" w:type="dxa"/>
            <w:bottom w:w="0" w:type="dxa"/>
            <w:right w:w="108" w:type="dxa"/>
          </w:tblCellMar>
        </w:tblPrEx>
        <w:trPr>
          <w:trHeight w:val="366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小茶几</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945515" cy="945515"/>
                  <wp:effectExtent l="0" t="0" r="6985" b="6985"/>
                  <wp:docPr id="86" name="图片 36" descr="ed211af85c4ee736ef31809e0270d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descr="ed211af85c4ee736ef31809e0270d7c8"/>
                          <pic:cNvPicPr>
                            <a:picLocks noChangeAspect="1"/>
                          </pic:cNvPicPr>
                        </pic:nvPicPr>
                        <pic:blipFill>
                          <a:blip r:embed="rId36"/>
                          <a:stretch>
                            <a:fillRect/>
                          </a:stretch>
                        </pic:blipFill>
                        <pic:spPr>
                          <a:xfrm>
                            <a:off x="0" y="0"/>
                            <a:ext cx="945515" cy="94551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600*600*450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个</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87" name="图片 37" descr="543e8f4cee6b7bab897f47739f0d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7" descr="543e8f4cee6b7bab897f47739f0d6078"/>
                          <pic:cNvPicPr>
                            <a:picLocks noChangeAspect="1"/>
                          </pic:cNvPicPr>
                        </pic:nvPicPr>
                        <pic:blipFill>
                          <a:blip r:embed="rId32"/>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800*400*800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个</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3楼党委会议室（共计1间）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会议桌（带多媒体桌插）</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6432" behindDoc="0" locked="0" layoutInCell="1" allowOverlap="1">
                  <wp:simplePos x="0" y="0"/>
                  <wp:positionH relativeFrom="column">
                    <wp:posOffset>69215</wp:posOffset>
                  </wp:positionH>
                  <wp:positionV relativeFrom="paragraph">
                    <wp:posOffset>1082675</wp:posOffset>
                  </wp:positionV>
                  <wp:extent cx="902335" cy="560705"/>
                  <wp:effectExtent l="0" t="0" r="12065" b="10795"/>
                  <wp:wrapNone/>
                  <wp:docPr id="88" name="图片_98" descr="D:/文件/家具/桌子2.jpg桌子2"/>
                  <wp:cNvGraphicFramePr/>
                  <a:graphic xmlns:a="http://schemas.openxmlformats.org/drawingml/2006/main">
                    <a:graphicData uri="http://schemas.openxmlformats.org/drawingml/2006/picture">
                      <pic:pic xmlns:pic="http://schemas.openxmlformats.org/drawingml/2006/picture">
                        <pic:nvPicPr>
                          <pic:cNvPr id="88" name="图片_98" descr="D:/文件/家具/桌子2.jpg桌子2"/>
                          <pic:cNvPicPr/>
                        </pic:nvPicPr>
                        <pic:blipFill>
                          <a:blip r:embed="rId44"/>
                          <a:srcRect t="18930" b="18930"/>
                          <a:stretch>
                            <a:fillRect/>
                          </a:stretch>
                        </pic:blipFill>
                        <pic:spPr>
                          <a:xfrm>
                            <a:off x="0" y="0"/>
                            <a:ext cx="902335" cy="560705"/>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8000*2000*750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1、基材：采用优质环保中密度纤维板，防潮性能≥11.5MPa，静曲强度≥40MPa，弹性模量≥5200MPa，内胶合强度≥0.8MPa，表面胶合强度≥1.50MPa，吸水厚度膨胀率≤4.0%，甲醛释放量（1m</w:t>
            </w:r>
            <w:r>
              <w:rPr>
                <w:rStyle w:val="82"/>
                <w:rFonts w:hint="eastAsia"/>
                <w:sz w:val="24"/>
                <w:szCs w:val="24"/>
                <w:lang w:bidi="ar"/>
              </w:rPr>
              <w:t>³</w:t>
            </w:r>
            <w:r>
              <w:rPr>
                <w:rStyle w:val="162"/>
                <w:sz w:val="24"/>
                <w:szCs w:val="24"/>
                <w:lang w:bidi="ar"/>
              </w:rPr>
              <w:t>气候箱法）≤0.005mg/m</w:t>
            </w:r>
            <w:r>
              <w:rPr>
                <w:rStyle w:val="82"/>
                <w:rFonts w:hint="eastAsia"/>
                <w:sz w:val="24"/>
                <w:szCs w:val="24"/>
                <w:lang w:bidi="ar"/>
              </w:rPr>
              <w:t>³</w:t>
            </w:r>
            <w:r>
              <w:rPr>
                <w:rStyle w:val="162"/>
                <w:sz w:val="24"/>
                <w:szCs w:val="24"/>
                <w:lang w:bidi="ar"/>
              </w:rPr>
              <w:t>，苯≤0.2μg/m</w:t>
            </w:r>
            <w:r>
              <w:rPr>
                <w:rStyle w:val="82"/>
                <w:rFonts w:hint="eastAsia"/>
                <w:sz w:val="24"/>
                <w:szCs w:val="24"/>
                <w:lang w:bidi="ar"/>
              </w:rPr>
              <w:t>³</w:t>
            </w:r>
            <w:r>
              <w:rPr>
                <w:rStyle w:val="162"/>
                <w:sz w:val="24"/>
                <w:szCs w:val="24"/>
                <w:lang w:bidi="ar"/>
              </w:rPr>
              <w:t>，甲苯≤0.4μg/m</w:t>
            </w:r>
            <w:r>
              <w:rPr>
                <w:rStyle w:val="82"/>
                <w:rFonts w:hint="eastAsia"/>
                <w:sz w:val="24"/>
                <w:szCs w:val="24"/>
                <w:lang w:bidi="ar"/>
              </w:rPr>
              <w:t>³</w:t>
            </w:r>
            <w:r>
              <w:rPr>
                <w:rStyle w:val="162"/>
                <w:sz w:val="24"/>
                <w:szCs w:val="24"/>
                <w:lang w:bidi="ar"/>
              </w:rPr>
              <w:t>，二甲苯≤0.2μg/m</w:t>
            </w:r>
            <w:r>
              <w:rPr>
                <w:rStyle w:val="82"/>
                <w:rFonts w:hint="eastAsia"/>
                <w:sz w:val="24"/>
                <w:szCs w:val="24"/>
                <w:lang w:bidi="ar"/>
              </w:rPr>
              <w:t>³</w:t>
            </w:r>
            <w:r>
              <w:rPr>
                <w:rStyle w:val="162"/>
                <w:sz w:val="24"/>
                <w:szCs w:val="24"/>
                <w:lang w:bidi="ar"/>
              </w:rPr>
              <w:t>，总挥发性有机化合物（TVOC）≤0.4μg/m</w:t>
            </w:r>
            <w:r>
              <w:rPr>
                <w:rStyle w:val="82"/>
                <w:rFonts w:hint="eastAsia"/>
                <w:sz w:val="24"/>
                <w:szCs w:val="24"/>
                <w:lang w:bidi="ar"/>
              </w:rPr>
              <w:t>³</w:t>
            </w:r>
            <w:r>
              <w:rPr>
                <w:rStyle w:val="162"/>
                <w:sz w:val="24"/>
                <w:szCs w:val="24"/>
                <w:lang w:bidi="ar"/>
              </w:rPr>
              <w:t>，人造板防腐性能评价1级，总半挥发性有机化合物（TSVOC）的释放量未检出，防霉性能0级，抗菌性能抑菌率99.4%，抗菌等级Ⅰ级，握螺钉力板面≥1300N，板边≥1100N，符合GB/T11718-2021、GB/T39600-2021、GB18580-2017、LY/T2230-2013、LY/T1926-2020、GB/T35601-2024、LY/T3044-2018、GB/T42898-2023标准。</w:t>
            </w:r>
          </w:p>
          <w:p>
            <w:pPr>
              <w:widowControl/>
              <w:jc w:val="left"/>
              <w:textAlignment w:val="center"/>
              <w:rPr>
                <w:rStyle w:val="162"/>
                <w:sz w:val="24"/>
                <w:szCs w:val="24"/>
                <w:lang w:bidi="ar"/>
              </w:rPr>
            </w:pPr>
            <w:r>
              <w:rPr>
                <w:rStyle w:val="162"/>
                <w:sz w:val="24"/>
                <w:szCs w:val="24"/>
                <w:lang w:bidi="ar"/>
              </w:rPr>
              <w:t>2、饰面：采用优质实木皮饰面，甲醛释放量≤0.01mg/m</w:t>
            </w:r>
            <w:r>
              <w:rPr>
                <w:rStyle w:val="82"/>
                <w:rFonts w:hint="eastAsia"/>
                <w:sz w:val="24"/>
                <w:szCs w:val="24"/>
                <w:lang w:bidi="ar"/>
              </w:rPr>
              <w:t>³</w:t>
            </w:r>
            <w:r>
              <w:rPr>
                <w:rStyle w:val="162"/>
                <w:sz w:val="24"/>
                <w:szCs w:val="24"/>
                <w:lang w:bidi="ar"/>
              </w:rPr>
              <w:t>，防霉菌性能（黑曲霉、出芽短梗霉、黄曲霉、桔灰青霉、马氏拟青霉）等级0级，抗菌性能（金黄色葡萄球菌、肺炎克雷伯氏菌、大肠杆菌、肺炎链球菌、铜绿假单胞菌）抑菌率≥99.5%，挥发性有机化合物苯、甲苯、二甲苯均未检出，创切单板和锯切单板外观质量无活节、无死节、孔洞、夹皮、树脂道等，符合JC/T 2039-2010、GB18580-2017、QB/T 4371-2012、GB/T13010-2020标准。</w:t>
            </w:r>
          </w:p>
          <w:p>
            <w:pPr>
              <w:widowControl/>
              <w:jc w:val="left"/>
              <w:textAlignment w:val="center"/>
              <w:rPr>
                <w:rStyle w:val="162"/>
                <w:sz w:val="24"/>
                <w:szCs w:val="24"/>
                <w:lang w:bidi="ar"/>
              </w:rPr>
            </w:pPr>
            <w:r>
              <w:rPr>
                <w:rStyle w:val="162"/>
                <w:sz w:val="24"/>
                <w:szCs w:val="24"/>
                <w:lang w:bidi="ar"/>
              </w:rPr>
              <w:t>3、油漆：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会议椅</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38" name="图片 38" descr="a27d49b3a47e321223aa30de6f63e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27d49b3a47e321223aa30de6f63e827"/>
                          <pic:cNvPicPr>
                            <a:picLocks noChangeAspect="1"/>
                          </pic:cNvPicPr>
                        </pic:nvPicPr>
                        <pic:blipFill>
                          <a:blip r:embed="rId42"/>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40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1、框架：采用优质实木框架，甲醛释放量≤0.01mg/m</w:t>
            </w:r>
            <w:r>
              <w:rPr>
                <w:rStyle w:val="82"/>
                <w:rFonts w:hint="eastAsia"/>
                <w:sz w:val="24"/>
                <w:szCs w:val="24"/>
                <w:lang w:bidi="ar"/>
              </w:rPr>
              <w:t>³</w:t>
            </w:r>
            <w:r>
              <w:rPr>
                <w:rStyle w:val="162"/>
                <w:sz w:val="24"/>
                <w:szCs w:val="24"/>
                <w:lang w:bidi="ar"/>
              </w:rPr>
              <w:t>，抗菌性能（白色假丝酵母菌）抑菌率≥99.9%，木材硬度端面≥6600N，弦面≥6400N，径面≥6000N，pH值6.83，防霉菌性能（可可毛球二孢）等级0级，木制件外观无贯通、无虫蛀现象，符合JC/T 2039-2010、GB/T 1927.19-2021、GB 18580-2017、QB/T 4371-2012标准。</w:t>
            </w:r>
          </w:p>
          <w:p>
            <w:pPr>
              <w:widowControl/>
              <w:jc w:val="left"/>
              <w:textAlignment w:val="center"/>
              <w:rPr>
                <w:rStyle w:val="162"/>
                <w:sz w:val="24"/>
                <w:szCs w:val="24"/>
                <w:lang w:bidi="ar"/>
              </w:rPr>
            </w:pPr>
            <w:r>
              <w:rPr>
                <w:rStyle w:val="162"/>
                <w:sz w:val="24"/>
                <w:szCs w:val="24"/>
                <w:lang w:bidi="ar"/>
              </w:rPr>
              <w:t>2、油漆：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3、饰面：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Fonts w:hint="eastAsia" w:ascii="宋体" w:hAnsi="宋体" w:cs="宋体"/>
                <w:color w:val="000000"/>
                <w:sz w:val="24"/>
              </w:rPr>
            </w:pPr>
            <w:r>
              <w:rPr>
                <w:rStyle w:val="162"/>
                <w:sz w:val="24"/>
                <w:szCs w:val="24"/>
                <w:lang w:bidi="ar"/>
              </w:rPr>
              <w:t>4、海绵：</w:t>
            </w:r>
            <w:r>
              <w:rPr>
                <w:rFonts w:hint="eastAsia" w:ascii="宋体" w:hAnsi="宋体" w:cs="宋体"/>
                <w:color w:val="000000"/>
                <w:kern w:val="0"/>
                <w:sz w:val="24"/>
                <w:lang w:bidi="ar"/>
              </w:rPr>
              <w:t>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书柜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7456" behindDoc="0" locked="0" layoutInCell="1" allowOverlap="1">
                  <wp:simplePos x="0" y="0"/>
                  <wp:positionH relativeFrom="column">
                    <wp:posOffset>15240</wp:posOffset>
                  </wp:positionH>
                  <wp:positionV relativeFrom="paragraph">
                    <wp:posOffset>666750</wp:posOffset>
                  </wp:positionV>
                  <wp:extent cx="812165" cy="1156970"/>
                  <wp:effectExtent l="0" t="0" r="6985" b="5080"/>
                  <wp:wrapNone/>
                  <wp:docPr id="89" name="ID_A07B018E38E44006BA7506298188DBB8" descr="D:/文件/家具/书柜2.jpg书柜2"/>
                  <wp:cNvGraphicFramePr/>
                  <a:graphic xmlns:a="http://schemas.openxmlformats.org/drawingml/2006/main">
                    <a:graphicData uri="http://schemas.openxmlformats.org/drawingml/2006/picture">
                      <pic:pic xmlns:pic="http://schemas.openxmlformats.org/drawingml/2006/picture">
                        <pic:nvPicPr>
                          <pic:cNvPr id="89" name="ID_A07B018E38E44006BA7506298188DBB8" descr="D:/文件/家具/书柜2.jpg书柜2"/>
                          <pic:cNvPicPr/>
                        </pic:nvPicPr>
                        <pic:blipFill>
                          <a:blip r:embed="rId45"/>
                          <a:srcRect l="11221" r="11221"/>
                          <a:stretch>
                            <a:fillRect/>
                          </a:stretch>
                        </pic:blipFill>
                        <pic:spPr>
                          <a:xfrm>
                            <a:off x="0" y="0"/>
                            <a:ext cx="812165" cy="115697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800*400*2000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1、基材：采用优质环保中密度纤维板，防潮性能≥11.5MPa，静曲强度≥40MPa，弹性模量≥5200MPa，内胶合强度≥0.8MPa，表面胶合强度≥1.50MPa，吸水厚度膨胀率≤4.0%，甲醛释放量（1m</w:t>
            </w:r>
            <w:r>
              <w:rPr>
                <w:rStyle w:val="82"/>
                <w:rFonts w:hint="eastAsia"/>
                <w:sz w:val="24"/>
                <w:szCs w:val="24"/>
                <w:lang w:bidi="ar"/>
              </w:rPr>
              <w:t>³</w:t>
            </w:r>
            <w:r>
              <w:rPr>
                <w:rStyle w:val="162"/>
                <w:sz w:val="24"/>
                <w:szCs w:val="24"/>
                <w:lang w:bidi="ar"/>
              </w:rPr>
              <w:t>气候箱法）≤0.005mg/m</w:t>
            </w:r>
            <w:r>
              <w:rPr>
                <w:rStyle w:val="82"/>
                <w:rFonts w:hint="eastAsia"/>
                <w:sz w:val="24"/>
                <w:szCs w:val="24"/>
                <w:lang w:bidi="ar"/>
              </w:rPr>
              <w:t>³</w:t>
            </w:r>
            <w:r>
              <w:rPr>
                <w:rStyle w:val="162"/>
                <w:sz w:val="24"/>
                <w:szCs w:val="24"/>
                <w:lang w:bidi="ar"/>
              </w:rPr>
              <w:t>，苯≤0.2μg/m</w:t>
            </w:r>
            <w:r>
              <w:rPr>
                <w:rStyle w:val="82"/>
                <w:rFonts w:hint="eastAsia"/>
                <w:sz w:val="24"/>
                <w:szCs w:val="24"/>
                <w:lang w:bidi="ar"/>
              </w:rPr>
              <w:t>³</w:t>
            </w:r>
            <w:r>
              <w:rPr>
                <w:rStyle w:val="162"/>
                <w:sz w:val="24"/>
                <w:szCs w:val="24"/>
                <w:lang w:bidi="ar"/>
              </w:rPr>
              <w:t>，甲苯≤0.4μg/m</w:t>
            </w:r>
            <w:r>
              <w:rPr>
                <w:rStyle w:val="82"/>
                <w:rFonts w:hint="eastAsia"/>
                <w:sz w:val="24"/>
                <w:szCs w:val="24"/>
                <w:lang w:bidi="ar"/>
              </w:rPr>
              <w:t>³</w:t>
            </w:r>
            <w:r>
              <w:rPr>
                <w:rStyle w:val="162"/>
                <w:sz w:val="24"/>
                <w:szCs w:val="24"/>
                <w:lang w:bidi="ar"/>
              </w:rPr>
              <w:t>，二甲苯≤0.2μg/m</w:t>
            </w:r>
            <w:r>
              <w:rPr>
                <w:rStyle w:val="82"/>
                <w:rFonts w:hint="eastAsia"/>
                <w:sz w:val="24"/>
                <w:szCs w:val="24"/>
                <w:lang w:bidi="ar"/>
              </w:rPr>
              <w:t>³</w:t>
            </w:r>
            <w:r>
              <w:rPr>
                <w:rStyle w:val="162"/>
                <w:sz w:val="24"/>
                <w:szCs w:val="24"/>
                <w:lang w:bidi="ar"/>
              </w:rPr>
              <w:t>，总挥发性有机化合物（TVOC）≤0.4μg/m</w:t>
            </w:r>
            <w:r>
              <w:rPr>
                <w:rStyle w:val="82"/>
                <w:rFonts w:hint="eastAsia"/>
                <w:sz w:val="24"/>
                <w:szCs w:val="24"/>
                <w:lang w:bidi="ar"/>
              </w:rPr>
              <w:t>³</w:t>
            </w:r>
            <w:r>
              <w:rPr>
                <w:rStyle w:val="162"/>
                <w:sz w:val="24"/>
                <w:szCs w:val="24"/>
                <w:lang w:bidi="ar"/>
              </w:rPr>
              <w:t>，人造板防腐性能评价1级，总半挥发性有机化合物（TSVOC）的释放量未检出，防霉性能0级，抗菌性能抑菌率99.4%，抗菌等级Ⅰ级，握螺钉力板面≥1300N，板边≥1100N，符合GB/T11718-2021、GB/T39600-2021、GB18580-2017、LY/T2230-2013、LY/T1926-2020、GB/T35601-2024、LY/T3044-2018、GB/T42898-2023标准。</w:t>
            </w:r>
          </w:p>
          <w:p>
            <w:pPr>
              <w:widowControl/>
              <w:jc w:val="left"/>
              <w:textAlignment w:val="center"/>
              <w:rPr>
                <w:rStyle w:val="162"/>
                <w:sz w:val="24"/>
                <w:szCs w:val="24"/>
                <w:lang w:bidi="ar"/>
              </w:rPr>
            </w:pPr>
            <w:r>
              <w:rPr>
                <w:rStyle w:val="162"/>
                <w:sz w:val="24"/>
                <w:szCs w:val="24"/>
                <w:lang w:bidi="ar"/>
              </w:rPr>
              <w:t>2、饰面：采用优质实木皮饰面，甲醛释放量≤0.01mg/m</w:t>
            </w:r>
            <w:r>
              <w:rPr>
                <w:rStyle w:val="82"/>
                <w:rFonts w:hint="eastAsia"/>
                <w:sz w:val="24"/>
                <w:szCs w:val="24"/>
                <w:lang w:bidi="ar"/>
              </w:rPr>
              <w:t>³</w:t>
            </w:r>
            <w:r>
              <w:rPr>
                <w:rStyle w:val="162"/>
                <w:sz w:val="24"/>
                <w:szCs w:val="24"/>
                <w:lang w:bidi="ar"/>
              </w:rPr>
              <w:t>，防霉菌性能（黑曲霉、出芽短梗霉、黄曲霉、桔灰青霉、马氏拟青霉）等级0级，抗菌性能（金黄色葡萄球菌、肺炎克雷伯氏菌、大肠杆菌、肺炎链球菌、铜绿假单胞菌）抑菌率≥99.5%，挥发性有机化合物苯、甲苯、二甲苯均未检出，创切单板和锯切单板外观质量无活节、无死节、孔洞、夹皮、树脂道等，符合JC/T 2039-2010、GB18580-2017、QB/T 4371-2012、GB/T13010-2020标准。</w:t>
            </w:r>
          </w:p>
          <w:p>
            <w:pPr>
              <w:widowControl/>
              <w:jc w:val="left"/>
              <w:textAlignment w:val="center"/>
              <w:rPr>
                <w:rStyle w:val="162"/>
                <w:sz w:val="24"/>
                <w:szCs w:val="24"/>
                <w:lang w:bidi="ar"/>
              </w:rPr>
            </w:pPr>
            <w:r>
              <w:rPr>
                <w:rStyle w:val="162"/>
                <w:sz w:val="24"/>
                <w:szCs w:val="24"/>
                <w:lang w:bidi="ar"/>
              </w:rPr>
              <w:t>3、油漆：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5050" cy="1035050"/>
                  <wp:effectExtent l="0" t="0" r="1270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6"/>
                          <a:stretch>
                            <a:fillRect/>
                          </a:stretch>
                        </pic:blipFill>
                        <pic:spPr>
                          <a:xfrm>
                            <a:off x="0" y="0"/>
                            <a:ext cx="1035050" cy="1035050"/>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800*400*870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组</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1、基材：采用优质环保中密度纤维板，防潮性能≥11.5MPa，静曲强度≥40MPa，弹性模量≥5200MPa，内胶合强度≥0.8MPa，表面胶合强度≥1.50MPa，吸水厚度膨胀率≤4.0%，甲醛释放量（1m</w:t>
            </w:r>
            <w:r>
              <w:rPr>
                <w:rStyle w:val="82"/>
                <w:rFonts w:hint="eastAsia"/>
                <w:sz w:val="24"/>
                <w:szCs w:val="24"/>
                <w:lang w:bidi="ar"/>
              </w:rPr>
              <w:t>³</w:t>
            </w:r>
            <w:r>
              <w:rPr>
                <w:rStyle w:val="162"/>
                <w:sz w:val="24"/>
                <w:szCs w:val="24"/>
                <w:lang w:bidi="ar"/>
              </w:rPr>
              <w:t>气候箱法）≤0.005mg/m</w:t>
            </w:r>
            <w:r>
              <w:rPr>
                <w:rStyle w:val="82"/>
                <w:rFonts w:hint="eastAsia"/>
                <w:sz w:val="24"/>
                <w:szCs w:val="24"/>
                <w:lang w:bidi="ar"/>
              </w:rPr>
              <w:t>³</w:t>
            </w:r>
            <w:r>
              <w:rPr>
                <w:rStyle w:val="162"/>
                <w:sz w:val="24"/>
                <w:szCs w:val="24"/>
                <w:lang w:bidi="ar"/>
              </w:rPr>
              <w:t>，苯≤0.2μg/m</w:t>
            </w:r>
            <w:r>
              <w:rPr>
                <w:rStyle w:val="82"/>
                <w:rFonts w:hint="eastAsia"/>
                <w:sz w:val="24"/>
                <w:szCs w:val="24"/>
                <w:lang w:bidi="ar"/>
              </w:rPr>
              <w:t>³</w:t>
            </w:r>
            <w:r>
              <w:rPr>
                <w:rStyle w:val="162"/>
                <w:sz w:val="24"/>
                <w:szCs w:val="24"/>
                <w:lang w:bidi="ar"/>
              </w:rPr>
              <w:t>，甲苯≤0.4μg/m</w:t>
            </w:r>
            <w:r>
              <w:rPr>
                <w:rStyle w:val="82"/>
                <w:rFonts w:hint="eastAsia"/>
                <w:sz w:val="24"/>
                <w:szCs w:val="24"/>
                <w:lang w:bidi="ar"/>
              </w:rPr>
              <w:t>³</w:t>
            </w:r>
            <w:r>
              <w:rPr>
                <w:rStyle w:val="162"/>
                <w:sz w:val="24"/>
                <w:szCs w:val="24"/>
                <w:lang w:bidi="ar"/>
              </w:rPr>
              <w:t>，二甲苯≤0.2μg/m</w:t>
            </w:r>
            <w:r>
              <w:rPr>
                <w:rStyle w:val="82"/>
                <w:rFonts w:hint="eastAsia"/>
                <w:sz w:val="24"/>
                <w:szCs w:val="24"/>
                <w:lang w:bidi="ar"/>
              </w:rPr>
              <w:t>³</w:t>
            </w:r>
            <w:r>
              <w:rPr>
                <w:rStyle w:val="162"/>
                <w:sz w:val="24"/>
                <w:szCs w:val="24"/>
                <w:lang w:bidi="ar"/>
              </w:rPr>
              <w:t>，总挥发性有机化合物（TVOC）≤0.4μg/m</w:t>
            </w:r>
            <w:r>
              <w:rPr>
                <w:rStyle w:val="82"/>
                <w:rFonts w:hint="eastAsia"/>
                <w:sz w:val="24"/>
                <w:szCs w:val="24"/>
                <w:lang w:bidi="ar"/>
              </w:rPr>
              <w:t>³</w:t>
            </w:r>
            <w:r>
              <w:rPr>
                <w:rStyle w:val="162"/>
                <w:sz w:val="24"/>
                <w:szCs w:val="24"/>
                <w:lang w:bidi="ar"/>
              </w:rPr>
              <w:t>，人造板防腐性能评价1级，总半挥发性有机化合物（TSVOC）的释放量未检出，防霉性能0级，抗菌性能抑菌率99.4%，抗菌等级Ⅰ级，握螺钉力板面≥1300N，板边≥1100N，符合GB/T11718-2021、GB/T39600-2021、GB18580-2017、LY/T2230-2013、LY/T1926-2020、GB/T35601-2024、LY/T3044-2018、GB/T42898-2023标准。</w:t>
            </w:r>
          </w:p>
          <w:p>
            <w:pPr>
              <w:widowControl/>
              <w:jc w:val="left"/>
              <w:textAlignment w:val="center"/>
              <w:rPr>
                <w:rStyle w:val="162"/>
                <w:sz w:val="24"/>
                <w:szCs w:val="24"/>
                <w:lang w:bidi="ar"/>
              </w:rPr>
            </w:pPr>
            <w:r>
              <w:rPr>
                <w:rStyle w:val="162"/>
                <w:sz w:val="24"/>
                <w:szCs w:val="24"/>
                <w:lang w:bidi="ar"/>
              </w:rPr>
              <w:t>2、饰面：采用优质实木皮饰面，甲醛释放量≤0.01mg/m</w:t>
            </w:r>
            <w:r>
              <w:rPr>
                <w:rStyle w:val="82"/>
                <w:rFonts w:hint="eastAsia"/>
                <w:sz w:val="24"/>
                <w:szCs w:val="24"/>
                <w:lang w:bidi="ar"/>
              </w:rPr>
              <w:t>³</w:t>
            </w:r>
            <w:r>
              <w:rPr>
                <w:rStyle w:val="162"/>
                <w:sz w:val="24"/>
                <w:szCs w:val="24"/>
                <w:lang w:bidi="ar"/>
              </w:rPr>
              <w:t>，防霉菌性能（黑曲霉、出芽短梗霉、黄曲霉、桔灰青霉、马氏拟青霉）等级0级，抗菌性能（金黄色葡萄球菌、肺炎克雷伯氏菌、大肠杆菌、肺炎链球菌、铜绿假单胞菌）抑菌率≥99.5%，挥发性有机化合物苯、甲苯、二甲苯均未检出，创切单板和锯切单板外观质量无活节、无死节、孔洞、夹皮、树脂道等，符合JC/T 2039-2010、GB18580-2017、QB/T 4371-2012、GB/T13010-2020标准。</w:t>
            </w:r>
          </w:p>
          <w:p>
            <w:pPr>
              <w:widowControl/>
              <w:jc w:val="left"/>
              <w:textAlignment w:val="center"/>
              <w:rPr>
                <w:rStyle w:val="162"/>
                <w:sz w:val="24"/>
                <w:szCs w:val="24"/>
                <w:lang w:bidi="ar"/>
              </w:rPr>
            </w:pPr>
            <w:r>
              <w:rPr>
                <w:rStyle w:val="162"/>
                <w:sz w:val="24"/>
                <w:szCs w:val="24"/>
                <w:lang w:bidi="ar"/>
              </w:rPr>
              <w:t>3、油漆：</w:t>
            </w:r>
            <w:r>
              <w:rPr>
                <w:rFonts w:hint="eastAsia" w:ascii="宋体" w:hAnsi="宋体" w:cs="宋体"/>
                <w:color w:val="000000"/>
                <w:kern w:val="0"/>
                <w:sz w:val="24"/>
                <w:lang w:bidi="ar"/>
              </w:rPr>
              <w:t>采用环保水性底漆、面漆，VOC含量≤2g/L，甲醛含量≤5mg/kg，总铅含量未检出，可溶性重金属含量镉、铬、汞均未检出，乙二醇醚及醚酯总和含量未检出，苯系物总和含量未检出，烷基酚聚氧乙烯醚总和含量未检出，涂料中可溶性有害元素含量（锑(Sb)、砷(As)、钡(Ba)、镉(Cd)、铬(Cr)、铅(Pb)、汞(Hg)、硒(Se)）均未检出，抗细菌性能（不低于5项菌种）抑菌率≥99.9%，耐霉菌性能（不低于5项霉菌）等级0级，漆膜硬度≥5H，挥发性有机化合物（VOC）未检出，符合GB 18581-2020、GB/T 23999-2009、HJ 2537-2014、GB/T 35602-2017、HG/T 3950-2007、GB/T 21866-2008、GB/T6739-2022、GB/T 1741-2020标准。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405" w:hRule="atLeast"/>
        </w:trPr>
        <w:tc>
          <w:tcPr>
            <w:tcW w:w="5373" w:type="dxa"/>
            <w:gridSpan w:val="11"/>
            <w:tcBorders>
              <w:top w:val="single" w:color="000000" w:sz="4" w:space="0"/>
              <w:left w:val="single" w:color="000000" w:sz="4" w:space="0"/>
              <w:bottom w:val="single" w:color="000000" w:sz="4" w:space="0"/>
              <w:right w:val="nil"/>
            </w:tcBorders>
            <w:shd w:val="clear" w:color="auto" w:fill="FFFFFF"/>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3楼家属探亲用房（共计1间）</w:t>
            </w:r>
          </w:p>
        </w:tc>
        <w:tc>
          <w:tcPr>
            <w:tcW w:w="5141" w:type="dxa"/>
            <w:gridSpan w:val="2"/>
            <w:tcBorders>
              <w:top w:val="single" w:color="000000" w:sz="4" w:space="0"/>
              <w:left w:val="nil"/>
              <w:bottom w:val="single" w:color="000000" w:sz="4" w:space="0"/>
              <w:right w:val="single" w:color="000000" w:sz="4" w:space="0"/>
            </w:tcBorders>
            <w:shd w:val="clear" w:color="auto" w:fill="FFFFFF"/>
            <w:noWrap w:val="0"/>
            <w:vAlign w:val="center"/>
          </w:tcPr>
          <w:p>
            <w:pP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9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单人床</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8480" behindDoc="0" locked="0" layoutInCell="1" allowOverlap="1">
                  <wp:simplePos x="0" y="0"/>
                  <wp:positionH relativeFrom="column">
                    <wp:posOffset>15240</wp:posOffset>
                  </wp:positionH>
                  <wp:positionV relativeFrom="paragraph">
                    <wp:posOffset>845185</wp:posOffset>
                  </wp:positionV>
                  <wp:extent cx="798830" cy="896620"/>
                  <wp:effectExtent l="0" t="0" r="1270" b="17780"/>
                  <wp:wrapNone/>
                  <wp:docPr id="40" name="ID_5AE9BCB56DB049CCA8B3F3CC36F0D880_SpCnt_1" descr="D:/文件/家具/床.jpg床"/>
                  <wp:cNvGraphicFramePr/>
                  <a:graphic xmlns:a="http://schemas.openxmlformats.org/drawingml/2006/main">
                    <a:graphicData uri="http://schemas.openxmlformats.org/drawingml/2006/picture">
                      <pic:pic xmlns:pic="http://schemas.openxmlformats.org/drawingml/2006/picture">
                        <pic:nvPicPr>
                          <pic:cNvPr id="40" name="ID_5AE9BCB56DB049CCA8B3F3CC36F0D880_SpCnt_1" descr="D:/文件/家具/床.jpg床"/>
                          <pic:cNvPicPr/>
                        </pic:nvPicPr>
                        <pic:blipFill>
                          <a:blip r:embed="rId22"/>
                          <a:srcRect t="5162" b="5162"/>
                          <a:stretch>
                            <a:fillRect/>
                          </a:stretch>
                        </pic:blipFill>
                        <pic:spPr>
                          <a:xfrm>
                            <a:off x="0" y="0"/>
                            <a:ext cx="798830" cy="896620"/>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900*2000*1100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3"/>
                <w:sz w:val="24"/>
                <w:szCs w:val="24"/>
                <w:lang w:bidi="ar"/>
              </w:rPr>
            </w:pPr>
            <w:r>
              <w:rPr>
                <w:rStyle w:val="163"/>
                <w:sz w:val="24"/>
                <w:szCs w:val="24"/>
                <w:lang w:bidi="ar"/>
              </w:rPr>
              <w:t>1、基材：优质环保实木多层板，甲醛释放量（1m³气候箱法）≤0.01mg/m³，防霉性能0级，抗菌性能抑菌率≥99.4%、抗菌等级Ⅰ级，总半挥发性有机化合物（TSVOC）的释放量≤20μg/（㎡·h），人造板防腐性能评价1级，符合GB/T9846-2015、GB18580-2017、LY/T2230-2013、LY/T1926-2020、LY/T3044-2018标准。</w:t>
            </w:r>
          </w:p>
          <w:p>
            <w:pPr>
              <w:widowControl/>
              <w:jc w:val="left"/>
              <w:textAlignment w:val="center"/>
              <w:rPr>
                <w:rStyle w:val="163"/>
                <w:sz w:val="24"/>
                <w:szCs w:val="24"/>
                <w:lang w:bidi="ar"/>
              </w:rPr>
            </w:pPr>
            <w:r>
              <w:rPr>
                <w:rStyle w:val="163"/>
                <w:sz w:val="24"/>
                <w:szCs w:val="24"/>
                <w:lang w:bidi="ar"/>
              </w:rPr>
              <w:t>2、饰面：</w:t>
            </w:r>
            <w:r>
              <w:rPr>
                <w:rStyle w:val="162"/>
                <w:sz w:val="24"/>
                <w:szCs w:val="24"/>
                <w:lang w:bidi="ar"/>
              </w:rPr>
              <w:t>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3"/>
                <w:sz w:val="24"/>
                <w:szCs w:val="24"/>
                <w:lang w:bidi="ar"/>
              </w:rPr>
            </w:pPr>
            <w:r>
              <w:rPr>
                <w:rStyle w:val="163"/>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3"/>
                <w:sz w:val="24"/>
                <w:szCs w:val="24"/>
                <w:lang w:bidi="ar"/>
              </w:rPr>
            </w:pPr>
            <w:r>
              <w:rPr>
                <w:rStyle w:val="163"/>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3"/>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1592"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床头柜</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90" name="图片 40" descr="ef089afa8f8f1b38b83c5d7c37a1f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descr="ef089afa8f8f1b38b83c5d7c37a1fe25"/>
                          <pic:cNvPicPr>
                            <a:picLocks noChangeAspect="1"/>
                          </pic:cNvPicPr>
                        </pic:nvPicPr>
                        <pic:blipFill>
                          <a:blip r:embed="rId23"/>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450*450*470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1、基材：采用优质环保浸渍胶膜纸饰面刨花板，甲醛释放量（1m</w:t>
            </w:r>
            <w:r>
              <w:rPr>
                <w:rStyle w:val="82"/>
                <w:rFonts w:hint="eastAsia"/>
                <w:sz w:val="24"/>
                <w:szCs w:val="24"/>
                <w:lang w:bidi="ar"/>
              </w:rPr>
              <w:t>³</w:t>
            </w:r>
            <w:r>
              <w:rPr>
                <w:rStyle w:val="162"/>
                <w:sz w:val="24"/>
                <w:szCs w:val="24"/>
                <w:lang w:bidi="ar"/>
              </w:rPr>
              <w:t>气候箱法）≤0.01mg/m</w:t>
            </w:r>
            <w:r>
              <w:rPr>
                <w:rStyle w:val="82"/>
                <w:rFonts w:hint="eastAsia"/>
                <w:sz w:val="24"/>
                <w:szCs w:val="24"/>
                <w:lang w:bidi="ar"/>
              </w:rPr>
              <w:t>³</w:t>
            </w:r>
            <w:r>
              <w:rPr>
                <w:rStyle w:val="162"/>
                <w:sz w:val="24"/>
                <w:szCs w:val="24"/>
                <w:lang w:bidi="ar"/>
              </w:rPr>
              <w:t>，防霉性能0级，抗菌性能抑菌率≥99.2%、抗菌等级Ⅰ级，总半挥发性有机化合物（TSVOC）的释放量≤20μg/（㎡·h），人造板防腐性能评价1级，符合GB/T15102-2017、GB18580-2017、LY/T2230-2013、LY/T1926-2020、LY/T3044-2018、GB/T42898-2023标准。</w:t>
            </w:r>
          </w:p>
          <w:p>
            <w:pPr>
              <w:widowControl/>
              <w:jc w:val="left"/>
              <w:textAlignment w:val="center"/>
              <w:rPr>
                <w:rStyle w:val="162"/>
                <w:sz w:val="24"/>
                <w:szCs w:val="24"/>
                <w:lang w:bidi="ar"/>
              </w:rPr>
            </w:pPr>
            <w:r>
              <w:rPr>
                <w:rStyle w:val="162"/>
                <w:sz w:val="24"/>
                <w:szCs w:val="24"/>
                <w:lang w:bidi="ar"/>
              </w:rPr>
              <w:t>2、饰面：采用三聚氰胺饰面纸饰面，外观质量无色差、无污斑、无边角缺损、无裂纹、无漏胶，甲醛释放量≤0.1mg/L，可迁移性荧光增白剂的含量≤20.0mg/kg，符合GB/T 28995-2022、GB/T27741-2018标准。</w:t>
            </w:r>
          </w:p>
          <w:p>
            <w:pPr>
              <w:widowControl/>
              <w:jc w:val="left"/>
              <w:textAlignment w:val="center"/>
              <w:rPr>
                <w:rStyle w:val="162"/>
                <w:sz w:val="24"/>
                <w:szCs w:val="24"/>
                <w:lang w:bidi="ar"/>
              </w:rPr>
            </w:pPr>
            <w:r>
              <w:rPr>
                <w:rStyle w:val="162"/>
                <w:sz w:val="24"/>
                <w:szCs w:val="24"/>
                <w:lang w:bidi="ar"/>
              </w:rPr>
              <w:t>3、封边：采用优质PVC封边条封边，甲醛释放量≤0.07mg/L，氯乙烯单体≤0.5mg/kg，可迁移元素可溶性重金属铅≤0.012mg/kg，镉≤0.012mg/kg，铬≤0.022mg/kg，汞≤0.004mg/kg，砷≤0.025mg/kg，钡≤0.025mg/kg，锑≤0.016mg/kg，硒≤0.020mg/kg，邻苯二甲酸酯≤0.001%，多溴联苯≤5mg/kg，多溴联苯醚≤5mg/kg，耐液体性5%乙酸溶液，温度23℃，浸泡720h，其他外观无变化，颜色无变化，耐盐雾100h质量变化+0.30%，六价铬≤0.2mg/kg，符合GB/T 11547-2008、GB/T 12000-2017、GB/T 38287-2019标准。</w:t>
            </w:r>
          </w:p>
          <w:p>
            <w:pPr>
              <w:widowControl/>
              <w:jc w:val="left"/>
              <w:textAlignment w:val="center"/>
              <w:rPr>
                <w:rStyle w:val="162"/>
                <w:sz w:val="24"/>
                <w:szCs w:val="24"/>
                <w:lang w:bidi="ar"/>
              </w:rPr>
            </w:pPr>
            <w:r>
              <w:rPr>
                <w:rStyle w:val="162"/>
                <w:sz w:val="24"/>
                <w:szCs w:val="24"/>
                <w:lang w:bidi="ar"/>
              </w:rPr>
              <w:t>4、胶水：采用环保水性胶粘剂，VOC含量≤2g/L，游离甲醛≤0.05g/kg，苯≤0.02g/kg，甲苯+二甲苯≤0.02g/kg，总挥发性有机物≤10g/L，卤代烃≤0.01g/kg，可溶性重金属铅≤2.5μg/kg，铬≤4.0μg/kg，镉≤0.5μg/kg，钡≤10μg/kg，汞≤0.15μg/kg，砷≤1.0μg/kg，硒≤1.0μg/kg，锑≤1.0μg/kg，符合GB33372-2020、GB18583-2008、HG/T5989-2021、GB/T32448-2015标准。</w:t>
            </w:r>
          </w:p>
          <w:p>
            <w:pPr>
              <w:widowControl/>
              <w:jc w:val="left"/>
              <w:textAlignment w:val="center"/>
              <w:rPr>
                <w:rFonts w:hint="eastAsia" w:ascii="宋体" w:hAnsi="宋体" w:cs="宋体"/>
                <w:color w:val="000000"/>
                <w:sz w:val="24"/>
              </w:rPr>
            </w:pPr>
            <w:r>
              <w:rPr>
                <w:rStyle w:val="162"/>
                <w:sz w:val="24"/>
                <w:szCs w:val="24"/>
                <w:lang w:bidi="ar"/>
              </w:rPr>
              <w:t>5、五金配件：采用优质五金配件，五金配件紧密拼接，牢固，间隙细小且均匀，平整无毛刺。</w:t>
            </w:r>
          </w:p>
        </w:tc>
      </w:tr>
      <w:tr>
        <w:tblPrEx>
          <w:tblLayout w:type="fixed"/>
          <w:tblCellMar>
            <w:top w:w="0" w:type="dxa"/>
            <w:left w:w="108" w:type="dxa"/>
            <w:bottom w:w="0" w:type="dxa"/>
            <w:right w:w="108" w:type="dxa"/>
          </w:tblCellMar>
        </w:tblPrEx>
        <w:trPr>
          <w:trHeight w:val="156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床垫</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shd w:val="clear" w:color="auto" w:fill="FFFFFF"/>
                <w:lang w:bidi="ar"/>
              </w:rPr>
              <w:drawing>
                <wp:anchor distT="0" distB="0" distL="114300" distR="114300" simplePos="0" relativeHeight="251669504" behindDoc="0" locked="0" layoutInCell="1" allowOverlap="1">
                  <wp:simplePos x="0" y="0"/>
                  <wp:positionH relativeFrom="column">
                    <wp:posOffset>15240</wp:posOffset>
                  </wp:positionH>
                  <wp:positionV relativeFrom="paragraph">
                    <wp:posOffset>332105</wp:posOffset>
                  </wp:positionV>
                  <wp:extent cx="862965" cy="283845"/>
                  <wp:effectExtent l="0" t="0" r="13335" b="1905"/>
                  <wp:wrapNone/>
                  <wp:docPr id="91" name="ID_117BB8F3153B4404A5E7E1B8D5E801DC_SpCnt_1"/>
                  <wp:cNvGraphicFramePr/>
                  <a:graphic xmlns:a="http://schemas.openxmlformats.org/drawingml/2006/main">
                    <a:graphicData uri="http://schemas.openxmlformats.org/drawingml/2006/picture">
                      <pic:pic xmlns:pic="http://schemas.openxmlformats.org/drawingml/2006/picture">
                        <pic:nvPicPr>
                          <pic:cNvPr id="91" name="ID_117BB8F3153B4404A5E7E1B8D5E801DC_SpCnt_1"/>
                          <pic:cNvPicPr/>
                        </pic:nvPicPr>
                        <pic:blipFill>
                          <a:blip r:embed="rId24"/>
                          <a:stretch>
                            <a:fillRect/>
                          </a:stretch>
                        </pic:blipFill>
                        <pic:spPr>
                          <a:xfrm>
                            <a:off x="0" y="0"/>
                            <a:ext cx="862965" cy="283845"/>
                          </a:xfrm>
                          <a:prstGeom prst="rect">
                            <a:avLst/>
                          </a:prstGeom>
                          <a:noFill/>
                          <a:ln>
                            <a:noFill/>
                          </a:ln>
                        </pic:spPr>
                      </pic:pic>
                    </a:graphicData>
                  </a:graphic>
                </wp:anchor>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900*2000*50</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1、材质：椰棕，天然材质更环保健康。</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2、硬度：适中</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3、透气性：有透气孔设计，透气性好。</w:t>
            </w:r>
          </w:p>
        </w:tc>
      </w:tr>
      <w:tr>
        <w:tblPrEx>
          <w:tblLayout w:type="fixed"/>
          <w:tblCellMar>
            <w:top w:w="0" w:type="dxa"/>
            <w:left w:w="108" w:type="dxa"/>
            <w:bottom w:w="0" w:type="dxa"/>
            <w:right w:w="108" w:type="dxa"/>
          </w:tblCellMar>
        </w:tblPrEx>
        <w:trPr>
          <w:trHeight w:val="258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单人沙发</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92" name="图片 41" descr="d696b6013c478bd25a44eb6daf30b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1" descr="d696b6013c478bd25a44eb6daf30beae"/>
                          <pic:cNvPicPr>
                            <a:picLocks noChangeAspect="1"/>
                          </pic:cNvPicPr>
                        </pic:nvPicPr>
                        <pic:blipFill>
                          <a:blip r:embed="rId47"/>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2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1、饰面：</w:t>
            </w:r>
            <w:r>
              <w:rPr>
                <w:rStyle w:val="162"/>
                <w:sz w:val="24"/>
                <w:szCs w:val="24"/>
                <w:lang w:bidi="ar"/>
              </w:rPr>
              <w:t>采用优质西皮，摩擦色牢度干擦（500次）≥4级，湿擦（250次）≥4级，碱性汗液（80次）≥4级，涂层粘着牢度≥3.0N/10mm，耐光性≥5级，撕裂力≥40N，游离甲醛≤20mg/kg，挥发性有机物（VOC）≤10mg/kg，禁用偶氮染料未检出，抗细菌性能（不低于6项菌种）抑菌率≥99.9%，皮革防霉性能（不低于6项霉菌）等级1级，符合GB/T 16799-2018、QB/T 4199-2011、HJ 507-2009、QB/T 4341-2012标准。</w:t>
            </w:r>
          </w:p>
          <w:p>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海绵：采用优质高弹阻燃海绵，回弹率≥60%，75%压缩永久变形≤4.0%，65%25%压陷比≥2.0，拉伸强度≥180KPa,断裂伸长率≥235%，撕裂强度≥2.5N/cm,干热老化后拉伸强度≥180KPa,湿热老化后拉伸强度≥182KPa,灰分≤1.5%，甲醛散发≤0.3mg/kg，甲醛释放量≤0.003mg/㎡h，TVOC≤0.005mg/㎡h，燃烧性能等级B1级，符合GB/T10802-2023、QB/T2280-2016、GB/T8332-2008、GB8624-2012标准。</w:t>
            </w:r>
          </w:p>
          <w:p>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3、采用实木椅脚。</w:t>
            </w:r>
          </w:p>
        </w:tc>
      </w:tr>
      <w:tr>
        <w:tblPrEx>
          <w:tblLayout w:type="fixed"/>
          <w:tblCellMar>
            <w:top w:w="0" w:type="dxa"/>
            <w:left w:w="108" w:type="dxa"/>
            <w:bottom w:w="0" w:type="dxa"/>
            <w:right w:w="108" w:type="dxa"/>
          </w:tblCellMar>
        </w:tblPrEx>
        <w:trPr>
          <w:trHeight w:val="4040" w:hRule="atLeast"/>
        </w:trPr>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茶几</w:t>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bottom"/>
          </w:tcPr>
          <w:p>
            <w:pPr>
              <w:widowControl/>
              <w:jc w:val="center"/>
              <w:textAlignment w:val="bottom"/>
              <w:rPr>
                <w:rFonts w:hint="eastAsia" w:ascii="宋体" w:hAnsi="宋体" w:cs="宋体"/>
                <w:color w:val="000000"/>
                <w:sz w:val="24"/>
              </w:rPr>
            </w:pPr>
            <w:r>
              <w:rPr>
                <w:rFonts w:hint="eastAsia" w:ascii="宋体" w:hAnsi="宋体" w:cs="宋体"/>
                <w:color w:val="000000"/>
                <w:sz w:val="24"/>
              </w:rPr>
              <w:drawing>
                <wp:inline distT="0" distB="0" distL="114300" distR="114300">
                  <wp:extent cx="1036955" cy="1036955"/>
                  <wp:effectExtent l="0" t="0" r="10795" b="10795"/>
                  <wp:docPr id="30" name="图片 42" descr="4928cab194644063a3688eac8721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descr="4928cab194644063a3688eac87211732"/>
                          <pic:cNvPicPr>
                            <a:picLocks noChangeAspect="1"/>
                          </pic:cNvPicPr>
                        </pic:nvPicPr>
                        <pic:blipFill>
                          <a:blip r:embed="rId48"/>
                          <a:stretch>
                            <a:fillRect/>
                          </a:stretch>
                        </pic:blipFill>
                        <pic:spPr>
                          <a:xfrm>
                            <a:off x="0" y="0"/>
                            <a:ext cx="1036955" cy="1036955"/>
                          </a:xfrm>
                          <a:prstGeom prst="rect">
                            <a:avLst/>
                          </a:prstGeom>
                          <a:noFill/>
                          <a:ln>
                            <a:noFill/>
                          </a:ln>
                        </pic:spPr>
                      </pic:pic>
                    </a:graphicData>
                  </a:graphic>
                </wp:inline>
              </w:drawing>
            </w:r>
          </w:p>
        </w:tc>
        <w:tc>
          <w:tcPr>
            <w:tcW w:w="1677"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常规</w:t>
            </w:r>
          </w:p>
        </w:tc>
        <w:tc>
          <w:tcPr>
            <w:tcW w:w="54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 xml:space="preserve">1 </w:t>
            </w:r>
          </w:p>
        </w:tc>
        <w:tc>
          <w:tcPr>
            <w:tcW w:w="55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张</w:t>
            </w:r>
          </w:p>
        </w:tc>
        <w:tc>
          <w:tcPr>
            <w:tcW w:w="514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Style w:val="162"/>
                <w:sz w:val="24"/>
                <w:szCs w:val="24"/>
                <w:lang w:bidi="ar"/>
              </w:rPr>
            </w:pPr>
            <w:r>
              <w:rPr>
                <w:rStyle w:val="162"/>
                <w:sz w:val="24"/>
                <w:szCs w:val="24"/>
                <w:lang w:bidi="ar"/>
              </w:rPr>
              <w:t>1、台面：采用岩板，莫氏硬度≥6级，吸水率≤0.30%，弯曲强度≥20MPa，耐磨性≤115mm</w:t>
            </w:r>
            <w:r>
              <w:rPr>
                <w:rStyle w:val="82"/>
                <w:rFonts w:hint="eastAsia"/>
                <w:sz w:val="24"/>
                <w:szCs w:val="24"/>
                <w:lang w:bidi="ar"/>
              </w:rPr>
              <w:t>³</w:t>
            </w:r>
            <w:r>
              <w:rPr>
                <w:rStyle w:val="162"/>
                <w:sz w:val="24"/>
                <w:szCs w:val="24"/>
                <w:lang w:bidi="ar"/>
              </w:rPr>
              <w:t>，抗菌性能（金黄色葡萄球菌、肺炎克雷伯氏菌、铜绿假单胞菌、乙型溶血性链球、大肠杆菌）抑菌率≥99.9%，符合JC/T 908-2013、QB/T 4371-2012标准。</w:t>
            </w:r>
          </w:p>
          <w:p>
            <w:pPr>
              <w:widowControl/>
              <w:jc w:val="left"/>
              <w:textAlignment w:val="center"/>
              <w:rPr>
                <w:rFonts w:hint="eastAsia" w:ascii="宋体" w:hAnsi="宋体" w:cs="宋体"/>
                <w:color w:val="000000"/>
                <w:sz w:val="24"/>
              </w:rPr>
            </w:pPr>
            <w:r>
              <w:rPr>
                <w:rStyle w:val="162"/>
                <w:sz w:val="24"/>
                <w:szCs w:val="24"/>
                <w:lang w:bidi="ar"/>
              </w:rPr>
              <w:t>2、采用金属桌架。</w:t>
            </w:r>
          </w:p>
        </w:tc>
      </w:tr>
      <w:tr>
        <w:tblPrEx>
          <w:tblLayout w:type="fixed"/>
          <w:tblCellMar>
            <w:top w:w="0" w:type="dxa"/>
            <w:left w:w="108" w:type="dxa"/>
            <w:bottom w:w="0" w:type="dxa"/>
            <w:right w:w="108" w:type="dxa"/>
          </w:tblCellMar>
        </w:tblPrEx>
        <w:trPr>
          <w:trHeight w:val="820" w:hRule="atLeast"/>
        </w:trPr>
        <w:tc>
          <w:tcPr>
            <w:tcW w:w="10514" w:type="dxa"/>
            <w:gridSpan w:val="1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芝英消防站窗帘</w:t>
            </w:r>
          </w:p>
        </w:tc>
      </w:tr>
      <w:tr>
        <w:tblPrEx>
          <w:tblLayout w:type="fixed"/>
          <w:tblCellMar>
            <w:top w:w="0" w:type="dxa"/>
            <w:left w:w="108" w:type="dxa"/>
            <w:bottom w:w="0" w:type="dxa"/>
            <w:right w:w="108" w:type="dxa"/>
          </w:tblCellMar>
        </w:tblPrEx>
        <w:trPr>
          <w:trHeight w:val="360" w:hRule="atLeast"/>
        </w:trPr>
        <w:tc>
          <w:tcPr>
            <w:tcW w:w="173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4"/>
              </w:rPr>
            </w:pPr>
          </w:p>
        </w:tc>
        <w:tc>
          <w:tcPr>
            <w:tcW w:w="63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品名</w:t>
            </w:r>
          </w:p>
        </w:tc>
        <w:tc>
          <w:tcPr>
            <w:tcW w:w="1011"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图片</w:t>
            </w:r>
          </w:p>
        </w:tc>
        <w:tc>
          <w:tcPr>
            <w:tcW w:w="52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Style w:val="68"/>
                <w:rFonts w:hint="eastAsia"/>
                <w:sz w:val="24"/>
                <w:szCs w:val="24"/>
                <w:lang w:bidi="ar"/>
              </w:rPr>
              <w:t>总米数</w:t>
            </w:r>
            <w:r>
              <w:rPr>
                <w:rFonts w:hint="eastAsia" w:ascii="宋体" w:hAnsi="宋体" w:cs="宋体"/>
                <w:b/>
                <w:bCs/>
                <w:color w:val="000000"/>
                <w:kern w:val="0"/>
                <w:sz w:val="24"/>
                <w:lang w:bidi="ar"/>
              </w:rPr>
              <w:t>/</w:t>
            </w:r>
            <w:r>
              <w:rPr>
                <w:rStyle w:val="68"/>
                <w:rFonts w:hint="eastAsia"/>
                <w:sz w:val="24"/>
                <w:szCs w:val="24"/>
                <w:lang w:bidi="ar"/>
              </w:rPr>
              <w:t>总㎡</w:t>
            </w:r>
          </w:p>
        </w:tc>
        <w:tc>
          <w:tcPr>
            <w:tcW w:w="63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单位</w:t>
            </w:r>
          </w:p>
        </w:tc>
        <w:tc>
          <w:tcPr>
            <w:tcW w:w="63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单价</w:t>
            </w:r>
          </w:p>
        </w:tc>
        <w:tc>
          <w:tcPr>
            <w:tcW w:w="84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总价</w:t>
            </w:r>
          </w:p>
        </w:tc>
        <w:tc>
          <w:tcPr>
            <w:tcW w:w="4493"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sz w:val="24"/>
              </w:rPr>
              <w:t>技术标准与要求</w:t>
            </w:r>
          </w:p>
        </w:tc>
      </w:tr>
      <w:tr>
        <w:tblPrEx>
          <w:tblLayout w:type="fixed"/>
          <w:tblCellMar>
            <w:top w:w="0" w:type="dxa"/>
            <w:left w:w="108" w:type="dxa"/>
            <w:bottom w:w="0" w:type="dxa"/>
            <w:right w:w="108" w:type="dxa"/>
          </w:tblCellMar>
        </w:tblPrEx>
        <w:trPr>
          <w:trHeight w:val="360" w:hRule="atLeast"/>
        </w:trPr>
        <w:tc>
          <w:tcPr>
            <w:tcW w:w="173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4"/>
              </w:rPr>
            </w:pPr>
          </w:p>
        </w:tc>
        <w:tc>
          <w:tcPr>
            <w:tcW w:w="63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1011"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52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63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63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84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449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r>
      <w:tr>
        <w:tblPrEx>
          <w:tblLayout w:type="fixed"/>
          <w:tblCellMar>
            <w:top w:w="0" w:type="dxa"/>
            <w:left w:w="108" w:type="dxa"/>
            <w:bottom w:w="0" w:type="dxa"/>
            <w:right w:w="108" w:type="dxa"/>
          </w:tblCellMar>
        </w:tblPrEx>
        <w:trPr>
          <w:trHeight w:val="1260" w:hRule="atLeast"/>
        </w:trPr>
        <w:tc>
          <w:tcPr>
            <w:tcW w:w="1735"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4"/>
              </w:rPr>
            </w:pPr>
            <w:r>
              <w:rPr>
                <w:rFonts w:hint="eastAsia" w:ascii="宋体" w:hAnsi="宋体" w:cs="宋体"/>
                <w:b/>
                <w:bCs/>
                <w:color w:val="000000"/>
                <w:kern w:val="0"/>
                <w:sz w:val="24"/>
                <w:lang w:bidi="ar"/>
              </w:rPr>
              <w:t>所有区域</w:t>
            </w: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百叶帘</w:t>
            </w:r>
          </w:p>
        </w:tc>
        <w:tc>
          <w:tcPr>
            <w:tcW w:w="1011"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81792" behindDoc="0" locked="0" layoutInCell="1" allowOverlap="1">
                  <wp:simplePos x="0" y="0"/>
                  <wp:positionH relativeFrom="column">
                    <wp:posOffset>-56515</wp:posOffset>
                  </wp:positionH>
                  <wp:positionV relativeFrom="paragraph">
                    <wp:posOffset>102235</wp:posOffset>
                  </wp:positionV>
                  <wp:extent cx="626110" cy="748665"/>
                  <wp:effectExtent l="0" t="0" r="2540" b="13335"/>
                  <wp:wrapNone/>
                  <wp:docPr id="31" name="ID_03EC31587D3F4A4CB6CB622ADD649A59"/>
                  <wp:cNvGraphicFramePr/>
                  <a:graphic xmlns:a="http://schemas.openxmlformats.org/drawingml/2006/main">
                    <a:graphicData uri="http://schemas.openxmlformats.org/drawingml/2006/picture">
                      <pic:pic xmlns:pic="http://schemas.openxmlformats.org/drawingml/2006/picture">
                        <pic:nvPicPr>
                          <pic:cNvPr id="31" name="ID_03EC31587D3F4A4CB6CB622ADD649A59"/>
                          <pic:cNvPicPr/>
                        </pic:nvPicPr>
                        <pic:blipFill>
                          <a:blip r:embed="rId49"/>
                          <a:stretch>
                            <a:fillRect/>
                          </a:stretch>
                        </pic:blipFill>
                        <pic:spPr>
                          <a:xfrm>
                            <a:off x="0" y="0"/>
                            <a:ext cx="626110" cy="748665"/>
                          </a:xfrm>
                          <a:prstGeom prst="rect">
                            <a:avLst/>
                          </a:prstGeom>
                          <a:noFill/>
                          <a:ln>
                            <a:noFill/>
                          </a:ln>
                        </pic:spPr>
                      </pic:pic>
                    </a:graphicData>
                  </a:graphic>
                </wp:anchor>
              </w:drawing>
            </w:r>
          </w:p>
        </w:tc>
        <w:tc>
          <w:tcPr>
            <w:tcW w:w="52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80</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平方米</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115</w:t>
            </w:r>
          </w:p>
        </w:tc>
        <w:tc>
          <w:tcPr>
            <w:tcW w:w="84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9200</w:t>
            </w:r>
          </w:p>
        </w:tc>
        <w:tc>
          <w:tcPr>
            <w:tcW w:w="44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叶片材质：三层环保烤漆铝百叶</w:t>
            </w:r>
          </w:p>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抗拉强度(Mpa)  332~335</w:t>
            </w:r>
          </w:p>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延伸率(%)Elongation  2-3</w:t>
            </w:r>
          </w:p>
        </w:tc>
      </w:tr>
      <w:tr>
        <w:tblPrEx>
          <w:tblLayout w:type="fixed"/>
          <w:tblCellMar>
            <w:top w:w="0" w:type="dxa"/>
            <w:left w:w="108" w:type="dxa"/>
            <w:bottom w:w="0" w:type="dxa"/>
            <w:right w:w="108" w:type="dxa"/>
          </w:tblCellMar>
        </w:tblPrEx>
        <w:trPr>
          <w:trHeight w:val="1350" w:hRule="atLeast"/>
        </w:trPr>
        <w:tc>
          <w:tcPr>
            <w:tcW w:w="173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布艺窗帘</w:t>
            </w:r>
          </w:p>
        </w:tc>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80768" behindDoc="0" locked="0" layoutInCell="1" allowOverlap="1">
                  <wp:simplePos x="0" y="0"/>
                  <wp:positionH relativeFrom="column">
                    <wp:posOffset>-55880</wp:posOffset>
                  </wp:positionH>
                  <wp:positionV relativeFrom="paragraph">
                    <wp:posOffset>478155</wp:posOffset>
                  </wp:positionV>
                  <wp:extent cx="643255" cy="624840"/>
                  <wp:effectExtent l="0" t="0" r="4445" b="3810"/>
                  <wp:wrapNone/>
                  <wp:docPr id="32" name="ID_CFA329094379406E8B3DF530AEA5B5CD"/>
                  <wp:cNvGraphicFramePr/>
                  <a:graphic xmlns:a="http://schemas.openxmlformats.org/drawingml/2006/main">
                    <a:graphicData uri="http://schemas.openxmlformats.org/drawingml/2006/picture">
                      <pic:pic xmlns:pic="http://schemas.openxmlformats.org/drawingml/2006/picture">
                        <pic:nvPicPr>
                          <pic:cNvPr id="32" name="ID_CFA329094379406E8B3DF530AEA5B5CD"/>
                          <pic:cNvPicPr/>
                        </pic:nvPicPr>
                        <pic:blipFill>
                          <a:blip r:embed="rId50"/>
                          <a:stretch>
                            <a:fillRect/>
                          </a:stretch>
                        </pic:blipFill>
                        <pic:spPr>
                          <a:xfrm>
                            <a:off x="0" y="0"/>
                            <a:ext cx="643255" cy="624840"/>
                          </a:xfrm>
                          <a:prstGeom prst="rect">
                            <a:avLst/>
                          </a:prstGeom>
                          <a:noFill/>
                          <a:ln>
                            <a:noFill/>
                          </a:ln>
                        </pic:spPr>
                      </pic:pic>
                    </a:graphicData>
                  </a:graphic>
                </wp:anchor>
              </w:drawing>
            </w:r>
          </w:p>
        </w:tc>
        <w:tc>
          <w:tcPr>
            <w:tcW w:w="52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230</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米</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125</w:t>
            </w:r>
          </w:p>
        </w:tc>
        <w:tc>
          <w:tcPr>
            <w:tcW w:w="84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28750</w:t>
            </w:r>
          </w:p>
        </w:tc>
        <w:tc>
          <w:tcPr>
            <w:tcW w:w="44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成份：聚酯纤维100% ，克重：≥320克/平方米， 无异味，甲醛释放量未检出，耐皂洗色牢度/级≥4级 ，水洗尺寸变化率： 经向-0.4，纬向-0.2，起球≥3级 ，顶破强力≥ 2500N， 断裂强力：经向≥ 1250N，纬向≥ 1000N，抗磨损性 ＞15000</w:t>
            </w:r>
          </w:p>
        </w:tc>
      </w:tr>
      <w:tr>
        <w:tblPrEx>
          <w:tblLayout w:type="fixed"/>
          <w:tblCellMar>
            <w:top w:w="0" w:type="dxa"/>
            <w:left w:w="108" w:type="dxa"/>
            <w:bottom w:w="0" w:type="dxa"/>
            <w:right w:w="108" w:type="dxa"/>
          </w:tblCellMar>
        </w:tblPrEx>
        <w:trPr>
          <w:trHeight w:val="1580" w:hRule="atLeast"/>
        </w:trPr>
        <w:tc>
          <w:tcPr>
            <w:tcW w:w="173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纱质窗帘</w:t>
            </w:r>
          </w:p>
        </w:tc>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9744" behindDoc="0" locked="0" layoutInCell="1" allowOverlap="1">
                  <wp:simplePos x="0" y="0"/>
                  <wp:positionH relativeFrom="column">
                    <wp:posOffset>-55245</wp:posOffset>
                  </wp:positionH>
                  <wp:positionV relativeFrom="paragraph">
                    <wp:posOffset>480060</wp:posOffset>
                  </wp:positionV>
                  <wp:extent cx="605155" cy="603250"/>
                  <wp:effectExtent l="0" t="0" r="4445" b="6350"/>
                  <wp:wrapNone/>
                  <wp:docPr id="33" name="ID_95DED141186B47B382B44E340DA6CF99"/>
                  <wp:cNvGraphicFramePr/>
                  <a:graphic xmlns:a="http://schemas.openxmlformats.org/drawingml/2006/main">
                    <a:graphicData uri="http://schemas.openxmlformats.org/drawingml/2006/picture">
                      <pic:pic xmlns:pic="http://schemas.openxmlformats.org/drawingml/2006/picture">
                        <pic:nvPicPr>
                          <pic:cNvPr id="33" name="ID_95DED141186B47B382B44E340DA6CF99"/>
                          <pic:cNvPicPr/>
                        </pic:nvPicPr>
                        <pic:blipFill>
                          <a:blip r:embed="rId51"/>
                          <a:stretch>
                            <a:fillRect/>
                          </a:stretch>
                        </pic:blipFill>
                        <pic:spPr>
                          <a:xfrm>
                            <a:off x="0" y="0"/>
                            <a:ext cx="605155" cy="603250"/>
                          </a:xfrm>
                          <a:prstGeom prst="rect">
                            <a:avLst/>
                          </a:prstGeom>
                          <a:noFill/>
                          <a:ln>
                            <a:noFill/>
                          </a:ln>
                        </pic:spPr>
                      </pic:pic>
                    </a:graphicData>
                  </a:graphic>
                </wp:anchor>
              </w:drawing>
            </w:r>
          </w:p>
        </w:tc>
        <w:tc>
          <w:tcPr>
            <w:tcW w:w="52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230</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米</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60</w:t>
            </w:r>
          </w:p>
        </w:tc>
        <w:tc>
          <w:tcPr>
            <w:tcW w:w="84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13800</w:t>
            </w:r>
          </w:p>
        </w:tc>
        <w:tc>
          <w:tcPr>
            <w:tcW w:w="44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成份：聚酯纤维100% ，克重：≥320克/平方米， 无异味，甲醛释放量未检出，耐皂洗色牢度/级≥4级 ，水洗尺寸变化率： 经向-0.4，纬向-0.2，起球≥3级 ，顶破强力≥ 2500N， 断裂强力：经向≥ 1250N，纬向≥ 1000N，抗磨损性 ＞15000</w:t>
            </w:r>
          </w:p>
        </w:tc>
      </w:tr>
      <w:tr>
        <w:tblPrEx>
          <w:tblLayout w:type="fixed"/>
          <w:tblCellMar>
            <w:top w:w="0" w:type="dxa"/>
            <w:left w:w="108" w:type="dxa"/>
            <w:bottom w:w="0" w:type="dxa"/>
            <w:right w:w="108" w:type="dxa"/>
          </w:tblCellMar>
        </w:tblPrEx>
        <w:trPr>
          <w:trHeight w:val="1300" w:hRule="atLeast"/>
        </w:trPr>
        <w:tc>
          <w:tcPr>
            <w:tcW w:w="1735"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4"/>
              </w:rPr>
            </w:pPr>
          </w:p>
        </w:tc>
        <w:tc>
          <w:tcPr>
            <w:tcW w:w="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静音轨道</w:t>
            </w:r>
          </w:p>
        </w:tc>
        <w:tc>
          <w:tcPr>
            <w:tcW w:w="10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8720" behindDoc="0" locked="0" layoutInCell="1" allowOverlap="1">
                  <wp:simplePos x="0" y="0"/>
                  <wp:positionH relativeFrom="column">
                    <wp:posOffset>-46990</wp:posOffset>
                  </wp:positionH>
                  <wp:positionV relativeFrom="paragraph">
                    <wp:posOffset>95250</wp:posOffset>
                  </wp:positionV>
                  <wp:extent cx="620395" cy="546735"/>
                  <wp:effectExtent l="0" t="0" r="8255" b="5715"/>
                  <wp:wrapNone/>
                  <wp:docPr id="34" name="ID_3648C5471B254253A7612CDA4F046815"/>
                  <wp:cNvGraphicFramePr/>
                  <a:graphic xmlns:a="http://schemas.openxmlformats.org/drawingml/2006/main">
                    <a:graphicData uri="http://schemas.openxmlformats.org/drawingml/2006/picture">
                      <pic:pic xmlns:pic="http://schemas.openxmlformats.org/drawingml/2006/picture">
                        <pic:nvPicPr>
                          <pic:cNvPr id="34" name="ID_3648C5471B254253A7612CDA4F046815"/>
                          <pic:cNvPicPr/>
                        </pic:nvPicPr>
                        <pic:blipFill>
                          <a:blip r:embed="rId52"/>
                          <a:stretch>
                            <a:fillRect/>
                          </a:stretch>
                        </pic:blipFill>
                        <pic:spPr>
                          <a:xfrm>
                            <a:off x="0" y="0"/>
                            <a:ext cx="620395" cy="546735"/>
                          </a:xfrm>
                          <a:prstGeom prst="rect">
                            <a:avLst/>
                          </a:prstGeom>
                          <a:noFill/>
                          <a:ln>
                            <a:noFill/>
                          </a:ln>
                        </pic:spPr>
                      </pic:pic>
                    </a:graphicData>
                  </a:graphic>
                </wp:anchor>
              </w:drawing>
            </w:r>
          </w:p>
        </w:tc>
        <w:tc>
          <w:tcPr>
            <w:tcW w:w="52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230</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米</w:t>
            </w:r>
          </w:p>
        </w:tc>
        <w:tc>
          <w:tcPr>
            <w:tcW w:w="636"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50</w:t>
            </w:r>
          </w:p>
        </w:tc>
        <w:tc>
          <w:tcPr>
            <w:tcW w:w="84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11500</w:t>
            </w:r>
          </w:p>
        </w:tc>
        <w:tc>
          <w:tcPr>
            <w:tcW w:w="44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静音轨道，铝合金6063材质，表面经过氧化处理，灵活耐用不变形，厚度≥1.2㎜</w:t>
            </w:r>
          </w:p>
        </w:tc>
      </w:tr>
    </w:tbl>
    <w:p>
      <w:pPr>
        <w:jc w:val="left"/>
        <w:rPr>
          <w:rFonts w:hint="default" w:ascii="Times New Roman" w:hAnsi="Times New Roman" w:cs="Times New Roman"/>
          <w:b/>
          <w:bCs/>
          <w:sz w:val="28"/>
          <w:szCs w:val="28"/>
          <w:highlight w:val="yellow"/>
        </w:rPr>
      </w:pPr>
    </w:p>
    <w:p>
      <w:pPr>
        <w:jc w:val="left"/>
        <w:rPr>
          <w:rFonts w:hint="default" w:ascii="Times New Roman" w:hAnsi="Times New Roman" w:cs="Times New Roman"/>
          <w:b/>
          <w:bCs/>
          <w:sz w:val="24"/>
          <w:szCs w:val="24"/>
          <w:highlight w:val="yellow"/>
        </w:rPr>
      </w:pPr>
      <w:r>
        <w:rPr>
          <w:rFonts w:hint="default" w:ascii="Times New Roman" w:hAnsi="Times New Roman" w:cs="Times New Roman"/>
          <w:b/>
          <w:bCs/>
          <w:sz w:val="24"/>
          <w:szCs w:val="24"/>
          <w:highlight w:val="yellow"/>
        </w:rPr>
        <w:t>注：须依据现场实测尺寸进行定制。其制作方案与颜色均需经甲方书面确认后，方可投入生产。</w:t>
      </w:r>
    </w:p>
    <w:p>
      <w:pPr>
        <w:bidi w:val="0"/>
        <w:jc w:val="center"/>
        <w:rPr>
          <w:rFonts w:hint="default" w:ascii="Times New Roman" w:hAnsi="Times New Roman" w:cs="Times New Roman"/>
          <w:b/>
          <w:bCs/>
          <w:sz w:val="36"/>
          <w:szCs w:val="44"/>
          <w:lang w:val="en-US" w:eastAsia="zh-CN"/>
        </w:rPr>
      </w:pPr>
    </w:p>
    <w:p>
      <w:pPr>
        <w:bidi w:val="0"/>
        <w:jc w:val="center"/>
        <w:rPr>
          <w:rFonts w:hint="default" w:ascii="Times New Roman" w:hAnsi="Times New Roman" w:cs="Times New Roman"/>
          <w:b/>
          <w:bCs/>
          <w:sz w:val="36"/>
          <w:szCs w:val="44"/>
          <w:lang w:val="en-US" w:eastAsia="zh-CN"/>
        </w:rPr>
      </w:pPr>
      <w:r>
        <w:rPr>
          <w:rFonts w:hint="default" w:ascii="Times New Roman" w:hAnsi="Times New Roman" w:cs="Times New Roman"/>
          <w:b/>
          <w:bCs/>
          <w:sz w:val="36"/>
          <w:szCs w:val="44"/>
          <w:lang w:val="en-US" w:eastAsia="zh-CN"/>
        </w:rPr>
        <w:t>二、商务要求</w:t>
      </w:r>
    </w:p>
    <w:p>
      <w:pPr>
        <w:spacing w:line="360" w:lineRule="auto"/>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、项目投标报价要求</w:t>
      </w:r>
    </w:p>
    <w:p>
      <w:pPr>
        <w:adjustRightInd w:val="0"/>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本项目为交钥匙工程，采购人不再另支付其它任何运输、安装、调试、检测等所需的费用。</w:t>
      </w:r>
    </w:p>
    <w:p>
      <w:pPr>
        <w:adjustRightInd w:val="0"/>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zh-TW" w:eastAsia="zh-TW"/>
        </w:rPr>
        <w:t>有关本项目实施所需的包括但不限于货款、服务、标准附件、备品备件、专用工具、包装、运输、装卸、安装调试、系统集成、对接、拆除、修复、检测、相关验收费用、利润、风险费、保险、税金、培训、技术指导、售后、设计费、专利费（著作权）、代理费、供货过程中产生的其他费用等完成招标内容及要求所提供的服务过程中涉及的一切费用均计入报价</w:t>
      </w:r>
      <w:r>
        <w:rPr>
          <w:rFonts w:hint="default" w:ascii="Times New Roman" w:hAnsi="Times New Roman" w:eastAsia="宋体" w:cs="Times New Roman"/>
          <w:color w:val="auto"/>
          <w:sz w:val="24"/>
          <w:highlight w:val="none"/>
        </w:rPr>
        <w:t>，如有漏项，视同已包含在其它项目中，合同单价不作调整。</w:t>
      </w:r>
    </w:p>
    <w:p>
      <w:pPr>
        <w:adjustRightInd w:val="0"/>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按国家规定由中标方缴纳的各种税收已包含在投标总价内，由中标方向税务机关缴纳。</w:t>
      </w:r>
    </w:p>
    <w:p>
      <w:pPr>
        <w:adjustRightInd w:val="0"/>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以人民币为结算货币。</w:t>
      </w:r>
    </w:p>
    <w:p>
      <w:pPr>
        <w:adjustRightInd w:val="0"/>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5</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各投标人投标报价超过最高限价或单价限价者，投标无效。</w:t>
      </w:r>
    </w:p>
    <w:p>
      <w:pPr>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、工期要求</w:t>
      </w:r>
    </w:p>
    <w:p>
      <w:pPr>
        <w:keepNext w:val="0"/>
        <w:keepLines w:val="0"/>
        <w:pageBreakBefore w:val="0"/>
        <w:widowControl/>
        <w:suppressLineNumbers w:val="0"/>
        <w:kinsoku/>
        <w:wordWrap/>
        <w:overflowPunct/>
        <w:topLinePunct w:val="0"/>
        <w:autoSpaceDE/>
        <w:autoSpaceDN/>
        <w:bidi w:val="0"/>
        <w:adjustRightInd/>
        <w:snapToGrid/>
        <w:ind w:firstLine="240" w:firstLineChars="100"/>
        <w:jc w:val="left"/>
        <w:textAlignment w:val="auto"/>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color w:val="auto"/>
          <w:kern w:val="2"/>
          <w:sz w:val="24"/>
          <w:szCs w:val="24"/>
          <w:highlight w:val="none"/>
          <w:lang w:val="en-US" w:eastAsia="zh-CN" w:bidi="ar-SA"/>
        </w:rPr>
        <w:t>（1）交货期：合同签订后，接到采</w:t>
      </w:r>
      <w:r>
        <w:rPr>
          <w:rFonts w:hint="default" w:ascii="Times New Roman" w:hAnsi="Times New Roman" w:eastAsia="宋体" w:cs="Times New Roman"/>
          <w:color w:val="000000"/>
          <w:kern w:val="0"/>
          <w:sz w:val="22"/>
          <w:szCs w:val="22"/>
          <w:lang w:val="en-US" w:eastAsia="zh-CN" w:bidi="ar"/>
        </w:rPr>
        <w:t>购人通知后30天内完成全部供货安装并交付。</w:t>
      </w:r>
    </w:p>
    <w:p>
      <w:pPr>
        <w:widowControl w:val="0"/>
        <w:spacing w:after="0" w:line="360" w:lineRule="auto"/>
        <w:ind w:firstLine="240" w:firstLineChars="1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（2）交货地点：采购人指定地点。</w:t>
      </w:r>
    </w:p>
    <w:p>
      <w:pPr>
        <w:spacing w:line="360" w:lineRule="auto"/>
        <w:jc w:val="left"/>
        <w:rPr>
          <w:rFonts w:hint="default" w:ascii="Times New Roman" w:hAnsi="Times New Roman" w:eastAsia="宋体" w:cs="Times New Roman"/>
          <w:b/>
          <w:color w:val="auto"/>
          <w:sz w:val="24"/>
          <w:highlight w:val="none"/>
          <w:lang w:val="en-US" w:eastAsia="zh-CN"/>
        </w:rPr>
      </w:pPr>
      <w:bookmarkStart w:id="33" w:name="_Toc29778"/>
      <w:bookmarkStart w:id="34" w:name="_Toc16031"/>
      <w:r>
        <w:rPr>
          <w:rFonts w:hint="default" w:ascii="Times New Roman" w:hAnsi="Times New Roman" w:eastAsia="宋体" w:cs="Times New Roman"/>
          <w:b/>
          <w:color w:val="auto"/>
          <w:sz w:val="24"/>
          <w:highlight w:val="none"/>
          <w:lang w:val="en-US" w:eastAsia="zh-CN"/>
        </w:rPr>
        <w:t>3、质量要求</w:t>
      </w:r>
      <w:bookmarkEnd w:id="33"/>
      <w:bookmarkEnd w:id="34"/>
    </w:p>
    <w:p>
      <w:pPr>
        <w:spacing w:line="360" w:lineRule="auto"/>
        <w:ind w:firstLine="240" w:firstLineChars="1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投标人应保证其提供的</w:t>
      </w:r>
      <w:r>
        <w:rPr>
          <w:rFonts w:hint="default" w:ascii="Times New Roman" w:hAnsi="Times New Roman" w:cs="Times New Roman"/>
          <w:color w:val="auto"/>
          <w:sz w:val="24"/>
          <w:highlight w:val="none"/>
          <w:lang w:val="en-US" w:eastAsia="zh-CN"/>
        </w:rPr>
        <w:t>产品</w:t>
      </w:r>
      <w:r>
        <w:rPr>
          <w:rFonts w:hint="default" w:ascii="Times New Roman" w:hAnsi="Times New Roman" w:eastAsia="宋体" w:cs="Times New Roman"/>
          <w:color w:val="auto"/>
          <w:sz w:val="24"/>
          <w:highlight w:val="none"/>
        </w:rPr>
        <w:t>是全新、未使用过的、无缺陷的、符合国家相关标准的，或是无潜在缺陷或使用不符合要求的材料。</w:t>
      </w:r>
    </w:p>
    <w:p>
      <w:pPr>
        <w:spacing w:line="360" w:lineRule="auto"/>
        <w:ind w:firstLine="240" w:firstLineChars="1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2</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所有</w:t>
      </w:r>
      <w:r>
        <w:rPr>
          <w:rFonts w:hint="default" w:ascii="Times New Roman" w:hAnsi="Times New Roman" w:cs="Times New Roman"/>
          <w:color w:val="auto"/>
          <w:sz w:val="24"/>
          <w:highlight w:val="none"/>
          <w:lang w:val="en-US" w:eastAsia="zh-CN"/>
        </w:rPr>
        <w:t>产品</w:t>
      </w:r>
      <w:r>
        <w:rPr>
          <w:rFonts w:hint="default" w:ascii="Times New Roman" w:hAnsi="Times New Roman" w:eastAsia="宋体" w:cs="Times New Roman"/>
          <w:color w:val="auto"/>
          <w:sz w:val="24"/>
          <w:highlight w:val="none"/>
        </w:rPr>
        <w:t>要求</w:t>
      </w:r>
      <w:r>
        <w:rPr>
          <w:rFonts w:hint="default" w:ascii="Times New Roman" w:hAnsi="Times New Roman" w:eastAsia="宋体" w:cs="Times New Roman"/>
          <w:color w:val="auto"/>
          <w:sz w:val="24"/>
          <w:highlight w:val="none"/>
          <w:lang w:eastAsia="zh-CN"/>
        </w:rPr>
        <w:t>符合</w:t>
      </w:r>
      <w:r>
        <w:rPr>
          <w:rFonts w:hint="default" w:ascii="Times New Roman" w:hAnsi="Times New Roman" w:eastAsia="宋体" w:cs="Times New Roman"/>
          <w:color w:val="auto"/>
          <w:sz w:val="24"/>
          <w:highlight w:val="none"/>
        </w:rPr>
        <w:t>相关标准要求，如发生所供</w:t>
      </w:r>
      <w:r>
        <w:rPr>
          <w:rFonts w:hint="default" w:ascii="Times New Roman" w:hAnsi="Times New Roman" w:cs="Times New Roman"/>
          <w:color w:val="auto"/>
          <w:sz w:val="24"/>
          <w:highlight w:val="none"/>
          <w:lang w:val="en-US" w:eastAsia="zh-CN"/>
        </w:rPr>
        <w:t>产品</w:t>
      </w:r>
      <w:r>
        <w:rPr>
          <w:rFonts w:hint="default" w:ascii="Times New Roman" w:hAnsi="Times New Roman" w:eastAsia="宋体" w:cs="Times New Roman"/>
          <w:color w:val="auto"/>
          <w:sz w:val="24"/>
          <w:highlight w:val="none"/>
        </w:rPr>
        <w:t>与招标文件中规定的不符，由此产生的一切责任和后果由中标单位承担。</w:t>
      </w:r>
    </w:p>
    <w:p>
      <w:pPr>
        <w:spacing w:line="360" w:lineRule="auto"/>
        <w:ind w:firstLine="240" w:firstLineChars="100"/>
        <w:jc w:val="both"/>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3</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所有</w:t>
      </w:r>
      <w:r>
        <w:rPr>
          <w:rFonts w:hint="default" w:ascii="Times New Roman" w:hAnsi="Times New Roman" w:cs="Times New Roman"/>
          <w:color w:val="auto"/>
          <w:sz w:val="24"/>
          <w:highlight w:val="none"/>
          <w:lang w:val="en-US" w:eastAsia="zh-CN"/>
        </w:rPr>
        <w:t>产品</w:t>
      </w:r>
      <w:r>
        <w:rPr>
          <w:rFonts w:hint="default" w:ascii="Times New Roman" w:hAnsi="Times New Roman" w:eastAsia="宋体" w:cs="Times New Roman"/>
          <w:bCs/>
          <w:color w:val="auto"/>
          <w:sz w:val="24"/>
          <w:highlight w:val="none"/>
        </w:rPr>
        <w:t>配送到采购人指定地点安装后，</w:t>
      </w:r>
      <w:r>
        <w:rPr>
          <w:rFonts w:hint="default" w:ascii="Times New Roman" w:hAnsi="Times New Roman" w:eastAsia="宋体" w:cs="Times New Roman"/>
          <w:bCs/>
          <w:color w:val="auto"/>
          <w:sz w:val="24"/>
          <w:highlight w:val="none"/>
          <w:lang w:val="en-US" w:eastAsia="zh-CN"/>
        </w:rPr>
        <w:t>使用单位</w:t>
      </w:r>
      <w:r>
        <w:rPr>
          <w:rFonts w:hint="default" w:ascii="Times New Roman" w:hAnsi="Times New Roman" w:eastAsia="宋体" w:cs="Times New Roman"/>
          <w:bCs/>
          <w:color w:val="auto"/>
          <w:sz w:val="24"/>
          <w:highlight w:val="none"/>
        </w:rPr>
        <w:t>根据相关标准及本招标文件、中标人投标文件响应内容等验收标准进行抽检验收。</w:t>
      </w:r>
    </w:p>
    <w:p>
      <w:pPr>
        <w:spacing w:line="360" w:lineRule="auto"/>
        <w:ind w:firstLine="240" w:firstLineChars="1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投标人应保证其提供的货物及服务完全符合招标文件规定的质量、规格和性能的要求；并保证所提供的货物正确维护保养，在其使用寿命期内应具有满意的性能。由于设计、工艺或材料的缺陷发生的任何不足或故障及其他情况投标人应负全责。</w:t>
      </w:r>
    </w:p>
    <w:p>
      <w:pPr>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、安装及验收要求</w:t>
      </w:r>
    </w:p>
    <w:p>
      <w:pPr>
        <w:spacing w:line="356" w:lineRule="auto"/>
        <w:ind w:firstLine="240" w:firstLineChars="1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安装地点：采购人指定地点；</w:t>
      </w:r>
    </w:p>
    <w:p>
      <w:pPr>
        <w:spacing w:line="356" w:lineRule="auto"/>
        <w:ind w:firstLine="240" w:firstLineChars="1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安装标准：符合我国国家有关技术规范和技术标准；</w:t>
      </w:r>
    </w:p>
    <w:p>
      <w:pPr>
        <w:spacing w:line="356" w:lineRule="auto"/>
        <w:ind w:firstLine="240" w:firstLineChars="1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验收标准：应与产品原始样本技术数据及标书技术文件一致，应符合我国有关技术规范和技术标准；</w:t>
      </w:r>
    </w:p>
    <w:p>
      <w:pPr>
        <w:spacing w:line="356" w:lineRule="auto"/>
        <w:ind w:firstLine="240" w:firstLineChars="1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）验收方式：由</w:t>
      </w:r>
      <w:r>
        <w:rPr>
          <w:rFonts w:hint="default" w:ascii="Times New Roman" w:hAnsi="Times New Roman" w:eastAsia="宋体" w:cs="Times New Roman"/>
          <w:color w:val="auto"/>
          <w:sz w:val="24"/>
          <w:highlight w:val="none"/>
          <w:lang w:val="en-US" w:eastAsia="zh-CN"/>
        </w:rPr>
        <w:t>使用单位</w:t>
      </w:r>
      <w:r>
        <w:rPr>
          <w:rFonts w:hint="default" w:ascii="Times New Roman" w:hAnsi="Times New Roman" w:eastAsia="宋体" w:cs="Times New Roman"/>
          <w:color w:val="auto"/>
          <w:sz w:val="24"/>
          <w:highlight w:val="none"/>
          <w:lang w:eastAsia="zh-CN"/>
        </w:rPr>
        <w:t>组织相关人员进行验收。验收时，</w:t>
      </w:r>
      <w:r>
        <w:rPr>
          <w:rFonts w:hint="default" w:ascii="Times New Roman" w:hAnsi="Times New Roman" w:eastAsia="宋体" w:cs="Times New Roman"/>
          <w:color w:val="auto"/>
          <w:sz w:val="24"/>
          <w:highlight w:val="none"/>
          <w:lang w:val="en-US" w:eastAsia="zh-CN"/>
        </w:rPr>
        <w:t>使用单位</w:t>
      </w:r>
      <w:r>
        <w:rPr>
          <w:rFonts w:hint="default" w:ascii="Times New Roman" w:hAnsi="Times New Roman" w:eastAsia="宋体" w:cs="Times New Roman"/>
          <w:color w:val="auto"/>
          <w:sz w:val="24"/>
          <w:highlight w:val="none"/>
          <w:lang w:eastAsia="zh-CN"/>
        </w:rPr>
        <w:t>、中标人须同时在现场，验收合格后双方在验收单上盖章签名。</w:t>
      </w:r>
    </w:p>
    <w:p>
      <w:pPr>
        <w:spacing w:line="356" w:lineRule="auto"/>
        <w:ind w:firstLine="210" w:firstLineChars="100"/>
        <w:jc w:val="both"/>
        <w:rPr>
          <w:rFonts w:hint="default" w:ascii="Times New Roman" w:hAnsi="Times New Roman" w:eastAsia="宋体" w:cs="Times New Roman"/>
          <w:b w:val="0"/>
          <w:bCs/>
          <w:color w:val="FF0000"/>
          <w:sz w:val="24"/>
          <w:highlight w:val="yellow"/>
          <w:lang w:val="en-US" w:eastAsia="zh-CN"/>
        </w:rPr>
      </w:pPr>
      <w:r>
        <w:rPr>
          <w:rFonts w:hint="default" w:ascii="Times New Roman" w:hAnsi="Times New Roman" w:eastAsia="宋体" w:cs="Times New Roman"/>
          <w:b w:val="0"/>
          <w:bCs/>
          <w:color w:val="FF0000"/>
          <w:kern w:val="0"/>
          <w:highlight w:val="none"/>
          <w:lang w:eastAsia="zh-CN"/>
        </w:rPr>
        <w:t>（</w:t>
      </w:r>
      <w:r>
        <w:rPr>
          <w:rFonts w:hint="default" w:ascii="Times New Roman" w:hAnsi="Times New Roman" w:eastAsia="宋体" w:cs="Times New Roman"/>
          <w:b w:val="0"/>
          <w:bCs/>
          <w:color w:val="FF0000"/>
          <w:sz w:val="24"/>
          <w:highlight w:val="none"/>
          <w:lang w:val="en-US" w:eastAsia="zh-CN"/>
        </w:rPr>
        <w:t>5</w:t>
      </w:r>
      <w:r>
        <w:rPr>
          <w:rFonts w:hint="default" w:ascii="Times New Roman" w:hAnsi="Times New Roman" w:eastAsia="宋体" w:cs="Times New Roman"/>
          <w:b w:val="0"/>
          <w:bCs/>
          <w:color w:val="FF0000"/>
          <w:kern w:val="0"/>
          <w:highlight w:val="none"/>
          <w:lang w:eastAsia="zh-CN"/>
        </w:rPr>
        <w:t>）</w:t>
      </w:r>
      <w:r>
        <w:rPr>
          <w:rFonts w:hint="default" w:ascii="Times New Roman" w:hAnsi="Times New Roman" w:eastAsia="宋体" w:cs="Times New Roman"/>
          <w:b w:val="0"/>
          <w:bCs/>
          <w:color w:val="FF0000"/>
          <w:sz w:val="24"/>
          <w:highlight w:val="none"/>
        </w:rPr>
        <w:t>安装验收产生的一切费用由供应商承担；</w:t>
      </w:r>
    </w:p>
    <w:p>
      <w:pPr>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安装调试完毕三十日内验收。</w:t>
      </w:r>
    </w:p>
    <w:p>
      <w:pPr>
        <w:spacing w:line="360" w:lineRule="auto"/>
        <w:ind w:firstLine="240" w:firstLineChars="1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（7）当验收结果未达到合同要求时，则视为产品验收不合格，</w:t>
      </w:r>
      <w:r>
        <w:rPr>
          <w:rFonts w:hint="default" w:ascii="Times New Roman" w:hAnsi="Times New Roman" w:cs="Times New Roman"/>
          <w:color w:val="auto"/>
          <w:sz w:val="24"/>
          <w:highlight w:val="none"/>
          <w:lang w:eastAsia="zh-CN"/>
          <w:woUserID w:val="1"/>
        </w:rPr>
        <w:t>业主</w:t>
      </w:r>
      <w:bookmarkStart w:id="40" w:name="_GoBack"/>
      <w:bookmarkEnd w:id="40"/>
      <w:r>
        <w:rPr>
          <w:rFonts w:hint="default" w:ascii="Times New Roman" w:hAnsi="Times New Roman" w:eastAsia="宋体" w:cs="Times New Roman"/>
          <w:color w:val="auto"/>
          <w:sz w:val="24"/>
          <w:highlight w:val="none"/>
          <w:lang w:val="en-US" w:eastAsia="zh-CN"/>
        </w:rPr>
        <w:t>根据具体情况有权要求：①退货；②调换合格产品，</w:t>
      </w:r>
    </w:p>
    <w:p>
      <w:pPr>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、质量保证期和售后服务</w:t>
      </w:r>
    </w:p>
    <w:p>
      <w:pPr>
        <w:spacing w:line="356" w:lineRule="auto"/>
        <w:ind w:firstLine="210" w:firstLineChars="100"/>
        <w:jc w:val="both"/>
        <w:rPr>
          <w:rFonts w:hint="default" w:ascii="Times New Roman" w:hAnsi="Times New Roman" w:eastAsia="宋体" w:cs="Times New Roman"/>
          <w:b w:val="0"/>
          <w:bCs/>
          <w:color w:val="FF0000"/>
          <w:sz w:val="24"/>
          <w:highlight w:val="none"/>
        </w:rPr>
      </w:pPr>
      <w:r>
        <w:rPr>
          <w:rFonts w:hint="default" w:ascii="Times New Roman" w:hAnsi="Times New Roman" w:eastAsia="宋体" w:cs="Times New Roman"/>
          <w:b w:val="0"/>
          <w:bCs/>
          <w:color w:val="FF0000"/>
          <w:kern w:val="0"/>
          <w:highlight w:val="none"/>
          <w:lang w:eastAsia="zh-CN"/>
        </w:rPr>
        <w:t>（</w:t>
      </w:r>
      <w:r>
        <w:rPr>
          <w:rFonts w:hint="default" w:ascii="Times New Roman" w:hAnsi="Times New Roman" w:eastAsia="宋体" w:cs="Times New Roman"/>
          <w:b w:val="0"/>
          <w:bCs/>
          <w:color w:val="FF0000"/>
          <w:sz w:val="24"/>
          <w:highlight w:val="none"/>
        </w:rPr>
        <w:t>1</w:t>
      </w:r>
      <w:r>
        <w:rPr>
          <w:rFonts w:hint="default" w:ascii="Times New Roman" w:hAnsi="Times New Roman" w:eastAsia="宋体" w:cs="Times New Roman"/>
          <w:b w:val="0"/>
          <w:bCs/>
          <w:color w:val="FF0000"/>
          <w:sz w:val="24"/>
          <w:highlight w:val="none"/>
          <w:lang w:eastAsia="zh-CN"/>
        </w:rPr>
        <w:t>）</w:t>
      </w:r>
      <w:r>
        <w:rPr>
          <w:rFonts w:hint="default" w:ascii="Times New Roman" w:hAnsi="Times New Roman" w:eastAsia="宋体" w:cs="Times New Roman"/>
          <w:b w:val="0"/>
          <w:bCs/>
          <w:color w:val="FF0000"/>
          <w:sz w:val="24"/>
          <w:highlight w:val="none"/>
        </w:rPr>
        <w:t>质量保证期：自验收合格且完成交接并正常运行之日起</w:t>
      </w:r>
      <w:r>
        <w:rPr>
          <w:rFonts w:hint="default" w:ascii="Times New Roman" w:hAnsi="Times New Roman" w:eastAsia="宋体" w:cs="Times New Roman"/>
          <w:b w:val="0"/>
          <w:bCs/>
          <w:strike w:val="0"/>
          <w:color w:val="FF0000"/>
          <w:sz w:val="24"/>
          <w:highlight w:val="none"/>
          <w:lang w:val="en-US" w:eastAsia="zh-CN"/>
        </w:rPr>
        <w:t>至少</w:t>
      </w:r>
      <w:r>
        <w:rPr>
          <w:rFonts w:hint="default" w:ascii="Times New Roman" w:hAnsi="Times New Roman" w:cs="Times New Roman"/>
          <w:b w:val="0"/>
          <w:bCs/>
          <w:strike w:val="0"/>
          <w:color w:val="FF0000"/>
          <w:sz w:val="24"/>
          <w:highlight w:val="none"/>
          <w:lang w:val="en-US" w:eastAsia="zh-CN"/>
        </w:rPr>
        <w:t>3</w:t>
      </w:r>
      <w:r>
        <w:rPr>
          <w:rFonts w:hint="default" w:ascii="Times New Roman" w:hAnsi="Times New Roman" w:eastAsia="宋体" w:cs="Times New Roman"/>
          <w:b w:val="0"/>
          <w:bCs/>
          <w:strike w:val="0"/>
          <w:color w:val="FF0000"/>
          <w:sz w:val="24"/>
          <w:highlight w:val="none"/>
          <w:lang w:val="en-US" w:eastAsia="zh-CN"/>
        </w:rPr>
        <w:t>年。中标人的质量保证期承诺优于该最低标准的，按其执行</w:t>
      </w:r>
      <w:r>
        <w:rPr>
          <w:rFonts w:hint="default" w:ascii="Times New Roman" w:hAnsi="Times New Roman" w:eastAsia="宋体" w:cs="Times New Roman"/>
          <w:b w:val="0"/>
          <w:bCs/>
          <w:color w:val="FF0000"/>
          <w:sz w:val="24"/>
          <w:highlight w:val="none"/>
        </w:rPr>
        <w:t>。</w:t>
      </w:r>
    </w:p>
    <w:p>
      <w:pPr>
        <w:adjustRightInd w:val="0"/>
        <w:spacing w:line="360" w:lineRule="auto"/>
        <w:ind w:firstLine="240" w:firstLineChars="1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售后服务</w:t>
      </w:r>
    </w:p>
    <w:p>
      <w:pPr>
        <w:spacing w:line="360" w:lineRule="auto"/>
        <w:ind w:right="-5"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1）在质量保证期内，使用单位有任何</w:t>
      </w:r>
      <w:r>
        <w:rPr>
          <w:rFonts w:hint="default" w:ascii="Times New Roman" w:hAnsi="Times New Roman" w:cs="Times New Roman"/>
          <w:bCs/>
          <w:color w:val="auto"/>
          <w:sz w:val="24"/>
          <w:highlight w:val="none"/>
          <w:lang w:val="en-US" w:eastAsia="zh-CN"/>
        </w:rPr>
        <w:t>非人为损坏的</w:t>
      </w:r>
      <w:r>
        <w:rPr>
          <w:rFonts w:hint="default" w:ascii="Times New Roman" w:hAnsi="Times New Roman" w:eastAsia="宋体" w:cs="Times New Roman"/>
          <w:bCs/>
          <w:color w:val="auto"/>
          <w:sz w:val="24"/>
          <w:highlight w:val="none"/>
        </w:rPr>
        <w:t>质量问题由</w:t>
      </w:r>
      <w:r>
        <w:rPr>
          <w:rFonts w:hint="default" w:ascii="Times New Roman" w:hAnsi="Times New Roman" w:eastAsia="宋体" w:cs="Times New Roman"/>
          <w:bCs/>
          <w:color w:val="auto"/>
          <w:sz w:val="24"/>
          <w:highlight w:val="none"/>
          <w:lang w:val="en-US" w:eastAsia="zh-CN"/>
        </w:rPr>
        <w:t>中标人</w:t>
      </w:r>
      <w:r>
        <w:rPr>
          <w:rFonts w:hint="default" w:ascii="Times New Roman" w:hAnsi="Times New Roman" w:eastAsia="宋体" w:cs="Times New Roman"/>
          <w:bCs/>
          <w:color w:val="auto"/>
          <w:sz w:val="24"/>
          <w:highlight w:val="none"/>
        </w:rPr>
        <w:t>负责解决。</w:t>
      </w:r>
    </w:p>
    <w:p>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2）质量保证期内，与维护相关的所有费用由中标</w:t>
      </w:r>
      <w:r>
        <w:rPr>
          <w:rFonts w:hint="default" w:ascii="Times New Roman" w:hAnsi="Times New Roman" w:eastAsia="宋体" w:cs="Times New Roman"/>
          <w:b/>
          <w:bCs/>
          <w:color w:val="auto"/>
          <w:sz w:val="24"/>
          <w:highlight w:val="none"/>
          <w:lang w:val="en-US" w:eastAsia="zh-CN"/>
        </w:rPr>
        <w:t>人</w:t>
      </w:r>
      <w:r>
        <w:rPr>
          <w:rFonts w:hint="default" w:ascii="Times New Roman" w:hAnsi="Times New Roman" w:eastAsia="宋体" w:cs="Times New Roman"/>
          <w:b/>
          <w:bCs/>
          <w:color w:val="auto"/>
          <w:sz w:val="24"/>
          <w:highlight w:val="none"/>
        </w:rPr>
        <w:t>负责</w:t>
      </w:r>
      <w:r>
        <w:rPr>
          <w:rFonts w:hint="default" w:ascii="Times New Roman" w:hAnsi="Times New Roman" w:eastAsia="宋体" w:cs="Times New Roman"/>
          <w:color w:val="auto"/>
          <w:sz w:val="24"/>
          <w:highlight w:val="none"/>
        </w:rPr>
        <w:t>。</w:t>
      </w:r>
    </w:p>
    <w:p>
      <w:pPr>
        <w:spacing w:line="356"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3）培训：免费提供操作和维修培训。</w:t>
      </w:r>
    </w:p>
    <w:p>
      <w:pPr>
        <w:spacing w:line="356"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4）硬件终身维修，质量保证期后不收取任何维修费、差旅费等，配件费仅按成本价收取。</w:t>
      </w:r>
    </w:p>
    <w:p>
      <w:pPr>
        <w:adjustRightIn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5）设备安装时提供与合同货物相符的中文技术资料，包括但不限于：合格证、保修卡或保修手册、中文说明书、随机工具、附件清单、维修资料及线路图纸。</w:t>
      </w:r>
    </w:p>
    <w:p>
      <w:pPr>
        <w:adjustRightInd w:val="0"/>
        <w:spacing w:line="360" w:lineRule="auto"/>
        <w:ind w:firstLine="240" w:firstLineChars="1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3</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响应时间</w:t>
      </w:r>
    </w:p>
    <w:p>
      <w:pPr>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1）要求对服务提供7x24小时的实时技术支持响应服务。</w:t>
      </w:r>
    </w:p>
    <w:p>
      <w:pPr>
        <w:spacing w:line="360" w:lineRule="auto"/>
        <w:ind w:firstLine="480" w:firstLineChars="20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color w:val="auto"/>
          <w:sz w:val="24"/>
          <w:highlight w:val="none"/>
        </w:rPr>
        <w:t>2）要求在24小时响应时间内提供技术服务。在出现新情况下的1小时内给予问题的解答，如需现场解决，在发生的</w:t>
      </w:r>
      <w:r>
        <w:rPr>
          <w:rFonts w:hint="default" w:ascii="Times New Roman" w:hAnsi="Times New Roman" w:cs="Times New Roman"/>
          <w:color w:val="auto"/>
          <w:sz w:val="24"/>
          <w:highlight w:val="none"/>
          <w:lang w:val="en-US" w:eastAsia="zh-CN"/>
        </w:rPr>
        <w:t>12</w:t>
      </w:r>
      <w:r>
        <w:rPr>
          <w:rFonts w:hint="default" w:ascii="Times New Roman" w:hAnsi="Times New Roman" w:eastAsia="宋体" w:cs="Times New Roman"/>
          <w:color w:val="auto"/>
          <w:sz w:val="24"/>
          <w:highlight w:val="none"/>
        </w:rPr>
        <w:t>小时内，派技术人员到达现场解决。</w:t>
      </w:r>
    </w:p>
    <w:p>
      <w:pPr>
        <w:spacing w:line="360" w:lineRule="auto"/>
        <w:jc w:val="left"/>
        <w:rPr>
          <w:rFonts w:hint="default" w:ascii="Times New Roman" w:hAnsi="Times New Roman" w:eastAsia="宋体" w:cs="Times New Roman"/>
          <w:b/>
          <w:bCs/>
          <w:color w:val="FF0000"/>
          <w:sz w:val="24"/>
          <w:highlight w:val="none"/>
        </w:rPr>
      </w:pPr>
      <w:r>
        <w:rPr>
          <w:rFonts w:hint="default" w:ascii="Times New Roman" w:hAnsi="Times New Roman" w:eastAsia="宋体" w:cs="Times New Roman"/>
          <w:b/>
          <w:color w:val="FF0000"/>
          <w:kern w:val="0"/>
          <w:sz w:val="24"/>
          <w:highlight w:val="none"/>
          <w:lang w:val="en-US" w:eastAsia="zh-CN"/>
        </w:rPr>
        <w:t>6</w:t>
      </w:r>
      <w:r>
        <w:rPr>
          <w:rFonts w:hint="default" w:ascii="Times New Roman" w:hAnsi="Times New Roman" w:eastAsia="宋体" w:cs="Times New Roman"/>
          <w:b/>
          <w:color w:val="FF0000"/>
          <w:kern w:val="0"/>
          <w:highlight w:val="none"/>
        </w:rPr>
        <w:t>、</w:t>
      </w:r>
      <w:r>
        <w:rPr>
          <w:rFonts w:hint="default" w:ascii="Times New Roman" w:hAnsi="Times New Roman" w:eastAsia="宋体" w:cs="Times New Roman"/>
          <w:b/>
          <w:bCs/>
          <w:color w:val="FF0000"/>
          <w:sz w:val="24"/>
          <w:highlight w:val="none"/>
        </w:rPr>
        <w:t>付款方式</w:t>
      </w:r>
    </w:p>
    <w:p>
      <w:pPr>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FF0000"/>
          <w:kern w:val="2"/>
          <w:sz w:val="24"/>
          <w:szCs w:val="24"/>
          <w:highlight w:val="none"/>
          <w:lang w:val="en-US" w:eastAsia="zh-CN" w:bidi="ar-SA"/>
        </w:rPr>
      </w:pPr>
      <w:r>
        <w:rPr>
          <w:rFonts w:hint="default" w:ascii="Times New Roman" w:hAnsi="Times New Roman" w:eastAsia="宋体" w:cs="Times New Roman"/>
          <w:color w:val="FF0000"/>
          <w:kern w:val="2"/>
          <w:sz w:val="24"/>
          <w:szCs w:val="24"/>
          <w:highlight w:val="none"/>
          <w:lang w:val="en-US" w:eastAsia="zh-CN" w:bidi="ar-SA"/>
        </w:rPr>
        <w:t>（1）合同生效以及具备实施条件后15个工作日内，采购人向中标人支付合同金额</w:t>
      </w:r>
      <w:r>
        <w:rPr>
          <w:rFonts w:hint="default" w:ascii="Times New Roman" w:hAnsi="Times New Roman" w:cs="Times New Roman"/>
          <w:color w:val="FF0000"/>
          <w:kern w:val="2"/>
          <w:sz w:val="24"/>
          <w:szCs w:val="24"/>
          <w:highlight w:val="none"/>
          <w:lang w:val="en-US" w:eastAsia="zh-CN" w:bidi="ar-SA"/>
        </w:rPr>
        <w:t>40</w:t>
      </w:r>
      <w:r>
        <w:rPr>
          <w:rFonts w:hint="default" w:ascii="Times New Roman" w:hAnsi="Times New Roman" w:eastAsia="宋体" w:cs="Times New Roman"/>
          <w:color w:val="FF0000"/>
          <w:kern w:val="2"/>
          <w:sz w:val="24"/>
          <w:szCs w:val="24"/>
          <w:highlight w:val="none"/>
          <w:lang w:val="en-US" w:eastAsia="zh-CN" w:bidi="ar-SA"/>
        </w:rPr>
        <w:t>%的预付款。</w:t>
      </w:r>
    </w:p>
    <w:p>
      <w:pPr>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trike w:val="0"/>
          <w:dstrike w:val="0"/>
          <w:color w:val="FF0000"/>
          <w:kern w:val="2"/>
          <w:sz w:val="24"/>
          <w:szCs w:val="24"/>
          <w:highlight w:val="none"/>
          <w:lang w:val="en-US" w:eastAsia="zh-CN" w:bidi="ar-SA"/>
        </w:rPr>
      </w:pPr>
      <w:r>
        <w:rPr>
          <w:rFonts w:hint="default" w:ascii="Times New Roman" w:hAnsi="Times New Roman" w:eastAsia="宋体" w:cs="Times New Roman"/>
          <w:color w:val="FF0000"/>
          <w:kern w:val="2"/>
          <w:sz w:val="24"/>
          <w:szCs w:val="24"/>
          <w:highlight w:val="none"/>
          <w:lang w:val="en-US" w:eastAsia="zh-CN" w:bidi="ar-SA"/>
        </w:rPr>
        <w:t>（2）货物送达指定地点安装调试完毕，验收合格后15个工作日内支付至结算金额的</w:t>
      </w:r>
      <w:r>
        <w:rPr>
          <w:rFonts w:hint="default" w:ascii="Times New Roman" w:hAnsi="Times New Roman" w:eastAsia="宋体" w:cs="Times New Roman"/>
          <w:strike w:val="0"/>
          <w:dstrike w:val="0"/>
          <w:color w:val="FF0000"/>
          <w:kern w:val="2"/>
          <w:sz w:val="24"/>
          <w:szCs w:val="24"/>
          <w:highlight w:val="none"/>
          <w:lang w:val="en-US" w:eastAsia="zh-CN" w:bidi="ar-SA"/>
        </w:rPr>
        <w:t>100%</w:t>
      </w:r>
      <w:r>
        <w:rPr>
          <w:rFonts w:hint="default" w:ascii="Times New Roman" w:hAnsi="Times New Roman" w:eastAsia="宋体" w:cs="Times New Roman"/>
          <w:color w:val="FF0000"/>
          <w:kern w:val="2"/>
          <w:sz w:val="24"/>
          <w:szCs w:val="24"/>
          <w:highlight w:val="none"/>
          <w:lang w:val="en-US" w:eastAsia="zh-CN" w:bidi="ar-SA"/>
        </w:rPr>
        <w:t>。</w:t>
      </w:r>
    </w:p>
    <w:p>
      <w:pPr>
        <w:widowControl/>
        <w:spacing w:line="360" w:lineRule="auto"/>
        <w:ind w:firstLine="480" w:firstLineChars="200"/>
        <w:jc w:val="left"/>
        <w:rPr>
          <w:rFonts w:hint="default" w:ascii="Times New Roman" w:hAnsi="Times New Roman" w:eastAsia="宋体" w:cs="Times New Roman"/>
          <w:color w:val="FF0000"/>
          <w:sz w:val="24"/>
          <w:highlight w:val="none"/>
          <w:lang w:val="en-US" w:eastAsia="zh-CN"/>
        </w:rPr>
      </w:pPr>
      <w:r>
        <w:rPr>
          <w:rFonts w:hint="default" w:ascii="Times New Roman" w:hAnsi="Times New Roman" w:eastAsia="宋体" w:cs="Times New Roman"/>
          <w:color w:val="FF0000"/>
          <w:kern w:val="2"/>
          <w:sz w:val="24"/>
          <w:szCs w:val="24"/>
          <w:highlight w:val="none"/>
          <w:lang w:val="en-US" w:eastAsia="zh-CN" w:bidi="ar-SA"/>
        </w:rPr>
        <w:t>注：</w:t>
      </w:r>
      <w:r>
        <w:rPr>
          <w:rFonts w:hint="default" w:ascii="Times New Roman" w:hAnsi="Times New Roman" w:eastAsia="宋体" w:cs="Times New Roman"/>
          <w:color w:val="FF0000"/>
          <w:sz w:val="24"/>
          <w:highlight w:val="none"/>
          <w:lang w:val="en-US" w:eastAsia="zh-CN"/>
        </w:rPr>
        <w:t>在结算货款时，凭合同、发票、使用方确认验收单等资料申请结算（目录内产品按实结算）</w:t>
      </w:r>
      <w:r>
        <w:rPr>
          <w:rFonts w:hint="default" w:ascii="Times New Roman" w:hAnsi="Times New Roman" w:eastAsia="宋体" w:cs="Times New Roman"/>
          <w:color w:val="FF0000"/>
          <w:kern w:val="2"/>
          <w:sz w:val="24"/>
          <w:szCs w:val="24"/>
          <w:highlight w:val="none"/>
          <w:lang w:val="en-US" w:eastAsia="zh-CN" w:bidi="ar-SA"/>
        </w:rPr>
        <w:t>。</w:t>
      </w:r>
    </w:p>
    <w:p>
      <w:pPr>
        <w:snapToGrid w:val="0"/>
        <w:spacing w:line="360" w:lineRule="auto"/>
        <w:jc w:val="both"/>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、履约保证金</w:t>
      </w:r>
    </w:p>
    <w:p>
      <w:pPr>
        <w:keepNext w:val="0"/>
        <w:keepLines w:val="0"/>
        <w:pageBreakBefore w:val="0"/>
        <w:widowControl w:val="0"/>
        <w:kinsoku/>
        <w:wordWrap/>
        <w:overflowPunct/>
        <w:topLinePunct w:val="0"/>
        <w:autoSpaceDE/>
        <w:autoSpaceDN/>
        <w:bidi w:val="0"/>
        <w:adjustRightInd/>
        <w:snapToGrid/>
        <w:spacing w:after="120" w:afterLines="0"/>
        <w:ind w:left="0" w:leftChars="0"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不收取</w:t>
      </w:r>
    </w:p>
    <w:p>
      <w:pPr>
        <w:widowControl w:val="0"/>
        <w:spacing w:after="120" w:afterLines="0"/>
        <w:ind w:left="0" w:leftChars="0" w:firstLine="0" w:firstLineChars="0"/>
        <w:jc w:val="left"/>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8、其他</w:t>
      </w:r>
    </w:p>
    <w:p>
      <w:pPr>
        <w:rPr>
          <w:rFonts w:hint="default" w:ascii="Times New Roman" w:hAnsi="Times New Roman" w:cs="Times New Roman"/>
        </w:rPr>
      </w:pPr>
      <w:r>
        <w:rPr>
          <w:rFonts w:hint="default" w:ascii="Times New Roman" w:hAnsi="Times New Roman" w:eastAsia="宋体" w:cs="Times New Roman"/>
          <w:color w:val="auto"/>
          <w:kern w:val="2"/>
          <w:sz w:val="24"/>
          <w:szCs w:val="24"/>
          <w:highlight w:val="none"/>
          <w:lang w:val="en-US" w:eastAsia="zh-CN" w:bidi="ar-SA"/>
        </w:rPr>
        <w:t>（1）施工现场造成损坏应照价赔偿。</w:t>
      </w: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rPr>
      </w:pPr>
    </w:p>
    <w:p>
      <w:pPr>
        <w:rPr>
          <w:rFonts w:hint="default" w:ascii="Times New Roman" w:hAnsi="Times New Roman" w:cs="Times New Roman"/>
        </w:rPr>
      </w:pPr>
    </w:p>
    <w:p>
      <w:pPr>
        <w:widowControl w:val="0"/>
        <w:tabs>
          <w:tab w:val="left" w:pos="0"/>
        </w:tabs>
        <w:snapToGrid w:val="0"/>
        <w:spacing w:line="360" w:lineRule="auto"/>
        <w:jc w:val="center"/>
        <w:rPr>
          <w:rFonts w:hint="default" w:ascii="Times New Roman" w:hAnsi="Times New Roman" w:cs="Times New Roman"/>
          <w:b/>
          <w:bCs/>
          <w:color w:val="000000"/>
          <w:sz w:val="48"/>
          <w:szCs w:val="48"/>
        </w:rPr>
      </w:pPr>
      <w:r>
        <w:rPr>
          <w:rFonts w:hint="default" w:ascii="Times New Roman" w:hAnsi="Times New Roman" w:cs="Times New Roman"/>
          <w:b/>
          <w:bCs/>
          <w:color w:val="000000"/>
          <w:sz w:val="48"/>
          <w:szCs w:val="48"/>
        </w:rPr>
        <w:t>第五章</w:t>
      </w:r>
    </w:p>
    <w:p>
      <w:pPr>
        <w:widowControl w:val="0"/>
        <w:tabs>
          <w:tab w:val="left" w:pos="0"/>
        </w:tabs>
        <w:snapToGrid w:val="0"/>
        <w:spacing w:line="360" w:lineRule="auto"/>
        <w:jc w:val="center"/>
        <w:rPr>
          <w:rFonts w:hint="default" w:ascii="Times New Roman" w:hAnsi="Times New Roman" w:cs="Times New Roman"/>
          <w:b/>
          <w:bCs/>
          <w:color w:val="000000"/>
          <w:sz w:val="32"/>
          <w:szCs w:val="32"/>
        </w:rPr>
      </w:pPr>
      <w:r>
        <w:rPr>
          <w:rFonts w:hint="default" w:ascii="Times New Roman" w:hAnsi="Times New Roman" w:cs="Times New Roman"/>
          <w:b/>
          <w:bCs/>
          <w:color w:val="000000"/>
          <w:sz w:val="48"/>
          <w:szCs w:val="48"/>
        </w:rPr>
        <w:t>附件—投标文件格式</w:t>
      </w:r>
    </w:p>
    <w:p>
      <w:pPr>
        <w:widowControl w:val="0"/>
        <w:tabs>
          <w:tab w:val="left" w:pos="0"/>
        </w:tabs>
        <w:snapToGrid w:val="0"/>
        <w:spacing w:line="360" w:lineRule="auto"/>
        <w:rPr>
          <w:rFonts w:hint="default" w:ascii="Times New Roman" w:hAnsi="Times New Roman" w:cs="Times New Roman"/>
          <w:b/>
          <w:bCs/>
          <w:color w:val="000000"/>
          <w:sz w:val="32"/>
          <w:szCs w:val="32"/>
        </w:rPr>
      </w:pPr>
    </w:p>
    <w:p>
      <w:pPr>
        <w:widowControl w:val="0"/>
        <w:spacing w:line="480" w:lineRule="auto"/>
        <w:rPr>
          <w:rFonts w:hint="default" w:ascii="Times New Roman" w:hAnsi="Times New Roman" w:cs="Times New Roman"/>
          <w:b/>
          <w:sz w:val="30"/>
          <w:szCs w:val="30"/>
        </w:rPr>
      </w:pPr>
      <w:r>
        <w:rPr>
          <w:rFonts w:hint="default" w:ascii="Times New Roman" w:hAnsi="Times New Roman" w:cs="Times New Roman"/>
          <w:b/>
          <w:bCs/>
          <w:color w:val="000000"/>
          <w:sz w:val="32"/>
          <w:szCs w:val="32"/>
        </w:rPr>
        <w:br w:type="page"/>
      </w:r>
      <w:r>
        <w:rPr>
          <w:rFonts w:hint="default" w:ascii="Times New Roman" w:hAnsi="Times New Roman" w:cs="Times New Roman"/>
          <w:sz w:val="30"/>
          <w:szCs w:val="30"/>
        </w:rPr>
        <w:t>附件1</w:t>
      </w:r>
      <w:r>
        <w:rPr>
          <w:rFonts w:hint="default" w:ascii="Times New Roman" w:hAnsi="Times New Roman" w:cs="Times New Roman"/>
          <w:b/>
          <w:sz w:val="30"/>
          <w:szCs w:val="30"/>
        </w:rPr>
        <w:t xml:space="preserve">：                                          </w:t>
      </w:r>
    </w:p>
    <w:p>
      <w:pPr>
        <w:snapToGrid w:val="0"/>
        <w:spacing w:before="120" w:beforeLines="50" w:after="50"/>
        <w:ind w:right="150"/>
        <w:jc w:val="right"/>
        <w:rPr>
          <w:rFonts w:hint="default" w:ascii="Times New Roman" w:hAnsi="Times New Roman" w:cs="Times New Roman"/>
          <w:bCs/>
          <w:sz w:val="24"/>
          <w:szCs w:val="24"/>
        </w:rPr>
      </w:pPr>
    </w:p>
    <w:p>
      <w:pPr>
        <w:ind w:right="-110"/>
        <w:jc w:val="center"/>
        <w:rPr>
          <w:rFonts w:hint="default" w:ascii="Times New Roman" w:hAnsi="Times New Roman" w:cs="Times New Roman"/>
          <w:spacing w:val="40"/>
          <w:sz w:val="52"/>
          <w:szCs w:val="52"/>
        </w:rPr>
      </w:pPr>
      <w:r>
        <w:rPr>
          <w:rFonts w:hint="default" w:ascii="Times New Roman" w:hAnsi="Times New Roman" w:cs="Times New Roman"/>
          <w:spacing w:val="40"/>
          <w:sz w:val="52"/>
          <w:szCs w:val="52"/>
        </w:rPr>
        <w:t>项目名称</w:t>
      </w:r>
    </w:p>
    <w:p>
      <w:pPr>
        <w:spacing w:before="240" w:beforeLines="100" w:line="240" w:lineRule="atLeast"/>
        <w:jc w:val="center"/>
        <w:rPr>
          <w:rFonts w:hint="default" w:ascii="Times New Roman" w:hAnsi="Times New Roman" w:cs="Times New Roman"/>
          <w:sz w:val="36"/>
          <w:szCs w:val="36"/>
        </w:rPr>
      </w:pPr>
      <w:r>
        <w:rPr>
          <w:rFonts w:hint="default" w:ascii="Times New Roman" w:hAnsi="Times New Roman" w:cs="Times New Roman"/>
          <w:sz w:val="36"/>
          <w:szCs w:val="36"/>
        </w:rPr>
        <w:t>项目编号：</w:t>
      </w:r>
    </w:p>
    <w:p>
      <w:pPr>
        <w:spacing w:after="100" w:afterAutospacing="1" w:line="800" w:lineRule="exact"/>
        <w:ind w:right="-108"/>
        <w:jc w:val="center"/>
        <w:rPr>
          <w:rFonts w:hint="default" w:ascii="Times New Roman" w:hAnsi="Times New Roman" w:cs="Times New Roman"/>
          <w:b/>
          <w:spacing w:val="40"/>
          <w:sz w:val="36"/>
          <w:szCs w:val="36"/>
        </w:rPr>
      </w:pP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资</w:t>
      </w:r>
    </w:p>
    <w:p>
      <w:pPr>
        <w:spacing w:after="100" w:afterAutospacing="1"/>
        <w:ind w:right="-108"/>
        <w:jc w:val="center"/>
        <w:rPr>
          <w:rFonts w:hint="default" w:ascii="Times New Roman" w:hAnsi="Times New Roman" w:cs="Times New Roman"/>
          <w:b/>
          <w:spacing w:val="40"/>
          <w:sz w:val="36"/>
          <w:szCs w:val="36"/>
        </w:rPr>
      </w:pP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格</w:t>
      </w:r>
    </w:p>
    <w:p>
      <w:pPr>
        <w:spacing w:after="100" w:afterAutospacing="1"/>
        <w:ind w:right="-108"/>
        <w:jc w:val="center"/>
        <w:rPr>
          <w:rFonts w:hint="default" w:ascii="Times New Roman" w:hAnsi="Times New Roman" w:cs="Times New Roman"/>
          <w:b/>
          <w:spacing w:val="40"/>
          <w:sz w:val="36"/>
          <w:szCs w:val="36"/>
        </w:rPr>
      </w:pP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文</w:t>
      </w:r>
    </w:p>
    <w:p>
      <w:pPr>
        <w:spacing w:after="100" w:afterAutospacing="1"/>
        <w:ind w:right="-108"/>
        <w:jc w:val="center"/>
        <w:rPr>
          <w:rFonts w:hint="default" w:ascii="Times New Roman" w:hAnsi="Times New Roman" w:cs="Times New Roman"/>
          <w:b/>
          <w:spacing w:val="40"/>
          <w:sz w:val="36"/>
          <w:szCs w:val="36"/>
        </w:rPr>
      </w:pP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件</w:t>
      </w:r>
    </w:p>
    <w:p>
      <w:pPr>
        <w:spacing w:line="500" w:lineRule="exact"/>
        <w:ind w:right="532"/>
        <w:rPr>
          <w:rFonts w:hint="default" w:ascii="Times New Roman" w:hAnsi="Times New Roman" w:cs="Times New Roman"/>
          <w:sz w:val="36"/>
          <w:szCs w:val="36"/>
        </w:rPr>
      </w:pPr>
    </w:p>
    <w:p>
      <w:pPr>
        <w:spacing w:line="600" w:lineRule="exact"/>
        <w:ind w:right="532"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投标人全称：</w:t>
      </w:r>
    </w:p>
    <w:p>
      <w:pPr>
        <w:spacing w:line="600" w:lineRule="exact"/>
        <w:ind w:right="532"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地    址：</w:t>
      </w:r>
    </w:p>
    <w:p>
      <w:pPr>
        <w:spacing w:line="600" w:lineRule="exact"/>
        <w:ind w:right="532"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时    间：</w:t>
      </w:r>
    </w:p>
    <w:p>
      <w:pPr>
        <w:snapToGrid w:val="0"/>
        <w:spacing w:before="50" w:after="50"/>
        <w:rPr>
          <w:rFonts w:hint="default" w:ascii="Times New Roman" w:hAnsi="Times New Roman" w:cs="Times New Roman"/>
          <w:b/>
          <w:sz w:val="36"/>
          <w:szCs w:val="36"/>
        </w:rPr>
      </w:pPr>
      <w:r>
        <w:rPr>
          <w:rFonts w:hint="default" w:ascii="Times New Roman" w:hAnsi="Times New Roman" w:cs="Times New Roman"/>
          <w:b/>
          <w:sz w:val="36"/>
          <w:szCs w:val="36"/>
        </w:rPr>
        <w:br w:type="page"/>
      </w:r>
    </w:p>
    <w:p>
      <w:pPr>
        <w:snapToGrid w:val="0"/>
        <w:spacing w:before="50" w:after="50"/>
        <w:rPr>
          <w:rFonts w:hint="default" w:ascii="Times New Roman" w:hAnsi="Times New Roman" w:cs="Times New Roman"/>
          <w:b/>
          <w:bCs/>
          <w:sz w:val="36"/>
          <w:szCs w:val="36"/>
        </w:rPr>
      </w:pPr>
      <w:r>
        <w:rPr>
          <w:rFonts w:hint="default" w:ascii="Times New Roman" w:hAnsi="Times New Roman" w:cs="Times New Roman"/>
          <w:b/>
          <w:bCs/>
          <w:sz w:val="36"/>
          <w:szCs w:val="36"/>
        </w:rPr>
        <w:t>资格文件目录</w:t>
      </w:r>
    </w:p>
    <w:p>
      <w:pPr>
        <w:snapToGrid w:val="0"/>
        <w:spacing w:before="50" w:after="50"/>
        <w:rPr>
          <w:rFonts w:hint="default" w:ascii="Times New Roman" w:hAnsi="Times New Roman" w:cs="Times New Roman"/>
          <w:sz w:val="30"/>
          <w:szCs w:val="30"/>
        </w:rPr>
      </w:pP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 xml:space="preserve">（1）投标声明书 </w:t>
      </w:r>
      <w:r>
        <w:rPr>
          <w:rFonts w:hint="default" w:ascii="Times New Roman" w:hAnsi="Times New Roman" w:cs="Times New Roman"/>
          <w:sz w:val="30"/>
          <w:szCs w:val="30"/>
          <w:lang w:eastAsia="zh-CN"/>
        </w:rPr>
        <w:t>（</w:t>
      </w:r>
      <w:r>
        <w:rPr>
          <w:rFonts w:hint="default" w:ascii="Times New Roman" w:hAnsi="Times New Roman" w:cs="Times New Roman"/>
          <w:sz w:val="30"/>
          <w:szCs w:val="30"/>
        </w:rPr>
        <w:t>格式见附件</w:t>
      </w:r>
      <w:r>
        <w:rPr>
          <w:rFonts w:hint="default" w:ascii="Times New Roman" w:hAnsi="Times New Roman" w:cs="Times New Roman"/>
          <w:sz w:val="30"/>
          <w:szCs w:val="30"/>
          <w:lang w:eastAsia="zh-CN"/>
        </w:rPr>
        <w:t>）</w:t>
      </w:r>
      <w:r>
        <w:rPr>
          <w:rFonts w:hint="default" w:ascii="Times New Roman" w:hAnsi="Times New Roman" w:cs="Times New Roman"/>
          <w:sz w:val="30"/>
          <w:szCs w:val="30"/>
        </w:rPr>
        <w:t>；</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（2）《投标承诺函》</w:t>
      </w:r>
      <w:r>
        <w:rPr>
          <w:rFonts w:hint="default" w:ascii="Times New Roman" w:hAnsi="Times New Roman" w:cs="Times New Roman"/>
          <w:sz w:val="30"/>
          <w:szCs w:val="30"/>
          <w:lang w:eastAsia="zh-CN"/>
        </w:rPr>
        <w:t>（</w:t>
      </w:r>
      <w:r>
        <w:rPr>
          <w:rFonts w:hint="default" w:ascii="Times New Roman" w:hAnsi="Times New Roman" w:cs="Times New Roman"/>
          <w:sz w:val="30"/>
          <w:szCs w:val="30"/>
        </w:rPr>
        <w:t>格式见附件</w:t>
      </w:r>
      <w:r>
        <w:rPr>
          <w:rFonts w:hint="default" w:ascii="Times New Roman" w:hAnsi="Times New Roman" w:cs="Times New Roman"/>
          <w:sz w:val="30"/>
          <w:szCs w:val="30"/>
          <w:lang w:eastAsia="zh-CN"/>
        </w:rPr>
        <w:t>）</w:t>
      </w:r>
      <w:r>
        <w:rPr>
          <w:rFonts w:hint="default" w:ascii="Times New Roman" w:hAnsi="Times New Roman" w:cs="Times New Roman"/>
          <w:sz w:val="30"/>
          <w:szCs w:val="30"/>
        </w:rPr>
        <w:t>；</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（3）法定代表人授权委托书</w:t>
      </w:r>
      <w:r>
        <w:rPr>
          <w:rFonts w:hint="default" w:ascii="Times New Roman" w:hAnsi="Times New Roman" w:cs="Times New Roman"/>
          <w:sz w:val="30"/>
          <w:szCs w:val="30"/>
          <w:lang w:eastAsia="zh-CN"/>
        </w:rPr>
        <w:t>（</w:t>
      </w:r>
      <w:r>
        <w:rPr>
          <w:rFonts w:hint="default" w:ascii="Times New Roman" w:hAnsi="Times New Roman" w:cs="Times New Roman"/>
          <w:sz w:val="30"/>
          <w:szCs w:val="30"/>
        </w:rPr>
        <w:t>格式见附件</w:t>
      </w:r>
      <w:r>
        <w:rPr>
          <w:rFonts w:hint="default" w:ascii="Times New Roman" w:hAnsi="Times New Roman" w:cs="Times New Roman"/>
          <w:sz w:val="30"/>
          <w:szCs w:val="30"/>
          <w:lang w:eastAsia="zh-CN"/>
        </w:rPr>
        <w:t>）</w:t>
      </w:r>
      <w:r>
        <w:rPr>
          <w:rFonts w:hint="default" w:ascii="Times New Roman" w:hAnsi="Times New Roman" w:cs="Times New Roman"/>
          <w:sz w:val="30"/>
          <w:szCs w:val="30"/>
        </w:rPr>
        <w:t>；</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（4）提供有效的营业执照复印件并加盖公司公章；事业单位的，则提供有效的《事业单位法人证书》副本复印件并加盖单位公章；自然人的，则提供有效的身份证复印件并签字；</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（5）中小企业声明函、残疾人福利企业声明函（如有）、监狱企业声明函（如有）</w:t>
      </w:r>
      <w:r>
        <w:rPr>
          <w:rFonts w:hint="default" w:ascii="Times New Roman" w:hAnsi="Times New Roman" w:cs="Times New Roman"/>
          <w:sz w:val="30"/>
          <w:szCs w:val="30"/>
          <w:lang w:eastAsia="zh-CN"/>
        </w:rPr>
        <w:t>（</w:t>
      </w:r>
      <w:r>
        <w:rPr>
          <w:rFonts w:hint="default" w:ascii="Times New Roman" w:hAnsi="Times New Roman" w:cs="Times New Roman"/>
          <w:sz w:val="30"/>
          <w:szCs w:val="30"/>
        </w:rPr>
        <w:t>格式见附件</w:t>
      </w:r>
      <w:r>
        <w:rPr>
          <w:rFonts w:hint="default" w:ascii="Times New Roman" w:hAnsi="Times New Roman" w:cs="Times New Roman"/>
          <w:sz w:val="30"/>
          <w:szCs w:val="30"/>
          <w:lang w:eastAsia="zh-CN"/>
        </w:rPr>
        <w:t>）</w:t>
      </w:r>
      <w:r>
        <w:rPr>
          <w:rFonts w:hint="default" w:ascii="Times New Roman" w:hAnsi="Times New Roman" w:cs="Times New Roman"/>
          <w:sz w:val="30"/>
          <w:szCs w:val="30"/>
        </w:rPr>
        <w:t>；</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（6）联合投标协议书（若需要）；</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（7）联合投标授权委托书（若需要）；</w:t>
      </w:r>
    </w:p>
    <w:p>
      <w:pPr>
        <w:snapToGrid w:val="0"/>
        <w:spacing w:line="460" w:lineRule="exact"/>
        <w:ind w:firstLine="588" w:firstLineChars="196"/>
        <w:jc w:val="left"/>
        <w:rPr>
          <w:rFonts w:hint="default" w:ascii="Times New Roman" w:hAnsi="Times New Roman" w:cs="Times New Roman"/>
          <w:sz w:val="30"/>
          <w:szCs w:val="30"/>
        </w:rPr>
      </w:pPr>
      <w:r>
        <w:rPr>
          <w:rFonts w:hint="default" w:ascii="Times New Roman" w:hAnsi="Times New Roman" w:cs="Times New Roman"/>
          <w:sz w:val="30"/>
          <w:szCs w:val="30"/>
        </w:rPr>
        <w:t>（8）提供采购公告中符合投标人特定条件要求的有效的其他资质复印件并加盖公司公章及需要说明的资料。</w:t>
      </w:r>
    </w:p>
    <w:p>
      <w:pPr>
        <w:snapToGrid w:val="0"/>
        <w:spacing w:line="460" w:lineRule="exact"/>
        <w:ind w:firstLine="588" w:firstLineChars="196"/>
        <w:jc w:val="left"/>
        <w:rPr>
          <w:rFonts w:hint="default" w:ascii="Times New Roman" w:hAnsi="Times New Roman" w:cs="Times New Roman"/>
          <w:sz w:val="30"/>
          <w:szCs w:val="30"/>
        </w:rPr>
      </w:pPr>
    </w:p>
    <w:p>
      <w:pPr>
        <w:snapToGrid w:val="0"/>
        <w:spacing w:line="460" w:lineRule="exact"/>
        <w:ind w:firstLine="588" w:firstLineChars="196"/>
        <w:jc w:val="left"/>
        <w:rPr>
          <w:rFonts w:hint="default" w:ascii="Times New Roman" w:hAnsi="Times New Roman" w:cs="Times New Roman"/>
          <w:sz w:val="30"/>
          <w:szCs w:val="30"/>
        </w:rPr>
      </w:pPr>
    </w:p>
    <w:p>
      <w:pPr>
        <w:snapToGrid w:val="0"/>
        <w:spacing w:before="50" w:after="120" w:afterLines="50" w:line="460" w:lineRule="exact"/>
        <w:jc w:val="left"/>
        <w:rPr>
          <w:rFonts w:hint="default" w:ascii="Times New Roman" w:hAnsi="Times New Roman" w:cs="Times New Roman"/>
          <w:sz w:val="30"/>
          <w:szCs w:val="30"/>
        </w:rPr>
      </w:pPr>
    </w:p>
    <w:p>
      <w:pPr>
        <w:pStyle w:val="21"/>
        <w:snapToGrid w:val="0"/>
        <w:spacing w:before="120" w:after="120"/>
        <w:rPr>
          <w:rFonts w:hint="default" w:ascii="Times New Roman" w:hAnsi="Times New Roman" w:cs="Times New Roman"/>
          <w:sz w:val="30"/>
          <w:szCs w:val="30"/>
        </w:rPr>
      </w:pPr>
    </w:p>
    <w:p>
      <w:pPr>
        <w:pStyle w:val="21"/>
        <w:snapToGrid w:val="0"/>
        <w:spacing w:before="120" w:after="120"/>
        <w:rPr>
          <w:rFonts w:hint="default" w:ascii="Times New Roman" w:hAnsi="Times New Roman" w:cs="Times New Roman"/>
          <w:sz w:val="30"/>
          <w:szCs w:val="30"/>
        </w:rPr>
      </w:pPr>
    </w:p>
    <w:p>
      <w:pPr>
        <w:pStyle w:val="21"/>
        <w:snapToGrid w:val="0"/>
        <w:spacing w:before="120" w:after="120"/>
        <w:rPr>
          <w:rFonts w:hint="default" w:ascii="Times New Roman" w:hAnsi="Times New Roman" w:cs="Times New Roman"/>
          <w:sz w:val="30"/>
          <w:szCs w:val="30"/>
        </w:rPr>
      </w:pPr>
    </w:p>
    <w:p>
      <w:pPr>
        <w:pStyle w:val="21"/>
        <w:snapToGrid w:val="0"/>
        <w:spacing w:before="120" w:after="120"/>
        <w:rPr>
          <w:rFonts w:hint="default" w:ascii="Times New Roman" w:hAnsi="Times New Roman" w:cs="Times New Roman"/>
          <w:sz w:val="30"/>
          <w:szCs w:val="30"/>
        </w:rPr>
      </w:pPr>
    </w:p>
    <w:p>
      <w:pPr>
        <w:pStyle w:val="21"/>
        <w:snapToGrid w:val="0"/>
        <w:spacing w:before="120" w:after="120"/>
        <w:rPr>
          <w:rFonts w:hint="default" w:ascii="Times New Roman" w:hAnsi="Times New Roman" w:cs="Times New Roman"/>
          <w:sz w:val="30"/>
          <w:szCs w:val="30"/>
        </w:rPr>
      </w:pP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br w:type="page"/>
      </w:r>
      <w:r>
        <w:rPr>
          <w:rFonts w:hint="default" w:ascii="Times New Roman" w:hAnsi="Times New Roman" w:cs="Times New Roman"/>
          <w:sz w:val="30"/>
          <w:szCs w:val="30"/>
        </w:rPr>
        <w:t>附件2：</w:t>
      </w:r>
    </w:p>
    <w:p>
      <w:pPr>
        <w:snapToGrid w:val="0"/>
        <w:spacing w:before="50" w:after="50"/>
        <w:jc w:val="center"/>
        <w:rPr>
          <w:rFonts w:hint="default" w:ascii="Times New Roman" w:hAnsi="Times New Roman" w:cs="Times New Roman"/>
          <w:b/>
          <w:sz w:val="36"/>
          <w:szCs w:val="36"/>
        </w:rPr>
      </w:pPr>
      <w:r>
        <w:rPr>
          <w:rFonts w:hint="default" w:ascii="Times New Roman" w:hAnsi="Times New Roman" w:cs="Times New Roman"/>
          <w:b/>
          <w:sz w:val="36"/>
          <w:szCs w:val="36"/>
        </w:rPr>
        <w:t>投 标 声 明 书</w:t>
      </w:r>
    </w:p>
    <w:p>
      <w:pPr>
        <w:snapToGrid w:val="0"/>
        <w:spacing w:before="164" w:beforeLines="50" w:after="50" w:line="460" w:lineRule="exact"/>
        <w:rPr>
          <w:rFonts w:hint="default" w:ascii="Times New Roman" w:hAnsi="Times New Roman" w:cs="Times New Roman"/>
          <w:sz w:val="30"/>
          <w:szCs w:val="30"/>
        </w:rPr>
      </w:pPr>
      <w:r>
        <w:rPr>
          <w:rFonts w:hint="default" w:ascii="Times New Roman" w:hAnsi="Times New Roman" w:cs="Times New Roman"/>
          <w:sz w:val="30"/>
          <w:szCs w:val="30"/>
        </w:rPr>
        <w:t>致金华市政府采购中心永康市分中心：</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u w:val="single"/>
        </w:rPr>
        <w:t>（投标人名称）</w:t>
      </w:r>
      <w:r>
        <w:rPr>
          <w:rFonts w:hint="default" w:ascii="Times New Roman" w:hAnsi="Times New Roman" w:cs="Times New Roman"/>
          <w:sz w:val="30"/>
          <w:szCs w:val="30"/>
        </w:rPr>
        <w:t>系中华人民共和国合法企业，经营地址。</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我</w:t>
      </w:r>
      <w:r>
        <w:rPr>
          <w:rFonts w:hint="default" w:ascii="Times New Roman" w:hAnsi="Times New Roman" w:cs="Times New Roman"/>
          <w:sz w:val="30"/>
          <w:szCs w:val="30"/>
          <w:u w:val="single"/>
        </w:rPr>
        <w:t>（姓名）</w:t>
      </w:r>
      <w:r>
        <w:rPr>
          <w:rFonts w:hint="default" w:ascii="Times New Roman" w:hAnsi="Times New Roman" w:cs="Times New Roman"/>
          <w:sz w:val="30"/>
          <w:szCs w:val="30"/>
        </w:rPr>
        <w:t>系</w:t>
      </w:r>
      <w:r>
        <w:rPr>
          <w:rFonts w:hint="default" w:ascii="Times New Roman" w:hAnsi="Times New Roman" w:cs="Times New Roman"/>
          <w:sz w:val="30"/>
          <w:szCs w:val="30"/>
          <w:u w:val="single"/>
        </w:rPr>
        <w:t>（投标人名称）</w:t>
      </w:r>
      <w:r>
        <w:rPr>
          <w:rFonts w:hint="default" w:ascii="Times New Roman" w:hAnsi="Times New Roman" w:cs="Times New Roman"/>
          <w:sz w:val="30"/>
          <w:szCs w:val="30"/>
        </w:rPr>
        <w:t>的法定代表人，我方愿意参加贵方组织的</w:t>
      </w:r>
      <w:r>
        <w:rPr>
          <w:rFonts w:hint="default" w:ascii="Times New Roman" w:hAnsi="Times New Roman" w:cs="Times New Roman"/>
          <w:sz w:val="30"/>
          <w:szCs w:val="30"/>
          <w:u w:val="single"/>
        </w:rPr>
        <w:t>（招标项目名称）（编号为            ）</w:t>
      </w:r>
      <w:r>
        <w:rPr>
          <w:rFonts w:hint="default" w:ascii="Times New Roman" w:hAnsi="Times New Roman" w:cs="Times New Roman"/>
          <w:sz w:val="30"/>
          <w:szCs w:val="30"/>
        </w:rPr>
        <w:t>的投标，为此，我方就本次投标有关事项郑重声明如下：</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1.我方已详细审查全部招标文件，同意招标文件的各项要求，包括疫情期间采取的各项应急开标措施。</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2.我方向贵方提交的所有投标文件、资料都是准确的和真实的。</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3.若中标，我方将按招标文件规定履行合同责任和义务。</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4.我方不是采购人的附属机构；在获知本项目采购信息后，与采购人聘请的为此项目提供咨询服务的公司及其附属机构没有任何联系。</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5.投标文件自开标日起有效期为90天。</w:t>
      </w:r>
    </w:p>
    <w:p>
      <w:pPr>
        <w:snapToGrid w:val="0"/>
        <w:spacing w:line="460" w:lineRule="exact"/>
        <w:ind w:firstLine="589" w:firstLineChars="196"/>
        <w:jc w:val="left"/>
        <w:rPr>
          <w:rFonts w:hint="default" w:ascii="Times New Roman" w:hAnsi="Times New Roman" w:cs="Times New Roman"/>
          <w:b/>
          <w:sz w:val="30"/>
          <w:szCs w:val="30"/>
        </w:rPr>
      </w:pPr>
      <w:r>
        <w:rPr>
          <w:rFonts w:hint="default" w:ascii="Times New Roman" w:hAnsi="Times New Roman" w:cs="Times New Roman"/>
          <w:b/>
          <w:sz w:val="30"/>
          <w:szCs w:val="30"/>
        </w:rPr>
        <w:t>6.我方承诺已经具备参与政府采购活动的资格条件并且没有税收缴纳、社会保障等方面的失信记录。</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7.我方通过</w:t>
      </w:r>
      <w:r>
        <w:rPr>
          <w:rFonts w:hint="default" w:ascii="Times New Roman" w:hAnsi="Times New Roman" w:cs="Times New Roman"/>
          <w:sz w:val="30"/>
          <w:szCs w:val="30"/>
          <w:lang w:eastAsia="zh-CN"/>
        </w:rPr>
        <w:t>“</w:t>
      </w:r>
      <w:r>
        <w:rPr>
          <w:rFonts w:hint="default" w:ascii="Times New Roman" w:hAnsi="Times New Roman" w:cs="Times New Roman"/>
          <w:sz w:val="30"/>
          <w:szCs w:val="30"/>
        </w:rPr>
        <w:t>信用中国</w:t>
      </w:r>
      <w:r>
        <w:rPr>
          <w:rFonts w:hint="default" w:ascii="Times New Roman" w:hAnsi="Times New Roman" w:cs="Times New Roman"/>
          <w:sz w:val="30"/>
          <w:szCs w:val="30"/>
          <w:lang w:eastAsia="zh-CN"/>
        </w:rPr>
        <w:t>”</w:t>
      </w:r>
      <w:r>
        <w:rPr>
          <w:rFonts w:hint="default" w:ascii="Times New Roman" w:hAnsi="Times New Roman" w:cs="Times New Roman"/>
          <w:sz w:val="30"/>
          <w:szCs w:val="30"/>
        </w:rPr>
        <w:t>网站（www.creditchina.gov.cn）、中国政府采购网（www.ccgp.gov.cn）查询，未被列入失信被执行人、重大税收违法失信主体、政府采购严重违法失信行为记录名单。</w:t>
      </w:r>
    </w:p>
    <w:p>
      <w:pPr>
        <w:snapToGrid w:val="0"/>
        <w:spacing w:before="164" w:beforeLines="50" w:after="50" w:line="460" w:lineRule="exact"/>
        <w:ind w:firstLine="600" w:firstLineChars="200"/>
        <w:rPr>
          <w:rFonts w:hint="default" w:ascii="Times New Roman" w:hAnsi="Times New Roman" w:cs="Times New Roman"/>
          <w:sz w:val="30"/>
          <w:szCs w:val="30"/>
        </w:rPr>
      </w:pPr>
      <w:r>
        <w:rPr>
          <w:rFonts w:hint="default" w:ascii="Times New Roman" w:hAnsi="Times New Roman" w:cs="Times New Roman"/>
          <w:sz w:val="30"/>
          <w:szCs w:val="30"/>
        </w:rPr>
        <w:t>8.以上事项如有虚假或隐瞒，我方愿意承担一切后果，并不再寻求任何旨在减轻或免除法律责任的辩解。</w:t>
      </w:r>
    </w:p>
    <w:p>
      <w:pPr>
        <w:snapToGrid w:val="0"/>
        <w:spacing w:before="164" w:beforeLines="50" w:after="50" w:line="460" w:lineRule="exact"/>
        <w:ind w:right="600" w:firstLine="150" w:firstLineChars="50"/>
        <w:rPr>
          <w:rFonts w:hint="default" w:ascii="Times New Roman" w:hAnsi="Times New Roman" w:cs="Times New Roman"/>
          <w:sz w:val="30"/>
          <w:szCs w:val="30"/>
          <w:u w:val="single"/>
        </w:rPr>
      </w:pPr>
      <w:r>
        <w:rPr>
          <w:rFonts w:hint="default" w:ascii="Times New Roman" w:hAnsi="Times New Roman" w:cs="Times New Roman"/>
          <w:sz w:val="30"/>
          <w:szCs w:val="30"/>
        </w:rPr>
        <w:t>法定代表人签名（或签名章）：  日 期：</w:t>
      </w:r>
    </w:p>
    <w:p>
      <w:pPr>
        <w:snapToGrid w:val="0"/>
        <w:spacing w:before="164" w:beforeLines="50" w:after="50" w:line="460" w:lineRule="exact"/>
        <w:ind w:firstLine="150" w:firstLineChars="50"/>
        <w:rPr>
          <w:rFonts w:hint="default" w:ascii="Times New Roman" w:hAnsi="Times New Roman" w:cs="Times New Roman"/>
          <w:sz w:val="30"/>
          <w:szCs w:val="30"/>
        </w:rPr>
      </w:pPr>
      <w:r>
        <w:rPr>
          <w:rFonts w:hint="default" w:ascii="Times New Roman" w:hAnsi="Times New Roman" w:cs="Times New Roman"/>
          <w:sz w:val="30"/>
          <w:szCs w:val="30"/>
        </w:rPr>
        <w:t>投标人全称（公章）：</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rPr>
        <w:br w:type="page"/>
      </w:r>
      <w:r>
        <w:rPr>
          <w:rFonts w:hint="default" w:ascii="Times New Roman" w:hAnsi="Times New Roman" w:cs="Times New Roman"/>
          <w:sz w:val="30"/>
          <w:szCs w:val="30"/>
        </w:rPr>
        <w:t xml:space="preserve"> 附件3：     </w:t>
      </w:r>
    </w:p>
    <w:p>
      <w:pPr>
        <w:snapToGrid w:val="0"/>
        <w:spacing w:before="50" w:after="164" w:afterLines="50"/>
        <w:jc w:val="center"/>
        <w:rPr>
          <w:rFonts w:hint="default" w:ascii="Times New Roman" w:hAnsi="Times New Roman" w:cs="Times New Roman"/>
          <w:sz w:val="30"/>
          <w:szCs w:val="30"/>
        </w:rPr>
      </w:pPr>
      <w:r>
        <w:rPr>
          <w:rFonts w:hint="default" w:ascii="Times New Roman" w:hAnsi="Times New Roman" w:cs="Times New Roman"/>
          <w:b/>
          <w:bCs/>
          <w:sz w:val="36"/>
          <w:szCs w:val="36"/>
        </w:rPr>
        <w:t>投标承诺函</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致（采购人、采购代理机构）：</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（投标人名称）系中华人民共和国合法企业，愿意就贵方组织的（招标项目名称）（编号为：            ）项目进行投标，并就本次投标郑重承诺如下：</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（1）在投标有效期90历天内撤回投标的；</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（2）中标后拒签合同或拖延签订合同超过规定时间的；</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（3）在投标过程中弄虚作假，提供虚假材料的；</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（4）出现串通投标的；</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（5）严重扰乱招投标程序的；</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（6）其他违法违规导致被废除投标或中标资格的；</w:t>
      </w:r>
    </w:p>
    <w:p>
      <w:pPr>
        <w:snapToGrid w:val="0"/>
        <w:spacing w:before="50" w:after="164" w:afterLines="50"/>
        <w:jc w:val="left"/>
        <w:rPr>
          <w:rFonts w:hint="default" w:ascii="Times New Roman" w:hAnsi="Times New Roman" w:cs="Times New Roman"/>
          <w:sz w:val="30"/>
          <w:szCs w:val="30"/>
        </w:rPr>
      </w:pP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 xml:space="preserve">授权代表签名：                      </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投标单位名称（公章）：</w:t>
      </w:r>
    </w:p>
    <w:p>
      <w:pPr>
        <w:snapToGrid w:val="0"/>
        <w:spacing w:before="50" w:after="164" w:afterLines="50"/>
        <w:jc w:val="left"/>
        <w:rPr>
          <w:rFonts w:hint="default" w:ascii="Times New Roman" w:hAnsi="Times New Roman" w:cs="Times New Roman"/>
          <w:sz w:val="30"/>
          <w:szCs w:val="30"/>
        </w:rPr>
      </w:pPr>
      <w:r>
        <w:rPr>
          <w:rFonts w:hint="default" w:ascii="Times New Roman" w:hAnsi="Times New Roman" w:cs="Times New Roman"/>
          <w:sz w:val="30"/>
          <w:szCs w:val="30"/>
        </w:rPr>
        <w:t>日期：    年   月    日</w:t>
      </w:r>
    </w:p>
    <w:p>
      <w:pPr>
        <w:snapToGrid w:val="0"/>
        <w:spacing w:before="50" w:after="164" w:afterLines="50"/>
        <w:jc w:val="left"/>
        <w:rPr>
          <w:rFonts w:hint="default" w:ascii="Times New Roman" w:hAnsi="Times New Roman" w:cs="Times New Roman"/>
          <w:sz w:val="24"/>
          <w:szCs w:val="24"/>
        </w:rPr>
      </w:pPr>
      <w:r>
        <w:rPr>
          <w:rFonts w:hint="default" w:ascii="Times New Roman" w:hAnsi="Times New Roman" w:cs="Times New Roman"/>
          <w:sz w:val="24"/>
          <w:szCs w:val="24"/>
        </w:rPr>
        <w:t>备注：</w:t>
      </w:r>
    </w:p>
    <w:p>
      <w:pPr>
        <w:snapToGrid w:val="0"/>
        <w:spacing w:before="50" w:after="164" w:afterLines="50"/>
        <w:jc w:val="left"/>
        <w:rPr>
          <w:rFonts w:hint="default" w:ascii="Times New Roman" w:hAnsi="Times New Roman" w:cs="Times New Roman"/>
          <w:sz w:val="24"/>
          <w:szCs w:val="24"/>
        </w:rPr>
      </w:pPr>
      <w:r>
        <w:rPr>
          <w:rFonts w:hint="default" w:ascii="Times New Roman" w:hAnsi="Times New Roman" w:cs="Times New Roman"/>
          <w:sz w:val="24"/>
          <w:szCs w:val="24"/>
        </w:rPr>
        <w:t>1.本投标承诺函作为资格标资料之一，未提供的视为无法保证投标响应和履约服务能力，资格审查不予通过。</w:t>
      </w:r>
    </w:p>
    <w:p>
      <w:pPr>
        <w:snapToGrid w:val="0"/>
        <w:spacing w:before="50" w:after="164" w:afterLines="50"/>
        <w:jc w:val="left"/>
        <w:rPr>
          <w:rFonts w:hint="default" w:ascii="Times New Roman" w:hAnsi="Times New Roman" w:cs="Times New Roman"/>
          <w:sz w:val="24"/>
          <w:szCs w:val="24"/>
        </w:rPr>
      </w:pPr>
      <w:r>
        <w:rPr>
          <w:rFonts w:hint="default" w:ascii="Times New Roman" w:hAnsi="Times New Roman" w:cs="Times New Roman"/>
          <w:sz w:val="24"/>
          <w:szCs w:val="24"/>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7"/>
        <w:rPr>
          <w:rFonts w:hint="default" w:ascii="Times New Roman" w:hAnsi="Times New Roman" w:cs="Times New Roman"/>
        </w:rPr>
      </w:pPr>
    </w:p>
    <w:p>
      <w:pPr>
        <w:snapToGrid w:val="0"/>
        <w:spacing w:before="164" w:beforeLines="50" w:after="50" w:line="460" w:lineRule="exact"/>
        <w:rPr>
          <w:rFonts w:hint="default" w:ascii="Times New Roman" w:hAnsi="Times New Roman" w:cs="Times New Roman"/>
          <w:sz w:val="30"/>
          <w:szCs w:val="30"/>
        </w:rPr>
      </w:pPr>
      <w:r>
        <w:rPr>
          <w:rFonts w:hint="default" w:ascii="Times New Roman" w:hAnsi="Times New Roman" w:cs="Times New Roman"/>
          <w:sz w:val="30"/>
          <w:szCs w:val="30"/>
        </w:rPr>
        <w:br w:type="page"/>
      </w:r>
      <w:r>
        <w:rPr>
          <w:rFonts w:hint="default" w:ascii="Times New Roman" w:hAnsi="Times New Roman" w:cs="Times New Roman"/>
          <w:sz w:val="30"/>
          <w:szCs w:val="30"/>
        </w:rPr>
        <w:t>附件4：</w:t>
      </w:r>
    </w:p>
    <w:p>
      <w:pPr>
        <w:snapToGrid w:val="0"/>
        <w:spacing w:before="50" w:after="50"/>
        <w:jc w:val="center"/>
        <w:rPr>
          <w:rFonts w:hint="default" w:ascii="Times New Roman" w:hAnsi="Times New Roman" w:cs="Times New Roman"/>
          <w:b/>
          <w:sz w:val="36"/>
          <w:szCs w:val="36"/>
        </w:rPr>
      </w:pPr>
      <w:r>
        <w:rPr>
          <w:rFonts w:hint="default" w:ascii="Times New Roman" w:hAnsi="Times New Roman" w:cs="Times New Roman"/>
          <w:b/>
          <w:sz w:val="36"/>
          <w:szCs w:val="36"/>
        </w:rPr>
        <w:t>法定代表人授权委托书</w:t>
      </w:r>
    </w:p>
    <w:p>
      <w:pPr>
        <w:snapToGrid w:val="0"/>
        <w:spacing w:before="164" w:beforeLines="50" w:after="50"/>
        <w:jc w:val="center"/>
        <w:rPr>
          <w:rFonts w:hint="default" w:ascii="Times New Roman" w:hAnsi="Times New Roman" w:cs="Times New Roman"/>
          <w:b/>
          <w:sz w:val="30"/>
          <w:szCs w:val="30"/>
        </w:rPr>
      </w:pPr>
    </w:p>
    <w:p>
      <w:pPr>
        <w:snapToGrid w:val="0"/>
        <w:spacing w:before="164" w:beforeLines="50" w:after="50" w:line="460" w:lineRule="exact"/>
        <w:rPr>
          <w:rFonts w:hint="default" w:ascii="Times New Roman" w:hAnsi="Times New Roman" w:cs="Times New Roman"/>
          <w:b/>
          <w:bCs/>
          <w:sz w:val="30"/>
          <w:szCs w:val="30"/>
        </w:rPr>
      </w:pPr>
      <w:r>
        <w:rPr>
          <w:rFonts w:hint="default" w:ascii="Times New Roman" w:hAnsi="Times New Roman" w:cs="Times New Roman"/>
          <w:bCs/>
          <w:sz w:val="30"/>
          <w:szCs w:val="30"/>
        </w:rPr>
        <w:t>金华市政府采购中心永康市分中心：</w:t>
      </w:r>
    </w:p>
    <w:p>
      <w:pPr>
        <w:snapToGrid w:val="0"/>
        <w:spacing w:before="164" w:beforeLines="50" w:after="50" w:line="460" w:lineRule="exact"/>
        <w:ind w:firstLine="900" w:firstLineChars="300"/>
        <w:rPr>
          <w:rFonts w:hint="default" w:ascii="Times New Roman" w:hAnsi="Times New Roman" w:cs="Times New Roman"/>
          <w:sz w:val="30"/>
          <w:szCs w:val="30"/>
        </w:rPr>
      </w:pPr>
      <w:r>
        <w:rPr>
          <w:rFonts w:hint="default" w:ascii="Times New Roman" w:hAnsi="Times New Roman" w:cs="Times New Roman"/>
          <w:sz w:val="30"/>
          <w:szCs w:val="30"/>
        </w:rPr>
        <w:t>我（姓名）系（投标人名称）的法定代表人，现授权委托本单位在职职工 （姓名）为授权代表，以我方的名义参加项目编号：项目名称</w:t>
      </w:r>
      <w:r>
        <w:rPr>
          <w:rFonts w:hint="default" w:ascii="Times New Roman" w:hAnsi="Times New Roman" w:cs="Times New Roman"/>
          <w:sz w:val="30"/>
          <w:szCs w:val="30"/>
          <w:u w:val="single"/>
        </w:rPr>
        <w:t xml:space="preserve">：      </w:t>
      </w:r>
      <w:r>
        <w:rPr>
          <w:rFonts w:hint="default" w:ascii="Times New Roman" w:hAnsi="Times New Roman" w:cs="Times New Roman"/>
          <w:sz w:val="30"/>
          <w:szCs w:val="30"/>
        </w:rPr>
        <w:t>项目的投标活动，并代表我方全权办理针对上述项目的投标、开标、评标、签约等具体事务和签署相关文件。我方对授权代表的签名事项负全部责任。</w:t>
      </w:r>
    </w:p>
    <w:p>
      <w:pPr>
        <w:snapToGrid w:val="0"/>
        <w:spacing w:before="164" w:beforeLines="50" w:after="50" w:line="460" w:lineRule="exact"/>
        <w:ind w:firstLine="480"/>
        <w:rPr>
          <w:rFonts w:hint="default" w:ascii="Times New Roman" w:hAnsi="Times New Roman" w:cs="Times New Roman"/>
          <w:sz w:val="30"/>
          <w:szCs w:val="30"/>
        </w:rPr>
      </w:pPr>
      <w:r>
        <w:rPr>
          <w:rFonts w:hint="default" w:ascii="Times New Roman" w:hAnsi="Times New Roman" w:cs="Times New Roman"/>
          <w:sz w:val="30"/>
          <w:szCs w:val="30"/>
        </w:rPr>
        <w:t>在撤销授权的书面通知以前，本授权书一直有效。授权代表在授权书有效期内签署的所有文件不因授权的撤销而失效。</w:t>
      </w:r>
    </w:p>
    <w:p>
      <w:pPr>
        <w:snapToGrid w:val="0"/>
        <w:spacing w:before="164" w:beforeLines="50" w:after="50" w:line="460" w:lineRule="exact"/>
        <w:ind w:firstLine="480"/>
        <w:rPr>
          <w:rFonts w:hint="default" w:ascii="Times New Roman" w:hAnsi="Times New Roman" w:cs="Times New Roman"/>
          <w:sz w:val="30"/>
          <w:szCs w:val="30"/>
        </w:rPr>
      </w:pPr>
      <w:r>
        <w:rPr>
          <w:rFonts w:hint="default" w:ascii="Times New Roman" w:hAnsi="Times New Roman" w:cs="Times New Roman"/>
          <w:sz w:val="30"/>
          <w:szCs w:val="30"/>
        </w:rPr>
        <w:t>授权代表无转委托权，特此委托。</w:t>
      </w:r>
    </w:p>
    <w:p>
      <w:pPr>
        <w:snapToGrid w:val="0"/>
        <w:spacing w:before="164" w:beforeLines="50" w:after="50" w:line="460" w:lineRule="exact"/>
        <w:ind w:firstLine="480"/>
        <w:rPr>
          <w:rFonts w:hint="default" w:ascii="Times New Roman" w:hAnsi="Times New Roman" w:cs="Times New Roman"/>
          <w:sz w:val="30"/>
          <w:szCs w:val="30"/>
        </w:rPr>
      </w:pPr>
    </w:p>
    <w:p>
      <w:pPr>
        <w:snapToGrid w:val="0"/>
        <w:spacing w:before="164" w:beforeLines="50" w:after="50" w:line="460" w:lineRule="exact"/>
        <w:rPr>
          <w:rFonts w:hint="default" w:ascii="Times New Roman" w:hAnsi="Times New Roman" w:cs="Times New Roman"/>
          <w:sz w:val="30"/>
          <w:szCs w:val="30"/>
        </w:rPr>
      </w:pPr>
      <w:r>
        <w:rPr>
          <w:rFonts w:hint="default" w:ascii="Times New Roman" w:hAnsi="Times New Roman" w:cs="Times New Roman"/>
          <w:sz w:val="30"/>
          <w:szCs w:val="30"/>
        </w:rPr>
        <w:t>授权代表签名： 职务：  联系方式：</w:t>
      </w:r>
    </w:p>
    <w:p>
      <w:pPr>
        <w:snapToGrid w:val="0"/>
        <w:spacing w:before="164" w:beforeLines="50" w:after="50" w:line="460" w:lineRule="exact"/>
        <w:rPr>
          <w:rFonts w:hint="default" w:ascii="Times New Roman" w:hAnsi="Times New Roman" w:cs="Times New Roman"/>
          <w:sz w:val="30"/>
          <w:szCs w:val="30"/>
        </w:rPr>
      </w:pPr>
      <w:r>
        <w:rPr>
          <w:rFonts w:hint="default" w:ascii="Times New Roman" w:hAnsi="Times New Roman" w:cs="Times New Roman"/>
          <w:sz w:val="30"/>
          <w:szCs w:val="30"/>
        </w:rPr>
        <w:t>授权代表身份证号码：</w:t>
      </w:r>
    </w:p>
    <w:p>
      <w:pPr>
        <w:snapToGrid w:val="0"/>
        <w:spacing w:before="164" w:beforeLines="50" w:after="50" w:line="460" w:lineRule="exact"/>
        <w:rPr>
          <w:rFonts w:hint="default" w:ascii="Times New Roman" w:hAnsi="Times New Roman" w:cs="Times New Roman"/>
          <w:sz w:val="30"/>
          <w:szCs w:val="30"/>
          <w:u w:val="single"/>
        </w:rPr>
      </w:pPr>
      <w:r>
        <w:rPr>
          <w:rFonts w:hint="default" w:ascii="Times New Roman" w:hAnsi="Times New Roman" w:cs="Times New Roman"/>
          <w:sz w:val="30"/>
          <w:szCs w:val="30"/>
        </w:rPr>
        <w:t>法定代表人签名（或签名章）：   职务：</w:t>
      </w:r>
    </w:p>
    <w:p>
      <w:pPr>
        <w:snapToGrid w:val="0"/>
        <w:spacing w:before="164" w:beforeLines="50" w:after="50" w:line="460" w:lineRule="exact"/>
        <w:rPr>
          <w:rFonts w:hint="default" w:ascii="Times New Roman" w:hAnsi="Times New Roman" w:cs="Times New Roman"/>
          <w:sz w:val="30"/>
          <w:szCs w:val="30"/>
        </w:rPr>
      </w:pPr>
      <w:r>
        <w:rPr>
          <w:rFonts w:hint="default" w:ascii="Times New Roman" w:hAnsi="Times New Roman" w:cs="Times New Roman"/>
          <w:sz w:val="30"/>
          <w:szCs w:val="30"/>
        </w:rPr>
        <w:t>联系方式：</w:t>
      </w:r>
    </w:p>
    <w:p>
      <w:pPr>
        <w:snapToGrid w:val="0"/>
        <w:spacing w:before="164" w:beforeLines="50" w:after="50" w:line="460" w:lineRule="exact"/>
        <w:rPr>
          <w:rFonts w:hint="default" w:ascii="Times New Roman" w:hAnsi="Times New Roman" w:cs="Times New Roman"/>
          <w:sz w:val="30"/>
          <w:szCs w:val="30"/>
        </w:rPr>
      </w:pPr>
    </w:p>
    <w:p>
      <w:pPr>
        <w:snapToGrid w:val="0"/>
        <w:spacing w:before="164" w:beforeLines="50" w:after="50" w:line="460" w:lineRule="exact"/>
        <w:rPr>
          <w:rFonts w:hint="default" w:ascii="Times New Roman" w:hAnsi="Times New Roman" w:cs="Times New Roman"/>
          <w:sz w:val="30"/>
          <w:szCs w:val="30"/>
        </w:rPr>
      </w:pPr>
    </w:p>
    <w:p>
      <w:pPr>
        <w:snapToGrid w:val="0"/>
        <w:spacing w:before="164" w:beforeLines="50" w:after="50" w:line="460" w:lineRule="exact"/>
        <w:rPr>
          <w:rFonts w:hint="default" w:ascii="Times New Roman" w:hAnsi="Times New Roman" w:cs="Times New Roman"/>
          <w:sz w:val="30"/>
          <w:szCs w:val="30"/>
          <w:u w:val="single"/>
        </w:rPr>
      </w:pPr>
      <w:r>
        <w:rPr>
          <w:rFonts w:hint="default" w:ascii="Times New Roman" w:hAnsi="Times New Roman" w:cs="Times New Roman"/>
          <w:sz w:val="30"/>
          <w:szCs w:val="30"/>
        </w:rPr>
        <w:t>投标人全称（公章）：         日  期：</w:t>
      </w:r>
    </w:p>
    <w:p>
      <w:pPr>
        <w:snapToGrid w:val="0"/>
        <w:spacing w:line="360" w:lineRule="auto"/>
        <w:rPr>
          <w:rFonts w:hint="default" w:ascii="Times New Roman" w:hAnsi="Times New Roman" w:cs="Times New Roman"/>
          <w:sz w:val="28"/>
          <w:szCs w:val="28"/>
        </w:rPr>
      </w:pPr>
      <w:r>
        <w:rPr>
          <w:rFonts w:hint="default" w:ascii="Times New Roman" w:hAnsi="Times New Roman" w:cs="Times New Roman"/>
          <w:sz w:val="30"/>
          <w:szCs w:val="30"/>
        </w:rPr>
        <w:br w:type="page"/>
      </w:r>
      <w:r>
        <w:rPr>
          <w:rFonts w:hint="default" w:ascii="Times New Roman" w:hAnsi="Times New Roman" w:cs="Times New Roman"/>
          <w:sz w:val="30"/>
          <w:szCs w:val="30"/>
        </w:rPr>
        <w:t>附件5：</w:t>
      </w:r>
    </w:p>
    <w:p>
      <w:pPr>
        <w:spacing w:line="460" w:lineRule="atLeast"/>
        <w:ind w:firstLine="721" w:firstLineChars="200"/>
        <w:jc w:val="center"/>
        <w:rPr>
          <w:rFonts w:hint="default" w:ascii="Times New Roman" w:hAnsi="Times New Roman" w:cs="Times New Roman"/>
          <w:b/>
          <w:bCs/>
          <w:color w:val="000000"/>
          <w:sz w:val="36"/>
          <w:szCs w:val="36"/>
        </w:rPr>
      </w:pPr>
      <w:r>
        <w:rPr>
          <w:rFonts w:hint="default" w:ascii="Times New Roman" w:hAnsi="Times New Roman" w:cs="Times New Roman"/>
          <w:b/>
          <w:bCs/>
          <w:color w:val="FF0000"/>
          <w:sz w:val="36"/>
          <w:szCs w:val="36"/>
        </w:rPr>
        <w:t>中小企业声明函（货物）</w:t>
      </w:r>
    </w:p>
    <w:p>
      <w:pPr>
        <w:rPr>
          <w:rFonts w:hint="default" w:ascii="Times New Roman" w:hAnsi="Times New Roman" w:cs="Times New Roman"/>
        </w:rPr>
      </w:pP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1.（标的名称） ，属于（采购文件中明确的所属行业）行业；制造商为（企业名称），从业人员   人，营业收入为   万元，资产总额为   万元，属于（中型企业、小型企业、微型企业）；</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2.（标的名称） ，属于（采购文件中明确的所属行业）行业；制造商为（企业名称），从业人员   人，营业收入为    万元，资产总额为    万元，属于（中型企业、小型企业、微型企业）；</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以上企业，不属于大企业的分支机构，不存在控股股东为大企业的情形，也不存在与大企业的负责人为同一人的情形。</w:t>
      </w:r>
    </w:p>
    <w:p>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本企业对上述声明内容的真实性负责。如有虚假，将依法承担相应责任。</w:t>
      </w:r>
    </w:p>
    <w:p>
      <w:pPr>
        <w:spacing w:line="460" w:lineRule="atLeast"/>
        <w:ind w:firstLine="480" w:firstLineChars="200"/>
        <w:jc w:val="righ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w:t>
      </w:r>
    </w:p>
    <w:p>
      <w:pPr>
        <w:spacing w:line="460" w:lineRule="atLeast"/>
        <w:ind w:firstLine="6246" w:firstLineChars="26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企业名称（盖章）：</w:t>
      </w:r>
    </w:p>
    <w:p>
      <w:pPr>
        <w:spacing w:line="460" w:lineRule="atLeast"/>
        <w:ind w:firstLine="721" w:firstLineChars="300"/>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                                                日 期：</w:t>
      </w:r>
    </w:p>
    <w:p>
      <w:pPr>
        <w:rPr>
          <w:rFonts w:hint="default" w:ascii="Times New Roman" w:hAnsi="Times New Roman" w:cs="Times New Roman"/>
        </w:rPr>
      </w:pPr>
    </w:p>
    <w:p>
      <w:pPr>
        <w:pStyle w:val="17"/>
        <w:ind w:left="0" w:leftChars="0" w:firstLine="0" w:firstLineChars="0"/>
        <w:rPr>
          <w:rFonts w:hint="default" w:ascii="Times New Roman" w:hAnsi="Times New Roman" w:cs="Times New Roman"/>
          <w:color w:val="000000"/>
          <w:sz w:val="22"/>
          <w:u w:val="single"/>
        </w:rPr>
      </w:pPr>
      <w:r>
        <w:rPr>
          <w:rFonts w:hint="default" w:ascii="Times New Roman" w:hAnsi="Times New Roman" w:cs="Times New Roman"/>
          <w:color w:val="000000"/>
          <w:sz w:val="22"/>
          <w:u w:val="single"/>
        </w:rPr>
        <w:t>*本项目所属行业为：（</w:t>
      </w:r>
      <w:r>
        <w:rPr>
          <w:rFonts w:hint="default" w:ascii="Times New Roman" w:hAnsi="Times New Roman" w:cs="Times New Roman"/>
          <w:color w:val="000000"/>
          <w:sz w:val="22"/>
          <w:u w:val="single"/>
          <w:lang w:eastAsia="zh-CN"/>
        </w:rPr>
        <w:t>工业</w:t>
      </w:r>
      <w:r>
        <w:rPr>
          <w:rFonts w:hint="default" w:ascii="Times New Roman" w:hAnsi="Times New Roman" w:cs="Times New Roman"/>
          <w:color w:val="000000"/>
          <w:sz w:val="22"/>
          <w:u w:val="single"/>
        </w:rPr>
        <w:t>）</w:t>
      </w:r>
    </w:p>
    <w:p>
      <w:pP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根据《政府采购促进中小企业管理办法》及《关于印发中小企业划型标准规定的通知工信部联企业》（〔2011〕300号）有关规定，本采购标的对应的所属行业为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rPr>
          <w:rFonts w:hint="default" w:ascii="Times New Roman" w:hAnsi="Times New Roman" w:cs="Times New Roman"/>
          <w:sz w:val="18"/>
          <w:szCs w:val="18"/>
        </w:rPr>
      </w:pPr>
      <w:r>
        <w:rPr>
          <w:rFonts w:hint="default" w:ascii="Times New Roman" w:hAnsi="Times New Roman" w:cs="Times New Roman"/>
          <w:sz w:val="18"/>
          <w:szCs w:val="18"/>
        </w:rPr>
        <w:t>1.中小企业参加政府采购活动，应当出具财库〔2020〕46号文件规定的《中小企业声明函》，否则不得享受相关中小企业扶持政策。</w:t>
      </w:r>
    </w:p>
    <w:p>
      <w:pPr>
        <w:rPr>
          <w:rFonts w:hint="default" w:ascii="Times New Roman" w:hAnsi="Times New Roman" w:cs="Times New Roman"/>
          <w:sz w:val="18"/>
          <w:szCs w:val="18"/>
        </w:rPr>
      </w:pPr>
      <w:r>
        <w:rPr>
          <w:rFonts w:hint="default" w:ascii="Times New Roman" w:hAnsi="Times New Roman" w:cs="Times New Roman"/>
          <w:sz w:val="18"/>
          <w:szCs w:val="18"/>
        </w:rPr>
        <w:t>2.从业人员、营业收入、资产总额填报上一年度数据，无上一年度数据的新成立企业可不填报。</w:t>
      </w:r>
    </w:p>
    <w:p>
      <w:pPr>
        <w:rPr>
          <w:rFonts w:hint="default" w:ascii="Times New Roman" w:hAnsi="Times New Roman" w:cs="Times New Roman"/>
          <w:sz w:val="18"/>
          <w:szCs w:val="18"/>
        </w:rPr>
      </w:pPr>
      <w:r>
        <w:rPr>
          <w:rFonts w:hint="default" w:ascii="Times New Roman" w:hAnsi="Times New Roman" w:cs="Times New Roman"/>
          <w:sz w:val="18"/>
          <w:szCs w:val="18"/>
        </w:rPr>
        <w:t>3.“中小企业声明函”填写不全的，视为未填报。如项目包含“多件”标的物的，需按标的物项数逐项填写。</w:t>
      </w:r>
    </w:p>
    <w:p>
      <w:pPr>
        <w:rPr>
          <w:rFonts w:hint="default" w:ascii="Times New Roman" w:hAnsi="Times New Roman" w:cs="Times New Roman"/>
          <w:sz w:val="18"/>
          <w:szCs w:val="18"/>
        </w:rPr>
      </w:pPr>
      <w:r>
        <w:rPr>
          <w:rFonts w:hint="default" w:ascii="Times New Roman" w:hAnsi="Times New Roman" w:cs="Times New Roman"/>
          <w:sz w:val="18"/>
          <w:szCs w:val="18"/>
        </w:rPr>
        <w:t>4.供应商提供《中小企业声明函》内容不实的，属于提供虚假材料谋取中标、成交，依照《中华人民共和国政府采购法》等国家有关规定追究相应责任。</w:t>
      </w:r>
    </w:p>
    <w:p>
      <w:pPr>
        <w:rPr>
          <w:rFonts w:hint="default" w:ascii="Times New Roman" w:hAnsi="Times New Roman" w:cs="Times New Roman"/>
          <w:sz w:val="18"/>
          <w:szCs w:val="18"/>
        </w:rPr>
      </w:pPr>
      <w:r>
        <w:rPr>
          <w:rFonts w:hint="default" w:ascii="Times New Roman" w:hAnsi="Times New Roman" w:cs="Times New Roman"/>
          <w:sz w:val="18"/>
          <w:szCs w:val="18"/>
        </w:rPr>
        <w:t>5.本项目只以《中小企业声明函》作为评判供应商是否属于中小企业的唯一依据。</w:t>
      </w: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rPr>
          <w:rFonts w:hint="default" w:ascii="Times New Roman" w:hAnsi="Times New Roman" w:cs="Times New Roman"/>
          <w:sz w:val="18"/>
          <w:szCs w:val="18"/>
        </w:rPr>
      </w:pPr>
    </w:p>
    <w:p>
      <w:pPr>
        <w:jc w:val="left"/>
        <w:rPr>
          <w:rFonts w:hint="default" w:ascii="Times New Roman" w:hAnsi="Times New Roman" w:cs="Times New Roman"/>
        </w:rPr>
      </w:pPr>
      <w:r>
        <w:rPr>
          <w:rFonts w:hint="default" w:ascii="Times New Roman" w:hAnsi="Times New Roman" w:cs="Times New Roman"/>
          <w:sz w:val="30"/>
          <w:szCs w:val="30"/>
        </w:rPr>
        <w:t>附件6：</w:t>
      </w:r>
    </w:p>
    <w:p>
      <w:pPr>
        <w:rPr>
          <w:rFonts w:hint="default" w:ascii="Times New Roman" w:hAnsi="Times New Roman" w:cs="Times New Roman"/>
        </w:rPr>
      </w:pPr>
    </w:p>
    <w:p>
      <w:pPr>
        <w:spacing w:line="588" w:lineRule="exact"/>
        <w:jc w:val="center"/>
        <w:rPr>
          <w:rFonts w:hint="default" w:ascii="Times New Roman" w:hAnsi="Times New Roman" w:cs="Times New Roman"/>
          <w:b/>
          <w:spacing w:val="6"/>
          <w:sz w:val="32"/>
          <w:szCs w:val="32"/>
        </w:rPr>
      </w:pPr>
      <w:r>
        <w:rPr>
          <w:rFonts w:hint="default" w:ascii="Times New Roman" w:hAnsi="Times New Roman" w:cs="Times New Roman"/>
          <w:b/>
          <w:spacing w:val="6"/>
          <w:sz w:val="32"/>
          <w:szCs w:val="32"/>
        </w:rPr>
        <w:t>残疾人福利性单位声明函</w:t>
      </w:r>
    </w:p>
    <w:p>
      <w:pPr>
        <w:pStyle w:val="4"/>
        <w:jc w:val="center"/>
        <w:rPr>
          <w:rFonts w:hint="default" w:ascii="Times New Roman" w:hAnsi="Times New Roman" w:eastAsia="宋体" w:cs="Times New Roman"/>
          <w:b/>
          <w:color w:val="auto"/>
          <w:spacing w:val="6"/>
          <w:sz w:val="30"/>
          <w:szCs w:val="30"/>
        </w:rPr>
      </w:pPr>
      <w:r>
        <w:rPr>
          <w:rFonts w:hint="default" w:ascii="Times New Roman" w:hAnsi="Times New Roman" w:eastAsia="宋体" w:cs="Times New Roman"/>
          <w:b/>
          <w:color w:val="auto"/>
          <w:spacing w:val="6"/>
          <w:sz w:val="30"/>
          <w:szCs w:val="30"/>
        </w:rPr>
        <w:t>【不属于</w:t>
      </w:r>
      <w:r>
        <w:rPr>
          <w:rFonts w:hint="default" w:ascii="Times New Roman" w:hAnsi="Times New Roman" w:eastAsia="宋体" w:cs="Times New Roman"/>
          <w:b/>
          <w:color w:val="auto"/>
          <w:spacing w:val="6"/>
          <w:sz w:val="32"/>
          <w:szCs w:val="32"/>
        </w:rPr>
        <w:t>残疾人福利性</w:t>
      </w:r>
      <w:r>
        <w:rPr>
          <w:rFonts w:hint="default" w:ascii="Times New Roman" w:hAnsi="Times New Roman" w:eastAsia="宋体" w:cs="Times New Roman"/>
          <w:b/>
          <w:color w:val="auto"/>
          <w:spacing w:val="6"/>
          <w:sz w:val="30"/>
          <w:szCs w:val="30"/>
        </w:rPr>
        <w:t>企业，不用提供此函】</w:t>
      </w:r>
    </w:p>
    <w:p>
      <w:pPr>
        <w:rPr>
          <w:rFonts w:hint="default" w:ascii="Times New Roman" w:hAnsi="Times New Roman" w:cs="Times New Roman"/>
        </w:rPr>
      </w:pPr>
    </w:p>
    <w:p>
      <w:pPr>
        <w:snapToGrid w:val="0"/>
        <w:spacing w:line="360" w:lineRule="auto"/>
        <w:ind w:firstLine="840" w:firstLineChars="300"/>
        <w:rPr>
          <w:rFonts w:hint="default" w:ascii="Times New Roman" w:hAnsi="Times New Roman" w:cs="Times New Roman"/>
          <w:sz w:val="28"/>
          <w:szCs w:val="28"/>
        </w:rPr>
      </w:pPr>
      <w:r>
        <w:rPr>
          <w:rFonts w:hint="default" w:ascii="Times New Roman" w:hAnsi="Times New Roman" w:cs="Times New Roman"/>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本单位对上述声明的真实性负责。如有虚假，将依法承担相应责任。</w:t>
      </w:r>
    </w:p>
    <w:p>
      <w:pPr>
        <w:snapToGrid w:val="0"/>
        <w:spacing w:line="360" w:lineRule="auto"/>
        <w:ind w:firstLine="560" w:firstLineChars="200"/>
        <w:rPr>
          <w:rFonts w:hint="default" w:ascii="Times New Roman" w:hAnsi="Times New Roman" w:cs="Times New Roman"/>
          <w:sz w:val="28"/>
          <w:szCs w:val="28"/>
        </w:rPr>
      </w:pPr>
    </w:p>
    <w:p>
      <w:pPr>
        <w:spacing w:line="588" w:lineRule="exact"/>
        <w:ind w:firstLine="624" w:firstLineChars="200"/>
        <w:rPr>
          <w:rFonts w:hint="default" w:ascii="Times New Roman" w:hAnsi="Times New Roman" w:cs="Times New Roman"/>
          <w:spacing w:val="6"/>
          <w:sz w:val="30"/>
          <w:szCs w:val="30"/>
        </w:rPr>
      </w:pPr>
    </w:p>
    <w:p>
      <w:pPr>
        <w:snapToGrid w:val="0"/>
        <w:spacing w:line="360" w:lineRule="auto"/>
        <w:ind w:firstLine="560" w:firstLineChars="200"/>
        <w:jc w:val="right"/>
        <w:rPr>
          <w:rFonts w:hint="default" w:ascii="Times New Roman" w:hAnsi="Times New Roman" w:cs="Times New Roman"/>
          <w:sz w:val="28"/>
          <w:szCs w:val="28"/>
        </w:rPr>
      </w:pPr>
      <w:r>
        <w:rPr>
          <w:rFonts w:hint="default" w:ascii="Times New Roman" w:hAnsi="Times New Roman" w:cs="Times New Roman"/>
          <w:sz w:val="28"/>
          <w:szCs w:val="28"/>
        </w:rPr>
        <w:t xml:space="preserve">      投标人名称（盖章）：</w:t>
      </w:r>
    </w:p>
    <w:p>
      <w:pPr>
        <w:snapToGrid w:val="0"/>
        <w:spacing w:line="360" w:lineRule="auto"/>
        <w:ind w:firstLine="560" w:firstLineChars="200"/>
        <w:jc w:val="right"/>
        <w:rPr>
          <w:rFonts w:hint="default" w:ascii="Times New Roman" w:hAnsi="Times New Roman" w:cs="Times New Roman"/>
          <w:sz w:val="28"/>
          <w:szCs w:val="28"/>
        </w:rPr>
      </w:pPr>
      <w:r>
        <w:rPr>
          <w:rFonts w:hint="default" w:ascii="Times New Roman" w:hAnsi="Times New Roman" w:cs="Times New Roman"/>
          <w:sz w:val="28"/>
          <w:szCs w:val="28"/>
        </w:rPr>
        <w:t xml:space="preserve">       日  期：</w:t>
      </w:r>
    </w:p>
    <w:p>
      <w:pPr>
        <w:rPr>
          <w:rFonts w:hint="default" w:ascii="Times New Roman" w:hAnsi="Times New Roman" w:cs="Times New Roman"/>
        </w:rPr>
      </w:pPr>
    </w:p>
    <w:p>
      <w:pPr>
        <w:rPr>
          <w:rFonts w:hint="default" w:ascii="Times New Roman" w:hAnsi="Times New Roman" w:cs="Times New Roman"/>
        </w:rPr>
      </w:pPr>
    </w:p>
    <w:p>
      <w:pPr>
        <w:jc w:val="left"/>
        <w:rPr>
          <w:rFonts w:hint="default" w:ascii="Times New Roman" w:hAnsi="Times New Roman" w:cs="Times New Roman"/>
        </w:rPr>
      </w:pPr>
      <w:r>
        <w:rPr>
          <w:rFonts w:hint="default" w:ascii="Times New Roman" w:hAnsi="Times New Roman" w:cs="Times New Roman"/>
          <w:b/>
          <w:bCs/>
          <w:sz w:val="30"/>
          <w:szCs w:val="30"/>
        </w:rPr>
        <w:br w:type="page"/>
      </w:r>
      <w:r>
        <w:rPr>
          <w:rFonts w:hint="default" w:ascii="Times New Roman" w:hAnsi="Times New Roman" w:cs="Times New Roman"/>
          <w:sz w:val="30"/>
          <w:szCs w:val="30"/>
        </w:rPr>
        <w:t>附件7：</w:t>
      </w:r>
    </w:p>
    <w:p>
      <w:pPr>
        <w:pStyle w:val="21"/>
        <w:adjustRightInd w:val="0"/>
        <w:snapToGrid w:val="0"/>
        <w:spacing w:line="360" w:lineRule="auto"/>
        <w:rPr>
          <w:rFonts w:hint="default" w:ascii="Times New Roman" w:hAnsi="Times New Roman" w:cs="Times New Roman"/>
          <w:b/>
          <w:bCs/>
          <w:sz w:val="30"/>
          <w:szCs w:val="30"/>
        </w:rPr>
      </w:pPr>
    </w:p>
    <w:p>
      <w:pPr>
        <w:pStyle w:val="21"/>
        <w:adjustRightInd w:val="0"/>
        <w:snapToGrid w:val="0"/>
        <w:spacing w:line="360" w:lineRule="auto"/>
        <w:jc w:val="center"/>
        <w:rPr>
          <w:rFonts w:hint="default" w:ascii="Times New Roman" w:hAnsi="Times New Roman" w:cs="Times New Roman"/>
          <w:sz w:val="44"/>
          <w:szCs w:val="44"/>
        </w:rPr>
      </w:pPr>
      <w:r>
        <w:rPr>
          <w:rFonts w:hint="default" w:ascii="Times New Roman" w:hAnsi="Times New Roman" w:cs="Times New Roman"/>
          <w:b/>
          <w:bCs/>
          <w:sz w:val="32"/>
          <w:szCs w:val="32"/>
        </w:rPr>
        <w:t>监狱企业声明函</w:t>
      </w:r>
    </w:p>
    <w:p>
      <w:pPr>
        <w:adjustRightInd w:val="0"/>
        <w:snapToGrid w:val="0"/>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【不属于监狱企业，不用提供此函】</w:t>
      </w:r>
    </w:p>
    <w:p>
      <w:pPr>
        <w:adjustRightInd w:val="0"/>
        <w:snapToGrid w:val="0"/>
        <w:spacing w:line="360" w:lineRule="auto"/>
        <w:ind w:firstLine="560" w:firstLineChars="200"/>
        <w:rPr>
          <w:rFonts w:hint="default" w:ascii="Times New Roman" w:hAnsi="Times New Roman" w:cs="Times New Roman"/>
          <w:sz w:val="28"/>
          <w:szCs w:val="28"/>
        </w:rPr>
      </w:pPr>
    </w:p>
    <w:p>
      <w:pPr>
        <w:adjustRightInd w:val="0"/>
        <w:snapToGrid w:val="0"/>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本企业郑重声明，根据《关于政府采购支持监狱企业发展有关问题的通知》（财库[2014]68号）的规定，本企业为监狱企业。</w:t>
      </w:r>
    </w:p>
    <w:p>
      <w:pPr>
        <w:adjustRightInd w:val="0"/>
        <w:snapToGrid w:val="0"/>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根据上述标准，我企业属于监狱企业的理由为：         。</w:t>
      </w:r>
    </w:p>
    <w:p>
      <w:pPr>
        <w:adjustRightInd w:val="0"/>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本企业参加______单位的______项目采购活动提供本企业的产品。</w:t>
      </w:r>
    </w:p>
    <w:p>
      <w:pPr>
        <w:adjustRightInd w:val="0"/>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本企业对上述声明的真实性负责。如有虚假，将依法承担相应责任。</w:t>
      </w:r>
    </w:p>
    <w:p>
      <w:pPr>
        <w:adjustRightInd w:val="0"/>
        <w:snapToGrid w:val="0"/>
        <w:spacing w:line="360" w:lineRule="auto"/>
        <w:ind w:firstLine="560" w:firstLineChars="200"/>
        <w:jc w:val="center"/>
        <w:rPr>
          <w:rFonts w:hint="default" w:ascii="Times New Roman" w:hAnsi="Times New Roman" w:cs="Times New Roman"/>
          <w:sz w:val="28"/>
          <w:szCs w:val="28"/>
        </w:rPr>
      </w:pPr>
    </w:p>
    <w:p>
      <w:pPr>
        <w:pStyle w:val="21"/>
        <w:adjustRightInd w:val="0"/>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投标人全称：                      （盖单位公章）</w:t>
      </w:r>
    </w:p>
    <w:p>
      <w:pPr>
        <w:pStyle w:val="21"/>
        <w:adjustRightInd w:val="0"/>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日期： 年  月  日</w:t>
      </w:r>
    </w:p>
    <w:p>
      <w:pPr>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监狱企业参加政府采购活动时，应当提供由省级以上监狱管理局、戒毒管理局（含新疆生产建设兵团）出具的属于监狱企业的证明文件。</w:t>
      </w:r>
    </w:p>
    <w:p>
      <w:pPr>
        <w:snapToGrid w:val="0"/>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val="0"/>
        <w:spacing w:before="240"/>
        <w:jc w:val="center"/>
        <w:rPr>
          <w:rFonts w:hint="default" w:ascii="Times New Roman" w:hAnsi="Times New Roman" w:cs="Times New Roman"/>
          <w:sz w:val="28"/>
          <w:szCs w:val="28"/>
        </w:rPr>
      </w:pPr>
    </w:p>
    <w:p>
      <w:pPr>
        <w:widowControl w:val="0"/>
        <w:spacing w:before="240"/>
        <w:jc w:val="center"/>
        <w:rPr>
          <w:rFonts w:hint="default" w:ascii="Times New Roman" w:hAnsi="Times New Roman" w:cs="Times New Roman"/>
          <w:sz w:val="28"/>
          <w:szCs w:val="28"/>
        </w:rPr>
      </w:pPr>
    </w:p>
    <w:p>
      <w:pPr>
        <w:widowControl w:val="0"/>
        <w:snapToGrid w:val="0"/>
        <w:spacing w:line="900" w:lineRule="exact"/>
        <w:jc w:val="center"/>
        <w:rPr>
          <w:rFonts w:hint="default" w:ascii="Times New Roman" w:hAnsi="Times New Roman" w:cs="Times New Roman"/>
          <w:sz w:val="28"/>
          <w:szCs w:val="28"/>
        </w:rPr>
      </w:pPr>
    </w:p>
    <w:p>
      <w:pPr>
        <w:pStyle w:val="17"/>
        <w:rPr>
          <w:rFonts w:hint="default" w:ascii="Times New Roman" w:hAnsi="Times New Roman" w:cs="Times New Roman"/>
          <w:sz w:val="28"/>
          <w:szCs w:val="28"/>
        </w:rPr>
      </w:pPr>
    </w:p>
    <w:p>
      <w:pPr>
        <w:pStyle w:val="17"/>
        <w:rPr>
          <w:rFonts w:hint="default" w:ascii="Times New Roman" w:hAnsi="Times New Roman" w:cs="Times New Roman"/>
          <w:sz w:val="28"/>
          <w:szCs w:val="28"/>
        </w:rPr>
      </w:pPr>
    </w:p>
    <w:p>
      <w:pPr>
        <w:snapToGrid w:val="0"/>
        <w:spacing w:before="164" w:beforeLines="50" w:after="50" w:line="460" w:lineRule="exact"/>
        <w:rPr>
          <w:rFonts w:hint="default" w:ascii="Times New Roman" w:hAnsi="Times New Roman" w:cs="Times New Roman"/>
          <w:spacing w:val="20"/>
          <w:sz w:val="30"/>
          <w:szCs w:val="30"/>
        </w:rPr>
      </w:pPr>
      <w:r>
        <w:rPr>
          <w:rFonts w:hint="default" w:ascii="Times New Roman" w:hAnsi="Times New Roman" w:cs="Times New Roman"/>
          <w:sz w:val="30"/>
          <w:szCs w:val="30"/>
        </w:rPr>
        <w:t>附件8：</w:t>
      </w:r>
    </w:p>
    <w:p>
      <w:pPr>
        <w:pStyle w:val="8"/>
        <w:overflowPunct w:val="0"/>
        <w:spacing w:line="360" w:lineRule="auto"/>
        <w:ind w:firstLine="0"/>
        <w:jc w:val="center"/>
        <w:rPr>
          <w:rFonts w:hint="default" w:ascii="Times New Roman" w:hAnsi="Times New Roman" w:cs="Times New Roman"/>
          <w:b/>
          <w:color w:val="auto"/>
          <w:spacing w:val="40"/>
          <w:kern w:val="0"/>
          <w:sz w:val="30"/>
          <w:szCs w:val="30"/>
        </w:rPr>
      </w:pPr>
      <w:r>
        <w:rPr>
          <w:rFonts w:hint="default" w:ascii="Times New Roman" w:hAnsi="Times New Roman" w:cs="Times New Roman"/>
          <w:b/>
          <w:color w:val="auto"/>
          <w:spacing w:val="40"/>
          <w:kern w:val="0"/>
          <w:sz w:val="30"/>
          <w:szCs w:val="30"/>
        </w:rPr>
        <w:t>联合投标协议书</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甲方：</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乙方：</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（如果有的话，可按甲、乙、丙、丁…序列增加）</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各方经协商，就响应 组织实施的编号为号的招标活动联合进行投标之事宜，达成如下协议：</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一、各方一致决定，以  为主办人进行投标，并按照招标文件的规定分别提交资格文件。</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三、联合投标其余各方保证对主办人为响应本次招标而提供的产品和服务提供全部质量保证及售后服务支持。</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四、本次联合投标中，甲方承担的工作和义务为:</w:t>
      </w:r>
    </w:p>
    <w:p>
      <w:pPr>
        <w:pStyle w:val="8"/>
        <w:overflowPunct w:val="0"/>
        <w:spacing w:line="460" w:lineRule="exact"/>
        <w:ind w:firstLine="642" w:firstLineChars="214"/>
        <w:rPr>
          <w:rFonts w:hint="default" w:ascii="Times New Roman" w:hAnsi="Times New Roman" w:cs="Times New Roman"/>
          <w:color w:val="auto"/>
          <w:sz w:val="30"/>
          <w:szCs w:val="30"/>
          <w:u w:val="single"/>
        </w:rPr>
      </w:pP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乙方承担的工作和义务为：</w:t>
      </w:r>
    </w:p>
    <w:p>
      <w:pPr>
        <w:pStyle w:val="8"/>
        <w:overflowPunct w:val="0"/>
        <w:spacing w:line="460" w:lineRule="exact"/>
        <w:ind w:firstLine="642" w:firstLineChars="214"/>
        <w:rPr>
          <w:rFonts w:hint="default" w:ascii="Times New Roman" w:hAnsi="Times New Roman" w:cs="Times New Roman"/>
          <w:color w:val="auto"/>
          <w:sz w:val="30"/>
          <w:szCs w:val="30"/>
        </w:rPr>
      </w:pP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五、有关本次联合投标的其他事宜：</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六、本协议提交招标方后，联合投标各方不得以任何形式对上述实质内容进行修改或撤销。</w:t>
      </w:r>
    </w:p>
    <w:p>
      <w:pPr>
        <w:pStyle w:val="8"/>
        <w:overflowPunct w:val="0"/>
        <w:spacing w:line="460" w:lineRule="exact"/>
        <w:ind w:firstLine="642" w:firstLineChars="214"/>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七、本协议签约各方各持一份，并作为投标文件的一部分。</w:t>
      </w:r>
    </w:p>
    <w:tbl>
      <w:tblPr>
        <w:tblStyle w:val="36"/>
        <w:tblW w:w="8528" w:type="dxa"/>
        <w:jc w:val="center"/>
        <w:tblInd w:w="0" w:type="dxa"/>
        <w:tblLayout w:type="fixed"/>
        <w:tblCellMar>
          <w:top w:w="0" w:type="dxa"/>
          <w:left w:w="108" w:type="dxa"/>
          <w:bottom w:w="0" w:type="dxa"/>
          <w:right w:w="108" w:type="dxa"/>
        </w:tblCellMar>
      </w:tblPr>
      <w:tblGrid>
        <w:gridCol w:w="4264"/>
        <w:gridCol w:w="4264"/>
      </w:tblGrid>
      <w:tr>
        <w:tblPrEx>
          <w:tblLayout w:type="fixed"/>
          <w:tblCellMar>
            <w:top w:w="0" w:type="dxa"/>
            <w:left w:w="108" w:type="dxa"/>
            <w:bottom w:w="0" w:type="dxa"/>
            <w:right w:w="108" w:type="dxa"/>
          </w:tblCellMar>
        </w:tblPrEx>
        <w:trPr>
          <w:jc w:val="center"/>
        </w:trPr>
        <w:tc>
          <w:tcPr>
            <w:tcW w:w="4264" w:type="dxa"/>
            <w:noWrap/>
          </w:tcPr>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甲方单位：       （公章）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法定代表人：     （签章）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日  期：  年  月   日</w:t>
            </w:r>
          </w:p>
        </w:tc>
        <w:tc>
          <w:tcPr>
            <w:tcW w:w="4264" w:type="dxa"/>
            <w:noWrap/>
          </w:tcPr>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乙方单位：       （公章）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法定代表人：     （签章）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日  期：  年  月   日</w:t>
            </w:r>
          </w:p>
        </w:tc>
      </w:tr>
    </w:tbl>
    <w:p>
      <w:pPr>
        <w:pStyle w:val="8"/>
        <w:overflowPunct w:val="0"/>
        <w:spacing w:line="460" w:lineRule="exact"/>
        <w:ind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br w:type="page"/>
      </w:r>
      <w:r>
        <w:rPr>
          <w:rFonts w:hint="default" w:ascii="Times New Roman" w:hAnsi="Times New Roman" w:cs="Times New Roman"/>
          <w:color w:val="auto"/>
          <w:sz w:val="30"/>
          <w:szCs w:val="30"/>
        </w:rPr>
        <w:t>附件9：</w:t>
      </w:r>
    </w:p>
    <w:p>
      <w:pPr>
        <w:pStyle w:val="8"/>
        <w:overflowPunct w:val="0"/>
        <w:spacing w:line="460" w:lineRule="exact"/>
        <w:jc w:val="cente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联合投标授权委托书</w:t>
      </w:r>
    </w:p>
    <w:p>
      <w:pPr>
        <w:pStyle w:val="8"/>
        <w:overflowPunct w:val="0"/>
        <w:spacing w:line="460" w:lineRule="exact"/>
        <w:rPr>
          <w:rFonts w:hint="default" w:ascii="Times New Roman" w:hAnsi="Times New Roman" w:cs="Times New Roman"/>
          <w:color w:val="auto"/>
          <w:sz w:val="30"/>
          <w:szCs w:val="30"/>
        </w:rPr>
      </w:pPr>
    </w:p>
    <w:p>
      <w:pPr>
        <w:pStyle w:val="8"/>
        <w:overflowPunct w:val="0"/>
        <w:spacing w:line="460" w:lineRule="exact"/>
        <w:rPr>
          <w:rFonts w:hint="default" w:ascii="Times New Roman" w:hAnsi="Times New Roman" w:cs="Times New Roman"/>
          <w:color w:val="auto"/>
          <w:sz w:val="30"/>
          <w:szCs w:val="30"/>
        </w:rPr>
      </w:pPr>
      <w:r>
        <w:rPr>
          <w:rFonts w:hint="default" w:ascii="Times New Roman" w:hAnsi="Times New Roman" w:cs="Times New Roman"/>
          <w:color w:val="auto"/>
          <w:sz w:val="30"/>
          <w:szCs w:val="30"/>
        </w:rPr>
        <w:t xml:space="preserve"> 本授权委托书声明：根据 与签订的《联合投标协议书》的内容，主办人的法定代表人现授权 为联合投标代理人，代理人在投标、开标、评标、合同谈判过程中所签署的一切文件和处理与这有关的一切事务， 联合投标各方均予以认可并遵守。</w:t>
      </w:r>
    </w:p>
    <w:p>
      <w:pPr>
        <w:pStyle w:val="8"/>
        <w:overflowPunct w:val="0"/>
        <w:spacing w:line="460" w:lineRule="exact"/>
        <w:rPr>
          <w:rFonts w:hint="default" w:ascii="Times New Roman" w:hAnsi="Times New Roman" w:cs="Times New Roman"/>
          <w:color w:val="auto"/>
          <w:sz w:val="30"/>
          <w:szCs w:val="30"/>
        </w:rPr>
      </w:pPr>
      <w:r>
        <w:rPr>
          <w:rFonts w:hint="default" w:ascii="Times New Roman" w:hAnsi="Times New Roman" w:cs="Times New Roman"/>
          <w:color w:val="auto"/>
          <w:sz w:val="30"/>
          <w:szCs w:val="30"/>
        </w:rPr>
        <w:t xml:space="preserve"> 特此委托。</w:t>
      </w:r>
    </w:p>
    <w:p>
      <w:pPr>
        <w:pStyle w:val="8"/>
        <w:overflowPunct w:val="0"/>
        <w:spacing w:line="460" w:lineRule="exact"/>
        <w:rPr>
          <w:rFonts w:hint="default" w:ascii="Times New Roman" w:hAnsi="Times New Roman" w:cs="Times New Roman"/>
          <w:color w:val="auto"/>
          <w:sz w:val="30"/>
          <w:szCs w:val="30"/>
        </w:rPr>
      </w:pPr>
    </w:p>
    <w:p>
      <w:pPr>
        <w:pStyle w:val="8"/>
        <w:overflowPunct w:val="0"/>
        <w:spacing w:line="460" w:lineRule="exact"/>
        <w:ind w:firstLine="600" w:firstLineChars="20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授权人（签名）：</w:t>
      </w:r>
    </w:p>
    <w:p>
      <w:pPr>
        <w:pStyle w:val="8"/>
        <w:overflowPunct w:val="0"/>
        <w:spacing w:line="460" w:lineRule="exact"/>
        <w:ind w:firstLine="600" w:firstLineChars="200"/>
        <w:rPr>
          <w:rFonts w:hint="default" w:ascii="Times New Roman" w:hAnsi="Times New Roman" w:cs="Times New Roman"/>
          <w:color w:val="auto"/>
          <w:sz w:val="30"/>
          <w:szCs w:val="30"/>
        </w:rPr>
      </w:pPr>
    </w:p>
    <w:p>
      <w:pPr>
        <w:pStyle w:val="8"/>
        <w:overflowPunct w:val="0"/>
        <w:spacing w:line="460" w:lineRule="exact"/>
        <w:ind w:left="420" w:leftChars="200" w:firstLine="150" w:firstLineChars="5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日期：    年  月  日</w:t>
      </w:r>
    </w:p>
    <w:p>
      <w:pPr>
        <w:pStyle w:val="8"/>
        <w:overflowPunct w:val="0"/>
        <w:spacing w:line="460" w:lineRule="exact"/>
        <w:rPr>
          <w:rFonts w:hint="default" w:ascii="Times New Roman" w:hAnsi="Times New Roman" w:cs="Times New Roman"/>
          <w:color w:val="auto"/>
          <w:sz w:val="30"/>
          <w:szCs w:val="30"/>
        </w:rPr>
      </w:pPr>
    </w:p>
    <w:p>
      <w:pPr>
        <w:pStyle w:val="8"/>
        <w:overflowPunct w:val="0"/>
        <w:spacing w:line="460" w:lineRule="exact"/>
        <w:ind w:firstLine="570" w:firstLineChars="19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授权代表（签名）；</w:t>
      </w:r>
    </w:p>
    <w:p>
      <w:pPr>
        <w:pStyle w:val="8"/>
        <w:overflowPunct w:val="0"/>
        <w:spacing w:line="460" w:lineRule="exact"/>
        <w:ind w:firstLine="570" w:firstLineChars="190"/>
        <w:rPr>
          <w:rFonts w:hint="default" w:ascii="Times New Roman" w:hAnsi="Times New Roman" w:cs="Times New Roman"/>
          <w:color w:val="auto"/>
          <w:sz w:val="30"/>
          <w:szCs w:val="30"/>
        </w:rPr>
      </w:pPr>
    </w:p>
    <w:p>
      <w:pPr>
        <w:pStyle w:val="8"/>
        <w:overflowPunct w:val="0"/>
        <w:spacing w:line="460" w:lineRule="exact"/>
        <w:ind w:firstLine="570" w:firstLineChars="19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日期：    年  月  日</w:t>
      </w:r>
    </w:p>
    <w:p>
      <w:pPr>
        <w:tabs>
          <w:tab w:val="left" w:pos="606"/>
        </w:tabs>
        <w:spacing w:line="460" w:lineRule="exact"/>
        <w:rPr>
          <w:rFonts w:hint="default" w:ascii="Times New Roman" w:hAnsi="Times New Roman" w:cs="Times New Roman"/>
          <w:spacing w:val="20"/>
          <w:sz w:val="30"/>
          <w:szCs w:val="30"/>
        </w:rPr>
      </w:pPr>
    </w:p>
    <w:p>
      <w:pPr>
        <w:tabs>
          <w:tab w:val="left" w:pos="606"/>
        </w:tabs>
        <w:spacing w:line="460" w:lineRule="exact"/>
        <w:rPr>
          <w:rFonts w:hint="default" w:ascii="Times New Roman" w:hAnsi="Times New Roman" w:cs="Times New Roman"/>
          <w:spacing w:val="20"/>
          <w:sz w:val="30"/>
          <w:szCs w:val="30"/>
        </w:rPr>
      </w:pPr>
    </w:p>
    <w:tbl>
      <w:tblPr>
        <w:tblStyle w:val="36"/>
        <w:tblW w:w="8528" w:type="dxa"/>
        <w:jc w:val="center"/>
        <w:tblInd w:w="0" w:type="dxa"/>
        <w:tblLayout w:type="fixed"/>
        <w:tblCellMar>
          <w:top w:w="0" w:type="dxa"/>
          <w:left w:w="108" w:type="dxa"/>
          <w:bottom w:w="0" w:type="dxa"/>
          <w:right w:w="108" w:type="dxa"/>
        </w:tblCellMar>
      </w:tblPr>
      <w:tblGrid>
        <w:gridCol w:w="4264"/>
        <w:gridCol w:w="4264"/>
      </w:tblGrid>
      <w:tr>
        <w:tblPrEx>
          <w:tblLayout w:type="fixed"/>
          <w:tblCellMar>
            <w:top w:w="0" w:type="dxa"/>
            <w:left w:w="108" w:type="dxa"/>
            <w:bottom w:w="0" w:type="dxa"/>
            <w:right w:w="108" w:type="dxa"/>
          </w:tblCellMar>
        </w:tblPrEx>
        <w:trPr>
          <w:jc w:val="center"/>
        </w:trPr>
        <w:tc>
          <w:tcPr>
            <w:tcW w:w="4264" w:type="dxa"/>
            <w:noWrap/>
          </w:tcPr>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联合体甲方单位：   （公章）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法定代表人：     （签章）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日  期：  年  月   日</w:t>
            </w:r>
          </w:p>
        </w:tc>
        <w:tc>
          <w:tcPr>
            <w:tcW w:w="4264" w:type="dxa"/>
            <w:noWrap/>
          </w:tcPr>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联合体乙方单位：   （公章）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法定代表人：     （签章）</w:t>
            </w: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p>
          <w:p>
            <w:pPr>
              <w:pStyle w:val="8"/>
              <w:keepNext w:val="0"/>
              <w:keepLines w:val="0"/>
              <w:widowControl/>
              <w:suppressLineNumbers w:val="0"/>
              <w:overflowPunct w:val="0"/>
              <w:spacing w:before="0" w:beforeAutospacing="0" w:after="0" w:afterAutospacing="0" w:line="460" w:lineRule="exact"/>
              <w:ind w:left="0" w:right="0" w:firstLine="0"/>
              <w:rPr>
                <w:rFonts w:hint="default" w:ascii="Times New Roman" w:hAnsi="Times New Roman" w:cs="Times New Roman"/>
                <w:color w:val="auto"/>
                <w:sz w:val="30"/>
                <w:szCs w:val="30"/>
              </w:rPr>
            </w:pPr>
            <w:r>
              <w:rPr>
                <w:rFonts w:hint="default" w:ascii="Times New Roman" w:hAnsi="Times New Roman" w:cs="Times New Roman"/>
                <w:color w:val="auto"/>
                <w:sz w:val="30"/>
                <w:szCs w:val="30"/>
              </w:rPr>
              <w:t>日  期：  年  月   日</w:t>
            </w:r>
          </w:p>
        </w:tc>
      </w:tr>
    </w:tbl>
    <w:p>
      <w:pPr>
        <w:snapToGrid w:val="0"/>
        <w:spacing w:before="120" w:beforeLines="50" w:after="50"/>
        <w:rPr>
          <w:rFonts w:hint="default" w:ascii="Times New Roman" w:hAnsi="Times New Roman" w:cs="Times New Roman"/>
          <w:b/>
          <w:sz w:val="30"/>
          <w:szCs w:val="30"/>
        </w:rPr>
      </w:pPr>
      <w:r>
        <w:rPr>
          <w:rFonts w:hint="default" w:ascii="Times New Roman" w:hAnsi="Times New Roman" w:cs="Times New Roman"/>
        </w:rPr>
        <w:br w:type="page"/>
      </w:r>
      <w:r>
        <w:rPr>
          <w:rFonts w:hint="default" w:ascii="Times New Roman" w:hAnsi="Times New Roman" w:cs="Times New Roman"/>
          <w:sz w:val="30"/>
          <w:szCs w:val="30"/>
        </w:rPr>
        <w:t>附件</w:t>
      </w:r>
      <w:r>
        <w:rPr>
          <w:rFonts w:hint="default" w:ascii="Times New Roman" w:hAnsi="Times New Roman" w:cs="Times New Roman"/>
          <w:sz w:val="30"/>
          <w:szCs w:val="30"/>
          <w:lang w:val="en-US" w:eastAsia="zh-CN"/>
        </w:rPr>
        <w:t>10</w:t>
      </w:r>
      <w:r>
        <w:rPr>
          <w:rFonts w:hint="default" w:ascii="Times New Roman" w:hAnsi="Times New Roman" w:cs="Times New Roman"/>
          <w:b/>
          <w:sz w:val="30"/>
          <w:szCs w:val="30"/>
        </w:rPr>
        <w:t xml:space="preserve">：                                     </w:t>
      </w:r>
    </w:p>
    <w:p>
      <w:pPr>
        <w:ind w:right="-110"/>
        <w:jc w:val="center"/>
        <w:rPr>
          <w:rFonts w:hint="default" w:ascii="Times New Roman" w:hAnsi="Times New Roman" w:cs="Times New Roman"/>
          <w:spacing w:val="40"/>
          <w:sz w:val="52"/>
          <w:szCs w:val="52"/>
        </w:rPr>
      </w:pPr>
      <w:r>
        <w:rPr>
          <w:rFonts w:hint="default" w:ascii="Times New Roman" w:hAnsi="Times New Roman" w:cs="Times New Roman"/>
          <w:spacing w:val="40"/>
          <w:sz w:val="52"/>
          <w:szCs w:val="52"/>
        </w:rPr>
        <w:t>项目名称</w:t>
      </w:r>
    </w:p>
    <w:p>
      <w:pPr>
        <w:spacing w:before="240" w:beforeLines="100" w:line="240" w:lineRule="atLeast"/>
        <w:jc w:val="center"/>
        <w:rPr>
          <w:rFonts w:hint="default" w:ascii="Times New Roman" w:hAnsi="Times New Roman" w:cs="Times New Roman"/>
          <w:sz w:val="36"/>
          <w:szCs w:val="36"/>
        </w:rPr>
      </w:pPr>
      <w:r>
        <w:rPr>
          <w:rFonts w:hint="default" w:ascii="Times New Roman" w:hAnsi="Times New Roman" w:cs="Times New Roman"/>
          <w:sz w:val="36"/>
          <w:szCs w:val="36"/>
        </w:rPr>
        <w:t>项目编号：                   （标项  ）</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技</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术</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及</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商</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务</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文</w:t>
      </w:r>
    </w:p>
    <w:p>
      <w:pPr>
        <w:spacing w:line="1200" w:lineRule="exact"/>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件</w:t>
      </w:r>
    </w:p>
    <w:p>
      <w:pPr>
        <w:spacing w:line="600" w:lineRule="exact"/>
        <w:ind w:right="532"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投标人全称：</w:t>
      </w:r>
    </w:p>
    <w:p>
      <w:pPr>
        <w:spacing w:line="600" w:lineRule="exact"/>
        <w:ind w:right="-108"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地    址：</w:t>
      </w:r>
    </w:p>
    <w:p>
      <w:pPr>
        <w:spacing w:line="600" w:lineRule="exact"/>
        <w:ind w:right="-108"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时    间：</w:t>
      </w:r>
    </w:p>
    <w:p>
      <w:pPr>
        <w:snapToGrid w:val="0"/>
        <w:spacing w:before="50" w:after="50"/>
        <w:rPr>
          <w:rFonts w:hint="default" w:ascii="Times New Roman" w:hAnsi="Times New Roman" w:cs="Times New Roman"/>
          <w:sz w:val="30"/>
          <w:szCs w:val="30"/>
        </w:rPr>
      </w:pPr>
    </w:p>
    <w:p>
      <w:pPr>
        <w:snapToGrid w:val="0"/>
        <w:spacing w:before="50" w:after="50"/>
        <w:rPr>
          <w:rFonts w:hint="default" w:ascii="Times New Roman" w:hAnsi="Times New Roman" w:cs="Times New Roman"/>
          <w:sz w:val="30"/>
          <w:szCs w:val="30"/>
        </w:rPr>
      </w:pPr>
    </w:p>
    <w:p>
      <w:pPr>
        <w:snapToGrid w:val="0"/>
        <w:spacing w:before="50" w:after="50"/>
        <w:rPr>
          <w:rFonts w:hint="default" w:ascii="Times New Roman" w:hAnsi="Times New Roman" w:cs="Times New Roman"/>
          <w:b/>
          <w:bCs/>
          <w:sz w:val="36"/>
          <w:szCs w:val="36"/>
        </w:rPr>
      </w:pPr>
      <w:r>
        <w:rPr>
          <w:rFonts w:hint="default" w:ascii="Times New Roman" w:hAnsi="Times New Roman" w:cs="Times New Roman"/>
          <w:sz w:val="36"/>
          <w:szCs w:val="36"/>
        </w:rPr>
        <w:br w:type="page"/>
      </w:r>
      <w:r>
        <w:rPr>
          <w:rFonts w:hint="default" w:ascii="Times New Roman" w:hAnsi="Times New Roman" w:cs="Times New Roman"/>
          <w:sz w:val="36"/>
          <w:szCs w:val="36"/>
        </w:rPr>
        <w:t>2、</w:t>
      </w:r>
      <w:r>
        <w:rPr>
          <w:rFonts w:hint="default" w:ascii="Times New Roman" w:hAnsi="Times New Roman" w:cs="Times New Roman"/>
          <w:b/>
          <w:bCs/>
          <w:sz w:val="36"/>
          <w:szCs w:val="36"/>
        </w:rPr>
        <w:t>技术及商务文件目录</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（1）评分对应表（格式见附件，主要用于评委对应评分内容）</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（2）投标项目明细清单（含货物、服务等）；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（3）技术响应表（格式见附件）；</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（4）项目总体解决方案（可包含且不限于对项目总体要求的理解、项目总体架构及技术解决方案等）；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（5）项目实施计划（可包含且不限于保证工期的施工组织方案及人力资源安排、项目组人员清单等）；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（6）列入政府采购节能环保清单的证明资料（若有）；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（7）商务响应表（格式见附件）；</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（8）售后服务计划（可包含且不限于对用户故障的响应、处理、定期巡检、备品备件、常用耗材提供、驻点人员情况等）；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（9）技术培训计划（若有）；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（10）投标人履约能力（可包含且不限于技术力量情况、投标人各项能力证书）；</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（11）案例的业绩证明（投标人业绩情况一览表、合同复印件等）；</w:t>
      </w:r>
    </w:p>
    <w:p>
      <w:pPr>
        <w:snapToGrid w:val="0"/>
        <w:spacing w:line="460" w:lineRule="exact"/>
        <w:ind w:firstLine="600" w:firstLineChars="200"/>
        <w:jc w:val="left"/>
        <w:rPr>
          <w:rFonts w:hint="default" w:ascii="Times New Roman" w:hAnsi="Times New Roman" w:cs="Times New Roman"/>
          <w:sz w:val="30"/>
          <w:szCs w:val="30"/>
        </w:rPr>
      </w:pPr>
      <w:r>
        <w:rPr>
          <w:rFonts w:hint="default" w:ascii="Times New Roman" w:hAnsi="Times New Roman" w:cs="Times New Roman"/>
          <w:sz w:val="30"/>
          <w:szCs w:val="30"/>
        </w:rPr>
        <w:t>（12）投标人认为需要的其他文件资料。</w:t>
      </w:r>
    </w:p>
    <w:p>
      <w:pPr>
        <w:snapToGrid w:val="0"/>
        <w:spacing w:before="50" w:after="120" w:afterLines="50"/>
        <w:jc w:val="left"/>
        <w:rPr>
          <w:rFonts w:hint="default" w:ascii="Times New Roman" w:hAnsi="Times New Roman" w:cs="Times New Roman"/>
          <w:sz w:val="30"/>
          <w:szCs w:val="30"/>
        </w:rPr>
      </w:pPr>
    </w:p>
    <w:p>
      <w:pPr>
        <w:snapToGrid w:val="0"/>
        <w:spacing w:before="50"/>
        <w:jc w:val="left"/>
        <w:rPr>
          <w:rFonts w:hint="default" w:ascii="Times New Roman" w:hAnsi="Times New Roman" w:cs="Times New Roman"/>
          <w:sz w:val="30"/>
          <w:szCs w:val="30"/>
        </w:rPr>
      </w:pPr>
      <w:r>
        <w:rPr>
          <w:rFonts w:hint="default" w:ascii="Times New Roman" w:hAnsi="Times New Roman" w:cs="Times New Roman"/>
          <w:sz w:val="30"/>
          <w:szCs w:val="30"/>
        </w:rPr>
        <w:br w:type="page"/>
      </w:r>
      <w:r>
        <w:rPr>
          <w:rFonts w:hint="default" w:ascii="Times New Roman" w:hAnsi="Times New Roman" w:cs="Times New Roman"/>
          <w:sz w:val="30"/>
          <w:szCs w:val="30"/>
        </w:rPr>
        <w:t>附件</w:t>
      </w:r>
      <w:r>
        <w:rPr>
          <w:rFonts w:hint="default" w:ascii="Times New Roman" w:hAnsi="Times New Roman" w:cs="Times New Roman"/>
          <w:sz w:val="30"/>
          <w:szCs w:val="30"/>
          <w:lang w:val="en-US" w:eastAsia="zh-CN"/>
        </w:rPr>
        <w:t>11</w:t>
      </w:r>
      <w:r>
        <w:rPr>
          <w:rFonts w:hint="default" w:ascii="Times New Roman" w:hAnsi="Times New Roman" w:cs="Times New Roman"/>
          <w:sz w:val="30"/>
          <w:szCs w:val="30"/>
        </w:rPr>
        <w:t>：</w:t>
      </w:r>
    </w:p>
    <w:p>
      <w:pPr>
        <w:snapToGrid w:val="0"/>
        <w:spacing w:before="50" w:after="50"/>
        <w:jc w:val="center"/>
        <w:rPr>
          <w:rFonts w:hint="default" w:ascii="Times New Roman" w:hAnsi="Times New Roman" w:cs="Times New Roman"/>
          <w:b/>
          <w:sz w:val="36"/>
          <w:szCs w:val="36"/>
        </w:rPr>
      </w:pPr>
      <w:r>
        <w:rPr>
          <w:rFonts w:hint="default" w:ascii="Times New Roman" w:hAnsi="Times New Roman" w:cs="Times New Roman"/>
          <w:b/>
          <w:sz w:val="36"/>
          <w:szCs w:val="36"/>
        </w:rPr>
        <w:t>评分对应表</w:t>
      </w:r>
    </w:p>
    <w:p>
      <w:pPr>
        <w:snapToGrid w:val="0"/>
        <w:spacing w:before="50"/>
        <w:jc w:val="center"/>
        <w:rPr>
          <w:rFonts w:hint="default" w:ascii="Times New Roman" w:hAnsi="Times New Roman" w:cs="Times New Roman"/>
          <w:b/>
          <w:sz w:val="32"/>
          <w:szCs w:val="32"/>
        </w:rPr>
      </w:pPr>
    </w:p>
    <w:p>
      <w:pPr>
        <w:pStyle w:val="9"/>
        <w:snapToGrid w:val="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投标人全称（公章）：              标项：</w:t>
      </w:r>
    </w:p>
    <w:tbl>
      <w:tblPr>
        <w:tblStyle w:val="36"/>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sz w:val="30"/>
                <w:szCs w:val="30"/>
              </w:rPr>
            </w:pPr>
            <w:r>
              <w:rPr>
                <w:rFonts w:hint="default" w:ascii="Times New Roman" w:hAnsi="Times New Roman" w:cs="Times New Roman"/>
                <w:sz w:val="30"/>
                <w:szCs w:val="30"/>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sz w:val="30"/>
                <w:szCs w:val="30"/>
              </w:rPr>
            </w:pPr>
            <w:r>
              <w:rPr>
                <w:rFonts w:hint="default" w:ascii="Times New Roman" w:hAnsi="Times New Roman" w:cs="Times New Roman"/>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kern w:val="0"/>
                <w:sz w:val="30"/>
                <w:szCs w:val="30"/>
              </w:rPr>
            </w:pPr>
            <w:r>
              <w:rPr>
                <w:rFonts w:hint="default" w:ascii="Times New Roman" w:hAnsi="Times New Roman" w:cs="Times New Roman"/>
                <w:sz w:val="30"/>
                <w:szCs w:val="30"/>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r>
              <w:rPr>
                <w:rFonts w:hint="default" w:ascii="Times New Roman" w:hAnsi="Times New Roman" w:cs="Times New Roman"/>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r>
              <w:rPr>
                <w:rFonts w:hint="default" w:ascii="Times New Roman" w:hAnsi="Times New Roman" w:cs="Times New Roman"/>
                <w:sz w:val="30"/>
                <w:szCs w:val="30"/>
              </w:rPr>
              <w:t>……</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bl>
    <w:p>
      <w:pPr>
        <w:snapToGrid w:val="0"/>
        <w:spacing w:before="120" w:beforeLines="50"/>
        <w:rPr>
          <w:rFonts w:hint="default" w:ascii="Times New Roman" w:hAnsi="Times New Roman" w:cs="Times New Roman"/>
          <w:sz w:val="30"/>
          <w:szCs w:val="30"/>
          <w:u w:val="single"/>
        </w:rPr>
      </w:pPr>
      <w:r>
        <w:rPr>
          <w:rFonts w:hint="default" w:ascii="Times New Roman" w:hAnsi="Times New Roman" w:cs="Times New Roman"/>
          <w:sz w:val="30"/>
          <w:szCs w:val="30"/>
        </w:rPr>
        <w:t>授权代表签名：               日期：</w:t>
      </w:r>
    </w:p>
    <w:p>
      <w:pPr>
        <w:snapToGrid w:val="0"/>
        <w:spacing w:before="50" w:after="120" w:afterLines="50"/>
        <w:jc w:val="left"/>
        <w:rPr>
          <w:rFonts w:hint="default" w:ascii="Times New Roman" w:hAnsi="Times New Roman" w:cs="Times New Roman"/>
          <w:sz w:val="30"/>
          <w:szCs w:val="30"/>
        </w:rPr>
      </w:pPr>
      <w:r>
        <w:rPr>
          <w:rFonts w:hint="default" w:ascii="Times New Roman" w:hAnsi="Times New Roman" w:cs="Times New Roman"/>
          <w:sz w:val="30"/>
          <w:szCs w:val="30"/>
        </w:rPr>
        <w:br w:type="page"/>
      </w:r>
      <w:r>
        <w:rPr>
          <w:rFonts w:hint="default" w:ascii="Times New Roman" w:hAnsi="Times New Roman" w:cs="Times New Roman"/>
          <w:sz w:val="30"/>
          <w:szCs w:val="30"/>
        </w:rPr>
        <w:t>附件</w:t>
      </w:r>
      <w:r>
        <w:rPr>
          <w:rFonts w:hint="default" w:ascii="Times New Roman" w:hAnsi="Times New Roman" w:cs="Times New Roman"/>
          <w:sz w:val="30"/>
          <w:szCs w:val="30"/>
          <w:lang w:val="en-US" w:eastAsia="zh-CN"/>
        </w:rPr>
        <w:t>12</w:t>
      </w:r>
      <w:r>
        <w:rPr>
          <w:rFonts w:hint="default" w:ascii="Times New Roman" w:hAnsi="Times New Roman" w:cs="Times New Roman"/>
          <w:sz w:val="30"/>
          <w:szCs w:val="30"/>
        </w:rPr>
        <w:t>：</w:t>
      </w:r>
    </w:p>
    <w:p>
      <w:pPr>
        <w:snapToGrid w:val="0"/>
        <w:spacing w:before="50" w:after="120" w:afterLines="50"/>
        <w:jc w:val="center"/>
        <w:rPr>
          <w:rFonts w:hint="default" w:ascii="Times New Roman" w:hAnsi="Times New Roman" w:cs="Times New Roman"/>
          <w:b/>
          <w:spacing w:val="40"/>
          <w:kern w:val="0"/>
          <w:sz w:val="36"/>
          <w:szCs w:val="36"/>
        </w:rPr>
      </w:pPr>
      <w:r>
        <w:rPr>
          <w:rFonts w:hint="default" w:ascii="Times New Roman" w:hAnsi="Times New Roman" w:cs="Times New Roman"/>
          <w:b/>
          <w:spacing w:val="40"/>
          <w:kern w:val="0"/>
          <w:sz w:val="36"/>
          <w:szCs w:val="36"/>
        </w:rPr>
        <w:t>投标项目明细清单</w:t>
      </w:r>
    </w:p>
    <w:p>
      <w:pPr>
        <w:snapToGrid w:val="0"/>
        <w:spacing w:before="50" w:after="120" w:afterLines="50"/>
        <w:rPr>
          <w:rFonts w:hint="default" w:ascii="Times New Roman" w:hAnsi="Times New Roman" w:cs="Times New Roman"/>
          <w:b/>
          <w:spacing w:val="40"/>
          <w:kern w:val="0"/>
          <w:sz w:val="36"/>
          <w:szCs w:val="36"/>
        </w:rPr>
      </w:pPr>
    </w:p>
    <w:p>
      <w:pPr>
        <w:pStyle w:val="9"/>
        <w:snapToGrid w:val="0"/>
        <w:rPr>
          <w:rFonts w:hint="default" w:ascii="Times New Roman" w:hAnsi="Times New Roman" w:eastAsia="宋体" w:cs="Times New Roman"/>
          <w:kern w:val="0"/>
          <w:sz w:val="30"/>
          <w:szCs w:val="30"/>
          <w:u w:val="single"/>
        </w:rPr>
      </w:pPr>
      <w:r>
        <w:rPr>
          <w:rFonts w:hint="default" w:ascii="Times New Roman" w:hAnsi="Times New Roman" w:eastAsia="宋体" w:cs="Times New Roman"/>
          <w:sz w:val="30"/>
          <w:szCs w:val="30"/>
        </w:rPr>
        <w:t>投标人全称（公章）：                标项：</w:t>
      </w:r>
    </w:p>
    <w:p>
      <w:pPr>
        <w:pStyle w:val="9"/>
        <w:snapToGrid w:val="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货物类</w:t>
      </w:r>
    </w:p>
    <w:tbl>
      <w:tblPr>
        <w:tblStyle w:val="36"/>
        <w:tblW w:w="908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规格</w:t>
            </w:r>
          </w:p>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单位及</w:t>
            </w:r>
          </w:p>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hint="default" w:ascii="Times New Roman" w:hAnsi="Times New Roman" w:cs="Times New Roman"/>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hint="default" w:ascii="Times New Roman" w:hAnsi="Times New Roman" w:cs="Times New Roman"/>
                <w:sz w:val="30"/>
                <w:szCs w:val="30"/>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r>
    </w:tbl>
    <w:p>
      <w:pPr>
        <w:snapToGrid w:val="0"/>
        <w:spacing w:before="120" w:beforeLines="50"/>
        <w:rPr>
          <w:rFonts w:hint="default" w:ascii="Times New Roman" w:hAnsi="Times New Roman" w:cs="Times New Roman"/>
          <w:sz w:val="30"/>
          <w:szCs w:val="30"/>
        </w:rPr>
      </w:pPr>
      <w:r>
        <w:rPr>
          <w:rFonts w:hint="default" w:ascii="Times New Roman" w:hAnsi="Times New Roman" w:cs="Times New Roman"/>
          <w:sz w:val="30"/>
          <w:szCs w:val="30"/>
        </w:rPr>
        <w:t>服务类</w:t>
      </w:r>
    </w:p>
    <w:tbl>
      <w:tblPr>
        <w:tblStyle w:val="36"/>
        <w:tblW w:w="904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序号</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r>
              <w:rPr>
                <w:rFonts w:hint="default" w:ascii="Times New Roman" w:hAnsi="Times New Roman" w:cs="Times New Roman"/>
                <w:sz w:val="30"/>
                <w:szCs w:val="30"/>
              </w:rPr>
              <w:t>工作量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hint="default" w:ascii="Times New Roman" w:hAnsi="Times New Roman" w:cs="Times New Roman"/>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hint="default" w:ascii="Times New Roman" w:hAnsi="Times New Roman" w:cs="Times New Roman"/>
                <w:sz w:val="30"/>
                <w:szCs w:val="30"/>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Times New Roman" w:hAnsi="Times New Roman" w:cs="Times New Roman"/>
                <w:sz w:val="30"/>
                <w:szCs w:val="30"/>
              </w:rPr>
            </w:pPr>
          </w:p>
        </w:tc>
      </w:tr>
    </w:tbl>
    <w:p>
      <w:pPr>
        <w:snapToGrid w:val="0"/>
        <w:spacing w:before="120" w:beforeLines="50"/>
        <w:rPr>
          <w:rFonts w:hint="default" w:ascii="Times New Roman" w:hAnsi="Times New Roman" w:cs="Times New Roman"/>
          <w:sz w:val="30"/>
          <w:szCs w:val="30"/>
        </w:rPr>
      </w:pPr>
      <w:r>
        <w:rPr>
          <w:rFonts w:hint="default" w:ascii="Times New Roman" w:hAnsi="Times New Roman" w:cs="Times New Roman"/>
          <w:sz w:val="30"/>
          <w:szCs w:val="30"/>
        </w:rPr>
        <w:t>注：在填写时，如上表不适合本项目的实际情况，可在确保投标明细内容完整的情况下，根据上表格式自行划表填写。</w:t>
      </w:r>
    </w:p>
    <w:p>
      <w:pPr>
        <w:snapToGrid w:val="0"/>
        <w:spacing w:before="120" w:beforeLines="50"/>
        <w:rPr>
          <w:rFonts w:hint="default" w:ascii="Times New Roman" w:hAnsi="Times New Roman" w:cs="Times New Roman"/>
          <w:sz w:val="30"/>
          <w:szCs w:val="30"/>
        </w:rPr>
      </w:pPr>
    </w:p>
    <w:p>
      <w:pPr>
        <w:snapToGrid w:val="0"/>
        <w:spacing w:before="120" w:beforeLines="50"/>
        <w:rPr>
          <w:rFonts w:hint="default" w:ascii="Times New Roman" w:hAnsi="Times New Roman" w:cs="Times New Roman"/>
          <w:sz w:val="30"/>
          <w:szCs w:val="30"/>
          <w:u w:val="single"/>
        </w:rPr>
      </w:pPr>
      <w:r>
        <w:rPr>
          <w:rFonts w:hint="default" w:ascii="Times New Roman" w:hAnsi="Times New Roman" w:cs="Times New Roman"/>
          <w:sz w:val="30"/>
          <w:szCs w:val="30"/>
        </w:rPr>
        <w:t>授权代表签名：               日期：</w:t>
      </w:r>
    </w:p>
    <w:p>
      <w:pPr>
        <w:snapToGrid w:val="0"/>
        <w:spacing w:before="50" w:after="50"/>
        <w:rPr>
          <w:rFonts w:hint="default" w:ascii="Times New Roman" w:hAnsi="Times New Roman" w:cs="Times New Roman"/>
          <w:spacing w:val="20"/>
          <w:sz w:val="30"/>
          <w:szCs w:val="30"/>
        </w:rPr>
      </w:pPr>
    </w:p>
    <w:p>
      <w:pPr>
        <w:snapToGrid w:val="0"/>
        <w:spacing w:before="50" w:after="50"/>
        <w:rPr>
          <w:rFonts w:hint="default" w:ascii="Times New Roman" w:hAnsi="Times New Roman" w:cs="Times New Roman"/>
          <w:sz w:val="30"/>
          <w:szCs w:val="30"/>
        </w:rPr>
      </w:pPr>
      <w:r>
        <w:rPr>
          <w:rFonts w:hint="default" w:ascii="Times New Roman" w:hAnsi="Times New Roman" w:cs="Times New Roman"/>
          <w:spacing w:val="20"/>
          <w:sz w:val="30"/>
          <w:szCs w:val="30"/>
        </w:rPr>
        <w:br w:type="page"/>
      </w:r>
      <w:r>
        <w:rPr>
          <w:rFonts w:hint="default" w:ascii="Times New Roman" w:hAnsi="Times New Roman" w:cs="Times New Roman"/>
          <w:sz w:val="30"/>
          <w:szCs w:val="30"/>
        </w:rPr>
        <w:t>附件1</w:t>
      </w:r>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w:t>
      </w:r>
    </w:p>
    <w:p>
      <w:pPr>
        <w:snapToGrid w:val="0"/>
        <w:spacing w:before="50" w:after="120" w:afterLines="50"/>
        <w:jc w:val="center"/>
        <w:rPr>
          <w:rFonts w:hint="default" w:ascii="Times New Roman" w:hAnsi="Times New Roman" w:cs="Times New Roman"/>
          <w:b/>
          <w:spacing w:val="40"/>
          <w:kern w:val="0"/>
          <w:sz w:val="36"/>
          <w:szCs w:val="36"/>
        </w:rPr>
      </w:pPr>
      <w:r>
        <w:rPr>
          <w:rFonts w:hint="default" w:ascii="Times New Roman" w:hAnsi="Times New Roman" w:cs="Times New Roman"/>
          <w:b/>
          <w:spacing w:val="40"/>
          <w:kern w:val="0"/>
          <w:sz w:val="36"/>
          <w:szCs w:val="36"/>
        </w:rPr>
        <w:t>技 术 响 应 表</w:t>
      </w:r>
    </w:p>
    <w:p>
      <w:pPr>
        <w:snapToGrid w:val="0"/>
        <w:spacing w:before="50" w:after="120" w:afterLines="50"/>
        <w:rPr>
          <w:rFonts w:hint="default" w:ascii="Times New Roman" w:hAnsi="Times New Roman" w:cs="Times New Roman"/>
          <w:b/>
          <w:sz w:val="32"/>
          <w:szCs w:val="32"/>
        </w:rPr>
      </w:pPr>
    </w:p>
    <w:p>
      <w:pPr>
        <w:pStyle w:val="9"/>
        <w:snapToGrid w:val="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投标人全称（公章）：            标项：</w:t>
      </w:r>
    </w:p>
    <w:tbl>
      <w:tblPr>
        <w:tblStyle w:val="36"/>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hint="default" w:ascii="Times New Roman" w:hAnsi="Times New Roman" w:cs="Times New Roman"/>
                <w:sz w:val="30"/>
                <w:szCs w:val="30"/>
              </w:rPr>
            </w:pPr>
            <w:r>
              <w:rPr>
                <w:rFonts w:hint="default" w:ascii="Times New Roman" w:hAnsi="Times New Roman" w:cs="Times New Roman"/>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hint="default" w:ascii="Times New Roman" w:hAnsi="Times New Roman" w:cs="Times New Roman"/>
                <w:sz w:val="30"/>
                <w:szCs w:val="30"/>
              </w:rPr>
            </w:pPr>
            <w:r>
              <w:rPr>
                <w:rFonts w:hint="default" w:ascii="Times New Roman" w:hAnsi="Times New Roman" w:cs="Times New Roman"/>
                <w:sz w:val="30"/>
                <w:szCs w:val="30"/>
              </w:rPr>
              <w:t>投标文件响应</w:t>
            </w:r>
          </w:p>
        </w:tc>
        <w:tc>
          <w:tcPr>
            <w:tcW w:w="2423"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hint="default" w:ascii="Times New Roman" w:hAnsi="Times New Roman" w:cs="Times New Roman"/>
                <w:kern w:val="0"/>
                <w:sz w:val="30"/>
                <w:szCs w:val="30"/>
              </w:rPr>
            </w:pPr>
            <w:r>
              <w:rPr>
                <w:rFonts w:hint="default" w:ascii="Times New Roman" w:hAnsi="Times New Roman" w:cs="Times New Roman"/>
                <w:sz w:val="30"/>
                <w:szCs w:val="30"/>
              </w:rPr>
              <w:t xml:space="preserve">偏离情况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21"/>
              <w:snapToGrid w:val="0"/>
              <w:spacing w:before="120" w:after="120"/>
              <w:outlineLvl w:val="0"/>
              <w:rPr>
                <w:rFonts w:hint="default" w:ascii="Times New Roman" w:hAnsi="Times New Roman" w:cs="Times New Roman"/>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21"/>
              <w:snapToGrid w:val="0"/>
              <w:spacing w:before="120" w:after="120"/>
              <w:outlineLvl w:val="0"/>
              <w:rPr>
                <w:rFonts w:hint="default" w:ascii="Times New Roman" w:hAnsi="Times New Roman" w:cs="Times New Roman"/>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21"/>
              <w:snapToGrid w:val="0"/>
              <w:spacing w:before="120" w:after="120"/>
              <w:rPr>
                <w:rFonts w:hint="default" w:ascii="Times New Roman" w:hAnsi="Times New Roman" w:cs="Times New Roman"/>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21"/>
              <w:snapToGrid w:val="0"/>
              <w:spacing w:before="120" w:after="12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21"/>
              <w:snapToGrid w:val="0"/>
              <w:spacing w:before="120" w:after="120"/>
              <w:outlineLvl w:val="0"/>
              <w:rPr>
                <w:rFonts w:hint="default" w:ascii="Times New Roman" w:hAnsi="Times New Roman" w:cs="Times New Roman"/>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21"/>
              <w:snapToGrid w:val="0"/>
              <w:spacing w:before="120" w:after="120"/>
              <w:outlineLvl w:val="0"/>
              <w:rPr>
                <w:rFonts w:hint="default" w:ascii="Times New Roman" w:hAnsi="Times New Roman" w:cs="Times New Roman"/>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c>
          <w:tcPr>
            <w:tcW w:w="2423" w:type="dxa"/>
            <w:tcBorders>
              <w:top w:val="single" w:color="auto" w:sz="4" w:space="0"/>
              <w:left w:val="single" w:color="auto" w:sz="4" w:space="0"/>
              <w:bottom w:val="nil"/>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21"/>
              <w:snapToGrid w:val="0"/>
              <w:spacing w:before="120" w:after="120"/>
              <w:outlineLvl w:val="0"/>
              <w:rPr>
                <w:rFonts w:hint="default" w:ascii="Times New Roman" w:hAnsi="Times New Roman" w:cs="Times New Roman"/>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21"/>
              <w:snapToGrid w:val="0"/>
              <w:spacing w:before="120" w:after="120"/>
              <w:outlineLvl w:val="0"/>
              <w:rPr>
                <w:rFonts w:hint="default" w:ascii="Times New Roman" w:hAnsi="Times New Roman" w:cs="Times New Roman"/>
                <w:sz w:val="30"/>
                <w:szCs w:val="30"/>
              </w:rPr>
            </w:pPr>
          </w:p>
        </w:tc>
        <w:tc>
          <w:tcPr>
            <w:tcW w:w="2196"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c>
          <w:tcPr>
            <w:tcW w:w="2423" w:type="dxa"/>
            <w:tcBorders>
              <w:top w:val="single" w:color="auto" w:sz="4" w:space="0"/>
              <w:left w:val="single" w:color="auto" w:sz="4" w:space="0"/>
              <w:bottom w:val="single" w:color="auto" w:sz="4" w:space="0"/>
              <w:right w:val="single" w:color="auto" w:sz="4" w:space="0"/>
            </w:tcBorders>
          </w:tcPr>
          <w:p>
            <w:pPr>
              <w:pStyle w:val="21"/>
              <w:snapToGrid w:val="0"/>
              <w:spacing w:before="120" w:after="120"/>
              <w:outlineLvl w:val="0"/>
              <w:rPr>
                <w:rFonts w:hint="default" w:ascii="Times New Roman" w:hAnsi="Times New Roman" w:cs="Times New Roman"/>
                <w:sz w:val="30"/>
                <w:szCs w:val="30"/>
              </w:rPr>
            </w:pPr>
          </w:p>
        </w:tc>
      </w:tr>
    </w:tbl>
    <w:p>
      <w:pPr>
        <w:pStyle w:val="12"/>
        <w:rPr>
          <w:rFonts w:hint="default" w:ascii="Times New Roman" w:hAnsi="Times New Roman" w:eastAsia="宋体" w:cs="Times New Roman"/>
          <w:spacing w:val="20"/>
          <w:kern w:val="0"/>
          <w:sz w:val="30"/>
          <w:szCs w:val="30"/>
        </w:rPr>
      </w:pPr>
      <w:r>
        <w:rPr>
          <w:rFonts w:hint="default" w:ascii="Times New Roman" w:hAnsi="Times New Roman" w:eastAsia="宋体" w:cs="Times New Roman"/>
          <w:sz w:val="30"/>
          <w:szCs w:val="30"/>
        </w:rPr>
        <w:t>注：投标人应根据投标设备的性能指标、对照招标文件要求在“偏离情况”栏注明“正偏离”、“负偏离”或“无偏离”。</w:t>
      </w:r>
    </w:p>
    <w:p>
      <w:pPr>
        <w:snapToGrid w:val="0"/>
        <w:spacing w:before="50" w:after="50"/>
        <w:rPr>
          <w:rFonts w:hint="default" w:ascii="Times New Roman" w:hAnsi="Times New Roman" w:cs="Times New Roman"/>
          <w:spacing w:val="20"/>
          <w:sz w:val="30"/>
          <w:szCs w:val="30"/>
        </w:rPr>
      </w:pPr>
    </w:p>
    <w:p>
      <w:pPr>
        <w:snapToGrid w:val="0"/>
        <w:spacing w:before="50" w:after="50"/>
        <w:rPr>
          <w:rFonts w:hint="default" w:ascii="Times New Roman" w:hAnsi="Times New Roman" w:cs="Times New Roman"/>
          <w:sz w:val="30"/>
          <w:szCs w:val="30"/>
        </w:rPr>
      </w:pPr>
      <w:r>
        <w:rPr>
          <w:rFonts w:hint="default" w:ascii="Times New Roman" w:hAnsi="Times New Roman" w:cs="Times New Roman"/>
          <w:spacing w:val="20"/>
          <w:sz w:val="30"/>
          <w:szCs w:val="30"/>
        </w:rPr>
        <w:t>授权代表签名：          日 期：</w:t>
      </w:r>
    </w:p>
    <w:p>
      <w:pPr>
        <w:snapToGrid w:val="0"/>
        <w:spacing w:before="50" w:after="120" w:afterLines="50"/>
        <w:jc w:val="left"/>
        <w:rPr>
          <w:rFonts w:hint="default" w:ascii="Times New Roman" w:hAnsi="Times New Roman" w:cs="Times New Roman"/>
          <w:sz w:val="30"/>
          <w:szCs w:val="30"/>
        </w:rPr>
      </w:pPr>
    </w:p>
    <w:p>
      <w:pPr>
        <w:snapToGrid w:val="0"/>
        <w:spacing w:before="50" w:after="50"/>
        <w:ind w:firstLine="300" w:firstLineChars="100"/>
        <w:rPr>
          <w:rFonts w:hint="default" w:ascii="Times New Roman" w:hAnsi="Times New Roman" w:cs="Times New Roman"/>
          <w:sz w:val="30"/>
          <w:szCs w:val="30"/>
        </w:rPr>
      </w:pPr>
      <w:r>
        <w:rPr>
          <w:rFonts w:hint="default" w:ascii="Times New Roman" w:hAnsi="Times New Roman" w:cs="Times New Roman"/>
          <w:sz w:val="30"/>
          <w:szCs w:val="30"/>
        </w:rPr>
        <w:br w:type="page"/>
      </w:r>
      <w:r>
        <w:rPr>
          <w:rFonts w:hint="default" w:ascii="Times New Roman" w:hAnsi="Times New Roman" w:cs="Times New Roman"/>
          <w:sz w:val="30"/>
          <w:szCs w:val="30"/>
        </w:rPr>
        <w:t>附件1</w:t>
      </w:r>
      <w:r>
        <w:rPr>
          <w:rFonts w:hint="default" w:ascii="Times New Roman" w:hAnsi="Times New Roman" w:cs="Times New Roman"/>
          <w:sz w:val="30"/>
          <w:szCs w:val="30"/>
          <w:lang w:val="en-US" w:eastAsia="zh-CN"/>
        </w:rPr>
        <w:t>4</w:t>
      </w:r>
      <w:r>
        <w:rPr>
          <w:rFonts w:hint="default" w:ascii="Times New Roman" w:hAnsi="Times New Roman" w:cs="Times New Roman"/>
          <w:sz w:val="30"/>
          <w:szCs w:val="30"/>
        </w:rPr>
        <w:t>：</w:t>
      </w:r>
    </w:p>
    <w:p>
      <w:pPr>
        <w:snapToGrid w:val="0"/>
        <w:spacing w:before="50" w:after="120" w:afterLines="50"/>
        <w:jc w:val="center"/>
        <w:rPr>
          <w:rFonts w:hint="default" w:ascii="Times New Roman" w:hAnsi="Times New Roman" w:cs="Times New Roman"/>
          <w:b/>
          <w:kern w:val="0"/>
          <w:sz w:val="36"/>
          <w:szCs w:val="36"/>
        </w:rPr>
      </w:pPr>
      <w:r>
        <w:rPr>
          <w:rFonts w:hint="default" w:ascii="Times New Roman" w:hAnsi="Times New Roman" w:cs="Times New Roman"/>
          <w:b/>
          <w:kern w:val="0"/>
          <w:sz w:val="36"/>
          <w:szCs w:val="36"/>
        </w:rPr>
        <w:t>项目组人员清单</w:t>
      </w:r>
    </w:p>
    <w:p>
      <w:pPr>
        <w:snapToGrid w:val="0"/>
        <w:spacing w:before="120" w:beforeLines="50" w:after="50"/>
        <w:rPr>
          <w:rFonts w:hint="default" w:ascii="Times New Roman" w:hAnsi="Times New Roman" w:cs="Times New Roman"/>
          <w:b/>
          <w:sz w:val="30"/>
          <w:szCs w:val="30"/>
        </w:rPr>
      </w:pPr>
    </w:p>
    <w:p>
      <w:pPr>
        <w:pStyle w:val="9"/>
        <w:snapToGrid w:val="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投标人全称（公章）：              标项：</w:t>
      </w:r>
    </w:p>
    <w:tbl>
      <w:tblPr>
        <w:tblStyle w:val="36"/>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1"/>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hint="default" w:ascii="Times New Roman" w:hAnsi="Times New Roman" w:cs="Times New Roman"/>
                <w:sz w:val="30"/>
                <w:szCs w:val="30"/>
              </w:rPr>
            </w:pPr>
            <w:r>
              <w:rPr>
                <w:rFonts w:hint="default" w:ascii="Times New Roman" w:hAnsi="Times New Roman" w:cs="Times New Roman"/>
                <w:sz w:val="30"/>
                <w:szCs w:val="30"/>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hint="default" w:ascii="Times New Roman" w:hAnsi="Times New Roman" w:cs="Times New Roman"/>
                <w:sz w:val="30"/>
                <w:szCs w:val="30"/>
              </w:rPr>
            </w:pPr>
            <w:r>
              <w:rPr>
                <w:rFonts w:hint="default" w:ascii="Times New Roman" w:hAnsi="Times New Roman" w:cs="Times New Roman"/>
                <w:sz w:val="30"/>
                <w:szCs w:val="30"/>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hint="default" w:ascii="Times New Roman" w:hAnsi="Times New Roman" w:cs="Times New Roman"/>
                <w:kern w:val="0"/>
                <w:sz w:val="30"/>
                <w:szCs w:val="30"/>
              </w:rPr>
            </w:pPr>
            <w:r>
              <w:rPr>
                <w:rFonts w:hint="default" w:ascii="Times New Roman" w:hAnsi="Times New Roman" w:cs="Times New Roman"/>
                <w:sz w:val="30"/>
                <w:szCs w:val="30"/>
              </w:rPr>
              <w:t>专业技</w:t>
            </w:r>
          </w:p>
          <w:p>
            <w:pPr>
              <w:snapToGrid w:val="0"/>
              <w:spacing w:before="120" w:beforeLines="50" w:after="50" w:line="460" w:lineRule="exact"/>
              <w:jc w:val="center"/>
              <w:rPr>
                <w:rFonts w:hint="default" w:ascii="Times New Roman" w:hAnsi="Times New Roman" w:cs="Times New Roman"/>
                <w:kern w:val="0"/>
                <w:sz w:val="30"/>
                <w:szCs w:val="30"/>
              </w:rPr>
            </w:pPr>
            <w:r>
              <w:rPr>
                <w:rFonts w:hint="default" w:ascii="Times New Roman" w:hAnsi="Times New Roman" w:cs="Times New Roman"/>
                <w:sz w:val="30"/>
                <w:szCs w:val="30"/>
              </w:rPr>
              <w:t>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hint="default" w:ascii="Times New Roman" w:hAnsi="Times New Roman" w:cs="Times New Roman"/>
                <w:kern w:val="0"/>
                <w:sz w:val="30"/>
                <w:szCs w:val="30"/>
              </w:rPr>
            </w:pPr>
            <w:r>
              <w:rPr>
                <w:rFonts w:hint="default" w:ascii="Times New Roman" w:hAnsi="Times New Roman" w:cs="Times New Roman"/>
                <w:sz w:val="30"/>
                <w:szCs w:val="30"/>
              </w:rPr>
              <w:t>证书</w:t>
            </w:r>
          </w:p>
          <w:p>
            <w:pPr>
              <w:snapToGrid w:val="0"/>
              <w:spacing w:before="120" w:beforeLines="50" w:after="50" w:line="460" w:lineRule="exact"/>
              <w:jc w:val="center"/>
              <w:rPr>
                <w:rFonts w:hint="default" w:ascii="Times New Roman" w:hAnsi="Times New Roman" w:cs="Times New Roman"/>
                <w:kern w:val="0"/>
                <w:sz w:val="30"/>
                <w:szCs w:val="30"/>
              </w:rPr>
            </w:pPr>
            <w:r>
              <w:rPr>
                <w:rFonts w:hint="default" w:ascii="Times New Roman" w:hAnsi="Times New Roman" w:cs="Times New Roman"/>
                <w:sz w:val="30"/>
                <w:szCs w:val="30"/>
              </w:rPr>
              <w:t>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hint="default" w:ascii="Times New Roman" w:hAnsi="Times New Roman" w:cs="Times New Roman"/>
                <w:bCs/>
                <w:kern w:val="0"/>
                <w:sz w:val="30"/>
                <w:szCs w:val="30"/>
              </w:rPr>
            </w:pPr>
            <w:r>
              <w:rPr>
                <w:rFonts w:hint="default" w:ascii="Times New Roman" w:hAnsi="Times New Roman" w:cs="Times New Roman"/>
                <w:bCs/>
                <w:sz w:val="30"/>
                <w:szCs w:val="30"/>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hint="default" w:ascii="Times New Roman" w:hAnsi="Times New Roman" w:cs="Times New Roman"/>
                <w:bCs/>
                <w:kern w:val="0"/>
                <w:sz w:val="30"/>
                <w:szCs w:val="30"/>
              </w:rPr>
            </w:pPr>
            <w:r>
              <w:rPr>
                <w:rFonts w:hint="default" w:ascii="Times New Roman" w:hAnsi="Times New Roman" w:cs="Times New Roman"/>
                <w:bCs/>
                <w:sz w:val="30"/>
                <w:szCs w:val="30"/>
              </w:rPr>
              <w:t>劳动合</w:t>
            </w:r>
          </w:p>
          <w:p>
            <w:pPr>
              <w:snapToGrid w:val="0"/>
              <w:spacing w:before="120" w:beforeLines="50" w:after="50" w:line="460" w:lineRule="exact"/>
              <w:jc w:val="center"/>
              <w:rPr>
                <w:rFonts w:hint="default" w:ascii="Times New Roman" w:hAnsi="Times New Roman" w:cs="Times New Roman"/>
                <w:bCs/>
                <w:kern w:val="0"/>
                <w:sz w:val="30"/>
                <w:szCs w:val="30"/>
              </w:rPr>
            </w:pPr>
            <w:r>
              <w:rPr>
                <w:rFonts w:hint="default" w:ascii="Times New Roman" w:hAnsi="Times New Roman" w:cs="Times New Roman"/>
                <w:bCs/>
                <w:sz w:val="30"/>
                <w:szCs w:val="30"/>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pStyle w:val="22"/>
              <w:snapToGrid w:val="0"/>
              <w:spacing w:before="120" w:beforeLines="50" w:after="50" w:line="460" w:lineRule="exact"/>
              <w:ind w:left="5250"/>
              <w:rPr>
                <w:rFonts w:hint="default" w:ascii="Times New Roman" w:hAnsi="Times New Roman" w:eastAsia="宋体"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6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sz w:val="30"/>
                <w:szCs w:val="30"/>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hint="default" w:ascii="Times New Roman" w:hAnsi="Times New Roman" w:cs="Times New Roman"/>
                <w:b/>
                <w:bCs/>
                <w:kern w:val="0"/>
                <w:sz w:val="30"/>
                <w:szCs w:val="30"/>
              </w:rPr>
            </w:pPr>
          </w:p>
        </w:tc>
      </w:tr>
    </w:tbl>
    <w:p>
      <w:pPr>
        <w:snapToGrid w:val="0"/>
        <w:spacing w:before="50" w:after="120" w:afterLines="50" w:line="460" w:lineRule="exact"/>
        <w:jc w:val="left"/>
        <w:rPr>
          <w:rFonts w:hint="default" w:ascii="Times New Roman" w:hAnsi="Times New Roman" w:cs="Times New Roman"/>
          <w:sz w:val="30"/>
          <w:szCs w:val="30"/>
        </w:rPr>
      </w:pPr>
      <w:r>
        <w:rPr>
          <w:rFonts w:hint="default" w:ascii="Times New Roman" w:hAnsi="Times New Roman" w:cs="Times New Roman"/>
          <w:sz w:val="30"/>
          <w:szCs w:val="30"/>
        </w:rPr>
        <w:t xml:space="preserve">注：在填写时，如本表格不适合投标单位的实际情况，可根据本表格式自行划表填写。 </w:t>
      </w:r>
    </w:p>
    <w:p>
      <w:pPr>
        <w:snapToGrid w:val="0"/>
        <w:spacing w:before="50" w:after="120" w:afterLines="50" w:line="460" w:lineRule="exact"/>
        <w:jc w:val="left"/>
        <w:rPr>
          <w:rFonts w:hint="default" w:ascii="Times New Roman" w:hAnsi="Times New Roman" w:cs="Times New Roman"/>
          <w:sz w:val="30"/>
          <w:szCs w:val="30"/>
        </w:rPr>
      </w:pPr>
    </w:p>
    <w:p>
      <w:pPr>
        <w:snapToGrid w:val="0"/>
        <w:spacing w:before="50" w:after="50" w:line="460" w:lineRule="exact"/>
        <w:rPr>
          <w:rFonts w:hint="default" w:ascii="Times New Roman" w:hAnsi="Times New Roman" w:cs="Times New Roman"/>
          <w:spacing w:val="20"/>
          <w:sz w:val="30"/>
          <w:szCs w:val="30"/>
          <w:u w:val="single"/>
        </w:rPr>
      </w:pPr>
      <w:r>
        <w:rPr>
          <w:rFonts w:hint="default" w:ascii="Times New Roman" w:hAnsi="Times New Roman" w:cs="Times New Roman"/>
          <w:spacing w:val="20"/>
          <w:sz w:val="30"/>
          <w:szCs w:val="30"/>
        </w:rPr>
        <w:t>授权代表签名：                 日期：</w:t>
      </w:r>
    </w:p>
    <w:p>
      <w:pPr>
        <w:snapToGrid w:val="0"/>
        <w:spacing w:before="50" w:after="120" w:afterLines="50" w:line="460" w:lineRule="exact"/>
        <w:jc w:val="left"/>
        <w:rPr>
          <w:rFonts w:hint="default" w:ascii="Times New Roman" w:hAnsi="Times New Roman" w:cs="Times New Roman"/>
          <w:sz w:val="30"/>
          <w:szCs w:val="30"/>
        </w:rPr>
      </w:pPr>
    </w:p>
    <w:p>
      <w:pPr>
        <w:pStyle w:val="21"/>
        <w:snapToGrid w:val="0"/>
        <w:spacing w:before="120" w:after="120" w:line="460" w:lineRule="exact"/>
        <w:rPr>
          <w:rFonts w:hint="default" w:ascii="Times New Roman" w:hAnsi="Times New Roman" w:cs="Times New Roman"/>
          <w:sz w:val="30"/>
          <w:szCs w:val="30"/>
        </w:rPr>
      </w:pPr>
    </w:p>
    <w:p>
      <w:pPr>
        <w:snapToGrid w:val="0"/>
        <w:spacing w:before="50"/>
        <w:jc w:val="left"/>
        <w:rPr>
          <w:rFonts w:hint="default" w:ascii="Times New Roman" w:hAnsi="Times New Roman" w:cs="Times New Roman"/>
          <w:sz w:val="30"/>
          <w:szCs w:val="30"/>
        </w:rPr>
      </w:pPr>
      <w:r>
        <w:rPr>
          <w:rFonts w:hint="default" w:ascii="Times New Roman" w:hAnsi="Times New Roman" w:cs="Times New Roman"/>
          <w:sz w:val="30"/>
          <w:szCs w:val="30"/>
        </w:rPr>
        <w:br w:type="page"/>
      </w:r>
      <w:r>
        <w:rPr>
          <w:rFonts w:hint="default" w:ascii="Times New Roman" w:hAnsi="Times New Roman" w:cs="Times New Roman"/>
          <w:sz w:val="30"/>
          <w:szCs w:val="30"/>
        </w:rPr>
        <w:t>附件1</w:t>
      </w:r>
      <w:r>
        <w:rPr>
          <w:rFonts w:hint="default" w:ascii="Times New Roman" w:hAnsi="Times New Roman" w:cs="Times New Roman"/>
          <w:sz w:val="30"/>
          <w:szCs w:val="30"/>
          <w:lang w:val="en-US" w:eastAsia="zh-CN"/>
        </w:rPr>
        <w:t>5</w:t>
      </w:r>
      <w:r>
        <w:rPr>
          <w:rFonts w:hint="default" w:ascii="Times New Roman" w:hAnsi="Times New Roman" w:cs="Times New Roman"/>
          <w:sz w:val="30"/>
          <w:szCs w:val="30"/>
        </w:rPr>
        <w:t>：</w:t>
      </w:r>
    </w:p>
    <w:p>
      <w:pPr>
        <w:snapToGrid w:val="0"/>
        <w:spacing w:before="50" w:after="50"/>
        <w:jc w:val="center"/>
        <w:rPr>
          <w:rFonts w:hint="default" w:ascii="Times New Roman" w:hAnsi="Times New Roman" w:cs="Times New Roman"/>
          <w:b/>
          <w:sz w:val="36"/>
          <w:szCs w:val="36"/>
        </w:rPr>
      </w:pPr>
      <w:r>
        <w:rPr>
          <w:rFonts w:hint="default" w:ascii="Times New Roman" w:hAnsi="Times New Roman" w:cs="Times New Roman"/>
          <w:b/>
          <w:sz w:val="36"/>
          <w:szCs w:val="36"/>
        </w:rPr>
        <w:t>商务响应表</w:t>
      </w:r>
    </w:p>
    <w:p>
      <w:pPr>
        <w:snapToGrid w:val="0"/>
        <w:spacing w:before="50"/>
        <w:jc w:val="center"/>
        <w:rPr>
          <w:rFonts w:hint="default" w:ascii="Times New Roman" w:hAnsi="Times New Roman" w:cs="Times New Roman"/>
          <w:b/>
          <w:sz w:val="32"/>
          <w:szCs w:val="32"/>
        </w:rPr>
      </w:pPr>
    </w:p>
    <w:p>
      <w:pPr>
        <w:pStyle w:val="9"/>
        <w:snapToGrid w:val="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投标人全称（公章）：              标项：</w:t>
      </w:r>
    </w:p>
    <w:tbl>
      <w:tblPr>
        <w:tblStyle w:val="36"/>
        <w:tblW w:w="87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4"/>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sz w:val="30"/>
                <w:szCs w:val="30"/>
              </w:rPr>
            </w:pPr>
            <w:r>
              <w:rPr>
                <w:rFonts w:hint="default" w:ascii="Times New Roman" w:hAnsi="Times New Roman" w:cs="Times New Roman"/>
                <w:sz w:val="30"/>
                <w:szCs w:val="30"/>
              </w:rPr>
              <w:t>项目</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sz w:val="30"/>
                <w:szCs w:val="30"/>
              </w:rPr>
            </w:pPr>
            <w:r>
              <w:rPr>
                <w:rFonts w:hint="default" w:ascii="Times New Roman" w:hAnsi="Times New Roman" w:cs="Times New Roman"/>
                <w:sz w:val="30"/>
                <w:szCs w:val="30"/>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kern w:val="0"/>
                <w:sz w:val="30"/>
                <w:szCs w:val="30"/>
              </w:rPr>
            </w:pPr>
            <w:r>
              <w:rPr>
                <w:rFonts w:hint="default" w:ascii="Times New Roman" w:hAnsi="Times New Roman" w:cs="Times New Roman"/>
                <w:sz w:val="30"/>
                <w:szCs w:val="30"/>
              </w:rPr>
              <w:t>是否</w:t>
            </w:r>
          </w:p>
          <w:p>
            <w:pPr>
              <w:snapToGrid w:val="0"/>
              <w:spacing w:before="120" w:beforeLines="50"/>
              <w:jc w:val="center"/>
              <w:rPr>
                <w:rFonts w:hint="default" w:ascii="Times New Roman" w:hAnsi="Times New Roman" w:cs="Times New Roman"/>
                <w:kern w:val="0"/>
                <w:sz w:val="30"/>
                <w:szCs w:val="30"/>
              </w:rPr>
            </w:pPr>
            <w:r>
              <w:rPr>
                <w:rFonts w:hint="default" w:ascii="Times New Roman" w:hAnsi="Times New Roman" w:cs="Times New Roman"/>
                <w:sz w:val="30"/>
                <w:szCs w:val="30"/>
              </w:rPr>
              <w:t>响应</w:t>
            </w: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default" w:ascii="Times New Roman" w:hAnsi="Times New Roman" w:cs="Times New Roman"/>
                <w:kern w:val="0"/>
                <w:sz w:val="30"/>
                <w:szCs w:val="30"/>
              </w:rPr>
            </w:pPr>
            <w:r>
              <w:rPr>
                <w:rFonts w:hint="default" w:ascii="Times New Roman" w:hAnsi="Times New Roman" w:cs="Times New Roman"/>
                <w:sz w:val="30"/>
                <w:szCs w:val="30"/>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供货时间（项目工期）及地点</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付款条件</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违约责任及争议解决方式</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项目维护计划</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trPr>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响应情况</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本地化服务要求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技术培训</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公司技术力量情况</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default" w:ascii="Times New Roman" w:hAnsi="Times New Roman" w:cs="Times New Roman"/>
                <w:sz w:val="28"/>
                <w:szCs w:val="28"/>
              </w:rPr>
            </w:pPr>
            <w:r>
              <w:rPr>
                <w:rFonts w:hint="default" w:ascii="Times New Roman" w:hAnsi="Times New Roman" w:cs="Times New Roman"/>
                <w:sz w:val="28"/>
                <w:szCs w:val="28"/>
              </w:rPr>
              <w:t>经验或业绩要求</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784" w:type="dxa"/>
            <w:tcBorders>
              <w:top w:val="single" w:color="auto" w:sz="4" w:space="0"/>
              <w:left w:val="single" w:color="auto" w:sz="4" w:space="0"/>
              <w:bottom w:val="single" w:color="auto" w:sz="4" w:space="0"/>
              <w:right w:val="single" w:color="auto" w:sz="4" w:space="0"/>
            </w:tcBorders>
          </w:tcPr>
          <w:p>
            <w:pPr>
              <w:snapToGrid w:val="0"/>
              <w:rPr>
                <w:rFonts w:hint="default" w:ascii="Times New Roman" w:hAnsi="Times New Roman" w:cs="Times New Roman"/>
                <w:sz w:val="30"/>
                <w:szCs w:val="30"/>
              </w:rPr>
            </w:pPr>
            <w:r>
              <w:rPr>
                <w:rFonts w:hint="default" w:ascii="Times New Roman" w:hAnsi="Times New Roman" w:cs="Times New Roman"/>
                <w:sz w:val="30"/>
                <w:szCs w:val="30"/>
              </w:rPr>
              <w:t>……</w:t>
            </w:r>
          </w:p>
        </w:tc>
        <w:tc>
          <w:tcPr>
            <w:tcW w:w="270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sz w:val="30"/>
                <w:szCs w:val="30"/>
              </w:rPr>
            </w:pPr>
          </w:p>
        </w:tc>
        <w:tc>
          <w:tcPr>
            <w:tcW w:w="302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hint="default" w:ascii="Times New Roman" w:hAnsi="Times New Roman" w:cs="Times New Roman"/>
                <w:b/>
                <w:bCs/>
                <w:sz w:val="30"/>
                <w:szCs w:val="30"/>
              </w:rPr>
            </w:pPr>
          </w:p>
        </w:tc>
      </w:tr>
    </w:tbl>
    <w:p>
      <w:pPr>
        <w:snapToGrid w:val="0"/>
        <w:spacing w:before="120" w:beforeLines="50"/>
        <w:rPr>
          <w:rFonts w:hint="default" w:ascii="Times New Roman" w:hAnsi="Times New Roman" w:cs="Times New Roman"/>
          <w:sz w:val="30"/>
          <w:szCs w:val="30"/>
          <w:u w:val="single"/>
        </w:rPr>
      </w:pPr>
      <w:r>
        <w:rPr>
          <w:rFonts w:hint="default" w:ascii="Times New Roman" w:hAnsi="Times New Roman" w:cs="Times New Roman"/>
          <w:sz w:val="30"/>
          <w:szCs w:val="30"/>
        </w:rPr>
        <w:t>授权代表签名：               日期：</w:t>
      </w:r>
    </w:p>
    <w:p>
      <w:pPr>
        <w:jc w:val="left"/>
        <w:rPr>
          <w:rFonts w:hint="default" w:ascii="Times New Roman" w:hAnsi="Times New Roman" w:cs="Times New Roman"/>
          <w:sz w:val="30"/>
          <w:szCs w:val="30"/>
        </w:rPr>
        <w:sectPr>
          <w:headerReference r:id="rId6" w:type="default"/>
          <w:footerReference r:id="rId7" w:type="default"/>
          <w:pgSz w:w="11906" w:h="16838"/>
          <w:pgMar w:top="1474" w:right="1797" w:bottom="1247" w:left="1797" w:header="851" w:footer="851" w:gutter="0"/>
          <w:cols w:space="720" w:num="1"/>
        </w:sectPr>
      </w:pPr>
    </w:p>
    <w:p>
      <w:pPr>
        <w:snapToGrid w:val="0"/>
        <w:spacing w:before="50" w:after="120" w:afterLines="50"/>
        <w:jc w:val="left"/>
        <w:rPr>
          <w:rFonts w:hint="default" w:ascii="Times New Roman" w:hAnsi="Times New Roman" w:cs="Times New Roman"/>
          <w:sz w:val="30"/>
          <w:szCs w:val="30"/>
        </w:rPr>
      </w:pPr>
      <w:r>
        <w:rPr>
          <w:rFonts w:hint="default" w:ascii="Times New Roman" w:hAnsi="Times New Roman" w:cs="Times New Roman"/>
          <w:sz w:val="30"/>
          <w:szCs w:val="30"/>
        </w:rPr>
        <w:t>附件1</w:t>
      </w:r>
      <w:r>
        <w:rPr>
          <w:rFonts w:hint="default" w:ascii="Times New Roman" w:hAnsi="Times New Roman" w:cs="Times New Roman"/>
          <w:sz w:val="30"/>
          <w:szCs w:val="30"/>
          <w:lang w:val="en-US" w:eastAsia="zh-CN"/>
        </w:rPr>
        <w:t>6</w:t>
      </w:r>
      <w:r>
        <w:rPr>
          <w:rFonts w:hint="default" w:ascii="Times New Roman" w:hAnsi="Times New Roman" w:cs="Times New Roman"/>
          <w:sz w:val="30"/>
          <w:szCs w:val="30"/>
        </w:rPr>
        <w:t>：</w:t>
      </w:r>
    </w:p>
    <w:p>
      <w:pPr>
        <w:snapToGrid w:val="0"/>
        <w:spacing w:before="50" w:after="50"/>
        <w:jc w:val="center"/>
        <w:rPr>
          <w:rFonts w:hint="default" w:ascii="Times New Roman" w:hAnsi="Times New Roman" w:cs="Times New Roman"/>
          <w:b/>
          <w:sz w:val="36"/>
          <w:szCs w:val="36"/>
        </w:rPr>
      </w:pPr>
      <w:r>
        <w:rPr>
          <w:rFonts w:hint="default" w:ascii="Times New Roman" w:hAnsi="Times New Roman" w:cs="Times New Roman"/>
          <w:b/>
          <w:sz w:val="36"/>
          <w:szCs w:val="36"/>
        </w:rPr>
        <w:t>投标人业绩情况一览表</w:t>
      </w:r>
    </w:p>
    <w:p>
      <w:pPr>
        <w:pStyle w:val="9"/>
        <w:snapToGrid w:val="0"/>
        <w:rPr>
          <w:rFonts w:hint="default" w:ascii="Times New Roman" w:hAnsi="Times New Roman" w:eastAsia="宋体" w:cs="Times New Roman"/>
          <w:sz w:val="30"/>
          <w:szCs w:val="30"/>
          <w:u w:val="single"/>
        </w:rPr>
      </w:pPr>
      <w:r>
        <w:rPr>
          <w:rFonts w:hint="default" w:ascii="Times New Roman" w:hAnsi="Times New Roman" w:eastAsia="宋体" w:cs="Times New Roman"/>
          <w:sz w:val="30"/>
          <w:szCs w:val="30"/>
        </w:rPr>
        <w:t>投标人全称（公章）：</w:t>
      </w:r>
    </w:p>
    <w:tbl>
      <w:tblPr>
        <w:tblStyle w:val="36"/>
        <w:tblW w:w="139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1080"/>
        <w:gridCol w:w="108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采购</w:t>
            </w:r>
          </w:p>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合同</w:t>
            </w:r>
          </w:p>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金额</w:t>
            </w:r>
          </w:p>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采购单位联系人及</w:t>
            </w:r>
          </w:p>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30"/>
                <w:szCs w:val="30"/>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30"/>
                <w:szCs w:val="30"/>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30"/>
                <w:szCs w:val="3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合</w:t>
            </w:r>
          </w:p>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同</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验收</w:t>
            </w:r>
          </w:p>
          <w:p>
            <w:pPr>
              <w:snapToGrid w:val="0"/>
              <w:jc w:val="center"/>
              <w:rPr>
                <w:rFonts w:hint="default" w:ascii="Times New Roman" w:hAnsi="Times New Roman" w:cs="Times New Roman"/>
                <w:sz w:val="30"/>
                <w:szCs w:val="30"/>
              </w:rPr>
            </w:pPr>
            <w:r>
              <w:rPr>
                <w:rFonts w:hint="default" w:ascii="Times New Roman" w:hAnsi="Times New Roman" w:cs="Times New Roman"/>
                <w:sz w:val="30"/>
                <w:szCs w:val="30"/>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b/>
                <w:bCs/>
                <w:kern w:val="0"/>
                <w:sz w:val="30"/>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center"/>
              <w:rPr>
                <w:rFonts w:hint="default" w:ascii="Times New Roman" w:hAnsi="Times New Roman" w:cs="Times New Roman"/>
                <w:sz w:val="30"/>
                <w:szCs w:val="30"/>
              </w:rPr>
            </w:pPr>
            <w:r>
              <w:rPr>
                <w:rFonts w:hint="default" w:ascii="Times New Roman" w:hAnsi="Times New Roman" w:cs="Times New Roman"/>
                <w:sz w:val="30"/>
                <w:szCs w:val="30"/>
              </w:rPr>
              <w:t>备注</w:t>
            </w:r>
          </w:p>
        </w:tc>
        <w:tc>
          <w:tcPr>
            <w:tcW w:w="11340" w:type="dxa"/>
            <w:gridSpan w:val="7"/>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default" w:ascii="Times New Roman" w:hAnsi="Times New Roman" w:cs="Times New Roman"/>
                <w:sz w:val="30"/>
                <w:szCs w:val="30"/>
              </w:rPr>
            </w:pPr>
            <w:r>
              <w:rPr>
                <w:rFonts w:hint="default" w:ascii="Times New Roman" w:hAnsi="Times New Roman" w:cs="Times New Roman"/>
                <w:sz w:val="32"/>
                <w:szCs w:val="32"/>
              </w:rPr>
              <w:t>提供合同复印件、用户验收报告（如有）。</w:t>
            </w:r>
          </w:p>
        </w:tc>
      </w:tr>
    </w:tbl>
    <w:p>
      <w:pPr>
        <w:pStyle w:val="9"/>
        <w:snapToGrid w:val="0"/>
        <w:spacing w:before="240"/>
        <w:rPr>
          <w:rFonts w:hint="default" w:ascii="Times New Roman" w:hAnsi="Times New Roman" w:eastAsia="宋体" w:cs="Times New Roman"/>
          <w:kern w:val="0"/>
          <w:sz w:val="30"/>
          <w:szCs w:val="30"/>
        </w:rPr>
      </w:pPr>
      <w:r>
        <w:rPr>
          <w:rFonts w:hint="default" w:ascii="Times New Roman" w:hAnsi="Times New Roman" w:eastAsia="宋体" w:cs="Times New Roman"/>
          <w:sz w:val="30"/>
          <w:szCs w:val="30"/>
        </w:rPr>
        <w:t>授权代表签名：</w:t>
      </w:r>
      <w:r>
        <w:rPr>
          <w:rFonts w:hint="default" w:ascii="Times New Roman" w:hAnsi="Times New Roman" w:eastAsia="宋体" w:cs="Times New Roman"/>
          <w:sz w:val="30"/>
          <w:szCs w:val="30"/>
          <w:u w:val="single"/>
        </w:rPr>
        <w:t>　　　　　</w:t>
      </w:r>
      <w:r>
        <w:rPr>
          <w:rFonts w:hint="default" w:ascii="Times New Roman" w:hAnsi="Times New Roman" w:eastAsia="宋体" w:cs="Times New Roman"/>
          <w:sz w:val="30"/>
          <w:szCs w:val="30"/>
        </w:rPr>
        <w:t xml:space="preserve">                                            时  间：</w:t>
      </w:r>
    </w:p>
    <w:p>
      <w:pPr>
        <w:jc w:val="left"/>
        <w:rPr>
          <w:rFonts w:hint="default" w:ascii="Times New Roman" w:hAnsi="Times New Roman" w:cs="Times New Roman"/>
          <w:sz w:val="30"/>
          <w:szCs w:val="30"/>
        </w:rPr>
        <w:sectPr>
          <w:pgSz w:w="16838" w:h="11906" w:orient="landscape"/>
          <w:pgMar w:top="1797" w:right="1474" w:bottom="1797" w:left="1247" w:header="851" w:footer="851" w:gutter="0"/>
          <w:cols w:space="720" w:num="1"/>
        </w:sectPr>
      </w:pPr>
    </w:p>
    <w:p>
      <w:pPr>
        <w:snapToGrid w:val="0"/>
        <w:spacing w:before="156" w:beforeLines="50" w:after="50"/>
        <w:rPr>
          <w:rFonts w:hint="default" w:ascii="Times New Roman" w:hAnsi="Times New Roman" w:cs="Times New Roman"/>
          <w:b/>
          <w:sz w:val="30"/>
          <w:szCs w:val="30"/>
        </w:rPr>
      </w:pPr>
      <w:r>
        <w:rPr>
          <w:rFonts w:hint="default" w:ascii="Times New Roman" w:hAnsi="Times New Roman" w:cs="Times New Roman"/>
          <w:sz w:val="30"/>
          <w:szCs w:val="30"/>
        </w:rPr>
        <w:t>附件1</w:t>
      </w:r>
      <w:r>
        <w:rPr>
          <w:rFonts w:hint="default" w:ascii="Times New Roman" w:hAnsi="Times New Roman" w:cs="Times New Roman"/>
          <w:sz w:val="30"/>
          <w:szCs w:val="30"/>
          <w:lang w:val="en-US" w:eastAsia="zh-CN"/>
        </w:rPr>
        <w:t>7</w:t>
      </w:r>
      <w:r>
        <w:rPr>
          <w:rFonts w:hint="default" w:ascii="Times New Roman" w:hAnsi="Times New Roman" w:cs="Times New Roman"/>
          <w:b/>
          <w:sz w:val="30"/>
          <w:szCs w:val="30"/>
        </w:rPr>
        <w:t xml:space="preserve">：                                    </w:t>
      </w:r>
    </w:p>
    <w:p>
      <w:pPr>
        <w:ind w:right="-110"/>
        <w:jc w:val="center"/>
        <w:rPr>
          <w:rFonts w:hint="default" w:ascii="Times New Roman" w:hAnsi="Times New Roman" w:cs="Times New Roman"/>
          <w:spacing w:val="40"/>
          <w:sz w:val="52"/>
          <w:szCs w:val="52"/>
        </w:rPr>
      </w:pPr>
      <w:r>
        <w:rPr>
          <w:rFonts w:hint="default" w:ascii="Times New Roman" w:hAnsi="Times New Roman" w:cs="Times New Roman"/>
          <w:spacing w:val="40"/>
          <w:sz w:val="52"/>
          <w:szCs w:val="52"/>
        </w:rPr>
        <w:t>项目名称</w:t>
      </w:r>
    </w:p>
    <w:p>
      <w:pPr>
        <w:spacing w:before="312" w:beforeLines="100" w:line="240" w:lineRule="atLeast"/>
        <w:jc w:val="center"/>
        <w:rPr>
          <w:rFonts w:hint="default" w:ascii="Times New Roman" w:hAnsi="Times New Roman" w:cs="Times New Roman"/>
          <w:sz w:val="36"/>
          <w:szCs w:val="36"/>
        </w:rPr>
      </w:pPr>
      <w:r>
        <w:rPr>
          <w:rFonts w:hint="default" w:ascii="Times New Roman" w:hAnsi="Times New Roman" w:cs="Times New Roman"/>
          <w:sz w:val="36"/>
          <w:szCs w:val="36"/>
        </w:rPr>
        <w:t>项目编号：（标项  ）</w:t>
      </w:r>
    </w:p>
    <w:p>
      <w:pPr>
        <w:spacing w:after="100" w:afterAutospacing="1" w:line="800" w:lineRule="exact"/>
        <w:ind w:right="-108"/>
        <w:jc w:val="center"/>
        <w:rPr>
          <w:rFonts w:hint="default" w:ascii="Times New Roman" w:hAnsi="Times New Roman" w:cs="Times New Roman"/>
          <w:b/>
          <w:spacing w:val="40"/>
          <w:sz w:val="84"/>
          <w:szCs w:val="84"/>
        </w:rPr>
      </w:pP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报</w:t>
      </w: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价</w:t>
      </w: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文</w:t>
      </w:r>
    </w:p>
    <w:p>
      <w:pPr>
        <w:spacing w:after="100" w:afterAutospacing="1"/>
        <w:ind w:right="-108"/>
        <w:jc w:val="center"/>
        <w:rPr>
          <w:rFonts w:hint="default" w:ascii="Times New Roman" w:hAnsi="Times New Roman" w:cs="Times New Roman"/>
          <w:b/>
          <w:spacing w:val="40"/>
          <w:sz w:val="84"/>
          <w:szCs w:val="84"/>
        </w:rPr>
      </w:pPr>
      <w:r>
        <w:rPr>
          <w:rFonts w:hint="default" w:ascii="Times New Roman" w:hAnsi="Times New Roman" w:cs="Times New Roman"/>
          <w:b/>
          <w:spacing w:val="40"/>
          <w:sz w:val="84"/>
          <w:szCs w:val="84"/>
        </w:rPr>
        <w:t>件</w:t>
      </w:r>
    </w:p>
    <w:p>
      <w:pPr>
        <w:spacing w:line="500" w:lineRule="exact"/>
        <w:ind w:right="532"/>
        <w:jc w:val="center"/>
        <w:rPr>
          <w:rFonts w:hint="default" w:ascii="Times New Roman" w:hAnsi="Times New Roman" w:cs="Times New Roman"/>
          <w:sz w:val="36"/>
          <w:szCs w:val="36"/>
        </w:rPr>
      </w:pPr>
    </w:p>
    <w:p>
      <w:pPr>
        <w:spacing w:line="500" w:lineRule="exact"/>
        <w:ind w:right="532"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投标人全称：</w:t>
      </w:r>
    </w:p>
    <w:p>
      <w:pPr>
        <w:wordWrap w:val="0"/>
        <w:spacing w:line="500" w:lineRule="exact"/>
        <w:ind w:right="-108"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地    址：</w:t>
      </w:r>
    </w:p>
    <w:p>
      <w:pPr>
        <w:wordWrap w:val="0"/>
        <w:spacing w:line="500" w:lineRule="exact"/>
        <w:ind w:right="-108" w:firstLine="720" w:firstLineChars="200"/>
        <w:rPr>
          <w:rFonts w:hint="default" w:ascii="Times New Roman" w:hAnsi="Times New Roman" w:cs="Times New Roman"/>
          <w:sz w:val="36"/>
          <w:szCs w:val="36"/>
        </w:rPr>
      </w:pPr>
      <w:r>
        <w:rPr>
          <w:rFonts w:hint="default" w:ascii="Times New Roman" w:hAnsi="Times New Roman" w:cs="Times New Roman"/>
          <w:sz w:val="36"/>
          <w:szCs w:val="36"/>
        </w:rPr>
        <w:t>时    间：</w:t>
      </w:r>
    </w:p>
    <w:p>
      <w:pPr>
        <w:snapToGrid w:val="0"/>
        <w:spacing w:before="50" w:after="50"/>
        <w:rPr>
          <w:rFonts w:hint="default" w:ascii="Times New Roman" w:hAnsi="Times New Roman" w:cs="Times New Roman"/>
          <w:sz w:val="30"/>
          <w:szCs w:val="30"/>
        </w:rPr>
      </w:pPr>
    </w:p>
    <w:p>
      <w:pPr>
        <w:pStyle w:val="22"/>
        <w:snapToGrid w:val="0"/>
        <w:ind w:left="0" w:leftChars="0"/>
        <w:rPr>
          <w:rFonts w:hint="default" w:ascii="Times New Roman" w:hAnsi="Times New Roman" w:eastAsia="宋体" w:cs="Times New Roman"/>
          <w:b/>
          <w:sz w:val="36"/>
          <w:szCs w:val="36"/>
        </w:rPr>
      </w:pPr>
      <w:r>
        <w:rPr>
          <w:rFonts w:hint="default" w:ascii="Times New Roman" w:hAnsi="Times New Roman" w:eastAsia="宋体" w:cs="Times New Roman"/>
          <w:kern w:val="0"/>
          <w:sz w:val="36"/>
          <w:szCs w:val="36"/>
        </w:rPr>
        <w:br w:type="page"/>
      </w:r>
      <w:r>
        <w:rPr>
          <w:rFonts w:hint="default" w:ascii="Times New Roman" w:hAnsi="Times New Roman" w:eastAsia="宋体" w:cs="Times New Roman"/>
          <w:sz w:val="36"/>
          <w:szCs w:val="36"/>
        </w:rPr>
        <w:t>3、</w:t>
      </w:r>
      <w:r>
        <w:rPr>
          <w:rFonts w:hint="default" w:ascii="Times New Roman" w:hAnsi="Times New Roman" w:eastAsia="宋体" w:cs="Times New Roman"/>
          <w:b/>
          <w:sz w:val="36"/>
          <w:szCs w:val="36"/>
        </w:rPr>
        <w:t>报价文件目录</w:t>
      </w:r>
    </w:p>
    <w:p>
      <w:pPr>
        <w:rPr>
          <w:rFonts w:hint="default" w:ascii="Times New Roman" w:hAnsi="Times New Roman" w:cs="Times New Roman"/>
        </w:rPr>
      </w:pPr>
    </w:p>
    <w:p>
      <w:pPr>
        <w:pStyle w:val="22"/>
        <w:snapToGrid w:val="0"/>
        <w:spacing w:line="460" w:lineRule="exact"/>
        <w:ind w:left="0" w:leftChars="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（1）投标报价明细表（见附件18）；</w:t>
      </w:r>
    </w:p>
    <w:p>
      <w:pPr>
        <w:pStyle w:val="22"/>
        <w:snapToGrid w:val="0"/>
        <w:spacing w:line="460" w:lineRule="exact"/>
        <w:ind w:left="0" w:leftChars="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（2）投标人针对报价需要说明的其他文件和说明（格式自拟）；</w:t>
      </w:r>
    </w:p>
    <w:p>
      <w:pPr>
        <w:snapToGrid w:val="0"/>
        <w:spacing w:line="460" w:lineRule="exact"/>
        <w:jc w:val="left"/>
        <w:rPr>
          <w:rFonts w:hint="default" w:ascii="Times New Roman" w:hAnsi="Times New Roman" w:cs="Times New Roman"/>
          <w:sz w:val="30"/>
          <w:szCs w:val="30"/>
          <w:lang w:eastAsia="zh-CN"/>
        </w:rPr>
      </w:pPr>
      <w:r>
        <w:rPr>
          <w:rFonts w:hint="default" w:ascii="Times New Roman" w:hAnsi="Times New Roman" w:eastAsia="仿宋" w:cs="Times New Roman"/>
          <w:sz w:val="30"/>
          <w:szCs w:val="30"/>
        </w:rPr>
        <w:t>（3）</w:t>
      </w:r>
      <w:r>
        <w:rPr>
          <w:rFonts w:hint="default" w:ascii="Times New Roman" w:hAnsi="Times New Roman" w:cs="Times New Roman"/>
          <w:sz w:val="30"/>
          <w:szCs w:val="30"/>
          <w:lang w:eastAsia="zh-CN"/>
        </w:rPr>
        <w:t>关于符合本国产品标准的声明函；</w:t>
      </w:r>
    </w:p>
    <w:p>
      <w:pPr>
        <w:snapToGrid w:val="0"/>
        <w:spacing w:line="460" w:lineRule="exact"/>
        <w:jc w:val="left"/>
        <w:rPr>
          <w:rFonts w:hint="default" w:ascii="Times New Roman" w:hAnsi="Times New Roman" w:eastAsia="宋体" w:cs="Times New Roman"/>
          <w:sz w:val="30"/>
          <w:szCs w:val="30"/>
          <w:lang w:eastAsia="zh-CN"/>
        </w:rPr>
      </w:pPr>
    </w:p>
    <w:p>
      <w:pPr>
        <w:pStyle w:val="21"/>
        <w:snapToGrid w:val="0"/>
        <w:spacing w:before="120" w:after="120"/>
        <w:jc w:val="left"/>
        <w:rPr>
          <w:rFonts w:hint="default" w:ascii="Times New Roman" w:hAnsi="Times New Roman" w:cs="Times New Roman"/>
          <w:b/>
          <w:sz w:val="36"/>
          <w:szCs w:val="36"/>
        </w:rPr>
      </w:pPr>
      <w:r>
        <w:rPr>
          <w:rFonts w:hint="default" w:ascii="Times New Roman" w:hAnsi="Times New Roman" w:cs="Times New Roman"/>
          <w:kern w:val="0"/>
          <w:sz w:val="30"/>
          <w:szCs w:val="30"/>
        </w:rPr>
        <w:br w:type="page"/>
      </w:r>
      <w:r>
        <w:rPr>
          <w:rFonts w:hint="default" w:ascii="Times New Roman" w:hAnsi="Times New Roman" w:cs="Times New Roman"/>
          <w:sz w:val="30"/>
          <w:szCs w:val="30"/>
        </w:rPr>
        <w:t>附件1</w:t>
      </w:r>
      <w:r>
        <w:rPr>
          <w:rFonts w:hint="default" w:ascii="Times New Roman" w:hAnsi="Times New Roman" w:cs="Times New Roman"/>
          <w:sz w:val="30"/>
          <w:szCs w:val="30"/>
          <w:lang w:val="en-US" w:eastAsia="zh-CN"/>
        </w:rPr>
        <w:t>8</w:t>
      </w:r>
      <w:r>
        <w:rPr>
          <w:rFonts w:hint="default" w:ascii="Times New Roman" w:hAnsi="Times New Roman" w:cs="Times New Roman"/>
          <w:sz w:val="30"/>
          <w:szCs w:val="30"/>
        </w:rPr>
        <w:t>：</w:t>
      </w:r>
    </w:p>
    <w:p>
      <w:pPr>
        <w:pStyle w:val="21"/>
        <w:snapToGrid w:val="0"/>
        <w:spacing w:before="120" w:after="120"/>
        <w:ind w:firstLine="1081" w:firstLineChars="300"/>
        <w:jc w:val="center"/>
        <w:rPr>
          <w:rFonts w:hint="default" w:ascii="Times New Roman" w:hAnsi="Times New Roman" w:cs="Times New Roman"/>
          <w:b/>
          <w:sz w:val="36"/>
          <w:szCs w:val="36"/>
        </w:rPr>
      </w:pPr>
      <w:r>
        <w:rPr>
          <w:rFonts w:hint="default" w:ascii="Times New Roman" w:hAnsi="Times New Roman" w:cs="Times New Roman"/>
          <w:b/>
          <w:sz w:val="36"/>
          <w:szCs w:val="36"/>
        </w:rPr>
        <w:t>投 标 报 价 明 细 表</w:t>
      </w:r>
    </w:p>
    <w:p>
      <w:pPr>
        <w:pStyle w:val="21"/>
        <w:snapToGrid w:val="0"/>
        <w:spacing w:before="120" w:after="120"/>
        <w:ind w:firstLine="1081" w:firstLineChars="300"/>
        <w:jc w:val="center"/>
        <w:rPr>
          <w:rFonts w:hint="default" w:ascii="Times New Roman" w:hAnsi="Times New Roman" w:cs="Times New Roman"/>
          <w:b/>
          <w:sz w:val="36"/>
          <w:szCs w:val="36"/>
        </w:rPr>
      </w:pPr>
    </w:p>
    <w:p>
      <w:pPr>
        <w:snapToGrid w:val="0"/>
        <w:rPr>
          <w:rFonts w:hint="default" w:ascii="Times New Roman" w:hAnsi="Times New Roman" w:cs="Times New Roman"/>
          <w:sz w:val="28"/>
          <w:szCs w:val="28"/>
        </w:rPr>
      </w:pPr>
      <w:r>
        <w:rPr>
          <w:rFonts w:hint="default" w:ascii="Times New Roman" w:hAnsi="Times New Roman" w:cs="Times New Roman"/>
          <w:sz w:val="28"/>
          <w:szCs w:val="28"/>
        </w:rPr>
        <w:t>投标人全称（公章）：                 项目编号：</w:t>
      </w:r>
    </w:p>
    <w:tbl>
      <w:tblPr>
        <w:tblStyle w:val="36"/>
        <w:tblpPr w:leftFromText="180" w:rightFromText="180" w:vertAnchor="text" w:horzAnchor="page" w:tblpX="1417" w:tblpY="464"/>
        <w:tblOverlap w:val="never"/>
        <w:tblW w:w="9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0"/>
        <w:gridCol w:w="1296"/>
        <w:gridCol w:w="1341"/>
        <w:gridCol w:w="2607"/>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3070" w:type="dxa"/>
            <w:vAlign w:val="center"/>
          </w:tcPr>
          <w:p>
            <w:pPr>
              <w:spacing w:line="400" w:lineRule="exact"/>
              <w:jc w:val="center"/>
              <w:rPr>
                <w:rFonts w:hint="default" w:ascii="Times New Roman" w:hAnsi="Times New Roman" w:eastAsia="新宋体" w:cs="Times New Roman"/>
                <w:sz w:val="24"/>
              </w:rPr>
            </w:pPr>
            <w:r>
              <w:rPr>
                <w:rFonts w:hint="default" w:ascii="Times New Roman" w:hAnsi="Times New Roman" w:eastAsia="新宋体" w:cs="Times New Roman"/>
                <w:sz w:val="24"/>
                <w:lang w:val="en-US" w:eastAsia="zh-CN"/>
              </w:rPr>
              <w:t>项目</w:t>
            </w:r>
            <w:r>
              <w:rPr>
                <w:rFonts w:hint="default" w:ascii="Times New Roman" w:hAnsi="Times New Roman" w:eastAsia="新宋体" w:cs="Times New Roman"/>
                <w:sz w:val="24"/>
              </w:rPr>
              <w:t>名称</w:t>
            </w:r>
          </w:p>
        </w:tc>
        <w:tc>
          <w:tcPr>
            <w:tcW w:w="1296" w:type="dxa"/>
            <w:vAlign w:val="center"/>
          </w:tcPr>
          <w:p>
            <w:pPr>
              <w:spacing w:line="400" w:lineRule="exact"/>
              <w:jc w:val="center"/>
              <w:rPr>
                <w:rFonts w:hint="default" w:ascii="Times New Roman" w:hAnsi="Times New Roman" w:eastAsia="新宋体" w:cs="Times New Roman"/>
                <w:sz w:val="24"/>
                <w:lang w:val="en-US" w:eastAsia="zh-CN"/>
              </w:rPr>
            </w:pPr>
            <w:r>
              <w:rPr>
                <w:rFonts w:hint="default" w:ascii="Times New Roman" w:hAnsi="Times New Roman" w:eastAsia="新宋体" w:cs="Times New Roman"/>
                <w:sz w:val="24"/>
              </w:rPr>
              <w:t>是否小微企业</w:t>
            </w:r>
          </w:p>
        </w:tc>
        <w:tc>
          <w:tcPr>
            <w:tcW w:w="1341" w:type="dxa"/>
            <w:vAlign w:val="center"/>
          </w:tcPr>
          <w:p>
            <w:pPr>
              <w:spacing w:line="400" w:lineRule="exact"/>
              <w:jc w:val="center"/>
              <w:rPr>
                <w:rFonts w:hint="default" w:ascii="Times New Roman" w:hAnsi="Times New Roman" w:eastAsia="新宋体" w:cs="Times New Roman"/>
                <w:sz w:val="24"/>
              </w:rPr>
            </w:pPr>
            <w:r>
              <w:rPr>
                <w:rFonts w:hint="default" w:ascii="Times New Roman" w:hAnsi="Times New Roman" w:eastAsia="新宋体" w:cs="Times New Roman"/>
                <w:sz w:val="24"/>
              </w:rPr>
              <w:t>是否</w:t>
            </w:r>
            <w:r>
              <w:rPr>
                <w:rFonts w:hint="default" w:ascii="Times New Roman" w:hAnsi="Times New Roman" w:eastAsia="新宋体" w:cs="Times New Roman"/>
                <w:sz w:val="24"/>
                <w:lang w:val="en-US" w:eastAsia="zh-CN"/>
              </w:rPr>
              <w:t>本国产品</w:t>
            </w:r>
          </w:p>
        </w:tc>
        <w:tc>
          <w:tcPr>
            <w:tcW w:w="2607" w:type="dxa"/>
            <w:vAlign w:val="center"/>
          </w:tcPr>
          <w:p>
            <w:pPr>
              <w:spacing w:line="400" w:lineRule="exact"/>
              <w:jc w:val="center"/>
              <w:rPr>
                <w:rFonts w:hint="default" w:ascii="Times New Roman" w:hAnsi="Times New Roman" w:eastAsia="新宋体" w:cs="Times New Roman"/>
                <w:sz w:val="24"/>
              </w:rPr>
            </w:pPr>
            <w:r>
              <w:rPr>
                <w:rFonts w:hint="default" w:ascii="Times New Roman" w:hAnsi="Times New Roman" w:eastAsia="新宋体" w:cs="Times New Roman"/>
                <w:sz w:val="24"/>
              </w:rPr>
              <w:t>总价（元）</w:t>
            </w:r>
          </w:p>
        </w:tc>
        <w:tc>
          <w:tcPr>
            <w:tcW w:w="1104" w:type="dxa"/>
            <w:vAlign w:val="center"/>
          </w:tcPr>
          <w:p>
            <w:pPr>
              <w:jc w:val="center"/>
              <w:rPr>
                <w:rFonts w:hint="default" w:ascii="Times New Roman" w:hAnsi="Times New Roman" w:eastAsia="新宋体" w:cs="Times New Roman"/>
                <w:kern w:val="0"/>
                <w:sz w:val="24"/>
              </w:rPr>
            </w:pPr>
            <w:r>
              <w:rPr>
                <w:rFonts w:hint="default" w:ascii="Times New Roman" w:hAnsi="Times New Roman" w:eastAsia="新宋体" w:cs="Times New Roman"/>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3070" w:type="dxa"/>
            <w:vAlign w:val="center"/>
          </w:tcPr>
          <w:p>
            <w:pPr>
              <w:spacing w:before="156" w:beforeLines="50" w:after="156" w:afterLines="50"/>
              <w:jc w:val="center"/>
              <w:rPr>
                <w:rFonts w:hint="default" w:ascii="Times New Roman" w:hAnsi="Times New Roman" w:eastAsia="新宋体" w:cs="Times New Roman"/>
                <w:sz w:val="24"/>
              </w:rPr>
            </w:pPr>
          </w:p>
        </w:tc>
        <w:tc>
          <w:tcPr>
            <w:tcW w:w="1296" w:type="dxa"/>
            <w:vAlign w:val="center"/>
          </w:tcPr>
          <w:p>
            <w:pPr>
              <w:spacing w:before="156" w:beforeLines="50" w:after="156" w:afterLines="50"/>
              <w:jc w:val="center"/>
              <w:rPr>
                <w:rFonts w:hint="default" w:ascii="Times New Roman" w:hAnsi="Times New Roman" w:eastAsia="新宋体" w:cs="Times New Roman"/>
                <w:kern w:val="0"/>
                <w:sz w:val="24"/>
              </w:rPr>
            </w:pPr>
          </w:p>
        </w:tc>
        <w:tc>
          <w:tcPr>
            <w:tcW w:w="1341" w:type="dxa"/>
            <w:vAlign w:val="center"/>
          </w:tcPr>
          <w:p>
            <w:pPr>
              <w:spacing w:line="400" w:lineRule="exact"/>
              <w:jc w:val="center"/>
              <w:rPr>
                <w:rFonts w:hint="default" w:ascii="Times New Roman" w:hAnsi="Times New Roman" w:eastAsia="新宋体" w:cs="Times New Roman"/>
                <w:sz w:val="24"/>
              </w:rPr>
            </w:pPr>
          </w:p>
        </w:tc>
        <w:tc>
          <w:tcPr>
            <w:tcW w:w="2607" w:type="dxa"/>
            <w:vAlign w:val="center"/>
          </w:tcPr>
          <w:p>
            <w:pPr>
              <w:spacing w:line="400" w:lineRule="exact"/>
              <w:jc w:val="center"/>
              <w:rPr>
                <w:rFonts w:hint="default" w:ascii="Times New Roman" w:hAnsi="Times New Roman" w:eastAsia="新宋体" w:cs="Times New Roman"/>
                <w:sz w:val="24"/>
              </w:rPr>
            </w:pPr>
          </w:p>
        </w:tc>
        <w:tc>
          <w:tcPr>
            <w:tcW w:w="1104" w:type="dxa"/>
            <w:vAlign w:val="center"/>
          </w:tcPr>
          <w:p>
            <w:pPr>
              <w:jc w:val="center"/>
              <w:rPr>
                <w:rFonts w:hint="default" w:ascii="Times New Roman" w:hAnsi="Times New Roman" w:eastAsia="新宋体" w:cs="Times New Roman"/>
                <w:b/>
                <w:kern w:val="0"/>
                <w:sz w:val="24"/>
              </w:rPr>
            </w:pPr>
            <w:r>
              <w:rPr>
                <w:rFonts w:hint="default" w:ascii="Times New Roman" w:hAnsi="Times New Roman" w:eastAsia="新宋体" w:cs="Times New Roman"/>
                <w:b/>
                <w:kern w:val="0"/>
                <w:sz w:val="24"/>
              </w:rPr>
              <w:t>须提供各分项设备报价清单(如有)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5" w:hRule="atLeast"/>
        </w:trPr>
        <w:tc>
          <w:tcPr>
            <w:tcW w:w="9418" w:type="dxa"/>
            <w:gridSpan w:val="5"/>
            <w:vAlign w:val="center"/>
          </w:tcPr>
          <w:p>
            <w:pPr>
              <w:spacing w:line="400" w:lineRule="exact"/>
              <w:rPr>
                <w:rFonts w:hint="default" w:ascii="Times New Roman" w:hAnsi="Times New Roman" w:eastAsia="新宋体" w:cs="Times New Roman"/>
                <w:sz w:val="24"/>
              </w:rPr>
            </w:pPr>
            <w:r>
              <w:rPr>
                <w:rFonts w:hint="default" w:ascii="Times New Roman" w:hAnsi="Times New Roman" w:eastAsia="新宋体" w:cs="Times New Roman"/>
                <w:sz w:val="24"/>
              </w:rPr>
              <w:t>投标总价合计金额 大写：</w:t>
            </w:r>
            <w:r>
              <w:rPr>
                <w:rFonts w:hint="default" w:ascii="Times New Roman" w:hAnsi="Times New Roman" w:eastAsia="新宋体" w:cs="Times New Roman"/>
                <w:sz w:val="24"/>
                <w:u w:val="single"/>
              </w:rPr>
              <w:t xml:space="preserve"> </w:t>
            </w:r>
            <w:r>
              <w:rPr>
                <w:rFonts w:hint="default" w:ascii="Times New Roman" w:hAnsi="Times New Roman" w:eastAsia="新宋体" w:cs="Times New Roman"/>
                <w:bCs/>
                <w:sz w:val="24"/>
                <w:u w:val="single"/>
              </w:rPr>
              <w:t xml:space="preserve"> </w:t>
            </w:r>
            <w:r>
              <w:rPr>
                <w:rFonts w:hint="default" w:ascii="Times New Roman" w:hAnsi="Times New Roman" w:eastAsia="新宋体" w:cs="Times New Roman"/>
                <w:sz w:val="24"/>
                <w:u w:val="single"/>
              </w:rPr>
              <w:t xml:space="preserve">                  元 </w:t>
            </w:r>
            <w:r>
              <w:rPr>
                <w:rFonts w:hint="default" w:ascii="Times New Roman" w:hAnsi="Times New Roman" w:eastAsia="新宋体" w:cs="Times New Roman"/>
                <w:sz w:val="24"/>
              </w:rPr>
              <w:t>小写：¥</w:t>
            </w:r>
            <w:r>
              <w:rPr>
                <w:rFonts w:hint="default" w:ascii="Times New Roman" w:hAnsi="Times New Roman" w:eastAsia="新宋体" w:cs="Times New Roman"/>
                <w:sz w:val="24"/>
                <w:u w:val="single"/>
              </w:rPr>
              <w:t xml:space="preserve"> </w:t>
            </w:r>
            <w:r>
              <w:rPr>
                <w:rFonts w:hint="default" w:ascii="Times New Roman" w:hAnsi="Times New Roman" w:eastAsia="新宋体" w:cs="Times New Roman"/>
                <w:bCs/>
                <w:sz w:val="24"/>
                <w:u w:val="single"/>
              </w:rPr>
              <w:t xml:space="preserve">                 </w:t>
            </w:r>
            <w:r>
              <w:rPr>
                <w:rFonts w:hint="default" w:ascii="Times New Roman" w:hAnsi="Times New Roman" w:eastAsia="新宋体" w:cs="Times New Roman"/>
                <w:sz w:val="24"/>
                <w:u w:val="single"/>
              </w:rPr>
              <w:t xml:space="preserve">  元            </w:t>
            </w:r>
            <w:r>
              <w:rPr>
                <w:rFonts w:hint="default" w:ascii="Times New Roman" w:hAnsi="Times New Roman" w:eastAsia="新宋体" w:cs="Times New Roman"/>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0" w:hRule="atLeast"/>
        </w:trPr>
        <w:tc>
          <w:tcPr>
            <w:tcW w:w="9418" w:type="dxa"/>
            <w:gridSpan w:val="5"/>
            <w:vAlign w:val="center"/>
          </w:tcPr>
          <w:p>
            <w:pPr>
              <w:snapToGrid w:val="0"/>
              <w:spacing w:line="360" w:lineRule="auto"/>
              <w:rPr>
                <w:rFonts w:hint="default" w:ascii="Times New Roman" w:hAnsi="Times New Roman" w:eastAsia="新宋体" w:cs="Times New Roman"/>
                <w:sz w:val="24"/>
              </w:rPr>
            </w:pPr>
            <w:r>
              <w:rPr>
                <w:rFonts w:hint="default" w:ascii="Times New Roman" w:hAnsi="Times New Roman" w:eastAsia="新宋体" w:cs="Times New Roman"/>
                <w:sz w:val="24"/>
              </w:rPr>
              <w:t>1.此表应按项目的明细情况列项填报,在填写时，如上表不适合本项目的实际情况，可在确保投标明细内容完整的情况下，根据上表格式自行划表填写。</w:t>
            </w:r>
          </w:p>
          <w:p>
            <w:pPr>
              <w:snapToGrid w:val="0"/>
              <w:spacing w:line="360" w:lineRule="auto"/>
              <w:rPr>
                <w:rFonts w:hint="default" w:ascii="Times New Roman" w:hAnsi="Times New Roman" w:eastAsia="新宋体" w:cs="Times New Roman"/>
                <w:sz w:val="24"/>
              </w:rPr>
            </w:pPr>
            <w:r>
              <w:rPr>
                <w:rFonts w:hint="default" w:ascii="Times New Roman" w:hAnsi="Times New Roman" w:eastAsia="新宋体" w:cs="Times New Roman"/>
                <w:sz w:val="24"/>
              </w:rPr>
              <w:t>2.报价要求：项目费用包括项目实施所需的货款、工时费、服务费、运输费、安装调试费、税费及其他一切费用。</w:t>
            </w:r>
          </w:p>
          <w:p>
            <w:pPr>
              <w:snapToGrid w:val="0"/>
              <w:spacing w:line="360" w:lineRule="auto"/>
              <w:rPr>
                <w:rFonts w:hint="default" w:ascii="Times New Roman" w:hAnsi="Times New Roman" w:eastAsia="新宋体" w:cs="Times New Roman"/>
                <w:sz w:val="24"/>
              </w:rPr>
            </w:pPr>
            <w:r>
              <w:rPr>
                <w:rFonts w:hint="default" w:ascii="Times New Roman" w:hAnsi="Times New Roman" w:eastAsia="新宋体" w:cs="Times New Roman"/>
                <w:sz w:val="24"/>
              </w:rPr>
              <w:t>3.报价中不允许出现报价优惠等字样（明细出现“0”元，视同赠送）,投标总价合计金额应与明细报价汇总相等。</w:t>
            </w:r>
          </w:p>
        </w:tc>
      </w:tr>
    </w:tbl>
    <w:p>
      <w:pPr>
        <w:spacing w:before="240"/>
        <w:rPr>
          <w:rFonts w:hint="default" w:ascii="Times New Roman" w:hAnsi="Times New Roman" w:cs="Times New Roman"/>
          <w:sz w:val="24"/>
          <w:u w:val="single"/>
        </w:rPr>
      </w:pPr>
    </w:p>
    <w:p>
      <w:pPr>
        <w:snapToGrid w:val="0"/>
        <w:spacing w:line="360" w:lineRule="auto"/>
        <w:rPr>
          <w:rFonts w:hint="default" w:ascii="Times New Roman" w:hAnsi="Times New Roman" w:cs="Times New Roman"/>
          <w:sz w:val="30"/>
          <w:szCs w:val="30"/>
        </w:rPr>
      </w:pPr>
    </w:p>
    <w:p>
      <w:pPr>
        <w:snapToGrid w:val="0"/>
        <w:spacing w:line="400" w:lineRule="exact"/>
        <w:jc w:val="left"/>
        <w:rPr>
          <w:rFonts w:hint="default" w:ascii="Times New Roman" w:hAnsi="Times New Roman" w:cs="Times New Roman"/>
          <w:sz w:val="28"/>
          <w:szCs w:val="28"/>
        </w:rPr>
      </w:pPr>
      <w:r>
        <w:rPr>
          <w:rFonts w:hint="default" w:ascii="Times New Roman" w:hAnsi="Times New Roman" w:cs="Times New Roman"/>
          <w:sz w:val="28"/>
          <w:szCs w:val="28"/>
        </w:rPr>
        <w:t xml:space="preserve">授权代表签名（或签名章）：                         日期： </w:t>
      </w:r>
    </w:p>
    <w:p>
      <w:pPr>
        <w:snapToGrid w:val="0"/>
        <w:spacing w:line="360" w:lineRule="auto"/>
        <w:rPr>
          <w:rFonts w:hint="default" w:ascii="Times New Roman" w:hAnsi="Times New Roman" w:cs="Times New Roman"/>
          <w:sz w:val="30"/>
          <w:szCs w:val="30"/>
        </w:rPr>
      </w:pPr>
    </w:p>
    <w:p>
      <w:pPr>
        <w:rPr>
          <w:rFonts w:hint="default" w:ascii="Times New Roman" w:hAnsi="Times New Roman" w:eastAsia="仿宋" w:cs="Times New Roman"/>
          <w:b w:val="0"/>
          <w:bCs w:val="0"/>
          <w:kern w:val="2"/>
          <w:sz w:val="30"/>
          <w:szCs w:val="30"/>
          <w:lang w:val="en-US" w:eastAsia="zh-CN" w:bidi="ar-SA"/>
        </w:rPr>
      </w:pPr>
      <w:r>
        <w:rPr>
          <w:rFonts w:hint="default" w:ascii="Times New Roman" w:hAnsi="Times New Roman" w:cs="Times New Roman"/>
          <w:b/>
          <w:bCs/>
          <w:color w:val="000000"/>
          <w:sz w:val="30"/>
          <w:szCs w:val="30"/>
        </w:rPr>
        <w:br w:type="page"/>
      </w:r>
      <w:r>
        <w:rPr>
          <w:rFonts w:hint="default" w:ascii="Times New Roman" w:hAnsi="Times New Roman" w:eastAsia="仿宋" w:cs="Times New Roman"/>
          <w:b w:val="0"/>
          <w:bCs w:val="0"/>
          <w:kern w:val="2"/>
          <w:sz w:val="30"/>
          <w:szCs w:val="30"/>
          <w:lang w:val="en-US" w:eastAsia="zh-CN" w:bidi="ar-SA"/>
        </w:rPr>
        <w:t>附件19：</w:t>
      </w:r>
    </w:p>
    <w:p>
      <w:pPr>
        <w:pStyle w:val="34"/>
        <w:rPr>
          <w:rFonts w:hint="default" w:ascii="Times New Roman" w:hAnsi="Times New Roman" w:cs="Times New Roman"/>
          <w:sz w:val="30"/>
          <w:szCs w:val="30"/>
        </w:rPr>
      </w:pPr>
      <w:r>
        <w:rPr>
          <w:rFonts w:hint="default" w:ascii="Times New Roman" w:hAnsi="Times New Roman" w:cs="Times New Roman"/>
          <w:sz w:val="30"/>
          <w:szCs w:val="30"/>
        </w:rPr>
        <w:t>关于符合本国产品标准的声明函</w:t>
      </w:r>
    </w:p>
    <w:p>
      <w:pPr>
        <w:spacing w:line="360" w:lineRule="auto"/>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一、</w:t>
      </w:r>
      <w:r>
        <w:rPr>
          <w:rFonts w:hint="default" w:ascii="Times New Roman" w:hAnsi="Times New Roman" w:cs="Times New Roman"/>
          <w:sz w:val="24"/>
        </w:rPr>
        <w:t>本公司（单位）郑重声明，根据《国务院办公厅关于在政府采购中实施本国产品标准及相关政策的通知》（国办发〔2025〕34号）的规定，本公司（单位）提供的以下产品属于本国产品。具体情况如下：</w:t>
      </w:r>
    </w:p>
    <w:p>
      <w:pPr>
        <w:spacing w:line="360" w:lineRule="auto"/>
        <w:ind w:firstLine="480" w:firstLineChars="200"/>
        <w:rPr>
          <w:rFonts w:hint="default" w:ascii="Times New Roman" w:hAnsi="Times New Roman" w:cs="Times New Roman"/>
          <w:i w:val="0"/>
          <w:iCs/>
          <w:sz w:val="24"/>
        </w:rPr>
      </w:pPr>
      <w:r>
        <w:rPr>
          <w:rFonts w:hint="default" w:ascii="Times New Roman" w:hAnsi="Times New Roman" w:cs="Times New Roman"/>
          <w:sz w:val="24"/>
        </w:rPr>
        <w:t>1.</w:t>
      </w:r>
      <w:r>
        <w:rPr>
          <w:rFonts w:hint="default" w:ascii="Times New Roman" w:hAnsi="Times New Roman" w:cs="Times New Roman"/>
          <w:i w:val="0"/>
          <w:iCs/>
          <w:sz w:val="24"/>
          <w:u w:val="single"/>
        </w:rPr>
        <w:t>（产品名称1）</w:t>
      </w:r>
      <w:r>
        <w:rPr>
          <w:rFonts w:hint="default" w:ascii="Times New Roman" w:hAnsi="Times New Roman" w:cs="Times New Roman"/>
          <w:i w:val="0"/>
          <w:iCs/>
          <w:sz w:val="24"/>
          <w:vertAlign w:val="superscript"/>
        </w:rPr>
        <w:t>1</w:t>
      </w:r>
      <w:r>
        <w:rPr>
          <w:rFonts w:hint="default" w:ascii="Times New Roman" w:hAnsi="Times New Roman" w:cs="Times New Roman"/>
          <w:i w:val="0"/>
          <w:iCs/>
          <w:sz w:val="24"/>
        </w:rPr>
        <w:t>，生产厂为</w:t>
      </w:r>
      <w:r>
        <w:rPr>
          <w:rFonts w:hint="default" w:ascii="Times New Roman" w:hAnsi="Times New Roman" w:cs="Times New Roman"/>
          <w:i w:val="0"/>
          <w:iCs/>
          <w:sz w:val="24"/>
          <w:u w:val="single"/>
        </w:rPr>
        <w:t>（厂名）</w:t>
      </w:r>
      <w:r>
        <w:rPr>
          <w:rFonts w:hint="default" w:ascii="Times New Roman" w:hAnsi="Times New Roman" w:cs="Times New Roman"/>
          <w:i w:val="0"/>
          <w:iCs/>
          <w:sz w:val="24"/>
          <w:vertAlign w:val="superscript"/>
        </w:rPr>
        <w:t>2</w:t>
      </w:r>
      <w:r>
        <w:rPr>
          <w:rFonts w:hint="default" w:ascii="Times New Roman" w:hAnsi="Times New Roman" w:cs="Times New Roman"/>
          <w:i w:val="0"/>
          <w:iCs/>
          <w:sz w:val="24"/>
        </w:rPr>
        <w:t>，厂址为</w:t>
      </w:r>
      <w:r>
        <w:rPr>
          <w:rFonts w:hint="default" w:ascii="Times New Roman" w:hAnsi="Times New Roman" w:cs="Times New Roman"/>
          <w:i w:val="0"/>
          <w:iCs/>
          <w:sz w:val="24"/>
          <w:u w:val="single"/>
        </w:rPr>
        <w:t>（生产厂址）</w:t>
      </w:r>
      <w:r>
        <w:rPr>
          <w:rFonts w:hint="default" w:ascii="Times New Roman" w:hAnsi="Times New Roman" w:cs="Times New Roman"/>
          <w:i w:val="0"/>
          <w:iCs/>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i w:val="0"/>
          <w:iCs/>
          <w:sz w:val="24"/>
        </w:rPr>
        <w:t>2.</w:t>
      </w:r>
      <w:r>
        <w:rPr>
          <w:rFonts w:hint="default" w:ascii="Times New Roman" w:hAnsi="Times New Roman" w:cs="Times New Roman"/>
          <w:i w:val="0"/>
          <w:iCs/>
          <w:sz w:val="24"/>
          <w:u w:val="single"/>
        </w:rPr>
        <w:t>（产品名称2）</w:t>
      </w:r>
      <w:r>
        <w:rPr>
          <w:rFonts w:hint="default" w:ascii="Times New Roman" w:hAnsi="Times New Roman" w:cs="Times New Roman"/>
          <w:i w:val="0"/>
          <w:iCs/>
          <w:sz w:val="24"/>
        </w:rPr>
        <w:t>，生产厂为</w:t>
      </w:r>
      <w:r>
        <w:rPr>
          <w:rFonts w:hint="default" w:ascii="Times New Roman" w:hAnsi="Times New Roman" w:cs="Times New Roman"/>
          <w:i w:val="0"/>
          <w:iCs/>
          <w:sz w:val="24"/>
          <w:u w:val="single"/>
        </w:rPr>
        <w:t>（厂名）</w:t>
      </w:r>
      <w:r>
        <w:rPr>
          <w:rFonts w:hint="default" w:ascii="Times New Roman" w:hAnsi="Times New Roman" w:cs="Times New Roman"/>
          <w:i w:val="0"/>
          <w:iCs/>
          <w:sz w:val="24"/>
        </w:rPr>
        <w:t>，厂址为</w:t>
      </w:r>
      <w:r>
        <w:rPr>
          <w:rFonts w:hint="default" w:ascii="Times New Roman" w:hAnsi="Times New Roman" w:cs="Times New Roman"/>
          <w:i w:val="0"/>
          <w:iCs/>
          <w:sz w:val="24"/>
          <w:u w:val="single"/>
        </w:rPr>
        <w:t>（生产厂址）</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w:t>
      </w:r>
    </w:p>
    <w:p>
      <w:pPr>
        <w:numPr>
          <w:ilvl w:val="0"/>
          <w:numId w:val="11"/>
        </w:num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关于符合本国产品标准的成本占比情况:</w:t>
      </w:r>
    </w:p>
    <w:tbl>
      <w:tblPr>
        <w:tblStyle w:val="3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16" w:type="dxa"/>
            <w:vAlign w:val="center"/>
          </w:tcPr>
          <w:p>
            <w:pPr>
              <w:numPr>
                <w:ilvl w:val="0"/>
                <w:numId w:val="0"/>
              </w:numPr>
              <w:spacing w:line="360" w:lineRule="auto"/>
              <w:jc w:val="center"/>
              <w:rPr>
                <w:rFonts w:hint="default" w:ascii="Times New Roman" w:hAnsi="Times New Roman" w:cs="Times New Roman"/>
                <w:sz w:val="24"/>
                <w:vertAlign w:val="baseline"/>
              </w:rPr>
            </w:pPr>
            <w:r>
              <w:rPr>
                <w:rFonts w:hint="default" w:ascii="Times New Roman" w:hAnsi="Times New Roman" w:cs="Times New Roman"/>
                <w:sz w:val="24"/>
                <w:vertAlign w:val="baseline"/>
              </w:rPr>
              <w:t>计算公式</w:t>
            </w:r>
          </w:p>
        </w:tc>
        <w:tc>
          <w:tcPr>
            <w:tcW w:w="2706" w:type="dxa"/>
            <w:vAlign w:val="center"/>
          </w:tcPr>
          <w:p>
            <w:pPr>
              <w:numPr>
                <w:ilvl w:val="0"/>
                <w:numId w:val="0"/>
              </w:numPr>
              <w:spacing w:line="360" w:lineRule="auto"/>
              <w:jc w:val="center"/>
              <w:rPr>
                <w:rFonts w:hint="default" w:ascii="Times New Roman" w:hAnsi="Times New Roman" w:cs="Times New Roman"/>
                <w:sz w:val="24"/>
                <w:vertAlign w:val="baseline"/>
              </w:rPr>
            </w:pPr>
            <w:r>
              <w:rPr>
                <w:rFonts w:hint="default" w:ascii="Times New Roman" w:hAnsi="Times New Roman" w:cs="Times New Roman"/>
                <w:sz w:val="24"/>
                <w:vertAlign w:val="baseline"/>
              </w:rPr>
              <w:t>占比情况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4" w:hRule="atLeast"/>
        </w:trPr>
        <w:tc>
          <w:tcPr>
            <w:tcW w:w="5816" w:type="dxa"/>
            <w:vAlign w:val="center"/>
          </w:tcPr>
          <w:p>
            <w:pPr>
              <w:numPr>
                <w:ilvl w:val="0"/>
                <w:numId w:val="0"/>
              </w:numPr>
              <w:spacing w:line="360" w:lineRule="auto"/>
              <w:jc w:val="both"/>
              <w:rPr>
                <w:rFonts w:hint="default" w:ascii="Times New Roman" w:hAnsi="Times New Roman" w:eastAsia="宋体" w:cs="Times New Roman"/>
                <w:sz w:val="24"/>
                <w:vertAlign w:val="baseline"/>
                <w:lang w:val="en-US" w:eastAsia="zh-CN"/>
              </w:rPr>
            </w:pPr>
            <w:r>
              <w:rPr>
                <w:rFonts w:hint="default" w:ascii="Times New Roman" w:hAnsi="Times New Roman" w:eastAsia="宋体" w:cs="Times New Roman"/>
                <w:position w:val="-26"/>
                <w:sz w:val="24"/>
                <w:vertAlign w:val="baseline"/>
                <w:lang w:val="en-US" w:eastAsia="zh-CN"/>
              </w:rPr>
              <w:object>
                <v:shape id="_x0000_i1025" o:spt="75" type="#_x0000_t75" style="height:33pt;width:280pt;" o:ole="t" filled="f" o:preferrelative="t" stroked="f" coordsize="21600,21600">
                  <v:path/>
                  <v:fill on="f" focussize="0,0"/>
                  <v:stroke on="f"/>
                  <v:imagedata r:id="rId54" o:title=""/>
                  <o:lock v:ext="edit" aspectratio="t"/>
                  <w10:wrap type="none"/>
                  <w10:anchorlock/>
                </v:shape>
                <o:OLEObject Type="Embed" ProgID="Equation.KSEE3" ShapeID="_x0000_i1025" DrawAspect="Content" ObjectID="_1468075725" r:id="rId53">
                  <o:LockedField>false</o:LockedField>
                </o:OLEObject>
              </w:object>
            </w:r>
          </w:p>
        </w:tc>
        <w:tc>
          <w:tcPr>
            <w:tcW w:w="2706" w:type="dxa"/>
            <w:vAlign w:val="center"/>
          </w:tcPr>
          <w:p>
            <w:pPr>
              <w:numPr>
                <w:ilvl w:val="0"/>
                <w:numId w:val="0"/>
              </w:numPr>
              <w:spacing w:line="360" w:lineRule="auto"/>
              <w:jc w:val="center"/>
              <w:rPr>
                <w:rFonts w:hint="default" w:ascii="Times New Roman" w:hAnsi="Times New Roman" w:eastAsia="宋体" w:cs="Times New Roman"/>
                <w:sz w:val="24"/>
                <w:vertAlign w:val="baseline"/>
                <w:lang w:val="en-US" w:eastAsia="zh-CN"/>
              </w:rPr>
            </w:pPr>
            <w:r>
              <w:rPr>
                <w:rFonts w:hint="default" w:ascii="Times New Roman" w:hAnsi="Times New Roman" w:cs="Times New Roman"/>
                <w:sz w:val="24"/>
                <w:u w:val="single"/>
                <w:vertAlign w:val="baseline"/>
                <w:lang w:val="en-US" w:eastAsia="zh-CN"/>
              </w:rPr>
              <w:t xml:space="preserve">        %</w:t>
            </w:r>
          </w:p>
        </w:tc>
      </w:tr>
    </w:tbl>
    <w:p>
      <w:pPr>
        <w:numPr>
          <w:ilvl w:val="0"/>
          <w:numId w:val="0"/>
        </w:numPr>
        <w:spacing w:line="360" w:lineRule="auto"/>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本公司（单位）对上述声明内容的真实性负责。如有虚假，愿承担相应法律责任。</w:t>
      </w:r>
    </w:p>
    <w:p>
      <w:pPr>
        <w:spacing w:line="360" w:lineRule="auto"/>
        <w:rPr>
          <w:rFonts w:hint="default" w:ascii="Times New Roman" w:hAnsi="Times New Roman" w:cs="Times New Roman"/>
          <w:sz w:val="24"/>
        </w:rPr>
      </w:pPr>
    </w:p>
    <w:p>
      <w:pPr>
        <w:spacing w:line="360" w:lineRule="auto"/>
        <w:rPr>
          <w:rFonts w:hint="default" w:ascii="Times New Roman" w:hAnsi="Times New Roman" w:cs="Times New Roman"/>
          <w:sz w:val="24"/>
        </w:rPr>
      </w:pPr>
    </w:p>
    <w:p>
      <w:pPr>
        <w:spacing w:line="360" w:lineRule="auto"/>
        <w:ind w:left="2940" w:firstLine="420"/>
        <w:rPr>
          <w:rFonts w:hint="default" w:ascii="Times New Roman" w:hAnsi="Times New Roman" w:cs="Times New Roman"/>
          <w:sz w:val="24"/>
        </w:rPr>
      </w:pPr>
      <w:r>
        <w:rPr>
          <w:rFonts w:hint="default" w:ascii="Times New Roman" w:hAnsi="Times New Roman" w:cs="Times New Roman"/>
          <w:sz w:val="24"/>
        </w:rPr>
        <w:t>公司（单位）名称（盖章）：　        </w:t>
      </w:r>
    </w:p>
    <w:p>
      <w:pPr>
        <w:spacing w:line="360" w:lineRule="auto"/>
        <w:ind w:left="2940" w:firstLine="420"/>
        <w:rPr>
          <w:rFonts w:hint="default" w:ascii="Times New Roman" w:hAnsi="Times New Roman" w:cs="Times New Roman"/>
          <w:sz w:val="24"/>
        </w:rPr>
      </w:pPr>
      <w:r>
        <w:rPr>
          <w:rFonts w:hint="default" w:ascii="Times New Roman" w:hAnsi="Times New Roman" w:cs="Times New Roman"/>
          <w:sz w:val="24"/>
        </w:rPr>
        <w:t>日期：　     年　  月　  日    </w:t>
      </w:r>
    </w:p>
    <w:p>
      <w:pPr>
        <w:spacing w:line="360" w:lineRule="auto"/>
        <w:rPr>
          <w:rFonts w:hint="default" w:ascii="Times New Roman" w:hAnsi="Times New Roman" w:cs="Times New Roman"/>
          <w:sz w:val="24"/>
        </w:rPr>
      </w:pPr>
    </w:p>
    <w:p>
      <w:pPr>
        <w:spacing w:line="360" w:lineRule="auto"/>
        <w:rPr>
          <w:rFonts w:hint="default" w:ascii="Times New Roman" w:hAnsi="Times New Roman" w:cs="Times New Roman"/>
          <w:sz w:val="24"/>
        </w:rPr>
      </w:pPr>
      <w:r>
        <w:rPr>
          <w:rFonts w:hint="default" w:ascii="Times New Roman" w:hAnsi="Times New Roman" w:cs="Times New Roman"/>
          <w:sz w:val="24"/>
        </w:rPr>
        <w:t>__________________</w:t>
      </w:r>
    </w:p>
    <w:p>
      <w:pPr>
        <w:spacing w:line="360" w:lineRule="auto"/>
        <w:rPr>
          <w:rFonts w:hint="default" w:ascii="Times New Roman" w:hAnsi="Times New Roman" w:cs="Times New Roman"/>
          <w:color w:val="FF0000"/>
          <w:sz w:val="22"/>
          <w:szCs w:val="20"/>
        </w:rPr>
      </w:pPr>
      <w:r>
        <w:rPr>
          <w:rFonts w:hint="default" w:ascii="Times New Roman" w:hAnsi="Times New Roman" w:cs="Times New Roman"/>
          <w:color w:val="FF0000"/>
          <w:sz w:val="22"/>
          <w:szCs w:val="20"/>
        </w:rPr>
        <w:t>1.产品如有型号，请在“产品名称”栏一并填写。</w:t>
      </w:r>
    </w:p>
    <w:p>
      <w:pPr>
        <w:spacing w:line="360" w:lineRule="auto"/>
        <w:rPr>
          <w:rFonts w:hint="default" w:ascii="Times New Roman" w:hAnsi="Times New Roman" w:cs="Times New Roman"/>
          <w:sz w:val="22"/>
          <w:szCs w:val="20"/>
        </w:rPr>
      </w:pPr>
      <w:r>
        <w:rPr>
          <w:rFonts w:hint="default" w:ascii="Times New Roman" w:hAnsi="Times New Roman" w:cs="Times New Roman"/>
          <w:sz w:val="22"/>
          <w:szCs w:val="20"/>
        </w:rPr>
        <w:t>2.生产厂名与厂址应与生产厂营业执照载明的相关信息保持一致。</w:t>
      </w:r>
    </w:p>
    <w:p>
      <w:pPr>
        <w:rPr>
          <w:rFonts w:hint="default" w:ascii="Times New Roman" w:hAnsi="Times New Roman" w:cs="Times New Roman"/>
        </w:rPr>
        <w:sectPr>
          <w:headerReference r:id="rId8" w:type="default"/>
          <w:footerReference r:id="rId9" w:type="default"/>
          <w:pgSz w:w="11906" w:h="16838"/>
          <w:pgMar w:top="1440" w:right="1800" w:bottom="1440" w:left="1800" w:header="851" w:footer="992" w:gutter="0"/>
          <w:cols w:space="425" w:num="1"/>
          <w:docGrid w:type="lines" w:linePitch="312" w:charSpace="0"/>
        </w:sectPr>
      </w:pPr>
    </w:p>
    <w:p>
      <w:pPr>
        <w:rPr>
          <w:rFonts w:hint="default" w:ascii="Times New Roman" w:hAnsi="Times New Roman" w:cs="Times New Roman"/>
        </w:rPr>
      </w:pPr>
    </w:p>
    <w:p>
      <w:pPr>
        <w:widowControl w:val="0"/>
        <w:spacing w:before="240"/>
        <w:jc w:val="center"/>
        <w:rPr>
          <w:rFonts w:hint="default" w:ascii="Times New Roman" w:hAnsi="Times New Roman" w:cs="Times New Roman"/>
          <w:sz w:val="28"/>
          <w:szCs w:val="28"/>
        </w:rPr>
      </w:pPr>
    </w:p>
    <w:p>
      <w:pPr>
        <w:widowControl w:val="0"/>
        <w:spacing w:before="240"/>
        <w:jc w:val="center"/>
        <w:rPr>
          <w:rFonts w:hint="default" w:ascii="Times New Roman" w:hAnsi="Times New Roman" w:cs="Times New Roman"/>
          <w:sz w:val="28"/>
          <w:szCs w:val="28"/>
        </w:rPr>
      </w:pPr>
    </w:p>
    <w:p>
      <w:pPr>
        <w:widowControl w:val="0"/>
        <w:snapToGrid w:val="0"/>
        <w:spacing w:line="900" w:lineRule="exact"/>
        <w:jc w:val="center"/>
        <w:rPr>
          <w:rFonts w:hint="default" w:ascii="Times New Roman" w:hAnsi="Times New Roman" w:cs="Times New Roman"/>
          <w:sz w:val="28"/>
          <w:szCs w:val="28"/>
        </w:rPr>
      </w:pPr>
    </w:p>
    <w:p>
      <w:pPr>
        <w:widowControl w:val="0"/>
        <w:snapToGrid w:val="0"/>
        <w:spacing w:line="900" w:lineRule="exact"/>
        <w:jc w:val="center"/>
        <w:rPr>
          <w:rFonts w:hint="default" w:ascii="Times New Roman" w:hAnsi="Times New Roman" w:cs="Times New Roman"/>
          <w:color w:val="000000"/>
          <w:sz w:val="24"/>
          <w:szCs w:val="24"/>
        </w:rPr>
      </w:pPr>
    </w:p>
    <w:p>
      <w:pPr>
        <w:widowControl w:val="0"/>
        <w:snapToGrid w:val="0"/>
        <w:spacing w:line="900" w:lineRule="exact"/>
        <w:rPr>
          <w:rFonts w:hint="default" w:ascii="Times New Roman" w:hAnsi="Times New Roman" w:cs="Times New Roman"/>
          <w:color w:val="000000"/>
          <w:sz w:val="24"/>
          <w:szCs w:val="24"/>
        </w:rPr>
      </w:pPr>
    </w:p>
    <w:p>
      <w:pPr>
        <w:widowControl w:val="0"/>
        <w:snapToGrid w:val="0"/>
        <w:spacing w:line="900" w:lineRule="exact"/>
        <w:jc w:val="center"/>
        <w:rPr>
          <w:rFonts w:hint="default" w:ascii="Times New Roman" w:hAnsi="Times New Roman" w:cs="Times New Roman"/>
          <w:color w:val="000000"/>
          <w:sz w:val="24"/>
          <w:szCs w:val="24"/>
        </w:rPr>
      </w:pPr>
    </w:p>
    <w:p>
      <w:pPr>
        <w:widowControl w:val="0"/>
        <w:snapToGrid w:val="0"/>
        <w:spacing w:line="900" w:lineRule="exact"/>
        <w:jc w:val="center"/>
        <w:rPr>
          <w:rFonts w:hint="default" w:ascii="Times New Roman" w:hAnsi="Times New Roman" w:cs="Times New Roman"/>
          <w:b/>
          <w:bCs/>
          <w:sz w:val="48"/>
          <w:szCs w:val="48"/>
        </w:rPr>
      </w:pPr>
      <w:r>
        <w:rPr>
          <w:rFonts w:hint="default" w:ascii="Times New Roman" w:hAnsi="Times New Roman" w:cs="Times New Roman"/>
          <w:b/>
          <w:bCs/>
          <w:sz w:val="48"/>
          <w:szCs w:val="48"/>
        </w:rPr>
        <w:t>第六章</w:t>
      </w:r>
    </w:p>
    <w:p>
      <w:pPr>
        <w:widowControl w:val="0"/>
        <w:snapToGrid w:val="0"/>
        <w:spacing w:line="900" w:lineRule="exact"/>
        <w:jc w:val="center"/>
        <w:rPr>
          <w:rFonts w:hint="default" w:ascii="Times New Roman" w:hAnsi="Times New Roman" w:cs="Times New Roman"/>
          <w:b/>
          <w:bCs/>
          <w:color w:val="000000"/>
          <w:sz w:val="48"/>
          <w:szCs w:val="48"/>
        </w:rPr>
      </w:pPr>
      <w:r>
        <w:rPr>
          <w:rFonts w:hint="default" w:ascii="Times New Roman" w:hAnsi="Times New Roman" w:cs="Times New Roman"/>
          <w:b/>
          <w:bCs/>
          <w:color w:val="000000"/>
          <w:sz w:val="48"/>
          <w:szCs w:val="48"/>
        </w:rPr>
        <w:t>合同主要条款</w:t>
      </w:r>
    </w:p>
    <w:p>
      <w:pPr>
        <w:widowControl w:val="0"/>
        <w:adjustRightInd w:val="0"/>
        <w:rPr>
          <w:rFonts w:hint="default" w:ascii="Times New Roman" w:hAnsi="Times New Roman" w:cs="Times New Roman"/>
          <w:sz w:val="24"/>
          <w:szCs w:val="24"/>
        </w:rPr>
      </w:pPr>
    </w:p>
    <w:p>
      <w:pPr>
        <w:widowControl w:val="0"/>
        <w:snapToGrid w:val="0"/>
        <w:spacing w:before="156" w:beforeLines="50" w:after="156" w:afterLines="50"/>
        <w:jc w:val="center"/>
        <w:rPr>
          <w:rFonts w:hint="default" w:ascii="Times New Roman" w:hAnsi="Times New Roman" w:cs="Times New Roman"/>
          <w:b/>
          <w:bCs/>
          <w:sz w:val="36"/>
          <w:szCs w:val="36"/>
        </w:rPr>
      </w:pPr>
    </w:p>
    <w:p>
      <w:pPr>
        <w:pStyle w:val="21"/>
        <w:snapToGrid w:val="0"/>
        <w:spacing w:line="330" w:lineRule="exact"/>
        <w:ind w:firstLine="7057" w:firstLineChars="2350"/>
        <w:rPr>
          <w:rFonts w:hint="default" w:ascii="Times New Roman" w:hAnsi="Times New Roman" w:cs="Times New Roman"/>
        </w:rPr>
      </w:pPr>
      <w:r>
        <w:rPr>
          <w:rFonts w:hint="default" w:ascii="Times New Roman" w:hAnsi="Times New Roman" w:cs="Times New Roman"/>
          <w:b/>
          <w:bCs/>
          <w:sz w:val="30"/>
          <w:szCs w:val="30"/>
        </w:rPr>
        <w:br w:type="page"/>
      </w:r>
    </w:p>
    <w:p>
      <w:pPr>
        <w:pStyle w:val="13"/>
        <w:spacing w:after="0"/>
        <w:jc w:val="center"/>
        <w:rPr>
          <w:rFonts w:hint="default" w:ascii="Times New Roman" w:hAnsi="Times New Roman" w:cs="Times New Roman"/>
          <w:b/>
          <w:bCs/>
          <w:spacing w:val="-20"/>
          <w:kern w:val="44"/>
          <w:sz w:val="48"/>
          <w:szCs w:val="48"/>
        </w:rPr>
      </w:pPr>
      <w:bookmarkStart w:id="35" w:name="_Toc3995"/>
    </w:p>
    <w:p>
      <w:pPr>
        <w:pStyle w:val="13"/>
        <w:spacing w:after="0"/>
        <w:jc w:val="center"/>
        <w:rPr>
          <w:rFonts w:hint="default" w:ascii="Times New Roman" w:hAnsi="Times New Roman" w:cs="Times New Roman"/>
          <w:b/>
          <w:bCs/>
          <w:spacing w:val="-20"/>
          <w:kern w:val="44"/>
          <w:sz w:val="48"/>
          <w:szCs w:val="48"/>
        </w:rPr>
      </w:pPr>
    </w:p>
    <w:p>
      <w:pPr>
        <w:pStyle w:val="13"/>
        <w:spacing w:after="0"/>
        <w:jc w:val="center"/>
        <w:rPr>
          <w:rFonts w:hint="default" w:ascii="Times New Roman" w:hAnsi="Times New Roman" w:cs="Times New Roman"/>
          <w:b/>
          <w:bCs/>
          <w:spacing w:val="-20"/>
          <w:kern w:val="44"/>
          <w:sz w:val="48"/>
          <w:szCs w:val="48"/>
        </w:rPr>
      </w:pPr>
    </w:p>
    <w:p>
      <w:pPr>
        <w:pStyle w:val="13"/>
        <w:spacing w:after="0"/>
        <w:jc w:val="center"/>
        <w:rPr>
          <w:rFonts w:hint="default" w:ascii="Times New Roman" w:hAnsi="Times New Roman" w:cs="Times New Roman"/>
          <w:b/>
          <w:bCs/>
          <w:spacing w:val="-20"/>
          <w:kern w:val="44"/>
          <w:sz w:val="48"/>
          <w:szCs w:val="48"/>
        </w:rPr>
      </w:pPr>
    </w:p>
    <w:p>
      <w:pPr>
        <w:pStyle w:val="13"/>
        <w:spacing w:after="0"/>
        <w:jc w:val="center"/>
        <w:rPr>
          <w:rFonts w:hint="default" w:ascii="Times New Roman" w:hAnsi="Times New Roman" w:cs="Times New Roman"/>
          <w:b/>
          <w:bCs/>
          <w:spacing w:val="-20"/>
          <w:kern w:val="44"/>
          <w:sz w:val="48"/>
          <w:szCs w:val="48"/>
        </w:rPr>
      </w:pPr>
    </w:p>
    <w:p>
      <w:pPr>
        <w:pStyle w:val="13"/>
        <w:spacing w:after="0"/>
        <w:jc w:val="center"/>
        <w:rPr>
          <w:rFonts w:hint="default" w:ascii="Times New Roman" w:hAnsi="Times New Roman" w:cs="Times New Roman"/>
          <w:b/>
          <w:bCs/>
          <w:spacing w:val="-20"/>
          <w:kern w:val="44"/>
          <w:sz w:val="48"/>
          <w:szCs w:val="48"/>
        </w:rPr>
      </w:pPr>
      <w:r>
        <w:rPr>
          <w:rFonts w:hint="default" w:ascii="Times New Roman" w:hAnsi="Times New Roman" w:cs="Times New Roman"/>
          <w:b/>
          <w:bCs/>
          <w:spacing w:val="-20"/>
          <w:kern w:val="44"/>
          <w:sz w:val="48"/>
          <w:szCs w:val="48"/>
        </w:rPr>
        <w:t>政府采购货物买卖合同</w:t>
      </w:r>
    </w:p>
    <w:p>
      <w:pPr>
        <w:pStyle w:val="13"/>
        <w:spacing w:after="0"/>
        <w:jc w:val="center"/>
        <w:rPr>
          <w:rFonts w:hint="default" w:ascii="Times New Roman" w:hAnsi="Times New Roman" w:cs="Times New Roman"/>
          <w:b/>
          <w:bCs/>
          <w:spacing w:val="-20"/>
          <w:kern w:val="44"/>
          <w:sz w:val="48"/>
          <w:szCs w:val="48"/>
        </w:rPr>
      </w:pPr>
      <w:r>
        <w:rPr>
          <w:rFonts w:hint="default" w:ascii="Times New Roman" w:hAnsi="Times New Roman" w:cs="Times New Roman"/>
          <w:b/>
          <w:bCs/>
          <w:spacing w:val="-20"/>
          <w:kern w:val="44"/>
          <w:sz w:val="48"/>
          <w:szCs w:val="48"/>
        </w:rPr>
        <w:t>（试行）</w:t>
      </w:r>
    </w:p>
    <w:p>
      <w:pPr>
        <w:rPr>
          <w:rFonts w:hint="default" w:ascii="Times New Roman" w:hAnsi="Times New Roman" w:cs="Times New Roman"/>
          <w:b/>
          <w:bCs/>
          <w:spacing w:val="-20"/>
          <w:kern w:val="44"/>
          <w:sz w:val="40"/>
          <w:szCs w:val="40"/>
        </w:rPr>
      </w:pPr>
    </w:p>
    <w:p>
      <w:pPr>
        <w:rPr>
          <w:rFonts w:hint="default" w:ascii="Times New Roman" w:hAnsi="Times New Roman" w:cs="Times New Roman"/>
          <w:b/>
          <w:bCs/>
          <w:spacing w:val="-20"/>
          <w:kern w:val="44"/>
          <w:sz w:val="40"/>
          <w:szCs w:val="40"/>
        </w:rPr>
      </w:pPr>
    </w:p>
    <w:p>
      <w:pPr>
        <w:rPr>
          <w:rFonts w:hint="default" w:ascii="Times New Roman" w:hAnsi="Times New Roman" w:cs="Times New Roman"/>
          <w:b/>
          <w:bCs/>
          <w:spacing w:val="-20"/>
          <w:kern w:val="44"/>
          <w:sz w:val="40"/>
          <w:szCs w:val="40"/>
        </w:rPr>
      </w:pPr>
    </w:p>
    <w:p>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kern w:val="0"/>
          <w:sz w:val="32"/>
          <w:szCs w:val="32"/>
        </w:rPr>
        <w:t>项目名称：</w:t>
      </w:r>
      <w:r>
        <w:rPr>
          <w:rFonts w:hint="default" w:ascii="Times New Roman" w:hAnsi="Times New Roman" w:cs="Times New Roman"/>
          <w:sz w:val="32"/>
          <w:szCs w:val="32"/>
          <w:u w:val="single"/>
        </w:rPr>
        <w:t xml:space="preserve">                             </w:t>
      </w:r>
    </w:p>
    <w:p>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合同编号：</w:t>
      </w:r>
      <w:r>
        <w:rPr>
          <w:rFonts w:hint="default" w:ascii="Times New Roman" w:hAnsi="Times New Roman" w:cs="Times New Roman"/>
          <w:sz w:val="32"/>
          <w:szCs w:val="32"/>
          <w:u w:val="single"/>
        </w:rPr>
        <w:t xml:space="preserve">                             </w:t>
      </w:r>
    </w:p>
    <w:p>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甲    方：</w:t>
      </w:r>
      <w:r>
        <w:rPr>
          <w:rFonts w:hint="default" w:ascii="Times New Roman" w:hAnsi="Times New Roman" w:cs="Times New Roman"/>
          <w:sz w:val="32"/>
          <w:szCs w:val="32"/>
          <w:u w:val="single"/>
        </w:rPr>
        <w:t xml:space="preserve">                             </w:t>
      </w:r>
    </w:p>
    <w:p>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乙    方：</w:t>
      </w:r>
      <w:r>
        <w:rPr>
          <w:rFonts w:hint="default" w:ascii="Times New Roman" w:hAnsi="Times New Roman" w:cs="Times New Roman"/>
          <w:sz w:val="32"/>
          <w:szCs w:val="32"/>
          <w:u w:val="single"/>
        </w:rPr>
        <w:t xml:space="preserve">                             </w:t>
      </w:r>
    </w:p>
    <w:p>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签订时间：</w:t>
      </w:r>
      <w:r>
        <w:rPr>
          <w:rFonts w:hint="default" w:ascii="Times New Roman" w:hAnsi="Times New Roman" w:cs="Times New Roman"/>
          <w:sz w:val="32"/>
          <w:szCs w:val="32"/>
          <w:u w:val="single"/>
        </w:rPr>
        <w:t xml:space="preserve">                             </w:t>
      </w:r>
    </w:p>
    <w:p>
      <w:pPr>
        <w:rPr>
          <w:rFonts w:hint="default" w:ascii="Times New Roman" w:hAnsi="Times New Roman" w:cs="Times New Roman"/>
        </w:rPr>
      </w:pPr>
    </w:p>
    <w:p>
      <w:pPr>
        <w:rPr>
          <w:rFonts w:hint="default" w:ascii="Times New Roman" w:hAnsi="Times New Roman" w:eastAsia="黑体" w:cs="Times New Roman"/>
          <w:sz w:val="44"/>
          <w:szCs w:val="44"/>
        </w:rPr>
      </w:pPr>
      <w:r>
        <w:rPr>
          <w:rFonts w:hint="default" w:ascii="Times New Roman" w:hAnsi="Times New Roman" w:eastAsia="黑体" w:cs="Times New Roman"/>
          <w:sz w:val="44"/>
          <w:szCs w:val="44"/>
        </w:rPr>
        <w:br w:type="page"/>
      </w:r>
    </w:p>
    <w:p>
      <w:pPr>
        <w:rPr>
          <w:rFonts w:hint="default" w:ascii="Times New Roman" w:hAnsi="Times New Roman" w:eastAsia="黑体" w:cs="Times New Roman"/>
          <w:sz w:val="44"/>
          <w:szCs w:val="44"/>
        </w:rPr>
      </w:pPr>
    </w:p>
    <w:p>
      <w:pPr>
        <w:rPr>
          <w:rFonts w:hint="default" w:ascii="Times New Roman" w:hAnsi="Times New Roman" w:eastAsia="黑体" w:cs="Times New Roman"/>
          <w:sz w:val="44"/>
          <w:szCs w:val="44"/>
        </w:rPr>
      </w:pPr>
    </w:p>
    <w:p>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使 用 说 明</w:t>
      </w:r>
    </w:p>
    <w:p>
      <w:pPr>
        <w:ind w:firstLine="640" w:firstLineChars="200"/>
        <w:rPr>
          <w:rFonts w:hint="default" w:ascii="Times New Roman" w:hAnsi="Times New Roman" w:eastAsia="仿宋_GB2312" w:cs="Times New Roman"/>
          <w:sz w:val="32"/>
          <w:szCs w:val="32"/>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1.本合同标准文本适用于购买现成货物的采购项目，不包括需要供应商定制开发、创新研发的货物采购项目。</w:t>
      </w:r>
    </w:p>
    <w:p>
      <w:pP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 xml:space="preserve">   </w:t>
      </w:r>
      <w:r>
        <w:rPr>
          <w:rFonts w:hint="default" w:ascii="Times New Roman" w:hAnsi="Times New Roman" w:eastAsia="仿宋_GB2312" w:cs="Times New Roman"/>
          <w:sz w:val="32"/>
          <w:szCs w:val="32"/>
        </w:rPr>
        <w:t>2.本合同标准文本为政府采购货物买卖合同编制提供参考，可以结合采购项目具体情况，对文本作必要的调整修订后使用。</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3.本合同标准文本各条款中，如涉及填写多家供应商、制造商，多种采购标的、分包主要内容等信息的，可根据采购项目具体情况添加信息项。</w:t>
      </w:r>
    </w:p>
    <w:p>
      <w:pPr>
        <w:ind w:firstLine="880" w:firstLineChars="200"/>
        <w:rPr>
          <w:rFonts w:hint="default" w:ascii="Times New Roman" w:hAnsi="Times New Roman" w:eastAsia="黑体" w:cs="Times New Roman"/>
          <w:sz w:val="44"/>
          <w:szCs w:val="44"/>
        </w:rPr>
        <w:sectPr>
          <w:pgSz w:w="11906" w:h="16838"/>
          <w:pgMar w:top="1440" w:right="1800" w:bottom="1440" w:left="1800" w:header="851" w:footer="992" w:gutter="0"/>
          <w:cols w:space="425" w:num="1"/>
          <w:docGrid w:type="lines" w:linePitch="312" w:charSpace="0"/>
        </w:sectPr>
      </w:pPr>
    </w:p>
    <w:bookmarkEnd w:id="35"/>
    <w:p>
      <w:pPr>
        <w:pStyle w:val="2"/>
        <w:adjustRightInd w:val="0"/>
        <w:snapToGrid w:val="0"/>
        <w:spacing w:line="400" w:lineRule="exact"/>
        <w:jc w:val="center"/>
        <w:rPr>
          <w:rFonts w:hint="default" w:ascii="Times New Roman" w:hAnsi="Times New Roman" w:eastAsia="黑体" w:cs="Times New Roman"/>
          <w:sz w:val="28"/>
          <w:szCs w:val="28"/>
        </w:rPr>
      </w:pPr>
      <w:bookmarkStart w:id="36" w:name="_Toc22209"/>
    </w:p>
    <w:p>
      <w:pPr>
        <w:pStyle w:val="2"/>
        <w:adjustRightInd w:val="0"/>
        <w:snapToGrid w:val="0"/>
        <w:spacing w:line="40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第一节 政府采购合同协议书</w:t>
      </w:r>
      <w:bookmarkEnd w:id="36"/>
    </w:p>
    <w:p>
      <w:pPr>
        <w:pStyle w:val="2"/>
        <w:adjustRightInd w:val="0"/>
        <w:snapToGrid w:val="0"/>
        <w:spacing w:line="400" w:lineRule="exact"/>
        <w:jc w:val="center"/>
        <w:rPr>
          <w:rFonts w:hint="default" w:ascii="Times New Roman" w:hAnsi="Times New Roman" w:eastAsia="黑体" w:cs="Times New Roman"/>
          <w:sz w:val="28"/>
          <w:szCs w:val="28"/>
        </w:rPr>
      </w:pPr>
    </w:p>
    <w:p>
      <w:pPr>
        <w:adjustRightInd w:val="0"/>
        <w:snapToGrid w:val="0"/>
        <w:spacing w:line="400" w:lineRule="exact"/>
        <w:rPr>
          <w:rFonts w:hint="default" w:ascii="Times New Roman" w:hAnsi="Times New Roman" w:cs="Times New Roman"/>
        </w:rPr>
      </w:pPr>
      <w:r>
        <w:rPr>
          <w:rFonts w:hint="default" w:ascii="Times New Roman" w:hAnsi="Times New Roman" w:cs="Times New Roman"/>
        </w:rPr>
        <w:t>甲方（全称）：</w:t>
      </w:r>
      <w:r>
        <w:rPr>
          <w:rFonts w:hint="default" w:ascii="Times New Roman" w:hAnsi="Times New Roman" w:cs="Times New Roman"/>
          <w:u w:val="single"/>
        </w:rPr>
        <w:t xml:space="preserve">                        </w:t>
      </w:r>
      <w:r>
        <w:rPr>
          <w:rFonts w:hint="default" w:ascii="Times New Roman" w:hAnsi="Times New Roman" w:cs="Times New Roman"/>
        </w:rPr>
        <w:t>（采购人、受采购人委托签订合同的单位或采购</w:t>
      </w:r>
      <w:r>
        <w:rPr>
          <w:rFonts w:hint="default" w:ascii="Times New Roman" w:hAnsi="Times New Roman" w:cs="Times New Roman"/>
        </w:rPr>
        <w:tab/>
      </w:r>
      <w:r>
        <w:rPr>
          <w:rFonts w:hint="default" w:ascii="Times New Roman" w:hAnsi="Times New Roman" w:cs="Times New Roman"/>
        </w:rPr>
        <w:t xml:space="preserve">                                   文件约定的合同甲方）</w:t>
      </w:r>
    </w:p>
    <w:p>
      <w:pPr>
        <w:adjustRightInd w:val="0"/>
        <w:snapToGrid w:val="0"/>
        <w:spacing w:line="400" w:lineRule="exact"/>
        <w:rPr>
          <w:rFonts w:hint="default" w:ascii="Times New Roman" w:hAnsi="Times New Roman" w:cs="Times New Roman"/>
        </w:rPr>
      </w:pPr>
      <w:r>
        <w:rPr>
          <w:rFonts w:hint="default" w:ascii="Times New Roman" w:hAnsi="Times New Roman" w:cs="Times New Roman"/>
        </w:rPr>
        <w:t>乙方1（全称）：</w:t>
      </w:r>
      <w:r>
        <w:rPr>
          <w:rFonts w:hint="default" w:ascii="Times New Roman" w:hAnsi="Times New Roman" w:cs="Times New Roman"/>
          <w:u w:val="single"/>
        </w:rPr>
        <w:t xml:space="preserve">                       </w:t>
      </w:r>
      <w:r>
        <w:rPr>
          <w:rFonts w:hint="default" w:ascii="Times New Roman" w:hAnsi="Times New Roman" w:cs="Times New Roman"/>
        </w:rPr>
        <w:t>（供应商）</w:t>
      </w:r>
    </w:p>
    <w:p>
      <w:pPr>
        <w:adjustRightInd w:val="0"/>
        <w:snapToGrid w:val="0"/>
        <w:spacing w:line="400" w:lineRule="exact"/>
        <w:rPr>
          <w:rFonts w:hint="default" w:ascii="Times New Roman" w:hAnsi="Times New Roman" w:cs="Times New Roman"/>
        </w:rPr>
      </w:pPr>
      <w:r>
        <w:rPr>
          <w:rFonts w:hint="default" w:ascii="Times New Roman" w:hAnsi="Times New Roman" w:cs="Times New Roman"/>
        </w:rPr>
        <w:t>乙方2（全称）：</w:t>
      </w:r>
      <w:r>
        <w:rPr>
          <w:rFonts w:hint="default" w:ascii="Times New Roman" w:hAnsi="Times New Roman" w:cs="Times New Roman"/>
          <w:u w:val="single"/>
        </w:rPr>
        <w:t xml:space="preserve">                        </w:t>
      </w:r>
      <w:r>
        <w:rPr>
          <w:rFonts w:hint="default" w:ascii="Times New Roman" w:hAnsi="Times New Roman" w:cs="Times New Roman"/>
        </w:rPr>
        <w:t>（联合体成员供应商或其他合同主体）（如有）</w:t>
      </w:r>
    </w:p>
    <w:p>
      <w:pPr>
        <w:adjustRightInd w:val="0"/>
        <w:snapToGrid w:val="0"/>
        <w:spacing w:line="400" w:lineRule="exact"/>
        <w:rPr>
          <w:rFonts w:hint="default" w:ascii="Times New Roman" w:hAnsi="Times New Roman" w:cs="Times New Roman"/>
        </w:rPr>
      </w:pPr>
      <w:r>
        <w:rPr>
          <w:rFonts w:hint="default" w:ascii="Times New Roman" w:hAnsi="Times New Roman" w:cs="Times New Roman"/>
        </w:rPr>
        <w:t>乙方3（全称）</w:t>
      </w:r>
      <w:r>
        <w:rPr>
          <w:rFonts w:hint="default" w:ascii="Times New Roman" w:hAnsi="Times New Roman" w:cs="Times New Roman"/>
          <w:u w:val="single"/>
        </w:rPr>
        <w:t xml:space="preserve">                          </w:t>
      </w:r>
      <w:r>
        <w:rPr>
          <w:rFonts w:hint="default" w:ascii="Times New Roman" w:hAnsi="Times New Roman" w:cs="Times New Roman"/>
        </w:rPr>
        <w:t>（联合体成员供应商或其他合同主体）（如有）</w:t>
      </w:r>
    </w:p>
    <w:p>
      <w:pPr>
        <w:spacing w:line="400" w:lineRule="exact"/>
        <w:rPr>
          <w:rFonts w:hint="default" w:ascii="Times New Roman" w:hAnsi="Times New Roman" w:cs="Times New Roman"/>
        </w:rPr>
      </w:pPr>
    </w:p>
    <w:p>
      <w:pPr>
        <w:pStyle w:val="16"/>
        <w:adjustRightInd w:val="0"/>
        <w:snapToGrid w:val="0"/>
        <w:spacing w:after="0" w:line="400" w:lineRule="exact"/>
        <w:ind w:left="0" w:leftChars="0" w:firstLine="420" w:firstLineChars="200"/>
        <w:rPr>
          <w:rFonts w:hint="default" w:ascii="Times New Roman" w:hAnsi="Times New Roman" w:cs="Times New Roman"/>
        </w:rPr>
      </w:pPr>
      <w:r>
        <w:rPr>
          <w:rFonts w:hint="default" w:ascii="Times New Roman" w:hAnsi="Times New Roman" w:cs="Times New Roma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2"/>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项目信息</w:t>
      </w:r>
    </w:p>
    <w:p>
      <w:pPr>
        <w:pStyle w:val="16"/>
        <w:numPr>
          <w:ilvl w:val="0"/>
          <w:numId w:val="13"/>
        </w:numPr>
        <w:adjustRightInd w:val="0"/>
        <w:snapToGrid w:val="0"/>
        <w:spacing w:after="0" w:line="400" w:lineRule="exact"/>
        <w:ind w:left="0" w:leftChars="0" w:firstLine="420" w:firstLineChars="200"/>
        <w:rPr>
          <w:rFonts w:hint="default" w:ascii="Times New Roman" w:hAnsi="Times New Roman" w:cs="Times New Roman"/>
          <w:u w:val="single"/>
        </w:rPr>
      </w:pPr>
      <w:r>
        <w:rPr>
          <w:rFonts w:hint="default" w:ascii="Times New Roman" w:hAnsi="Times New Roman" w:cs="Times New Roman"/>
        </w:rPr>
        <w:t>采购项目名称：</w:t>
      </w:r>
      <w:r>
        <w:rPr>
          <w:rFonts w:hint="default" w:ascii="Times New Roman" w:hAnsi="Times New Roman" w:cs="Times New Roman"/>
          <w:u w:val="single"/>
        </w:rPr>
        <w:t xml:space="preserve">                                          </w:t>
      </w:r>
    </w:p>
    <w:p>
      <w:pPr>
        <w:pStyle w:val="16"/>
        <w:numPr>
          <w:ilvl w:val="255"/>
          <w:numId w:val="0"/>
        </w:numPr>
        <w:tabs>
          <w:tab w:val="left" w:pos="999"/>
        </w:tabs>
        <w:adjustRightInd w:val="0"/>
        <w:snapToGrid w:val="0"/>
        <w:spacing w:after="0" w:line="400" w:lineRule="exact"/>
        <w:rPr>
          <w:rFonts w:hint="default" w:ascii="Times New Roman" w:hAnsi="Times New Roman" w:cs="Times New Roman"/>
        </w:rPr>
      </w:pPr>
      <w:r>
        <w:rPr>
          <w:rFonts w:hint="default" w:ascii="Times New Roman" w:hAnsi="Times New Roman" w:cs="Times New Roman"/>
        </w:rPr>
        <w:t xml:space="preserve">         采购项目编号：</w:t>
      </w:r>
      <w:r>
        <w:rPr>
          <w:rFonts w:hint="default" w:ascii="Times New Roman" w:hAnsi="Times New Roman" w:cs="Times New Roman"/>
          <w:u w:val="single"/>
        </w:rPr>
        <w:t xml:space="preserve">                                          </w:t>
      </w:r>
    </w:p>
    <w:p>
      <w:pPr>
        <w:pStyle w:val="16"/>
        <w:adjustRightInd w:val="0"/>
        <w:snapToGrid w:val="0"/>
        <w:spacing w:after="0" w:line="400" w:lineRule="exact"/>
        <w:ind w:left="0" w:leftChars="0" w:firstLine="420" w:firstLineChars="200"/>
        <w:rPr>
          <w:rFonts w:hint="default" w:ascii="Times New Roman" w:hAnsi="Times New Roman" w:cs="Times New Roman"/>
        </w:rPr>
      </w:pPr>
      <w:r>
        <w:rPr>
          <w:rFonts w:hint="default" w:ascii="Times New Roman" w:hAnsi="Times New Roman" w:cs="Times New Roman"/>
        </w:rPr>
        <w:t>（2）采购计划编号：</w:t>
      </w:r>
      <w:r>
        <w:rPr>
          <w:rFonts w:hint="default" w:ascii="Times New Roman" w:hAnsi="Times New Roman" w:cs="Times New Roman"/>
          <w:u w:val="single"/>
        </w:rPr>
        <w:t xml:space="preserve">                                          </w:t>
      </w:r>
      <w:r>
        <w:rPr>
          <w:rFonts w:hint="default" w:ascii="Times New Roman" w:hAnsi="Times New Roman" w:cs="Times New Roman"/>
        </w:rPr>
        <w:t xml:space="preserve"> </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（3）项目内容：</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 xml:space="preserve">     采购标的及数量（台/套</w:t>
      </w:r>
      <w:r>
        <w:rPr>
          <w:rFonts w:hint="default" w:ascii="Times New Roman" w:hAnsi="Times New Roman" w:cs="Times New Roman"/>
          <w:lang w:val="en"/>
        </w:rPr>
        <w:t>/个/架/组等</w:t>
      </w:r>
      <w:r>
        <w:rPr>
          <w:rFonts w:hint="default" w:ascii="Times New Roman" w:hAnsi="Times New Roman" w:cs="Times New Roman"/>
        </w:rPr>
        <w:t>）：</w:t>
      </w:r>
      <w:r>
        <w:rPr>
          <w:rFonts w:hint="default" w:ascii="Times New Roman" w:hAnsi="Times New Roman" w:cs="Times New Roman"/>
          <w:u w:val="single"/>
        </w:rPr>
        <w:t xml:space="preserve">                       </w:t>
      </w:r>
      <w:r>
        <w:rPr>
          <w:rFonts w:hint="default" w:ascii="Times New Roman" w:hAnsi="Times New Roman" w:cs="Times New Roman"/>
        </w:rPr>
        <w:t xml:space="preserve">            </w:t>
      </w:r>
      <w:r>
        <w:rPr>
          <w:rFonts w:hint="default" w:ascii="Times New Roman" w:hAnsi="Times New Roman" w:cs="Times New Roman"/>
          <w:u w:val="single"/>
        </w:rPr>
        <w:t xml:space="preserve">                  </w:t>
      </w:r>
      <w:r>
        <w:rPr>
          <w:rFonts w:hint="default" w:ascii="Times New Roman" w:hAnsi="Times New Roman" w:cs="Times New Roman"/>
        </w:rPr>
        <w:t xml:space="preserve"> </w:t>
      </w:r>
    </w:p>
    <w:p>
      <w:pPr>
        <w:numPr>
          <w:ilvl w:val="255"/>
          <w:numId w:val="0"/>
        </w:numPr>
        <w:adjustRightInd w:val="0"/>
        <w:snapToGrid w:val="0"/>
        <w:spacing w:line="400" w:lineRule="exact"/>
        <w:ind w:firstLine="420" w:firstLineChars="200"/>
        <w:rPr>
          <w:rFonts w:hint="default" w:ascii="Times New Roman" w:hAnsi="Times New Roman" w:cs="Times New Roman"/>
          <w:lang w:val="en"/>
        </w:rPr>
      </w:pPr>
      <w:r>
        <w:rPr>
          <w:rFonts w:hint="default" w:ascii="Times New Roman" w:hAnsi="Times New Roman" w:cs="Times New Roman"/>
        </w:rPr>
        <w:t xml:space="preserve">     品牌：</w:t>
      </w:r>
      <w:r>
        <w:rPr>
          <w:rFonts w:hint="default" w:ascii="Times New Roman" w:hAnsi="Times New Roman" w:cs="Times New Roman"/>
          <w:u w:val="single"/>
        </w:rPr>
        <w:t xml:space="preserve">      </w:t>
      </w:r>
      <w:r>
        <w:rPr>
          <w:rFonts w:hint="default" w:ascii="Times New Roman" w:hAnsi="Times New Roman" w:cs="Times New Roman"/>
          <w:u w:val="single"/>
          <w:lang w:val="e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
        </w:rPr>
        <w:t xml:space="preserve"> </w:t>
      </w:r>
      <w:r>
        <w:rPr>
          <w:rFonts w:hint="default" w:ascii="Times New Roman" w:hAnsi="Times New Roman" w:cs="Times New Roman"/>
          <w:u w:val="single"/>
        </w:rPr>
        <w:t xml:space="preserve"> </w:t>
      </w:r>
      <w:r>
        <w:rPr>
          <w:rFonts w:hint="default" w:ascii="Times New Roman" w:hAnsi="Times New Roman" w:cs="Times New Roman"/>
          <w:lang w:val="en"/>
        </w:rPr>
        <w:t xml:space="preserve">     </w:t>
      </w:r>
      <w:r>
        <w:rPr>
          <w:rFonts w:hint="default" w:ascii="Times New Roman" w:hAnsi="Times New Roman" w:cs="Times New Roman"/>
        </w:rPr>
        <w:t>规格型号：</w:t>
      </w:r>
      <w:r>
        <w:rPr>
          <w:rFonts w:hint="default" w:ascii="Times New Roman" w:hAnsi="Times New Roman" w:cs="Times New Roman"/>
          <w:u w:val="single"/>
        </w:rPr>
        <w:t xml:space="preserve">   </w:t>
      </w:r>
      <w:r>
        <w:rPr>
          <w:rFonts w:hint="default" w:ascii="Times New Roman" w:hAnsi="Times New Roman" w:cs="Times New Roman"/>
          <w:u w:val="single"/>
          <w:lang w:val="e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
        </w:rPr>
        <w:t xml:space="preserve">   </w:t>
      </w:r>
    </w:p>
    <w:p>
      <w:pPr>
        <w:adjustRightInd w:val="0"/>
        <w:snapToGrid w:val="0"/>
        <w:spacing w:line="400" w:lineRule="exact"/>
        <w:ind w:firstLine="945" w:firstLineChars="450"/>
        <w:rPr>
          <w:rFonts w:hint="default" w:ascii="Times New Roman" w:hAnsi="Times New Roman" w:cs="Times New Roman"/>
          <w:u w:val="single"/>
        </w:rPr>
      </w:pPr>
      <w:r>
        <w:rPr>
          <w:rFonts w:hint="default" w:ascii="Times New Roman" w:hAnsi="Times New Roman" w:cs="Times New Roman"/>
        </w:rPr>
        <w:t>采购标的的技术要求、商务要求具体见附件。</w:t>
      </w:r>
    </w:p>
    <w:p>
      <w:pPr>
        <w:numPr>
          <w:ilvl w:val="255"/>
          <w:numId w:val="0"/>
        </w:numPr>
        <w:adjustRightInd w:val="0"/>
        <w:snapToGrid w:val="0"/>
        <w:spacing w:line="400" w:lineRule="exact"/>
        <w:ind w:firstLine="945" w:firstLineChars="450"/>
        <w:rPr>
          <w:rFonts w:hint="default" w:ascii="Times New Roman" w:hAnsi="Times New Roman" w:cs="Times New Roman"/>
        </w:rPr>
      </w:pPr>
      <w:r>
        <w:rPr>
          <w:rFonts w:hint="default" w:ascii="Times New Roman" w:hAnsi="Times New Roman" w:eastAsia="汉仪书宋二S" w:cs="Times New Roman"/>
        </w:rPr>
        <w:t>①</w:t>
      </w:r>
      <w:r>
        <w:rPr>
          <w:rFonts w:hint="default" w:ascii="Times New Roman" w:hAnsi="Times New Roman" w:cs="Times New Roman"/>
        </w:rPr>
        <w:t>涉及信息类产品，请填写该产品关键部件的品牌、型号：</w:t>
      </w:r>
    </w:p>
    <w:p>
      <w:pPr>
        <w:numPr>
          <w:ilvl w:val="255"/>
          <w:numId w:val="0"/>
        </w:numPr>
        <w:adjustRightInd w:val="0"/>
        <w:snapToGrid w:val="0"/>
        <w:spacing w:line="400" w:lineRule="exact"/>
        <w:ind w:firstLine="420" w:firstLineChars="200"/>
        <w:rPr>
          <w:rFonts w:hint="default" w:ascii="Times New Roman" w:hAnsi="Times New Roman" w:cs="Times New Roman"/>
          <w:kern w:val="0"/>
          <w:u w:val="single"/>
        </w:rPr>
      </w:pPr>
      <w:r>
        <w:rPr>
          <w:rFonts w:hint="default" w:ascii="Times New Roman" w:hAnsi="Times New Roman" w:cs="Times New Roman"/>
        </w:rPr>
        <w:t xml:space="preserve">     标的名称：</w:t>
      </w:r>
      <w:r>
        <w:rPr>
          <w:rFonts w:hint="default" w:ascii="Times New Roman" w:hAnsi="Times New Roman" w:cs="Times New Roman"/>
          <w:kern w:val="0"/>
          <w:u w:val="single"/>
        </w:rPr>
        <w:t xml:space="preserve">      </w:t>
      </w:r>
      <w:r>
        <w:rPr>
          <w:rFonts w:hint="default" w:ascii="Times New Roman" w:hAnsi="Times New Roman" w:cs="Times New Roman"/>
          <w:kern w:val="0"/>
          <w:u w:val="single"/>
          <w:lang w:val="en"/>
        </w:rPr>
        <w:t xml:space="preserve">               </w:t>
      </w:r>
      <w:r>
        <w:rPr>
          <w:rFonts w:hint="default" w:ascii="Times New Roman" w:hAnsi="Times New Roman" w:cs="Times New Roman"/>
          <w:kern w:val="0"/>
          <w:u w:val="single"/>
        </w:rPr>
        <w:t xml:space="preserve">    </w:t>
      </w:r>
    </w:p>
    <w:p>
      <w:pPr>
        <w:numPr>
          <w:ilvl w:val="255"/>
          <w:numId w:val="0"/>
        </w:num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 xml:space="preserve">     关键部件：</w:t>
      </w:r>
      <w:r>
        <w:rPr>
          <w:rFonts w:hint="default" w:ascii="Times New Roman" w:hAnsi="Times New Roman" w:cs="Times New Roman"/>
          <w:kern w:val="0"/>
          <w:u w:val="single"/>
        </w:rPr>
        <w:t xml:space="preserve">          </w:t>
      </w:r>
      <w:r>
        <w:rPr>
          <w:rFonts w:hint="default" w:ascii="Times New Roman" w:hAnsi="Times New Roman" w:cs="Times New Roman"/>
          <w:kern w:val="0"/>
        </w:rPr>
        <w:t xml:space="preserve"> </w:t>
      </w:r>
      <w:r>
        <w:rPr>
          <w:rFonts w:hint="default" w:ascii="Times New Roman" w:hAnsi="Times New Roman" w:cs="Times New Roman"/>
        </w:rPr>
        <w:t>品牌：</w:t>
      </w:r>
      <w:r>
        <w:rPr>
          <w:rFonts w:hint="default" w:ascii="Times New Roman" w:hAnsi="Times New Roman" w:cs="Times New Roman"/>
          <w:u w:val="single"/>
        </w:rPr>
        <w:t xml:space="preserve">        </w:t>
      </w:r>
      <w:r>
        <w:rPr>
          <w:rFonts w:hint="default" w:ascii="Times New Roman" w:hAnsi="Times New Roman" w:cs="Times New Roman"/>
        </w:rPr>
        <w:t xml:space="preserve"> 型号：</w:t>
      </w:r>
      <w:r>
        <w:rPr>
          <w:rFonts w:hint="default" w:ascii="Times New Roman" w:hAnsi="Times New Roman" w:cs="Times New Roman"/>
          <w:u w:val="single"/>
        </w:rPr>
        <w:t xml:space="preserve">       </w:t>
      </w:r>
      <w:r>
        <w:rPr>
          <w:rFonts w:hint="default" w:ascii="Times New Roman" w:hAnsi="Times New Roman" w:cs="Times New Roman"/>
        </w:rPr>
        <w:t xml:space="preserve"> </w:t>
      </w:r>
    </w:p>
    <w:p>
      <w:pPr>
        <w:pStyle w:val="48"/>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宋体" w:cs="Times New Roman"/>
          <w:kern w:val="2"/>
          <w:sz w:val="21"/>
        </w:rPr>
        <w:t>关键部件</w:t>
      </w:r>
      <w:r>
        <w:rPr>
          <w:rFonts w:hint="default" w:ascii="Times New Roman" w:hAnsi="Times New Roman" w:eastAsia="宋体" w:cs="Times New Roman"/>
          <w:sz w:val="21"/>
        </w:rPr>
        <w:t>：</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w:t>
      </w:r>
    </w:p>
    <w:p>
      <w:pPr>
        <w:pStyle w:val="48"/>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关键部件：</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品牌：</w:t>
      </w:r>
      <w:r>
        <w:rPr>
          <w:rFonts w:hint="default" w:ascii="Times New Roman" w:hAnsi="Times New Roman" w:eastAsia="宋体" w:cs="Times New Roman"/>
          <w:sz w:val="21"/>
          <w:u w:val="single"/>
        </w:rPr>
        <w:t xml:space="preserve">        </w:t>
      </w:r>
      <w:r>
        <w:rPr>
          <w:rFonts w:hint="default" w:ascii="Times New Roman" w:hAnsi="Times New Roman" w:eastAsia="宋体" w:cs="Times New Roman"/>
          <w:sz w:val="21"/>
        </w:rPr>
        <w:t xml:space="preserve"> 型号：</w:t>
      </w:r>
      <w:r>
        <w:rPr>
          <w:rFonts w:hint="default" w:ascii="Times New Roman" w:hAnsi="Times New Roman" w:eastAsia="宋体" w:cs="Times New Roman"/>
          <w:sz w:val="21"/>
          <w:u w:val="single"/>
        </w:rPr>
        <w:t xml:space="preserve">       </w:t>
      </w:r>
    </w:p>
    <w:p>
      <w:pPr>
        <w:pStyle w:val="48"/>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pPr>
        <w:pStyle w:val="48"/>
        <w:numPr>
          <w:ilvl w:val="255"/>
          <w:numId w:val="0"/>
        </w:numPr>
        <w:snapToGrid w:val="0"/>
        <w:rPr>
          <w:rFonts w:hint="default" w:ascii="Times New Roman" w:hAnsi="Times New Roman" w:eastAsia="宋体" w:cs="Times New Roman"/>
          <w:sz w:val="21"/>
        </w:rPr>
      </w:pPr>
      <w:r>
        <w:rPr>
          <w:rFonts w:hint="default" w:ascii="Times New Roman" w:hAnsi="Times New Roman" w:eastAsia="宋体" w:cs="Times New Roman"/>
          <w:sz w:val="21"/>
        </w:rPr>
        <w:t xml:space="preserve">         </w:t>
      </w:r>
      <w:r>
        <w:rPr>
          <w:rFonts w:hint="default" w:ascii="Times New Roman" w:hAnsi="Times New Roman" w:eastAsia="汉仪书宋二S" w:cs="Times New Roman"/>
          <w:sz w:val="21"/>
        </w:rPr>
        <w:t>②</w:t>
      </w:r>
      <w:r>
        <w:rPr>
          <w:rFonts w:hint="default" w:ascii="Times New Roman" w:hAnsi="Times New Roman" w:eastAsia="宋体" w:cs="Times New Roman"/>
          <w:sz w:val="21"/>
        </w:rPr>
        <w:t>涉及车辆采购，请填写是否属于新能源汽车：</w:t>
      </w:r>
    </w:p>
    <w:p>
      <w:pPr>
        <w:pStyle w:val="48"/>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是，《政府采购品目分类目录》底级品目名称：</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数量：</w:t>
      </w:r>
      <w:r>
        <w:rPr>
          <w:rFonts w:hint="default" w:ascii="Times New Roman" w:hAnsi="Times New Roman" w:cs="Times New Roman" w:eastAsiaTheme="minorEastAsia"/>
          <w:sz w:val="21"/>
          <w:u w:val="single"/>
        </w:rPr>
        <w:t xml:space="preserve"> </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金额：</w:t>
      </w:r>
      <w:r>
        <w:rPr>
          <w:rFonts w:hint="default" w:ascii="Times New Roman" w:hAnsi="Times New Roman" w:eastAsia="宋体" w:cs="Times New Roman"/>
          <w:sz w:val="21"/>
          <w:u w:val="single"/>
        </w:rPr>
        <w:t xml:space="preserve">     </w:t>
      </w:r>
      <w:r>
        <w:rPr>
          <w:rFonts w:hint="default" w:ascii="Times New Roman" w:hAnsi="Times New Roman" w:cs="Times New Roman" w:eastAsiaTheme="minorEastAsia"/>
          <w:sz w:val="21"/>
        </w:rPr>
        <w:t xml:space="preserve"> </w:t>
      </w:r>
    </w:p>
    <w:p>
      <w:pPr>
        <w:pStyle w:val="48"/>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否</w:t>
      </w:r>
    </w:p>
    <w:p>
      <w:pPr>
        <w:pStyle w:val="48"/>
        <w:numPr>
          <w:ilvl w:val="255"/>
          <w:numId w:val="0"/>
        </w:numPr>
        <w:snapToGrid w:val="0"/>
        <w:rPr>
          <w:rFonts w:hint="default" w:ascii="Times New Roman" w:hAnsi="Times New Roman" w:cs="Times New Roman" w:eastAsiaTheme="minorEastAsia"/>
          <w:sz w:val="21"/>
        </w:rPr>
      </w:pPr>
      <w:r>
        <w:rPr>
          <w:rFonts w:hint="default" w:ascii="Times New Roman" w:hAnsi="Times New Roman" w:cs="Times New Roman" w:eastAsiaTheme="minorEastAsia"/>
          <w:sz w:val="21"/>
        </w:rPr>
        <w:t xml:space="preserve">    （</w:t>
      </w:r>
      <w:r>
        <w:rPr>
          <w:rFonts w:hint="default" w:ascii="Times New Roman" w:hAnsi="Times New Roman" w:cs="Times New Roman" w:eastAsiaTheme="minorEastAsia"/>
          <w:sz w:val="21"/>
          <w:lang w:val="en"/>
        </w:rPr>
        <w:t>4</w:t>
      </w:r>
      <w:r>
        <w:rPr>
          <w:rFonts w:hint="default" w:ascii="Times New Roman" w:hAnsi="Times New Roman" w:cs="Times New Roman" w:eastAsiaTheme="minorEastAsia"/>
          <w:sz w:val="21"/>
        </w:rPr>
        <w:t>）政府采购组织形式：</w:t>
      </w:r>
      <w:r>
        <w:rPr>
          <w:rFonts w:hint="default" w:ascii="Times New Roman" w:hAnsi="Times New Roman" w:cs="Times New Roman" w:eastAsiaTheme="minorEastAsia"/>
          <w:sz w:val="21"/>
        </w:rPr>
        <w:sym w:font="Wingdings" w:char="00FE"/>
      </w:r>
      <w:r>
        <w:rPr>
          <w:rFonts w:hint="default" w:ascii="Times New Roman" w:hAnsi="Times New Roman" w:cs="Times New Roman" w:eastAsiaTheme="minorEastAsia"/>
          <w:sz w:val="21"/>
        </w:rPr>
        <w:t xml:space="preserve">政府集中采购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部门集中采购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分散采购</w:t>
      </w:r>
    </w:p>
    <w:p>
      <w:pPr>
        <w:pStyle w:val="48"/>
        <w:numPr>
          <w:ilvl w:val="255"/>
          <w:numId w:val="0"/>
        </w:numPr>
        <w:snapToGrid w:val="0"/>
        <w:ind w:firstLine="420"/>
        <w:rPr>
          <w:rFonts w:hint="default" w:ascii="Times New Roman" w:hAnsi="Times New Roman" w:cs="Times New Roman" w:eastAsiaTheme="minorEastAsia"/>
          <w:sz w:val="21"/>
        </w:rPr>
      </w:pPr>
      <w:r>
        <w:rPr>
          <w:rFonts w:hint="default" w:ascii="Times New Roman" w:hAnsi="Times New Roman" w:cs="Times New Roman" w:eastAsiaTheme="minorEastAsia"/>
          <w:sz w:val="21"/>
        </w:rPr>
        <w:t>（</w:t>
      </w:r>
      <w:r>
        <w:rPr>
          <w:rFonts w:hint="default" w:ascii="Times New Roman" w:hAnsi="Times New Roman" w:cs="Times New Roman" w:eastAsiaTheme="minorEastAsia"/>
          <w:sz w:val="21"/>
          <w:lang w:val="en"/>
        </w:rPr>
        <w:t>5</w:t>
      </w:r>
      <w:r>
        <w:rPr>
          <w:rFonts w:hint="default" w:ascii="Times New Roman" w:hAnsi="Times New Roman" w:cs="Times New Roman" w:eastAsiaTheme="minorEastAsia"/>
          <w:sz w:val="21"/>
        </w:rPr>
        <w:t>）政府采购方式：</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公开招标 </w:t>
      </w:r>
      <w:r>
        <w:rPr>
          <w:rFonts w:hint="default" w:ascii="Times New Roman" w:hAnsi="Times New Roman" w:cs="Times New Roman" w:eastAsiaTheme="minorEastAsia"/>
          <w:sz w:val="21"/>
        </w:rPr>
        <w:sym w:font="Wingdings" w:char="00FE"/>
      </w:r>
      <w:r>
        <w:rPr>
          <w:rFonts w:hint="default" w:ascii="Times New Roman" w:hAnsi="Times New Roman" w:cs="Times New Roman" w:eastAsiaTheme="minorEastAsia"/>
          <w:sz w:val="21"/>
        </w:rPr>
        <w:t xml:space="preserve">邀请招标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竞争性谈判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竞争性磋商</w:t>
      </w:r>
    </w:p>
    <w:p>
      <w:pPr>
        <w:pStyle w:val="48"/>
        <w:numPr>
          <w:ilvl w:val="255"/>
          <w:numId w:val="0"/>
        </w:numPr>
        <w:snapToGrid w:val="0"/>
        <w:ind w:firstLine="420"/>
        <w:rPr>
          <w:rFonts w:hint="default" w:ascii="Times New Roman" w:hAnsi="Times New Roman" w:eastAsia="宋体" w:cs="Times New Roman"/>
          <w:sz w:val="21"/>
          <w:u w:val="single"/>
        </w:rPr>
      </w:pPr>
      <w:r>
        <w:rPr>
          <w:rFonts w:hint="default" w:ascii="Times New Roman" w:hAnsi="Times New Roman" w:cs="Times New Roman"/>
        </w:rPr>
        <w:t xml:space="preserve">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询价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单一来源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 xml:space="preserve">框架协议 </w:t>
      </w:r>
      <w:r>
        <w:rPr>
          <w:rFonts w:hint="default" w:ascii="Times New Roman" w:hAnsi="Times New Roman" w:cs="Times New Roman" w:eastAsiaTheme="minorEastAsia"/>
          <w:sz w:val="21"/>
        </w:rPr>
        <w:sym w:font="Wingdings" w:char="00A8"/>
      </w:r>
      <w:r>
        <w:rPr>
          <w:rFonts w:hint="default" w:ascii="Times New Roman" w:hAnsi="Times New Roman" w:cs="Times New Roman" w:eastAsiaTheme="minorEastAsia"/>
          <w:sz w:val="21"/>
        </w:rPr>
        <w:t>其他：</w:t>
      </w:r>
      <w:r>
        <w:rPr>
          <w:rFonts w:hint="default" w:ascii="Times New Roman" w:hAnsi="Times New Roman" w:eastAsia="宋体" w:cs="Times New Roman"/>
          <w:sz w:val="21"/>
          <w:u w:val="single"/>
        </w:rPr>
        <w:t xml:space="preserve">          </w:t>
      </w:r>
    </w:p>
    <w:p>
      <w:pPr>
        <w:pStyle w:val="48"/>
        <w:numPr>
          <w:ilvl w:val="255"/>
          <w:numId w:val="0"/>
        </w:numPr>
        <w:snapToGrid w:val="0"/>
        <w:ind w:firstLine="420"/>
        <w:rPr>
          <w:rFonts w:hint="default" w:ascii="Times New Roman" w:hAnsi="Times New Roman" w:eastAsia="宋体" w:cs="Times New Roman"/>
          <w:sz w:val="21"/>
        </w:rPr>
      </w:pPr>
      <w:r>
        <w:rPr>
          <w:rFonts w:hint="default" w:ascii="Times New Roman" w:hAnsi="Times New Roman" w:eastAsia="宋体" w:cs="Times New Roman"/>
          <w:sz w:val="21"/>
        </w:rPr>
        <w:t>（注：在框架协议采购的第二阶段，可选择使用该合同文本）</w:t>
      </w:r>
    </w:p>
    <w:p>
      <w:pPr>
        <w:pStyle w:val="48"/>
        <w:numPr>
          <w:ilvl w:val="255"/>
          <w:numId w:val="0"/>
        </w:numPr>
        <w:snapToGrid w:val="0"/>
        <w:ind w:firstLine="220" w:firstLineChars="100"/>
        <w:rPr>
          <w:rFonts w:hint="default" w:ascii="Times New Roman" w:hAnsi="Times New Roman" w:eastAsia="宋体" w:cs="Times New Roman"/>
          <w:kern w:val="2"/>
          <w:sz w:val="21"/>
        </w:rPr>
      </w:pPr>
      <w:r>
        <w:rPr>
          <w:rFonts w:hint="default" w:ascii="Times New Roman" w:hAnsi="Times New Roman" w:cs="Times New Roman"/>
        </w:rPr>
        <w:t xml:space="preserve"> （</w:t>
      </w:r>
      <w:r>
        <w:rPr>
          <w:rFonts w:hint="default" w:ascii="Times New Roman" w:hAnsi="Times New Roman" w:cs="Times New Roman"/>
          <w:lang w:val="en"/>
        </w:rPr>
        <w:t>6</w:t>
      </w:r>
      <w:r>
        <w:rPr>
          <w:rFonts w:hint="default" w:ascii="Times New Roman" w:hAnsi="Times New Roman" w:cs="Times New Roman"/>
        </w:rPr>
        <w:t>）</w:t>
      </w:r>
      <w:r>
        <w:rPr>
          <w:rFonts w:hint="default" w:ascii="Times New Roman" w:hAnsi="Times New Roman" w:eastAsia="宋体" w:cs="Times New Roman"/>
          <w:kern w:val="2"/>
          <w:sz w:val="21"/>
        </w:rPr>
        <w:t>中标（成交）采购标的制造商是否为中小企业：</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 xml:space="preserve">是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pPr>
        <w:numPr>
          <w:ilvl w:val="255"/>
          <w:numId w:val="0"/>
        </w:numPr>
        <w:adjustRightInd w:val="0"/>
        <w:snapToGrid w:val="0"/>
        <w:spacing w:line="400" w:lineRule="exact"/>
        <w:rPr>
          <w:rFonts w:hint="default" w:ascii="Times New Roman" w:hAnsi="Times New Roman" w:cs="Times New Roman"/>
          <w:iCs/>
        </w:rPr>
      </w:pPr>
      <w:r>
        <w:rPr>
          <w:rFonts w:hint="default" w:ascii="Times New Roman" w:hAnsi="Times New Roman" w:cs="Times New Roman"/>
        </w:rPr>
        <w:t xml:space="preserve">         本合同是否为专门面向中小企业的采购合同（中小企业预留合同）：</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pPr>
        <w:numPr>
          <w:ilvl w:val="255"/>
          <w:numId w:val="0"/>
        </w:numPr>
        <w:adjustRightInd w:val="0"/>
        <w:snapToGrid w:val="0"/>
        <w:spacing w:line="400" w:lineRule="exact"/>
        <w:rPr>
          <w:rFonts w:hint="default" w:ascii="Times New Roman" w:hAnsi="Times New Roman" w:cs="Times New Roman"/>
          <w:iCs/>
        </w:rPr>
      </w:pPr>
      <w:r>
        <w:rPr>
          <w:rFonts w:hint="default" w:ascii="Times New Roman" w:hAnsi="Times New Roman" w:cs="Times New Roman"/>
        </w:rPr>
        <w:t xml:space="preserve">         若本项目不专门面向中小企业采购，是否给予小微企业评审优惠：</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pPr>
        <w:numPr>
          <w:ilvl w:val="255"/>
          <w:numId w:val="0"/>
        </w:numPr>
        <w:adjustRightInd w:val="0"/>
        <w:snapToGrid w:val="0"/>
        <w:spacing w:line="400" w:lineRule="exact"/>
        <w:rPr>
          <w:rFonts w:hint="default" w:ascii="Times New Roman" w:hAnsi="Times New Roman" w:cs="Times New Roman"/>
          <w:iCs/>
        </w:rPr>
      </w:pPr>
      <w:r>
        <w:rPr>
          <w:rFonts w:hint="default" w:ascii="Times New Roman" w:hAnsi="Times New Roman" w:cs="Times New Roma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pPr>
        <w:snapToGrid w:val="0"/>
        <w:spacing w:line="400" w:lineRule="exact"/>
        <w:rPr>
          <w:rFonts w:hint="default" w:ascii="Times New Roman" w:hAnsi="Times New Roman" w:cs="Times New Roman"/>
        </w:rPr>
      </w:pPr>
      <w:r>
        <w:rPr>
          <w:rFonts w:hint="default" w:ascii="Times New Roman" w:hAnsi="Times New Roman" w:cs="Times New Roma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
        </w:rPr>
        <w:t>7</w:t>
      </w:r>
      <w:r>
        <w:rPr>
          <w:rFonts w:hint="default" w:ascii="Times New Roman" w:hAnsi="Times New Roman" w:cs="Times New Roman"/>
        </w:rPr>
        <w:t>）合同是否分包：</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p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rPr>
        <w:t xml:space="preserve"> 分包主要内容：</w:t>
      </w:r>
      <w:r>
        <w:rPr>
          <w:rFonts w:hint="default" w:ascii="Times New Roman" w:hAnsi="Times New Roman" w:cs="Times New Roman"/>
          <w:u w:val="single"/>
        </w:rPr>
        <w:t xml:space="preserve">                                            </w:t>
      </w:r>
    </w:p>
    <w:p>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rPr>
        <w:t xml:space="preserve"> 分包供应商/制造商名称（如供应商和制造商不同，请分别填写）：</w:t>
      </w:r>
    </w:p>
    <w:p>
      <w:p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rPr>
        <w:t xml:space="preserve"> </w:t>
      </w:r>
      <w:r>
        <w:rPr>
          <w:rFonts w:hint="default" w:ascii="Times New Roman" w:hAnsi="Times New Roman" w:cs="Times New Roman"/>
          <w:u w:val="single"/>
        </w:rPr>
        <w:t xml:space="preserve">                                                          </w:t>
      </w:r>
    </w:p>
    <w:p>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rPr>
        <w:t xml:space="preserve"> 分包供应商/制造商类型（如果供应商和制造商不同，只填写制造商类型）：</w:t>
      </w:r>
    </w:p>
    <w:p>
      <w:pPr>
        <w:adjustRightInd w:val="0"/>
        <w:snapToGrid w:val="0"/>
        <w:spacing w:line="400" w:lineRule="exact"/>
        <w:ind w:firstLine="840" w:firstLineChars="400"/>
        <w:rPr>
          <w:rFonts w:hint="default" w:ascii="Times New Roman" w:hAnsi="Times New Roman" w:cs="Times New Roman"/>
          <w:iCs/>
        </w:rPr>
      </w:pP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大型企业  </w:t>
      </w:r>
      <w:r>
        <w:rPr>
          <w:rFonts w:hint="default" w:ascii="Times New Roman" w:hAnsi="Times New Roman" w:cs="Times New Roman"/>
          <w:iCs/>
        </w:rPr>
        <w:sym w:font="Wingdings" w:char="00A8"/>
      </w:r>
      <w:r>
        <w:rPr>
          <w:rFonts w:hint="default" w:ascii="Times New Roman" w:hAnsi="Times New Roman" w:cs="Times New Roman"/>
          <w:iCs/>
        </w:rPr>
        <w:t xml:space="preserve">中型企业  </w:t>
      </w:r>
      <w:r>
        <w:rPr>
          <w:rFonts w:hint="default" w:ascii="Times New Roman" w:hAnsi="Times New Roman" w:cs="Times New Roman"/>
          <w:iCs/>
        </w:rPr>
        <w:sym w:font="Wingdings" w:char="00A8"/>
      </w:r>
      <w:r>
        <w:rPr>
          <w:rFonts w:hint="default" w:ascii="Times New Roman" w:hAnsi="Times New Roman" w:cs="Times New Roman"/>
          <w:iCs/>
        </w:rPr>
        <w:t xml:space="preserve">小微型企业  </w:t>
      </w:r>
    </w:p>
    <w:p>
      <w:pPr>
        <w:adjustRightInd w:val="0"/>
        <w:snapToGrid w:val="0"/>
        <w:spacing w:line="400" w:lineRule="exact"/>
        <w:ind w:firstLine="840" w:firstLineChars="400"/>
        <w:rPr>
          <w:rFonts w:hint="default" w:ascii="Times New Roman" w:hAnsi="Times New Roman" w:eastAsia="华文楷体" w:cs="Times New Roman"/>
        </w:rPr>
      </w:pP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残疾人福利性单位 </w:t>
      </w:r>
      <w:r>
        <w:rPr>
          <w:rFonts w:hint="default" w:ascii="Times New Roman" w:hAnsi="Times New Roman" w:cs="Times New Roman"/>
          <w:iCs/>
        </w:rPr>
        <w:sym w:font="Wingdings" w:char="00A8"/>
      </w:r>
      <w:r>
        <w:rPr>
          <w:rFonts w:hint="default" w:ascii="Times New Roman" w:hAnsi="Times New Roman" w:cs="Times New Roman"/>
          <w:iCs/>
        </w:rPr>
        <w:t xml:space="preserve">监狱企业 </w:t>
      </w:r>
      <w:r>
        <w:rPr>
          <w:rFonts w:hint="default" w:ascii="Times New Roman" w:hAnsi="Times New Roman" w:cs="Times New Roman"/>
          <w:iCs/>
        </w:rPr>
        <w:sym w:font="Wingdings" w:char="00A8"/>
      </w:r>
      <w:r>
        <w:rPr>
          <w:rFonts w:hint="default" w:ascii="Times New Roman" w:hAnsi="Times New Roman" w:cs="Times New Roman"/>
          <w:iCs/>
        </w:rPr>
        <w:t>其他</w:t>
      </w:r>
    </w:p>
    <w:p>
      <w:pPr>
        <w:numPr>
          <w:ilvl w:val="255"/>
          <w:numId w:val="0"/>
        </w:numPr>
        <w:adjustRightInd w:val="0"/>
        <w:snapToGrid w:val="0"/>
        <w:spacing w:line="400" w:lineRule="exact"/>
        <w:rPr>
          <w:rFonts w:hint="default" w:ascii="Times New Roman" w:hAnsi="Times New Roman" w:cs="Times New Roman"/>
          <w:iCs/>
        </w:rPr>
      </w:pPr>
      <w:r>
        <w:rPr>
          <w:rFonts w:hint="default" w:ascii="Times New Roman" w:hAnsi="Times New Roman" w:cs="Times New Roman"/>
        </w:rPr>
        <w:t xml:space="preserve">    （</w:t>
      </w:r>
      <w:r>
        <w:rPr>
          <w:rFonts w:hint="default" w:ascii="Times New Roman" w:hAnsi="Times New Roman" w:cs="Times New Roman"/>
          <w:lang w:val="en"/>
        </w:rPr>
        <w:t>8</w:t>
      </w:r>
      <w:r>
        <w:rPr>
          <w:rFonts w:hint="default" w:ascii="Times New Roman" w:hAnsi="Times New Roman" w:cs="Times New Roma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pPr>
        <w:pStyle w:val="48"/>
        <w:tabs>
          <w:tab w:val="left" w:pos="1340"/>
        </w:tabs>
        <w:ind w:firstLine="420"/>
        <w:rPr>
          <w:rFonts w:hint="default" w:ascii="Times New Roman" w:hAnsi="Times New Roman" w:eastAsia="宋体" w:cs="Times New Roman"/>
          <w:sz w:val="21"/>
          <w:u w:val="single"/>
        </w:rPr>
      </w:pPr>
      <w:r>
        <w:rPr>
          <w:rFonts w:hint="default" w:ascii="Times New Roman" w:hAnsi="Times New Roman" w:eastAsia="宋体" w:cs="Times New Roman"/>
          <w:sz w:val="21"/>
        </w:rPr>
        <w:t xml:space="preserve">     外商投资企业类型：</w:t>
      </w:r>
      <w:r>
        <w:rPr>
          <w:rFonts w:hint="default" w:ascii="Times New Roman" w:hAnsi="Times New Roman" w:eastAsia="宋体" w:cs="Times New Roman"/>
          <w:iCs/>
          <w:sz w:val="21"/>
        </w:rPr>
        <w:sym w:font="Wingdings" w:char="00A8"/>
      </w:r>
      <w:r>
        <w:rPr>
          <w:rFonts w:hint="default" w:ascii="Times New Roman" w:hAnsi="Times New Roman" w:eastAsia="宋体" w:cs="Times New Roman"/>
          <w:sz w:val="21"/>
        </w:rPr>
        <w:t xml:space="preserve">全部由外国投资者投资  </w:t>
      </w:r>
      <w:r>
        <w:rPr>
          <w:rFonts w:hint="default" w:ascii="Times New Roman" w:hAnsi="Times New Roman" w:eastAsia="宋体" w:cs="Times New Roman"/>
          <w:iCs/>
          <w:sz w:val="21"/>
        </w:rPr>
        <w:sym w:font="Wingdings" w:char="00A8"/>
      </w:r>
      <w:r>
        <w:rPr>
          <w:rFonts w:hint="default" w:ascii="Times New Roman" w:hAnsi="Times New Roman" w:eastAsia="宋体" w:cs="Times New Roman"/>
          <w:iCs/>
          <w:sz w:val="21"/>
        </w:rPr>
        <w:t>部分由外国投资者投资</w:t>
      </w:r>
    </w:p>
    <w:p>
      <w:pPr>
        <w:numPr>
          <w:ilvl w:val="255"/>
          <w:numId w:val="0"/>
        </w:num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
        </w:rPr>
        <w:t>9</w:t>
      </w:r>
      <w:r>
        <w:rPr>
          <w:rFonts w:hint="default" w:ascii="Times New Roman" w:hAnsi="Times New Roman" w:cs="Times New Roman"/>
        </w:rPr>
        <w:t>）是否涉及进口产品：</w:t>
      </w:r>
    </w:p>
    <w:p>
      <w:pPr>
        <w:numPr>
          <w:ilvl w:val="255"/>
          <w:numId w:val="0"/>
        </w:num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rPr>
        <w:t xml:space="preserve"> </w:t>
      </w:r>
      <w:r>
        <w:rPr>
          <w:rFonts w:hint="default" w:ascii="Times New Roman" w:hAnsi="Times New Roman" w:cs="Times New Roman"/>
        </w:rPr>
        <w:sym w:font="Wingdings" w:char="00A8"/>
      </w:r>
      <w:r>
        <w:rPr>
          <w:rFonts w:hint="default" w:ascii="Times New Roman" w:hAnsi="Times New Roman" w:cs="Times New Roman"/>
        </w:rPr>
        <w:t>是，《政府采购品目分类目录》底级品目名称：</w:t>
      </w:r>
      <w:r>
        <w:rPr>
          <w:rFonts w:hint="default" w:ascii="Times New Roman" w:hAnsi="Times New Roman" w:cs="Times New Roman"/>
          <w:u w:val="single"/>
        </w:rPr>
        <w:t xml:space="preserve">         </w:t>
      </w:r>
      <w:r>
        <w:rPr>
          <w:rFonts w:hint="default" w:ascii="Times New Roman" w:hAnsi="Times New Roman" w:cs="Times New Roman"/>
        </w:rPr>
        <w:t xml:space="preserve"> 金额：</w:t>
      </w:r>
      <w:r>
        <w:rPr>
          <w:rFonts w:hint="default" w:ascii="Times New Roman" w:hAnsi="Times New Roman" w:cs="Times New Roman"/>
          <w:u w:val="single"/>
        </w:rPr>
        <w:t xml:space="preserve">        </w:t>
      </w:r>
    </w:p>
    <w:p>
      <w:pPr>
        <w:numPr>
          <w:ilvl w:val="255"/>
          <w:numId w:val="0"/>
        </w:num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rPr>
        <w:t xml:space="preserve">        国别：</w:t>
      </w:r>
      <w:r>
        <w:rPr>
          <w:rFonts w:hint="default" w:ascii="Times New Roman" w:hAnsi="Times New Roman" w:cs="Times New Roman"/>
          <w:u w:val="single"/>
        </w:rPr>
        <w:t xml:space="preserve">        </w:t>
      </w:r>
      <w:r>
        <w:rPr>
          <w:rFonts w:hint="default" w:ascii="Times New Roman" w:hAnsi="Times New Roman" w:cs="Times New Roman"/>
        </w:rPr>
        <w:t xml:space="preserve"> 品牌：</w:t>
      </w:r>
      <w:r>
        <w:rPr>
          <w:rFonts w:hint="default" w:ascii="Times New Roman" w:hAnsi="Times New Roman" w:cs="Times New Roman"/>
          <w:u w:val="single"/>
        </w:rPr>
        <w:t xml:space="preserve">        </w:t>
      </w:r>
      <w:r>
        <w:rPr>
          <w:rFonts w:hint="default" w:ascii="Times New Roman" w:hAnsi="Times New Roman" w:cs="Times New Roman"/>
        </w:rPr>
        <w:t xml:space="preserve"> 规格型号：</w:t>
      </w:r>
      <w:r>
        <w:rPr>
          <w:rFonts w:hint="default" w:ascii="Times New Roman" w:hAnsi="Times New Roman" w:cs="Times New Roman"/>
          <w:u w:val="single"/>
        </w:rPr>
        <w:t xml:space="preserve">        </w:t>
      </w:r>
      <w:r>
        <w:rPr>
          <w:rFonts w:hint="default" w:ascii="Times New Roman" w:hAnsi="Times New Roman" w:cs="Times New Roman"/>
        </w:rPr>
        <w:t xml:space="preserve">      </w:t>
      </w:r>
    </w:p>
    <w:p>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sym w:font="Wingdings" w:char="00A8"/>
      </w:r>
      <w:r>
        <w:rPr>
          <w:rFonts w:hint="default" w:ascii="Times New Roman" w:hAnsi="Times New Roman" w:cs="Times New Roman"/>
        </w:rPr>
        <w:t>否</w:t>
      </w:r>
    </w:p>
    <w:p>
      <w:pPr>
        <w:numPr>
          <w:ilvl w:val="255"/>
          <w:numId w:val="0"/>
        </w:numPr>
        <w:tabs>
          <w:tab w:val="left" w:pos="740"/>
        </w:tabs>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（1</w:t>
      </w:r>
      <w:r>
        <w:rPr>
          <w:rFonts w:hint="default" w:ascii="Times New Roman" w:hAnsi="Times New Roman" w:cs="Times New Roman"/>
          <w:lang w:val="en"/>
        </w:rPr>
        <w:t>0</w:t>
      </w:r>
      <w:r>
        <w:rPr>
          <w:rFonts w:hint="default" w:ascii="Times New Roman" w:hAnsi="Times New Roman" w:cs="Times New Roman"/>
        </w:rPr>
        <w:t>）是否涉及节能产品：</w:t>
      </w:r>
    </w:p>
    <w:p>
      <w:pPr>
        <w:numPr>
          <w:ilvl w:val="255"/>
          <w:numId w:val="0"/>
        </w:numPr>
        <w:tabs>
          <w:tab w:val="left" w:pos="740"/>
        </w:tabs>
        <w:adjustRightInd w:val="0"/>
        <w:snapToGrid w:val="0"/>
        <w:spacing w:line="400" w:lineRule="exact"/>
        <w:rPr>
          <w:rFonts w:hint="default" w:ascii="Times New Roman" w:hAnsi="Times New Roman" w:cs="Times New Roman"/>
          <w:iCs/>
        </w:rPr>
      </w:pPr>
      <w:r>
        <w:rPr>
          <w:rFonts w:hint="default" w:ascii="Times New Roman" w:hAnsi="Times New Roman" w:cs="Times New Roman"/>
        </w:rPr>
        <w:t xml:space="preserve">         </w:t>
      </w:r>
      <w:r>
        <w:rPr>
          <w:rFonts w:hint="default" w:ascii="Times New Roman" w:hAnsi="Times New Roman" w:cs="Times New Roman"/>
        </w:rPr>
        <w:sym w:font="Wingdings" w:char="00A8"/>
      </w:r>
      <w:r>
        <w:rPr>
          <w:rFonts w:hint="default" w:ascii="Times New Roman" w:hAnsi="Times New Roman" w:cs="Times New Roman"/>
        </w:rPr>
        <w:t>是，《节能产品政府采购品目清单》的底级品目名称：</w:t>
      </w:r>
      <w:r>
        <w:rPr>
          <w:rFonts w:hint="default" w:ascii="Times New Roman" w:hAnsi="Times New Roman" w:cs="Times New Roman"/>
          <w:u w:val="single"/>
        </w:rPr>
        <w:t xml:space="preserve">         </w:t>
      </w:r>
      <w:r>
        <w:rPr>
          <w:rFonts w:hint="default" w:ascii="Times New Roman" w:hAnsi="Times New Roman" w:cs="Times New Roman"/>
          <w:iCs/>
        </w:rPr>
        <w:t xml:space="preserve">     </w:t>
      </w:r>
    </w:p>
    <w:p>
      <w:pPr>
        <w:numPr>
          <w:ilvl w:val="255"/>
          <w:numId w:val="0"/>
        </w:numPr>
        <w:tabs>
          <w:tab w:val="left" w:pos="740"/>
        </w:tabs>
        <w:adjustRightInd w:val="0"/>
        <w:snapToGrid w:val="0"/>
        <w:spacing w:line="400" w:lineRule="exact"/>
        <w:rPr>
          <w:rFonts w:hint="default" w:ascii="Times New Roman" w:hAnsi="Times New Roman" w:cs="Times New Roman"/>
          <w:iCs/>
        </w:rPr>
      </w:pP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强制采购       </w:t>
      </w:r>
      <w:r>
        <w:rPr>
          <w:rFonts w:hint="default" w:ascii="Times New Roman" w:hAnsi="Times New Roman" w:cs="Times New Roman"/>
          <w:iCs/>
        </w:rPr>
        <w:sym w:font="Wingdings" w:char="00A8"/>
      </w:r>
      <w:r>
        <w:rPr>
          <w:rFonts w:hint="default" w:ascii="Times New Roman" w:hAnsi="Times New Roman" w:cs="Times New Roman"/>
          <w:iCs/>
        </w:rPr>
        <w:t xml:space="preserve">优先采购    </w:t>
      </w:r>
    </w:p>
    <w:p>
      <w:pPr>
        <w:numPr>
          <w:ilvl w:val="255"/>
          <w:numId w:val="0"/>
        </w:numPr>
        <w:tabs>
          <w:tab w:val="left" w:pos="740"/>
        </w:tabs>
        <w:adjustRightInd w:val="0"/>
        <w:snapToGrid w:val="0"/>
        <w:spacing w:line="400" w:lineRule="exact"/>
        <w:rPr>
          <w:rFonts w:hint="default" w:ascii="Times New Roman" w:hAnsi="Times New Roman" w:cs="Times New Roman"/>
        </w:rPr>
      </w:pPr>
      <w:r>
        <w:rPr>
          <w:rFonts w:hint="default" w:ascii="Times New Roman" w:hAnsi="Times New Roman" w:cs="Times New Roman"/>
          <w:iCs/>
        </w:rPr>
        <w:t xml:space="preserve">         </w:t>
      </w:r>
      <w:r>
        <w:rPr>
          <w:rFonts w:hint="default" w:ascii="Times New Roman" w:hAnsi="Times New Roman" w:cs="Times New Roman"/>
        </w:rPr>
        <w:sym w:font="Wingdings" w:char="00A8"/>
      </w:r>
      <w:r>
        <w:rPr>
          <w:rFonts w:hint="default" w:ascii="Times New Roman" w:hAnsi="Times New Roman" w:cs="Times New Roman"/>
        </w:rPr>
        <w:t>否</w:t>
      </w:r>
    </w:p>
    <w:p>
      <w:pPr>
        <w:numPr>
          <w:ilvl w:val="255"/>
          <w:numId w:val="0"/>
        </w:numPr>
        <w:tabs>
          <w:tab w:val="left" w:pos="740"/>
        </w:tabs>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是否涉及环境标志产品：</w:t>
      </w:r>
    </w:p>
    <w:p>
      <w:pPr>
        <w:numPr>
          <w:ilvl w:val="255"/>
          <w:numId w:val="0"/>
        </w:numPr>
        <w:tabs>
          <w:tab w:val="left" w:pos="740"/>
        </w:tabs>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sym w:font="Wingdings" w:char="00A8"/>
      </w:r>
      <w:r>
        <w:rPr>
          <w:rFonts w:hint="default" w:ascii="Times New Roman" w:hAnsi="Times New Roman" w:cs="Times New Roman"/>
        </w:rPr>
        <w:t>是，《环境标志产品政府采购品目清单》的底级品目名称：</w:t>
      </w:r>
      <w:r>
        <w:rPr>
          <w:rFonts w:hint="default" w:ascii="Times New Roman" w:hAnsi="Times New Roman" w:cs="Times New Roman"/>
          <w:u w:val="single"/>
        </w:rPr>
        <w:t xml:space="preserve">         </w:t>
      </w:r>
      <w:r>
        <w:rPr>
          <w:rFonts w:hint="default" w:ascii="Times New Roman" w:hAnsi="Times New Roman" w:cs="Times New Roman"/>
          <w:iCs/>
        </w:rPr>
        <w:t xml:space="preserve"> </w:t>
      </w:r>
    </w:p>
    <w:p>
      <w:pPr>
        <w:numPr>
          <w:ilvl w:val="255"/>
          <w:numId w:val="0"/>
        </w:numPr>
        <w:tabs>
          <w:tab w:val="left" w:pos="740"/>
        </w:tabs>
        <w:adjustRightInd w:val="0"/>
        <w:snapToGrid w:val="0"/>
        <w:spacing w:line="400" w:lineRule="exact"/>
        <w:rPr>
          <w:rFonts w:hint="default" w:ascii="Times New Roman" w:hAnsi="Times New Roman" w:cs="Times New Roman"/>
          <w:iCs/>
        </w:rPr>
      </w:pP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强制采购       </w:t>
      </w:r>
      <w:r>
        <w:rPr>
          <w:rFonts w:hint="default" w:ascii="Times New Roman" w:hAnsi="Times New Roman" w:cs="Times New Roman"/>
          <w:iCs/>
        </w:rPr>
        <w:sym w:font="Wingdings" w:char="00A8"/>
      </w:r>
      <w:r>
        <w:rPr>
          <w:rFonts w:hint="default" w:ascii="Times New Roman" w:hAnsi="Times New Roman" w:cs="Times New Roman"/>
          <w:iCs/>
        </w:rPr>
        <w:t xml:space="preserve">优先采购    </w:t>
      </w:r>
    </w:p>
    <w:p>
      <w:pPr>
        <w:numPr>
          <w:ilvl w:val="255"/>
          <w:numId w:val="0"/>
        </w:numPr>
        <w:tabs>
          <w:tab w:val="left" w:pos="740"/>
        </w:tabs>
        <w:adjustRightInd w:val="0"/>
        <w:snapToGrid w:val="0"/>
        <w:spacing w:line="400" w:lineRule="exact"/>
        <w:rPr>
          <w:rFonts w:hint="default" w:ascii="Times New Roman" w:hAnsi="Times New Roman" w:cs="Times New Roman"/>
        </w:rPr>
      </w:pPr>
      <w:r>
        <w:rPr>
          <w:rFonts w:hint="default" w:ascii="Times New Roman" w:hAnsi="Times New Roman" w:cs="Times New Roman"/>
          <w:iCs/>
        </w:rPr>
        <w:t xml:space="preserve">         </w:t>
      </w:r>
      <w:r>
        <w:rPr>
          <w:rFonts w:hint="default" w:ascii="Times New Roman" w:hAnsi="Times New Roman" w:cs="Times New Roman"/>
        </w:rPr>
        <w:sym w:font="Wingdings" w:char="00A8"/>
      </w:r>
      <w:r>
        <w:rPr>
          <w:rFonts w:hint="default" w:ascii="Times New Roman" w:hAnsi="Times New Roman" w:cs="Times New Roman"/>
        </w:rPr>
        <w:t>否</w:t>
      </w:r>
    </w:p>
    <w:p>
      <w:pPr>
        <w:pStyle w:val="48"/>
        <w:numPr>
          <w:ilvl w:val="255"/>
          <w:numId w:val="0"/>
        </w:numPr>
        <w:snapToGrid w:val="0"/>
        <w:rPr>
          <w:rFonts w:hint="default" w:ascii="Times New Roman" w:hAnsi="Times New Roman" w:eastAsia="宋体" w:cs="Times New Roman"/>
          <w:kern w:val="2"/>
          <w:sz w:val="21"/>
        </w:rPr>
      </w:pPr>
      <w:r>
        <w:rPr>
          <w:rFonts w:hint="default" w:ascii="Times New Roman" w:hAnsi="Times New Roman" w:cs="Times New Roman"/>
          <w:sz w:val="21"/>
        </w:rPr>
        <w:t xml:space="preserve">          </w:t>
      </w:r>
      <w:r>
        <w:rPr>
          <w:rFonts w:hint="default" w:ascii="Times New Roman" w:hAnsi="Times New Roman" w:eastAsia="宋体" w:cs="Times New Roman"/>
          <w:kern w:val="2"/>
          <w:sz w:val="21"/>
        </w:rPr>
        <w:t xml:space="preserve">是否涉及绿色产品： </w:t>
      </w:r>
    </w:p>
    <w:p>
      <w:pPr>
        <w:pStyle w:val="48"/>
        <w:ind w:firstLine="420" w:firstLineChars="0"/>
        <w:rPr>
          <w:rFonts w:hint="default" w:ascii="Times New Roman" w:hAnsi="Times New Roman" w:eastAsia="宋体" w:cs="Times New Roman"/>
          <w:u w:val="single"/>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是，绿色产品政府采购相关政策确定的底级品目名称：</w:t>
      </w:r>
      <w:r>
        <w:rPr>
          <w:rFonts w:hint="default" w:ascii="Times New Roman" w:hAnsi="Times New Roman" w:eastAsia="宋体" w:cs="Times New Roman"/>
          <w:u w:val="single"/>
        </w:rPr>
        <w:t xml:space="preserve">         </w:t>
      </w:r>
    </w:p>
    <w:p>
      <w:pPr>
        <w:numPr>
          <w:ilvl w:val="255"/>
          <w:numId w:val="0"/>
        </w:numPr>
        <w:tabs>
          <w:tab w:val="left" w:pos="740"/>
        </w:tabs>
        <w:adjustRightInd w:val="0"/>
        <w:snapToGrid w:val="0"/>
        <w:spacing w:line="400" w:lineRule="exact"/>
        <w:rPr>
          <w:rFonts w:hint="default" w:ascii="Times New Roman" w:hAnsi="Times New Roman" w:cs="Times New Roman"/>
          <w:iCs/>
        </w:rPr>
      </w:pP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强制采购       </w:t>
      </w:r>
      <w:r>
        <w:rPr>
          <w:rFonts w:hint="default" w:ascii="Times New Roman" w:hAnsi="Times New Roman" w:cs="Times New Roman"/>
          <w:iCs/>
        </w:rPr>
        <w:sym w:font="Wingdings" w:char="00A8"/>
      </w:r>
      <w:r>
        <w:rPr>
          <w:rFonts w:hint="default" w:ascii="Times New Roman" w:hAnsi="Times New Roman" w:cs="Times New Roman"/>
          <w:iCs/>
        </w:rPr>
        <w:t xml:space="preserve">优先采购    </w:t>
      </w:r>
    </w:p>
    <w:p>
      <w:pPr>
        <w:pStyle w:val="48"/>
        <w:ind w:firstLine="420" w:firstLineChars="0"/>
        <w:rPr>
          <w:rFonts w:hint="default" w:ascii="Times New Roman" w:hAnsi="Times New Roman" w:cs="Times New Roman"/>
          <w:sz w:val="21"/>
        </w:rPr>
      </w:pPr>
      <w:r>
        <w:rPr>
          <w:rFonts w:hint="default" w:ascii="Times New Roman" w:hAnsi="Times New Roman" w:eastAsia="宋体" w:cs="Times New Roman"/>
          <w:kern w:val="2"/>
          <w:sz w:val="21"/>
        </w:rPr>
        <w:t xml:space="preserve">     </w:t>
      </w:r>
      <w:r>
        <w:rPr>
          <w:rFonts w:hint="default" w:ascii="Times New Roman" w:hAnsi="Times New Roman" w:eastAsia="宋体" w:cs="Times New Roman"/>
          <w:kern w:val="2"/>
          <w:sz w:val="21"/>
        </w:rPr>
        <w:sym w:font="Wingdings" w:char="00A8"/>
      </w:r>
      <w:r>
        <w:rPr>
          <w:rFonts w:hint="default" w:ascii="Times New Roman" w:hAnsi="Times New Roman" w:eastAsia="宋体" w:cs="Times New Roman"/>
          <w:kern w:val="2"/>
          <w:sz w:val="21"/>
        </w:rPr>
        <w:t>否</w:t>
      </w:r>
    </w:p>
    <w:p>
      <w:pPr>
        <w:numPr>
          <w:ilvl w:val="255"/>
          <w:numId w:val="0"/>
        </w:numPr>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（1</w:t>
      </w:r>
      <w:r>
        <w:rPr>
          <w:rFonts w:hint="default" w:ascii="Times New Roman" w:hAnsi="Times New Roman" w:cs="Times New Roman"/>
          <w:lang w:val="en"/>
        </w:rPr>
        <w:t>1</w:t>
      </w:r>
      <w:r>
        <w:rPr>
          <w:rFonts w:hint="default" w:ascii="Times New Roman" w:hAnsi="Times New Roman" w:cs="Times New Roman"/>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rPr>
        <w:sym w:font="Wingdings" w:char="00A8"/>
      </w:r>
      <w:r>
        <w:rPr>
          <w:rFonts w:hint="default" w:ascii="Times New Roman" w:hAnsi="Times New Roman" w:cs="Times New Roman"/>
        </w:rPr>
        <w:t xml:space="preserve">是       </w:t>
      </w:r>
      <w:r>
        <w:rPr>
          <w:rFonts w:hint="default" w:ascii="Times New Roman" w:hAnsi="Times New Roman" w:cs="Times New Roman"/>
        </w:rPr>
        <w:sym w:font="Wingdings" w:char="00A8"/>
      </w:r>
      <w:r>
        <w:rPr>
          <w:rFonts w:hint="default" w:ascii="Times New Roman" w:hAnsi="Times New Roman" w:cs="Times New Roman"/>
        </w:rPr>
        <w:t xml:space="preserve">否      </w:t>
      </w:r>
      <w:r>
        <w:rPr>
          <w:rFonts w:hint="default" w:ascii="Times New Roman" w:hAnsi="Times New Roman" w:cs="Times New Roman"/>
        </w:rPr>
        <w:sym w:font="Wingdings" w:char="00A8"/>
      </w:r>
      <w:r>
        <w:rPr>
          <w:rFonts w:hint="default" w:ascii="Times New Roman" w:hAnsi="Times New Roman" w:cs="Times New Roman"/>
        </w:rPr>
        <w:t>不涉及</w:t>
      </w:r>
    </w:p>
    <w:p>
      <w:pPr>
        <w:numPr>
          <w:ilvl w:val="0"/>
          <w:numId w:val="12"/>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合同金额</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p>
    <w:p>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rPr>
        <w:t xml:space="preserve">                 大写：</w:t>
      </w:r>
      <w:r>
        <w:rPr>
          <w:rFonts w:hint="default" w:ascii="Times New Roman" w:hAnsi="Times New Roman" w:cs="Times New Roman"/>
          <w:u w:val="single"/>
        </w:rPr>
        <w:t xml:space="preserve">                           </w:t>
      </w:r>
    </w:p>
    <w:p>
      <w:pPr>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分包金额（如有）小写：</w:t>
      </w:r>
      <w:r>
        <w:rPr>
          <w:rFonts w:hint="default" w:ascii="Times New Roman" w:hAnsi="Times New Roman" w:cs="Times New Roman"/>
          <w:u w:val="single"/>
        </w:rPr>
        <w:t xml:space="preserve">                   </w:t>
      </w:r>
    </w:p>
    <w:p>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rPr>
        <w:t xml:space="preserve">                     大写：</w:t>
      </w:r>
      <w:r>
        <w:rPr>
          <w:rFonts w:hint="default" w:ascii="Times New Roman" w:hAnsi="Times New Roman" w:cs="Times New Roman"/>
          <w:u w:val="single"/>
        </w:rPr>
        <w:t xml:space="preserve">                       </w:t>
      </w:r>
    </w:p>
    <w:p>
      <w:pPr>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（注：固定单价合同应填写单价和最高限价）</w:t>
      </w:r>
    </w:p>
    <w:p>
      <w:pPr>
        <w:numPr>
          <w:ilvl w:val="255"/>
          <w:numId w:val="0"/>
        </w:numPr>
        <w:adjustRightInd w:val="0"/>
        <w:snapToGrid w:val="0"/>
        <w:spacing w:line="400" w:lineRule="exact"/>
        <w:rPr>
          <w:rFonts w:hint="default" w:ascii="Times New Roman" w:hAnsi="Times New Roman" w:cs="Times New Roman"/>
        </w:rPr>
      </w:pPr>
      <w:r>
        <w:rPr>
          <w:rFonts w:hint="default" w:ascii="Times New Roman" w:hAnsi="Times New Roman" w:cs="Times New Roman"/>
        </w:rPr>
        <w:t xml:space="preserve">    （2）合同定价方式（采用组合定价方式的，可以勾选多项）：</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固定总价 </w:t>
      </w:r>
      <w:r>
        <w:rPr>
          <w:rFonts w:hint="default" w:ascii="Times New Roman" w:hAnsi="Times New Roman" w:cs="Times New Roman"/>
          <w:iCs/>
        </w:rPr>
        <w:sym w:font="Wingdings" w:char="00A8"/>
      </w:r>
      <w:r>
        <w:rPr>
          <w:rFonts w:hint="default" w:ascii="Times New Roman" w:hAnsi="Times New Roman" w:cs="Times New Roman"/>
          <w:iCs/>
        </w:rPr>
        <w:t xml:space="preserve">固定单价 </w:t>
      </w:r>
      <w:r>
        <w:rPr>
          <w:rFonts w:hint="default" w:ascii="Times New Roman" w:hAnsi="Times New Roman" w:cs="Times New Roman"/>
          <w:iCs/>
        </w:rPr>
        <w:sym w:font="Wingdings" w:char="00A8"/>
      </w:r>
      <w:r>
        <w:rPr>
          <w:rFonts w:hint="default" w:ascii="Times New Roman" w:hAnsi="Times New Roman" w:cs="Times New Roman"/>
          <w:iCs/>
        </w:rPr>
        <w:t xml:space="preserve">固定费率 </w:t>
      </w:r>
      <w:r>
        <w:rPr>
          <w:rFonts w:hint="default" w:ascii="Times New Roman" w:hAnsi="Times New Roman" w:cs="Times New Roman"/>
          <w:iCs/>
        </w:rPr>
        <w:sym w:font="Wingdings" w:char="00A8"/>
      </w:r>
      <w:r>
        <w:rPr>
          <w:rFonts w:hint="default" w:ascii="Times New Roman" w:hAnsi="Times New Roman" w:cs="Times New Roman"/>
          <w:iCs/>
        </w:rPr>
        <w:t xml:space="preserve">成本补偿 </w:t>
      </w:r>
      <w:r>
        <w:rPr>
          <w:rFonts w:hint="default" w:ascii="Times New Roman" w:hAnsi="Times New Roman" w:cs="Times New Roman"/>
          <w:iCs/>
        </w:rPr>
        <w:sym w:font="Wingdings" w:char="00A8"/>
      </w:r>
      <w:r>
        <w:rPr>
          <w:rFonts w:hint="default" w:ascii="Times New Roman" w:hAnsi="Times New Roman" w:cs="Times New Roman"/>
          <w:iCs/>
        </w:rPr>
        <w:t xml:space="preserve">绩效激励 </w:t>
      </w:r>
      <w:r>
        <w:rPr>
          <w:rFonts w:hint="default" w:ascii="Times New Roman" w:hAnsi="Times New Roman" w:cs="Times New Roman"/>
          <w:iCs/>
        </w:rPr>
        <w:sym w:font="Wingdings" w:char="00A8"/>
      </w:r>
      <w:r>
        <w:rPr>
          <w:rFonts w:hint="default" w:ascii="Times New Roman" w:hAnsi="Times New Roman" w:cs="Times New Roman"/>
          <w:iCs/>
        </w:rPr>
        <w:t>其他</w:t>
      </w:r>
      <w:r>
        <w:rPr>
          <w:rFonts w:hint="default" w:ascii="Times New Roman" w:hAnsi="Times New Roman" w:cs="Times New Roman"/>
          <w:u w:val="single"/>
        </w:rPr>
        <w:t xml:space="preserve">       </w:t>
      </w:r>
    </w:p>
    <w:p>
      <w:pPr>
        <w:pStyle w:val="111"/>
        <w:spacing w:line="400" w:lineRule="exact"/>
        <w:rPr>
          <w:rFonts w:hint="default" w:ascii="Times New Roman" w:hAnsi="Times New Roman" w:cs="Times New Roman"/>
        </w:rPr>
      </w:pPr>
      <w:r>
        <w:rPr>
          <w:rFonts w:hint="default" w:ascii="Times New Roman" w:hAnsi="Times New Roman" w:cs="Times New Roman"/>
        </w:rPr>
        <w:t>（3）付款方式（按项目实际勾选填写）：</w:t>
      </w:r>
    </w:p>
    <w:p>
      <w:pPr>
        <w:adjustRightInd w:val="0"/>
        <w:snapToGrid w:val="0"/>
        <w:spacing w:line="400" w:lineRule="exact"/>
        <w:ind w:firstLine="630" w:firstLineChars="300"/>
        <w:rPr>
          <w:rFonts w:hint="default" w:ascii="Times New Roman" w:hAnsi="Times New Roman" w:cs="Times New Roman"/>
          <w:u w:val="single"/>
        </w:rPr>
      </w:pPr>
      <w:r>
        <w:rPr>
          <w:rFonts w:hint="default" w:ascii="Times New Roman" w:hAnsi="Times New Roman" w:cs="Times New Roman"/>
        </w:rPr>
        <w:sym w:font="Wingdings" w:char="00A8"/>
      </w:r>
      <w:r>
        <w:rPr>
          <w:rFonts w:hint="default" w:ascii="Times New Roman" w:hAnsi="Times New Roman" w:cs="Times New Roman"/>
        </w:rPr>
        <w:t>全额付款：</w:t>
      </w:r>
      <w:r>
        <w:rPr>
          <w:rFonts w:hint="default" w:ascii="Times New Roman" w:hAnsi="Times New Roman" w:cs="Times New Roman"/>
          <w:u w:val="single"/>
        </w:rPr>
        <w:t xml:space="preserve">     （应明确一次性支付合同款项的条件）                    </w:t>
      </w:r>
    </w:p>
    <w:p>
      <w:pPr>
        <w:snapToGrid w:val="0"/>
        <w:spacing w:line="400" w:lineRule="exact"/>
        <w:ind w:firstLine="630" w:firstLineChars="300"/>
        <w:rPr>
          <w:rFonts w:hint="default" w:ascii="Times New Roman" w:hAnsi="Times New Roman" w:cs="Times New Roman"/>
        </w:rPr>
      </w:pPr>
      <w:r>
        <w:rPr>
          <w:rFonts w:hint="default" w:ascii="Times New Roman" w:hAnsi="Times New Roman" w:cs="Times New Roman"/>
        </w:rPr>
        <w:sym w:font="Wingdings" w:char="00A8"/>
      </w:r>
      <w:r>
        <w:rPr>
          <w:rFonts w:hint="default" w:ascii="Times New Roman" w:hAnsi="Times New Roman" w:cs="Times New Roman"/>
        </w:rPr>
        <w:t>分期付款：</w:t>
      </w:r>
      <w:r>
        <w:rPr>
          <w:rFonts w:hint="default" w:ascii="Times New Roman" w:hAnsi="Times New Roman" w:cs="Times New Roman"/>
          <w:u w:val="single"/>
        </w:rPr>
        <w:t xml:space="preserve">  （应明确分期支付合同款项的各期比例和支付条件，各期支付条件应与分期履约验收情况挂钩） </w:t>
      </w:r>
      <w:r>
        <w:rPr>
          <w:rFonts w:hint="default" w:ascii="Times New Roman" w:hAnsi="Times New Roman" w:cs="Times New Roman"/>
        </w:rPr>
        <w:t>，其中涉及预付款的：</w:t>
      </w:r>
      <w:r>
        <w:rPr>
          <w:rFonts w:hint="default" w:ascii="Times New Roman" w:hAnsi="Times New Roman" w:cs="Times New Roman"/>
          <w:u w:val="single"/>
        </w:rPr>
        <w:t xml:space="preserve"> （应明确预付款的支付比例和支付条件） </w:t>
      </w:r>
    </w:p>
    <w:p>
      <w:pPr>
        <w:adjustRightInd w:val="0"/>
        <w:snapToGrid w:val="0"/>
        <w:spacing w:line="400" w:lineRule="exact"/>
        <w:ind w:firstLine="630" w:firstLineChars="300"/>
        <w:rPr>
          <w:rFonts w:hint="default" w:ascii="Times New Roman" w:hAnsi="Times New Roman" w:cs="Times New Roman"/>
          <w:u w:val="single"/>
        </w:rPr>
      </w:pPr>
      <w:r>
        <w:rPr>
          <w:rFonts w:hint="default" w:ascii="Times New Roman" w:hAnsi="Times New Roman" w:cs="Times New Roman"/>
        </w:rPr>
        <w:sym w:font="Wingdings" w:char="00A8"/>
      </w:r>
      <w:r>
        <w:rPr>
          <w:rFonts w:hint="default" w:ascii="Times New Roman" w:hAnsi="Times New Roman" w:cs="Times New Roman"/>
        </w:rPr>
        <w:t>成本补偿：</w:t>
      </w:r>
      <w:r>
        <w:rPr>
          <w:rFonts w:hint="default" w:ascii="Times New Roman" w:hAnsi="Times New Roman" w:cs="Times New Roman"/>
          <w:u w:val="single"/>
        </w:rPr>
        <w:t xml:space="preserve">      （应明确按照成本补偿方式的支付方式和支付条件）   </w:t>
      </w:r>
    </w:p>
    <w:p>
      <w:pPr>
        <w:adjustRightInd w:val="0"/>
        <w:snapToGrid w:val="0"/>
        <w:spacing w:line="400" w:lineRule="exact"/>
        <w:ind w:firstLine="630" w:firstLineChars="300"/>
        <w:rPr>
          <w:rFonts w:hint="default" w:ascii="Times New Roman" w:hAnsi="Times New Roman" w:cs="Times New Roman"/>
        </w:rPr>
      </w:pPr>
      <w:r>
        <w:rPr>
          <w:rFonts w:hint="default" w:ascii="Times New Roman" w:hAnsi="Times New Roman" w:cs="Times New Roman"/>
        </w:rPr>
        <w:sym w:font="Wingdings" w:char="00A8"/>
      </w:r>
      <w:r>
        <w:rPr>
          <w:rFonts w:hint="default" w:ascii="Times New Roman" w:hAnsi="Times New Roman" w:cs="Times New Roman"/>
        </w:rPr>
        <w:t>绩效激励：</w:t>
      </w:r>
      <w:r>
        <w:rPr>
          <w:rFonts w:hint="default" w:ascii="Times New Roman" w:hAnsi="Times New Roman" w:cs="Times New Roman"/>
          <w:u w:val="single"/>
        </w:rPr>
        <w:t xml:space="preserve">      （应明确按照绩效激励方式的支付方式和支付条件）   </w:t>
      </w:r>
    </w:p>
    <w:p>
      <w:pPr>
        <w:numPr>
          <w:ilvl w:val="0"/>
          <w:numId w:val="12"/>
        </w:numPr>
        <w:adjustRightInd w:val="0"/>
        <w:snapToGrid w:val="0"/>
        <w:spacing w:line="400" w:lineRule="exact"/>
        <w:ind w:firstLine="420" w:firstLineChars="200"/>
        <w:rPr>
          <w:rFonts w:hint="default" w:ascii="Times New Roman" w:hAnsi="Times New Roman" w:cs="Times New Roman"/>
          <w:b/>
          <w:u w:val="single"/>
        </w:rPr>
      </w:pPr>
      <w:r>
        <w:rPr>
          <w:rFonts w:hint="default" w:ascii="Times New Roman" w:hAnsi="Times New Roman" w:cs="Times New Roman"/>
          <w:b/>
        </w:rPr>
        <w:t>合同履行</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pPr>
        <w:adjustRightInd w:val="0"/>
        <w:snapToGrid w:val="0"/>
        <w:spacing w:line="400" w:lineRule="exact"/>
        <w:ind w:firstLine="420" w:firstLineChars="200"/>
        <w:rPr>
          <w:rFonts w:hint="default" w:ascii="Times New Roman" w:hAnsi="Times New Roman" w:cs="Times New Roman"/>
          <w:u w:val="single"/>
        </w:rPr>
      </w:pPr>
      <w:r>
        <w:rPr>
          <w:rFonts w:hint="default" w:ascii="Times New Roman" w:hAnsi="Times New Roman" w:cs="Times New Roman"/>
        </w:rPr>
        <w:t>（2）履约地点</w:t>
      </w:r>
      <w:r>
        <w:rPr>
          <w:rFonts w:hint="default" w:ascii="Times New Roman" w:hAnsi="Times New Roman" w:cs="Times New Roman"/>
          <w:bCs/>
        </w:rPr>
        <w:t>：</w:t>
      </w:r>
      <w:r>
        <w:rPr>
          <w:rFonts w:hint="default" w:ascii="Times New Roman" w:hAnsi="Times New Roman" w:cs="Times New Roman"/>
          <w:u w:val="single"/>
        </w:rPr>
        <w:t xml:space="preserve">                             </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bCs/>
        </w:rPr>
        <w:t>（3）履约担保：</w:t>
      </w:r>
      <w:r>
        <w:rPr>
          <w:rFonts w:hint="default" w:ascii="Times New Roman" w:hAnsi="Times New Roman" w:cs="Times New Roman"/>
        </w:rPr>
        <w:t>是否收取履约保证金：</w:t>
      </w:r>
      <w:r>
        <w:rPr>
          <w:rFonts w:hint="default" w:ascii="Times New Roman" w:hAnsi="Times New Roman" w:cs="Times New Roman"/>
        </w:rPr>
        <w:sym w:font="Wingdings" w:char="00A8"/>
      </w:r>
      <w:r>
        <w:rPr>
          <w:rFonts w:hint="default" w:ascii="Times New Roman" w:hAnsi="Times New Roman" w:cs="Times New Roman"/>
        </w:rPr>
        <w:t xml:space="preserve">是    </w:t>
      </w:r>
      <w:r>
        <w:rPr>
          <w:rFonts w:hint="default" w:ascii="Times New Roman" w:hAnsi="Times New Roman" w:cs="Times New Roman"/>
        </w:rPr>
        <w:sym w:font="Wingdings" w:char="00A8"/>
      </w:r>
      <w:r>
        <w:rPr>
          <w:rFonts w:hint="default" w:ascii="Times New Roman" w:hAnsi="Times New Roman" w:cs="Times New Roman"/>
        </w:rPr>
        <w:t>否</w:t>
      </w:r>
    </w:p>
    <w:p>
      <w:pPr>
        <w:pStyle w:val="48"/>
        <w:rPr>
          <w:rFonts w:hint="default" w:ascii="Times New Roman" w:hAnsi="Times New Roman" w:eastAsia="宋体" w:cs="Times New Roman"/>
          <w:sz w:val="21"/>
        </w:rPr>
      </w:pPr>
      <w:r>
        <w:rPr>
          <w:rFonts w:hint="default" w:ascii="Times New Roman" w:hAnsi="Times New Roman" w:cs="Times New Roman"/>
          <w:bCs/>
        </w:rPr>
        <w:t xml:space="preserve">  </w:t>
      </w:r>
      <w:r>
        <w:rPr>
          <w:rFonts w:hint="default" w:ascii="Times New Roman" w:hAnsi="Times New Roman" w:eastAsia="宋体" w:cs="Times New Roman"/>
          <w:sz w:val="21"/>
        </w:rPr>
        <w:t xml:space="preserve">  收取履约保证金形式：</w:t>
      </w:r>
      <w:r>
        <w:rPr>
          <w:rFonts w:hint="default" w:ascii="Times New Roman" w:hAnsi="Times New Roman" w:eastAsia="宋体" w:cs="Times New Roman"/>
          <w:bCs/>
          <w:sz w:val="21"/>
          <w:u w:val="single"/>
        </w:rPr>
        <w:t xml:space="preserve">                            </w:t>
      </w:r>
    </w:p>
    <w:p>
      <w:pPr>
        <w:pStyle w:val="48"/>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收取履约保证金金额：</w:t>
      </w:r>
      <w:r>
        <w:rPr>
          <w:rFonts w:hint="default" w:ascii="Times New Roman" w:hAnsi="Times New Roman" w:eastAsia="宋体" w:cs="Times New Roman"/>
          <w:bCs/>
          <w:sz w:val="21"/>
          <w:u w:val="single"/>
        </w:rPr>
        <w:t xml:space="preserve">                            </w:t>
      </w:r>
    </w:p>
    <w:p>
      <w:pPr>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bCs/>
        </w:rPr>
        <w:t xml:space="preserve">    履约担保期限：</w:t>
      </w:r>
      <w:r>
        <w:rPr>
          <w:rFonts w:hint="default" w:ascii="Times New Roman" w:hAnsi="Times New Roman" w:cs="Times New Roman"/>
          <w:bCs/>
          <w:u w:val="single"/>
        </w:rPr>
        <w:t xml:space="preserve">                                  </w:t>
      </w:r>
    </w:p>
    <w:p>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（4）分期履行要求：</w:t>
      </w:r>
      <w:r>
        <w:rPr>
          <w:rFonts w:hint="default" w:ascii="Times New Roman" w:hAnsi="Times New Roman" w:cs="Times New Roman"/>
          <w:bCs/>
          <w:u w:val="single"/>
        </w:rPr>
        <w:t xml:space="preserve">                                                        </w:t>
      </w:r>
    </w:p>
    <w:p>
      <w:pPr>
        <w:adjustRightInd w:val="0"/>
        <w:snapToGrid w:val="0"/>
        <w:spacing w:line="400" w:lineRule="exact"/>
        <w:ind w:firstLine="420" w:firstLineChars="200"/>
        <w:rPr>
          <w:rFonts w:hint="default" w:ascii="Times New Roman" w:hAnsi="Times New Roman" w:cs="Times New Roman"/>
          <w:u w:val="single"/>
        </w:rPr>
      </w:pPr>
      <w:r>
        <w:rPr>
          <w:rFonts w:hint="default" w:ascii="Times New Roman" w:hAnsi="Times New Roman" w:cs="Times New Roman"/>
          <w:bCs/>
        </w:rPr>
        <w:t>（5）风险处置措施和替代方案：</w:t>
      </w:r>
      <w:r>
        <w:rPr>
          <w:rFonts w:hint="default" w:ascii="Times New Roman" w:hAnsi="Times New Roman" w:cs="Times New Roman"/>
          <w:color w:val="0000FF"/>
          <w:u w:val="single"/>
        </w:rPr>
        <w:t xml:space="preserve"> </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u w:val="single"/>
        </w:rPr>
        <w:t xml:space="preserve">                                                </w:t>
      </w:r>
    </w:p>
    <w:p>
      <w:pPr>
        <w:numPr>
          <w:ilvl w:val="0"/>
          <w:numId w:val="12"/>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合同验收</w:t>
      </w:r>
    </w:p>
    <w:p>
      <w:pPr>
        <w:numPr>
          <w:ilvl w:val="0"/>
          <w:numId w:val="14"/>
        </w:num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验收组织方式：</w:t>
      </w:r>
      <w:r>
        <w:rPr>
          <w:rFonts w:hint="default" w:ascii="Times New Roman" w:hAnsi="Times New Roman" w:cs="Times New Roman"/>
        </w:rPr>
        <w:sym w:font="Wingdings" w:char="00A8"/>
      </w:r>
      <w:r>
        <w:rPr>
          <w:rFonts w:hint="default" w:ascii="Times New Roman" w:hAnsi="Times New Roman" w:cs="Times New Roman"/>
          <w:bCs/>
        </w:rPr>
        <w:t xml:space="preserve">自行组织 </w:t>
      </w:r>
      <w:r>
        <w:rPr>
          <w:rFonts w:hint="default" w:ascii="Times New Roman" w:hAnsi="Times New Roman" w:cs="Times New Roman"/>
        </w:rPr>
        <w:sym w:font="Wingdings" w:char="00A8"/>
      </w:r>
      <w:r>
        <w:rPr>
          <w:rFonts w:hint="default" w:ascii="Times New Roman" w:hAnsi="Times New Roman" w:cs="Times New Roman"/>
          <w:bCs/>
        </w:rPr>
        <w:t>委托第三方组织</w:t>
      </w:r>
    </w:p>
    <w:p>
      <w:pPr>
        <w:adjustRightInd w:val="0"/>
        <w:snapToGrid w:val="0"/>
        <w:spacing w:line="400" w:lineRule="exact"/>
        <w:rPr>
          <w:rFonts w:hint="default" w:ascii="Times New Roman" w:hAnsi="Times New Roman" w:cs="Times New Roman"/>
          <w:bCs/>
        </w:rPr>
      </w:pPr>
      <w:r>
        <w:rPr>
          <w:rFonts w:hint="default" w:ascii="Times New Roman" w:hAnsi="Times New Roman" w:cs="Times New Roman"/>
          <w:bCs/>
        </w:rPr>
        <w:t xml:space="preserve">         验收主体：</w:t>
      </w:r>
      <w:r>
        <w:rPr>
          <w:rFonts w:hint="default" w:ascii="Times New Roman" w:hAnsi="Times New Roman" w:cs="Times New Roman"/>
          <w:bCs/>
          <w:u w:val="single"/>
        </w:rPr>
        <w:t xml:space="preserve">                  </w:t>
      </w:r>
    </w:p>
    <w:p>
      <w:pPr>
        <w:adjustRightInd w:val="0"/>
        <w:snapToGrid w:val="0"/>
        <w:spacing w:line="400" w:lineRule="exact"/>
        <w:rPr>
          <w:rFonts w:hint="default" w:ascii="Times New Roman" w:hAnsi="Times New Roman" w:cs="Times New Roman"/>
          <w:bCs/>
        </w:rPr>
      </w:pPr>
      <w:r>
        <w:rPr>
          <w:rFonts w:hint="default" w:ascii="Times New Roman" w:hAnsi="Times New Roman" w:cs="Times New Roman"/>
          <w:bCs/>
        </w:rPr>
        <w:t xml:space="preserve">        是否邀请本项目的其他供应商参加验收：</w:t>
      </w:r>
      <w:r>
        <w:rPr>
          <w:rFonts w:hint="default" w:ascii="Times New Roman" w:hAnsi="Times New Roman" w:cs="Times New Roman"/>
        </w:rPr>
        <w:sym w:font="Wingdings" w:char="00A8"/>
      </w:r>
      <w:r>
        <w:rPr>
          <w:rFonts w:hint="default" w:ascii="Times New Roman" w:hAnsi="Times New Roman" w:cs="Times New Roman"/>
          <w:bCs/>
        </w:rPr>
        <w:t xml:space="preserve">是  </w:t>
      </w:r>
      <w:r>
        <w:rPr>
          <w:rFonts w:hint="default" w:ascii="Times New Roman" w:hAnsi="Times New Roman" w:cs="Times New Roman"/>
        </w:rPr>
        <w:sym w:font="Wingdings" w:char="00A8"/>
      </w:r>
      <w:r>
        <w:rPr>
          <w:rFonts w:hint="default" w:ascii="Times New Roman" w:hAnsi="Times New Roman" w:cs="Times New Roman"/>
          <w:bCs/>
        </w:rPr>
        <w:t>否</w:t>
      </w:r>
    </w:p>
    <w:p>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是否邀请专家参加验收：</w:t>
      </w:r>
      <w:r>
        <w:rPr>
          <w:rFonts w:hint="default" w:ascii="Times New Roman" w:hAnsi="Times New Roman" w:cs="Times New Roman"/>
        </w:rPr>
        <w:sym w:font="Wingdings" w:char="00A8"/>
      </w:r>
      <w:r>
        <w:rPr>
          <w:rFonts w:hint="default" w:ascii="Times New Roman" w:hAnsi="Times New Roman" w:cs="Times New Roman"/>
          <w:bCs/>
        </w:rPr>
        <w:t xml:space="preserve">是  </w:t>
      </w:r>
      <w:r>
        <w:rPr>
          <w:rFonts w:hint="default" w:ascii="Times New Roman" w:hAnsi="Times New Roman" w:cs="Times New Roman"/>
        </w:rPr>
        <w:sym w:font="Wingdings" w:char="00A8"/>
      </w:r>
      <w:r>
        <w:rPr>
          <w:rFonts w:hint="default" w:ascii="Times New Roman" w:hAnsi="Times New Roman" w:cs="Times New Roman"/>
          <w:bCs/>
        </w:rPr>
        <w:t>否</w:t>
      </w:r>
    </w:p>
    <w:p>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是否邀请服务对象参加验收：</w:t>
      </w:r>
      <w:r>
        <w:rPr>
          <w:rFonts w:hint="default" w:ascii="Times New Roman" w:hAnsi="Times New Roman" w:cs="Times New Roman"/>
        </w:rPr>
        <w:sym w:font="Wingdings" w:char="00A8"/>
      </w:r>
      <w:r>
        <w:rPr>
          <w:rFonts w:hint="default" w:ascii="Times New Roman" w:hAnsi="Times New Roman" w:cs="Times New Roman"/>
          <w:bCs/>
        </w:rPr>
        <w:t xml:space="preserve">是  </w:t>
      </w:r>
      <w:r>
        <w:rPr>
          <w:rFonts w:hint="default" w:ascii="Times New Roman" w:hAnsi="Times New Roman" w:cs="Times New Roman"/>
        </w:rPr>
        <w:sym w:font="Wingdings" w:char="00A8"/>
      </w:r>
      <w:r>
        <w:rPr>
          <w:rFonts w:hint="default" w:ascii="Times New Roman" w:hAnsi="Times New Roman" w:cs="Times New Roman"/>
          <w:bCs/>
        </w:rPr>
        <w:t>否</w:t>
      </w:r>
    </w:p>
    <w:p>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是否邀请第三方检测机构参加验收：</w:t>
      </w:r>
      <w:r>
        <w:rPr>
          <w:rFonts w:hint="default" w:ascii="Times New Roman" w:hAnsi="Times New Roman" w:cs="Times New Roman"/>
        </w:rPr>
        <w:sym w:font="Wingdings" w:char="00A8"/>
      </w:r>
      <w:r>
        <w:rPr>
          <w:rFonts w:hint="default" w:ascii="Times New Roman" w:hAnsi="Times New Roman" w:cs="Times New Roman"/>
          <w:bCs/>
        </w:rPr>
        <w:t xml:space="preserve">是  </w:t>
      </w:r>
      <w:r>
        <w:rPr>
          <w:rFonts w:hint="default" w:ascii="Times New Roman" w:hAnsi="Times New Roman" w:cs="Times New Roman"/>
        </w:rPr>
        <w:sym w:font="Wingdings" w:char="00A8"/>
      </w:r>
      <w:r>
        <w:rPr>
          <w:rFonts w:hint="default" w:ascii="Times New Roman" w:hAnsi="Times New Roman" w:cs="Times New Roman"/>
          <w:bCs/>
        </w:rPr>
        <w:t>否</w:t>
      </w:r>
    </w:p>
    <w:p>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是否进行抽查检测：</w:t>
      </w:r>
      <w:r>
        <w:rPr>
          <w:rFonts w:hint="default" w:ascii="Times New Roman" w:hAnsi="Times New Roman" w:cs="Times New Roman"/>
        </w:rPr>
        <w:sym w:font="Wingdings" w:char="00A8"/>
      </w:r>
      <w:r>
        <w:rPr>
          <w:rFonts w:hint="default" w:ascii="Times New Roman" w:hAnsi="Times New Roman" w:cs="Times New Roman"/>
          <w:bCs/>
        </w:rPr>
        <w:t>是，抽查比例：</w:t>
      </w:r>
      <w:r>
        <w:rPr>
          <w:rFonts w:hint="default" w:ascii="Times New Roman" w:hAnsi="Times New Roman" w:cs="Times New Roman"/>
          <w:bCs/>
          <w:u w:val="single"/>
        </w:rPr>
        <w:t xml:space="preserve">        </w:t>
      </w:r>
      <w:r>
        <w:rPr>
          <w:rFonts w:hint="default" w:ascii="Times New Roman" w:hAnsi="Times New Roman" w:cs="Times New Roman"/>
          <w:bCs/>
        </w:rPr>
        <w:t xml:space="preserve"> </w:t>
      </w:r>
      <w:r>
        <w:rPr>
          <w:rFonts w:hint="default" w:ascii="Times New Roman" w:hAnsi="Times New Roman" w:cs="Times New Roman"/>
        </w:rPr>
        <w:sym w:font="Wingdings" w:char="00A8"/>
      </w:r>
      <w:r>
        <w:rPr>
          <w:rFonts w:hint="default" w:ascii="Times New Roman" w:hAnsi="Times New Roman" w:cs="Times New Roman"/>
          <w:bCs/>
        </w:rPr>
        <w:t>否</w:t>
      </w:r>
    </w:p>
    <w:p>
      <w:pPr>
        <w:adjustRightInd w:val="0"/>
        <w:snapToGrid w:val="0"/>
        <w:spacing w:line="400" w:lineRule="exact"/>
        <w:ind w:firstLine="840" w:firstLineChars="400"/>
        <w:rPr>
          <w:rFonts w:hint="default" w:ascii="Times New Roman" w:hAnsi="Times New Roman" w:cs="Times New Roman"/>
          <w:bCs/>
          <w:u w:val="single"/>
        </w:rPr>
      </w:pPr>
      <w:r>
        <w:rPr>
          <w:rFonts w:hint="default" w:ascii="Times New Roman" w:hAnsi="Times New Roman" w:cs="Times New Roman"/>
          <w:bCs/>
        </w:rPr>
        <w:t>是否存在破坏性检测：</w:t>
      </w:r>
      <w:r>
        <w:rPr>
          <w:rFonts w:hint="default" w:ascii="Times New Roman" w:hAnsi="Times New Roman" w:cs="Times New Roman"/>
        </w:rPr>
        <w:sym w:font="Wingdings" w:char="00A8"/>
      </w:r>
      <w:r>
        <w:rPr>
          <w:rFonts w:hint="default" w:ascii="Times New Roman" w:hAnsi="Times New Roman" w:cs="Times New Roman"/>
          <w:bCs/>
        </w:rPr>
        <w:t>是，</w:t>
      </w:r>
      <w:r>
        <w:rPr>
          <w:rFonts w:hint="default" w:ascii="Times New Roman" w:hAnsi="Times New Roman" w:cs="Times New Roman"/>
          <w:bCs/>
          <w:u w:val="single"/>
        </w:rPr>
        <w:t>（应明确对被破坏的检测产品的处理方式）</w:t>
      </w:r>
    </w:p>
    <w:p>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 xml:space="preserve">                    </w:t>
      </w:r>
      <w:r>
        <w:rPr>
          <w:rFonts w:hint="default" w:ascii="Times New Roman" w:hAnsi="Times New Roman" w:cs="Times New Roman"/>
        </w:rPr>
        <w:sym w:font="Wingdings" w:char="00A8"/>
      </w:r>
      <w:r>
        <w:rPr>
          <w:rFonts w:hint="default" w:ascii="Times New Roman" w:hAnsi="Times New Roman" w:cs="Times New Roman"/>
          <w:bCs/>
        </w:rPr>
        <w:t>否</w:t>
      </w:r>
    </w:p>
    <w:p>
      <w:pPr>
        <w:adjustRightInd w:val="0"/>
        <w:snapToGrid w:val="0"/>
        <w:spacing w:line="400" w:lineRule="exact"/>
        <w:ind w:firstLine="840" w:firstLineChars="400"/>
        <w:rPr>
          <w:rFonts w:hint="default" w:ascii="Times New Roman" w:hAnsi="Times New Roman" w:cs="Times New Roman"/>
          <w:bCs/>
          <w:u w:val="single"/>
        </w:rPr>
      </w:pPr>
      <w:r>
        <w:rPr>
          <w:rFonts w:hint="default" w:ascii="Times New Roman" w:hAnsi="Times New Roman" w:cs="Times New Roman"/>
          <w:bCs/>
        </w:rPr>
        <w:t>验收组织的其他事项：</w:t>
      </w:r>
      <w:r>
        <w:rPr>
          <w:rFonts w:hint="default" w:ascii="Times New Roman" w:hAnsi="Times New Roman" w:cs="Times New Roman"/>
          <w:bCs/>
          <w:u w:val="single"/>
        </w:rPr>
        <w:t xml:space="preserve">                </w:t>
      </w:r>
    </w:p>
    <w:p>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（2）履约验收时间：</w:t>
      </w:r>
      <w:r>
        <w:rPr>
          <w:rFonts w:hint="default" w:ascii="Times New Roman" w:hAnsi="Times New Roman" w:cs="Times New Roman"/>
          <w:bCs/>
          <w:u w:val="single"/>
        </w:rPr>
        <w:t xml:space="preserve">（计划于何时验收/供应商提出验收申请之日起   日内组织验收） </w:t>
      </w:r>
    </w:p>
    <w:p>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（3）履约验收方式：</w:t>
      </w:r>
      <w:r>
        <w:rPr>
          <w:rFonts w:hint="default" w:ascii="Times New Roman" w:hAnsi="Times New Roman" w:cs="Times New Roman"/>
        </w:rPr>
        <w:sym w:font="Wingdings" w:char="00A8"/>
      </w:r>
      <w:r>
        <w:rPr>
          <w:rFonts w:hint="default" w:ascii="Times New Roman" w:hAnsi="Times New Roman" w:cs="Times New Roman"/>
          <w:bCs/>
        </w:rPr>
        <w:t xml:space="preserve">一次性验收         </w:t>
      </w:r>
    </w:p>
    <w:p>
      <w:pPr>
        <w:adjustRightInd w:val="0"/>
        <w:snapToGrid w:val="0"/>
        <w:spacing w:line="400" w:lineRule="exact"/>
        <w:rPr>
          <w:rFonts w:hint="default" w:ascii="Times New Roman" w:hAnsi="Times New Roman" w:cs="Times New Roman"/>
          <w:bCs/>
        </w:rPr>
      </w:pPr>
      <w:r>
        <w:rPr>
          <w:rFonts w:hint="default" w:ascii="Times New Roman" w:hAnsi="Times New Roman" w:cs="Times New Roman"/>
          <w:bCs/>
        </w:rPr>
        <w:t xml:space="preserve">                       </w:t>
      </w:r>
      <w:r>
        <w:rPr>
          <w:rFonts w:hint="default" w:ascii="Times New Roman" w:hAnsi="Times New Roman" w:cs="Times New Roman"/>
        </w:rPr>
        <w:sym w:font="Wingdings" w:char="00A8"/>
      </w:r>
      <w:r>
        <w:rPr>
          <w:rFonts w:hint="default" w:ascii="Times New Roman" w:hAnsi="Times New Roman" w:cs="Times New Roman"/>
          <w:bCs/>
        </w:rPr>
        <w:t>分期/分项验收：</w:t>
      </w:r>
      <w:r>
        <w:rPr>
          <w:rFonts w:hint="default" w:ascii="Times New Roman" w:hAnsi="Times New Roman" w:cs="Times New Roman"/>
          <w:bCs/>
          <w:u w:val="single"/>
        </w:rPr>
        <w:t xml:space="preserve"> （应明确分期</w:t>
      </w:r>
      <w:r>
        <w:rPr>
          <w:rFonts w:hint="default" w:ascii="Times New Roman" w:hAnsi="Times New Roman" w:cs="Times New Roman"/>
          <w:bCs/>
          <w:u w:val="single"/>
          <w:lang w:val="en"/>
        </w:rPr>
        <w:t>/分项验收的工作安排</w:t>
      </w:r>
      <w:r>
        <w:rPr>
          <w:rFonts w:hint="default" w:ascii="Times New Roman" w:hAnsi="Times New Roman" w:cs="Times New Roman"/>
          <w:bCs/>
          <w:u w:val="single"/>
        </w:rPr>
        <w:t xml:space="preserve">）  </w:t>
      </w:r>
    </w:p>
    <w:p>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（4）履约验收程序：</w:t>
      </w:r>
      <w:r>
        <w:rPr>
          <w:rFonts w:hint="default" w:ascii="Times New Roman" w:hAnsi="Times New Roman" w:cs="Times New Roman"/>
          <w:bCs/>
          <w:u w:val="single"/>
        </w:rPr>
        <w:t xml:space="preserve">                                         </w:t>
      </w:r>
    </w:p>
    <w:p>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（5）履约验收的内容：</w:t>
      </w:r>
      <w:r>
        <w:rPr>
          <w:rFonts w:hint="default" w:ascii="Times New Roman" w:hAnsi="Times New Roman" w:cs="Times New Roman"/>
          <w:bCs/>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（6）履约验收标准：</w:t>
      </w:r>
      <w:r>
        <w:rPr>
          <w:rFonts w:hint="default" w:ascii="Times New Roman" w:hAnsi="Times New Roman" w:cs="Times New Roman"/>
          <w:bCs/>
          <w:u w:val="single"/>
        </w:rPr>
        <w:t xml:space="preserve">                                         </w:t>
      </w:r>
    </w:p>
    <w:p>
      <w:pPr>
        <w:pStyle w:val="48"/>
        <w:ind w:firstLine="420"/>
        <w:rPr>
          <w:rFonts w:hint="default" w:ascii="Times New Roman" w:hAnsi="Times New Roman" w:eastAsia="宋体" w:cs="Times New Roman"/>
          <w:sz w:val="21"/>
        </w:rPr>
      </w:pPr>
      <w:r>
        <w:rPr>
          <w:rFonts w:hint="default" w:ascii="Times New Roman" w:hAnsi="Times New Roman" w:eastAsia="宋体" w:cs="Times New Roman"/>
          <w:bCs/>
          <w:sz w:val="21"/>
        </w:rPr>
        <w:t>（7）是否以采购活动中供应商提供的样品作为参考：</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 xml:space="preserve">是  </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否</w:t>
      </w:r>
    </w:p>
    <w:p>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（8）履约验收其他事项：</w:t>
      </w:r>
      <w:r>
        <w:rPr>
          <w:rFonts w:hint="default" w:ascii="Times New Roman" w:hAnsi="Times New Roman" w:cs="Times New Roman"/>
          <w:bCs/>
          <w:u w:val="single"/>
        </w:rPr>
        <w:t xml:space="preserve">      （产权过户登记等）          </w:t>
      </w:r>
    </w:p>
    <w:p>
      <w:pPr>
        <w:numPr>
          <w:ilvl w:val="0"/>
          <w:numId w:val="12"/>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组成合同的文件</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本协议书与下列文件一起构成合同文件，如下述文件之间有任何抵触、矛盾或歧义，应按以下顺序解释：</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（1）政府采购合同协议书及其变更、补充协议</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（2）政府采购合同专用条款</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（3）政府采购合同通用条款</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（4）中标（成交）通知书</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（5）投标（响应）文件</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（6）采购文件</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（7）有关技术文件，图纸</w:t>
      </w:r>
    </w:p>
    <w:p>
      <w:pPr>
        <w:pStyle w:val="48"/>
        <w:ind w:firstLine="420"/>
        <w:rPr>
          <w:rFonts w:hint="default" w:ascii="Times New Roman" w:hAnsi="Times New Roman" w:eastAsia="宋体" w:cs="Times New Roman"/>
          <w:kern w:val="2"/>
          <w:sz w:val="21"/>
        </w:rPr>
      </w:pPr>
      <w:r>
        <w:rPr>
          <w:rFonts w:hint="default" w:ascii="Times New Roman" w:hAnsi="Times New Roman" w:eastAsia="宋体" w:cs="Times New Roman"/>
          <w:sz w:val="21"/>
        </w:rPr>
        <w:t>（8）</w:t>
      </w:r>
      <w:r>
        <w:rPr>
          <w:rFonts w:hint="default" w:ascii="Times New Roman" w:hAnsi="Times New Roman" w:eastAsia="宋体" w:cs="Times New Roman"/>
          <w:color w:val="000000" w:themeColor="text1"/>
          <w:kern w:val="2"/>
          <w:sz w:val="21"/>
          <w14:textFill>
            <w14:solidFill>
              <w14:schemeClr w14:val="tx1"/>
            </w14:solidFill>
          </w14:textFill>
        </w:rPr>
        <w:t>国家法律、行政法规和规章制度规定或合同约定的作为合同组成部分的其他文件</w:t>
      </w:r>
    </w:p>
    <w:p>
      <w:pPr>
        <w:numPr>
          <w:ilvl w:val="0"/>
          <w:numId w:val="12"/>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合同生效</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pPr>
        <w:numPr>
          <w:ilvl w:val="0"/>
          <w:numId w:val="12"/>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合同份数</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本合同一式</w:t>
      </w:r>
      <w:r>
        <w:rPr>
          <w:rFonts w:hint="default" w:ascii="Times New Roman" w:hAnsi="Times New Roman" w:cs="Times New Roman"/>
          <w:u w:val="single"/>
        </w:rPr>
        <w:t xml:space="preserve">    </w:t>
      </w:r>
      <w:r>
        <w:rPr>
          <w:rFonts w:hint="default" w:ascii="Times New Roman" w:hAnsi="Times New Roman" w:cs="Times New Roman"/>
        </w:rPr>
        <w:t>份，甲方执</w:t>
      </w:r>
      <w:r>
        <w:rPr>
          <w:rFonts w:hint="default" w:ascii="Times New Roman" w:hAnsi="Times New Roman" w:cs="Times New Roman"/>
          <w:u w:val="single"/>
        </w:rPr>
        <w:t xml:space="preserve">    </w:t>
      </w:r>
      <w:r>
        <w:rPr>
          <w:rFonts w:hint="default" w:ascii="Times New Roman" w:hAnsi="Times New Roman" w:cs="Times New Roman"/>
        </w:rPr>
        <w:t>份，乙方执</w:t>
      </w:r>
      <w:r>
        <w:rPr>
          <w:rFonts w:hint="default" w:ascii="Times New Roman" w:hAnsi="Times New Roman" w:cs="Times New Roman"/>
          <w:u w:val="single"/>
        </w:rPr>
        <w:t xml:space="preserve">    </w:t>
      </w:r>
      <w:r>
        <w:rPr>
          <w:rFonts w:hint="default" w:ascii="Times New Roman" w:hAnsi="Times New Roman" w:cs="Times New Roman"/>
        </w:rPr>
        <w:t>份，均具有同等法律效力。</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合同订立时间：</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合同订立地点：</w:t>
      </w:r>
      <w:r>
        <w:rPr>
          <w:rFonts w:hint="default" w:ascii="Times New Roman" w:hAnsi="Times New Roman" w:cs="Times New Roman"/>
          <w:u w:val="single"/>
        </w:rPr>
        <w:t xml:space="preserve">                           </w:t>
      </w:r>
    </w:p>
    <w:p>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附件：具体标的及其技术要求和商务要求、联合协议、分包意向协议等。</w:t>
      </w:r>
    </w:p>
    <w:p>
      <w:pPr>
        <w:pStyle w:val="111"/>
        <w:spacing w:line="400" w:lineRule="exact"/>
        <w:rPr>
          <w:rFonts w:hint="default" w:ascii="Times New Roman" w:hAnsi="Times New Roman" w:cs="Times New Roman"/>
        </w:rPr>
      </w:pPr>
    </w:p>
    <w:p>
      <w:pPr>
        <w:pStyle w:val="2"/>
        <w:spacing w:line="400" w:lineRule="exact"/>
        <w:rPr>
          <w:rFonts w:hint="default" w:ascii="Times New Roman" w:hAnsi="Times New Roman" w:cs="Times New Roman"/>
          <w:sz w:val="21"/>
          <w:szCs w:val="21"/>
        </w:rPr>
      </w:pPr>
      <w:r>
        <w:rPr>
          <w:rFonts w:hint="default" w:ascii="Times New Roman" w:hAnsi="Times New Roman" w:cs="Times New Roman"/>
          <w:lang w:val="en"/>
        </w:rPr>
        <w:t xml:space="preserve">   </w:t>
      </w:r>
    </w:p>
    <w:p>
      <w:pPr>
        <w:rPr>
          <w:rFonts w:hint="default" w:ascii="Times New Roman" w:hAnsi="Times New Roman" w:cs="Times New Roman"/>
        </w:rPr>
      </w:pPr>
      <w:r>
        <w:rPr>
          <w:rFonts w:hint="default" w:ascii="Times New Roman" w:hAnsi="Times New Roman" w:cs="Times New Roman"/>
        </w:rPr>
        <w:br w:type="page"/>
      </w:r>
    </w:p>
    <w:p>
      <w:pPr>
        <w:pStyle w:val="111"/>
        <w:rPr>
          <w:rFonts w:hint="default" w:ascii="Times New Roman" w:hAnsi="Times New Roman" w:cs="Times New Roman"/>
        </w:rPr>
      </w:pPr>
    </w:p>
    <w:tbl>
      <w:tblPr>
        <w:tblStyle w:val="36"/>
        <w:tblW w:w="9431"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23"/>
        <w:gridCol w:w="2709"/>
        <w:gridCol w:w="2222"/>
        <w:gridCol w:w="237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90" w:hRule="atLeast"/>
        </w:trPr>
        <w:tc>
          <w:tcPr>
            <w:tcW w:w="4832" w:type="dxa"/>
            <w:gridSpan w:val="2"/>
            <w:tcBorders>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甲方（采购人、受采购人委托签订合同的单位或采购文件约定的合同甲方）</w:t>
            </w:r>
          </w:p>
        </w:tc>
        <w:tc>
          <w:tcPr>
            <w:tcW w:w="4599" w:type="dxa"/>
            <w:gridSpan w:val="2"/>
            <w:tcBorders>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17"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单位名称（公章或合同章）</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单位名称（公章或合同章）</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71" w:hRule="atLeast"/>
        </w:trPr>
        <w:tc>
          <w:tcPr>
            <w:tcW w:w="2123" w:type="dxa"/>
            <w:vMerge w:val="restart"/>
            <w:tcBorders>
              <w:top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pPr>
              <w:adjustRightInd w:val="0"/>
              <w:snapToGrid w:val="0"/>
              <w:spacing w:line="300" w:lineRule="exact"/>
              <w:ind w:firstLine="100" w:firstLineChars="48"/>
              <w:jc w:val="center"/>
              <w:rPr>
                <w:rFonts w:hint="default" w:ascii="Times New Roman" w:hAnsi="Times New Roman" w:cs="Times New Roman"/>
              </w:rPr>
            </w:pPr>
            <w:r>
              <w:rPr>
                <w:rFonts w:hint="default" w:ascii="Times New Roman" w:hAnsi="Times New Roman" w:cs="Times New Roman"/>
              </w:rPr>
              <w:t>或其委托代理人（签章）</w:t>
            </w:r>
          </w:p>
        </w:tc>
        <w:tc>
          <w:tcPr>
            <w:tcW w:w="2709"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或其委托代理人（签章）</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vMerge w:val="continue"/>
            <w:tcBorders>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709"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拥有者性别</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住  所</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住  所</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通信地址</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通信地址</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trPr>
        <w:tc>
          <w:tcPr>
            <w:tcW w:w="2123"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70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p>
        </w:tc>
        <w:tc>
          <w:tcPr>
            <w:tcW w:w="222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2377"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default" w:ascii="Times New Roman" w:hAnsi="Times New Roman" w:cs="Times New Roman"/>
                <w:spacing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586" w:hRule="atLeast"/>
        </w:trPr>
        <w:tc>
          <w:tcPr>
            <w:tcW w:w="9431" w:type="dxa"/>
            <w:gridSpan w:val="4"/>
            <w:tcBorders>
              <w:top w:val="single" w:color="auto" w:sz="2" w:space="0"/>
              <w:bottom w:val="single" w:color="auto" w:sz="2" w:space="0"/>
            </w:tcBorders>
            <w:vAlign w:val="center"/>
          </w:tcPr>
          <w:p>
            <w:pPr>
              <w:pStyle w:val="16"/>
              <w:adjustRightInd w:val="0"/>
              <w:snapToGrid w:val="0"/>
              <w:spacing w:before="161" w:beforeLines="50" w:after="0" w:line="360" w:lineRule="auto"/>
              <w:ind w:left="0" w:leftChars="0"/>
              <w:jc w:val="left"/>
              <w:rPr>
                <w:rFonts w:hint="default" w:ascii="Times New Roman" w:hAnsi="Times New Roman" w:cs="Times New Roman"/>
                <w:spacing w:val="20"/>
              </w:rPr>
            </w:pPr>
            <w:r>
              <w:rPr>
                <w:rFonts w:hint="default" w:ascii="Times New Roman" w:hAnsi="Times New Roman" w:cs="Times New Roman"/>
              </w:rPr>
              <w:t>注：涉及联合体或其他合同主体的信息应按上表格式加列。</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096" w:hRule="atLeast"/>
        </w:trPr>
        <w:tc>
          <w:tcPr>
            <w:tcW w:w="9431" w:type="dxa"/>
            <w:gridSpan w:val="4"/>
            <w:tcBorders>
              <w:top w:val="single" w:color="auto" w:sz="2" w:space="0"/>
              <w:bottom w:val="single" w:color="auto" w:sz="2" w:space="0"/>
            </w:tcBorders>
            <w:vAlign w:val="center"/>
          </w:tcPr>
          <w:p>
            <w:pPr>
              <w:pStyle w:val="16"/>
              <w:adjustRightInd w:val="0"/>
              <w:snapToGrid w:val="0"/>
              <w:spacing w:before="161" w:beforeLines="50" w:after="0" w:line="360" w:lineRule="auto"/>
              <w:ind w:left="0" w:leftChars="0"/>
              <w:jc w:val="left"/>
              <w:rPr>
                <w:rFonts w:hint="default" w:ascii="Times New Roman" w:hAnsi="Times New Roman" w:cs="Times New Roman"/>
              </w:rPr>
            </w:pPr>
            <w:r>
              <w:rPr>
                <w:rFonts w:hint="default" w:ascii="Times New Roman" w:hAnsi="Times New Roman" w:cs="Times New Roman"/>
                <w:sz w:val="24"/>
              </w:rPr>
              <w:t>见证方（公章）：</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821" w:hRule="atLeast"/>
        </w:trPr>
        <w:tc>
          <w:tcPr>
            <w:tcW w:w="9431" w:type="dxa"/>
            <w:gridSpan w:val="4"/>
            <w:tcBorders>
              <w:top w:val="single" w:color="auto" w:sz="2" w:space="0"/>
            </w:tcBorders>
            <w:vAlign w:val="center"/>
          </w:tcPr>
          <w:p>
            <w:pPr>
              <w:pStyle w:val="16"/>
              <w:adjustRightInd w:val="0"/>
              <w:snapToGrid w:val="0"/>
              <w:spacing w:before="161" w:beforeLines="50" w:after="0" w:line="360" w:lineRule="auto"/>
              <w:ind w:left="0" w:leftChars="0"/>
              <w:jc w:val="left"/>
              <w:rPr>
                <w:rFonts w:hint="default" w:ascii="Times New Roman" w:hAnsi="Times New Roman" w:cs="Times New Roman"/>
              </w:rPr>
            </w:pPr>
            <w:r>
              <w:rPr>
                <w:rFonts w:hint="default" w:ascii="Times New Roman" w:hAnsi="Times New Roman" w:cs="Times New Roman"/>
                <w:sz w:val="24"/>
                <w:szCs w:val="24"/>
              </w:rPr>
              <w:t>法定代表人或受委托人（签字）：</w:t>
            </w:r>
          </w:p>
        </w:tc>
      </w:tr>
    </w:tbl>
    <w:p>
      <w:pPr>
        <w:pStyle w:val="2"/>
        <w:adjustRightInd w:val="0"/>
        <w:snapToGrid w:val="0"/>
        <w:spacing w:before="161" w:beforeLines="50"/>
        <w:jc w:val="center"/>
        <w:rPr>
          <w:rFonts w:hint="default" w:ascii="Times New Roman" w:hAnsi="Times New Roman" w:eastAsia="黑体" w:cs="Times New Roman"/>
          <w:sz w:val="28"/>
          <w:szCs w:val="28"/>
        </w:rPr>
      </w:pPr>
      <w:r>
        <w:rPr>
          <w:rFonts w:hint="default" w:ascii="Times New Roman" w:hAnsi="Times New Roman" w:cs="Times New Roman"/>
          <w:sz w:val="21"/>
          <w:szCs w:val="21"/>
          <w:u w:val="single"/>
        </w:rPr>
        <w:br w:type="page"/>
      </w:r>
      <w:bookmarkStart w:id="37" w:name="_Toc27624"/>
      <w:r>
        <w:rPr>
          <w:rFonts w:hint="default" w:ascii="Times New Roman" w:hAnsi="Times New Roman" w:eastAsia="黑体" w:cs="Times New Roman"/>
          <w:sz w:val="28"/>
          <w:szCs w:val="28"/>
        </w:rPr>
        <w:t>第二节 政府采购合同通用条款</w:t>
      </w:r>
      <w:bookmarkEnd w:id="37"/>
    </w:p>
    <w:p>
      <w:pPr>
        <w:tabs>
          <w:tab w:val="left" w:pos="8820"/>
          <w:tab w:val="left" w:pos="9345"/>
          <w:tab w:val="left" w:pos="9765"/>
        </w:tabs>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 xml:space="preserve">1. </w:t>
      </w:r>
      <w:r>
        <w:rPr>
          <w:rFonts w:hint="default" w:ascii="Times New Roman" w:hAnsi="Times New Roman" w:cs="Times New Roman"/>
          <w:b/>
          <w:bCs/>
          <w:sz w:val="24"/>
        </w:rPr>
        <w:t>定义</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1.1合同当事人</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（3）其他合同主体是指除采购人和供应商以外，</w:t>
      </w:r>
      <w:r>
        <w:rPr>
          <w:rFonts w:hint="default" w:ascii="Times New Roman" w:hAnsi="Times New Roman" w:cs="Times New Roman"/>
          <w:bCs/>
          <w:color w:val="000000" w:themeColor="text1"/>
          <w14:textFill>
            <w14:solidFill>
              <w14:schemeClr w14:val="tx1"/>
            </w14:solidFill>
          </w14:textFill>
        </w:rPr>
        <w:t>依法参与合同缔结或履行，享有权利、承担义务的合同当事人</w:t>
      </w:r>
      <w:r>
        <w:rPr>
          <w:rFonts w:hint="default" w:ascii="Times New Roman" w:hAnsi="Times New Roman" w:cs="Times New Roman"/>
        </w:rPr>
        <w:t>。</w:t>
      </w:r>
    </w:p>
    <w:p>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1.2本合同下列术语应解释为：</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（1）“合同”系指</w:t>
      </w:r>
      <w:r>
        <w:rPr>
          <w:rFonts w:hint="default" w:ascii="Times New Roman" w:hAnsi="Times New Roman" w:cs="Times New Roman"/>
          <w:bCs/>
          <w:color w:val="000000" w:themeColor="text1"/>
          <w14:textFill>
            <w14:solidFill>
              <w14:schemeClr w14:val="tx1"/>
            </w14:solidFill>
          </w14:textFill>
        </w:rPr>
        <w:t>合同当事人意思表示达成一致的任何协议，包括签署的</w:t>
      </w:r>
      <w:r>
        <w:rPr>
          <w:rFonts w:hint="default" w:ascii="Times New Roman" w:hAnsi="Times New Roman" w:cs="Times New Roman"/>
        </w:rPr>
        <w:t>政府采购合同协议书及其变更、补充协议，政府采购合同专用条款，政府采购合同通用条款，中标（成交）通知书，投标（响应）文件，采购文件，有关技术文件和图纸，以及</w:t>
      </w:r>
      <w:r>
        <w:rPr>
          <w:rFonts w:hint="default" w:ascii="Times New Roman" w:hAnsi="Times New Roman" w:cs="Times New Roman"/>
          <w:color w:val="000000" w:themeColor="text1"/>
          <w14:textFill>
            <w14:solidFill>
              <w14:schemeClr w14:val="tx1"/>
            </w14:solidFill>
          </w14:textFill>
        </w:rPr>
        <w:t>国家法律、行政法规和规章制度规定或合同约定的作为合同组成部分的其他文件</w:t>
      </w:r>
      <w:r>
        <w:rPr>
          <w:rFonts w:hint="default" w:ascii="Times New Roman" w:hAnsi="Times New Roman" w:cs="Times New Roman"/>
        </w:rPr>
        <w:t>。</w:t>
      </w:r>
    </w:p>
    <w:p>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rPr>
        <w:t>（3）“货物”系指乙方根据本合同规定须向甲方提供的各种形态和种类的物品，包括原材料、设备、产品（</w:t>
      </w:r>
      <w:r>
        <w:rPr>
          <w:rFonts w:hint="default" w:ascii="Times New Roman" w:hAnsi="Times New Roman" w:cs="Times New Roman"/>
          <w:color w:val="000000" w:themeColor="text1"/>
          <w14:textFill>
            <w14:solidFill>
              <w14:schemeClr w14:val="tx1"/>
            </w14:solidFill>
          </w14:textFill>
        </w:rPr>
        <w:t>包括软件）及相关的其备品备件、工具、手册及</w:t>
      </w:r>
      <w:r>
        <w:rPr>
          <w:rFonts w:hint="default" w:ascii="Times New Roman" w:hAnsi="Times New Roman" w:cs="Times New Roman"/>
          <w:color w:val="000000" w:themeColor="text1"/>
          <w:lang w:val="en"/>
          <w14:textFill>
            <w14:solidFill>
              <w14:schemeClr w14:val="tx1"/>
            </w14:solidFill>
          </w14:textFill>
        </w:rPr>
        <w:t>其他</w:t>
      </w:r>
      <w:r>
        <w:rPr>
          <w:rFonts w:hint="default" w:ascii="Times New Roman" w:hAnsi="Times New Roman" w:cs="Times New Roman"/>
          <w:color w:val="000000" w:themeColor="text1"/>
          <w14:textFill>
            <w14:solidFill>
              <w14:schemeClr w14:val="tx1"/>
            </w14:solidFill>
          </w14:textFill>
        </w:rPr>
        <w:t>技术资料和材料等。</w:t>
      </w:r>
    </w:p>
    <w:p>
      <w:pPr>
        <w:adjustRightInd w:val="0"/>
        <w:snapToGrid w:val="0"/>
        <w:spacing w:line="400" w:lineRule="exact"/>
        <w:ind w:firstLine="420" w:firstLineChars="200"/>
        <w:jc w:val="left"/>
        <w:rPr>
          <w:rFonts w:hint="default" w:ascii="Times New Roman" w:hAnsi="Times New Roman" w:cs="Times New Roman"/>
          <w:color w:val="000000" w:themeColor="text1"/>
          <w:highlight w:val="yellow"/>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rPr>
        <w:t>相关</w:t>
      </w:r>
      <w:r>
        <w:rPr>
          <w:rFonts w:hint="default" w:ascii="Times New Roman" w:hAnsi="Times New Roman" w:cs="Times New Roman"/>
          <w:color w:val="000000" w:themeColor="text1"/>
          <w14:textFill>
            <w14:solidFill>
              <w14:schemeClr w14:val="tx1"/>
            </w14:solidFill>
          </w14:textFill>
        </w:rPr>
        <w:t>服务”系指根据合同规定，乙方应提供的与货物有关的技术、管理和</w:t>
      </w:r>
      <w:r>
        <w:rPr>
          <w:rFonts w:hint="default" w:ascii="Times New Roman" w:hAnsi="Times New Roman" w:cs="Times New Roman"/>
          <w:color w:val="000000" w:themeColor="text1"/>
          <w:lang w:val="en"/>
          <w14:textFill>
            <w14:solidFill>
              <w14:schemeClr w14:val="tx1"/>
            </w14:solidFill>
          </w14:textFill>
        </w:rPr>
        <w:t>其他</w:t>
      </w:r>
      <w:r>
        <w:rPr>
          <w:rFonts w:hint="default" w:ascii="Times New Roman" w:hAnsi="Times New Roman" w:cs="Times New Roman"/>
          <w:color w:val="000000" w:themeColor="text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default" w:ascii="Times New Roman" w:hAnsi="Times New Roman" w:cs="Times New Roman"/>
          <w:color w:val="000000" w:themeColor="text1"/>
          <w:lang w:val="en"/>
          <w14:textFill>
            <w14:solidFill>
              <w14:schemeClr w14:val="tx1"/>
            </w14:solidFill>
          </w14:textFill>
        </w:rPr>
        <w:t>其他</w:t>
      </w:r>
      <w:r>
        <w:rPr>
          <w:rFonts w:hint="default" w:ascii="Times New Roman" w:hAnsi="Times New Roman" w:cs="Times New Roman"/>
          <w:color w:val="000000" w:themeColor="text1"/>
          <w14:textFill>
            <w14:solidFill>
              <w14:schemeClr w14:val="tx1"/>
            </w14:solidFill>
          </w14:textFill>
        </w:rPr>
        <w:t>义务。</w:t>
      </w:r>
    </w:p>
    <w:p>
      <w:pPr>
        <w:adjustRightInd w:val="0"/>
        <w:snapToGrid w:val="0"/>
        <w:spacing w:line="400" w:lineRule="exact"/>
        <w:ind w:firstLine="420" w:firstLineChars="200"/>
        <w:jc w:val="left"/>
        <w:rPr>
          <w:rFonts w:hint="default" w:ascii="Times New Roman" w:hAnsi="Times New Roman" w:cs="Times New Roman"/>
          <w:color w:val="000000" w:themeColor="text1"/>
          <w:highlight w:val="yellow"/>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rPr>
        <w:t>“联合体”系指由两个以上的自然人、法人或者非法人组织组成，以一个供应商的身份共同参加政府采购的主体</w:t>
      </w:r>
      <w:r>
        <w:rPr>
          <w:rFonts w:hint="default" w:ascii="Times New Roman" w:hAnsi="Times New Roman" w:cs="Times New Roman"/>
          <w:color w:val="000000" w:themeColor="text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color w:val="000000" w:themeColor="text1"/>
          <w14:textFill>
            <w14:solidFill>
              <w14:schemeClr w14:val="tx1"/>
            </w14:solidFill>
          </w14:textFill>
        </w:rPr>
        <w:t>政府采购合同专用条款</w:t>
      </w:r>
      <w:r>
        <w:rPr>
          <w:rFonts w:hint="default" w:ascii="Times New Roman" w:hAnsi="Times New Roman" w:cs="Times New Roman"/>
          <w:color w:val="000000" w:themeColor="text1"/>
          <w14:textFill>
            <w14:solidFill>
              <w14:schemeClr w14:val="tx1"/>
            </w14:solidFill>
          </w14:textFill>
        </w:rPr>
        <w:t>】。</w:t>
      </w:r>
    </w:p>
    <w:p>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（7）其他术语解释，见【</w:t>
      </w:r>
      <w:r>
        <w:rPr>
          <w:rFonts w:hint="default" w:ascii="Times New Roman" w:hAnsi="Times New Roman" w:cs="Times New Roman"/>
          <w:b/>
          <w:bCs/>
          <w:color w:val="000000" w:themeColor="text1"/>
          <w14:textFill>
            <w14:solidFill>
              <w14:schemeClr w14:val="tx1"/>
            </w14:solidFill>
          </w14:textFill>
        </w:rPr>
        <w:t>政府采购合同专用条款</w:t>
      </w:r>
      <w:r>
        <w:rPr>
          <w:rFonts w:hint="default" w:ascii="Times New Roman" w:hAnsi="Times New Roman" w:cs="Times New Roman"/>
          <w:color w:val="000000" w:themeColor="text1"/>
          <w14:textFill>
            <w14:solidFill>
              <w14:schemeClr w14:val="tx1"/>
            </w14:solidFill>
          </w14:textFill>
        </w:rPr>
        <w:t>】。</w:t>
      </w:r>
    </w:p>
    <w:p>
      <w:pPr>
        <w:numPr>
          <w:ilvl w:val="0"/>
          <w:numId w:val="15"/>
        </w:numPr>
        <w:autoSpaceDE w:val="0"/>
        <w:autoSpaceDN w:val="0"/>
        <w:adjustRightInd w:val="0"/>
        <w:snapToGrid w:val="0"/>
        <w:spacing w:line="400" w:lineRule="exact"/>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合同标的及金额</w:t>
      </w:r>
    </w:p>
    <w:p>
      <w:pPr>
        <w:autoSpaceDE w:val="0"/>
        <w:autoSpaceDN w:val="0"/>
        <w:adjustRightInd w:val="0"/>
        <w:snapToGrid w:val="0"/>
        <w:spacing w:line="400" w:lineRule="exact"/>
        <w:ind w:firstLine="420" w:firstLineChars="200"/>
        <w:jc w:val="left"/>
        <w:rPr>
          <w:rFonts w:hint="default" w:ascii="Times New Roman" w:hAnsi="Times New Roman" w:cs="Times New Roman"/>
          <w:b/>
          <w:bCs/>
          <w:i/>
          <w:i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 合同标的及金额应与中标（成交）结果一致。乙方为履行本合同而发生的所有费用均应包含在合同价款中，甲方不再另行支付</w:t>
      </w:r>
      <w:r>
        <w:rPr>
          <w:rFonts w:hint="default" w:ascii="Times New Roman" w:hAnsi="Times New Roman" w:cs="Times New Roman"/>
          <w:color w:val="000000" w:themeColor="text1"/>
          <w:lang w:val="en"/>
          <w14:textFill>
            <w14:solidFill>
              <w14:schemeClr w14:val="tx1"/>
            </w14:solidFill>
          </w14:textFill>
        </w:rPr>
        <w:t>其他</w:t>
      </w:r>
      <w:r>
        <w:rPr>
          <w:rFonts w:hint="default" w:ascii="Times New Roman" w:hAnsi="Times New Roman" w:cs="Times New Roman"/>
          <w:color w:val="000000" w:themeColor="text1"/>
          <w14:textFill>
            <w14:solidFill>
              <w14:schemeClr w14:val="tx1"/>
            </w14:solidFill>
          </w14:textFill>
        </w:rPr>
        <w:t>任何费用。</w:t>
      </w:r>
    </w:p>
    <w:p>
      <w:pPr>
        <w:adjustRightInd w:val="0"/>
        <w:snapToGrid w:val="0"/>
        <w:spacing w:line="400" w:lineRule="exact"/>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 履行合同的时间、地点和方式</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3.1 </w:t>
      </w:r>
      <w:r>
        <w:rPr>
          <w:rFonts w:hint="default" w:ascii="Times New Roman" w:hAnsi="Times New Roman" w:cs="Times New Roman"/>
        </w:rPr>
        <w:t>乙方应当在约定的时间、地点，按照约定方式履行合同。</w:t>
      </w:r>
    </w:p>
    <w:p>
      <w:pPr>
        <w:autoSpaceDE w:val="0"/>
        <w:autoSpaceDN w:val="0"/>
        <w:adjustRightInd w:val="0"/>
        <w:snapToGrid w:val="0"/>
        <w:spacing w:line="400" w:lineRule="exact"/>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 甲方的权利和义务</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20" w:firstLineChars="200"/>
        <w:rPr>
          <w:rFonts w:hint="default" w:ascii="Times New Roman" w:hAnsi="Times New Roman" w:eastAsia="华文楷体" w:cs="Times New Roman"/>
        </w:rPr>
      </w:pPr>
      <w:r>
        <w:rPr>
          <w:rFonts w:hint="default" w:ascii="Times New Roman" w:hAnsi="Times New Roman" w:cs="Times New Roman"/>
          <w:color w:val="000000" w:themeColor="text1"/>
          <w14:textFill>
            <w14:solidFill>
              <w14:schemeClr w14:val="tx1"/>
            </w14:solidFill>
          </w14:textFill>
        </w:rPr>
        <w:t>4.4 甲方应当按照合同约定及时对交付的货物进行验收，</w:t>
      </w:r>
      <w:r>
        <w:rPr>
          <w:rFonts w:hint="default" w:ascii="Times New Roman" w:hAnsi="Times New Roman" w:cs="Times New Roman"/>
        </w:rPr>
        <w:t>未</w:t>
      </w:r>
      <w:r>
        <w:rPr>
          <w:rFonts w:hint="default" w:ascii="Times New Roman" w:hAnsi="Times New Roman" w:cs="Times New Roman"/>
          <w:color w:val="000000" w:themeColor="text1"/>
          <w14:textFill>
            <w14:solidFill>
              <w14:schemeClr w14:val="tx1"/>
            </w14:solidFill>
          </w14:textFill>
        </w:rPr>
        <w:t>在</w:t>
      </w:r>
      <w:r>
        <w:rPr>
          <w:rFonts w:hint="default" w:ascii="Times New Roman" w:hAnsi="Times New Roman" w:cs="Times New Roman"/>
          <w:b/>
          <w:bCs/>
        </w:rPr>
        <w:t>【政府采购合同专用条款】</w:t>
      </w:r>
      <w:r>
        <w:rPr>
          <w:rFonts w:hint="default" w:ascii="Times New Roman" w:hAnsi="Times New Roman" w:cs="Times New Roman"/>
        </w:rPr>
        <w:t>约定的期限内对乙方履约提出任何异议或者向乙方作出任何说明的，</w:t>
      </w:r>
      <w:r>
        <w:rPr>
          <w:rFonts w:hint="default" w:ascii="Times New Roman" w:hAnsi="Times New Roman" w:cs="Times New Roman"/>
          <w:color w:val="000000" w:themeColor="text1"/>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4.6 国家法律法规规定及</w:t>
      </w:r>
      <w:r>
        <w:rPr>
          <w:rFonts w:hint="default" w:ascii="Times New Roman" w:hAnsi="Times New Roman" w:cs="Times New Roman"/>
          <w:b/>
          <w:bCs/>
        </w:rPr>
        <w:t>【政府采购合同专用条款】</w:t>
      </w:r>
      <w:r>
        <w:rPr>
          <w:rFonts w:hint="default" w:ascii="Times New Roman" w:hAnsi="Times New Roman" w:cs="Times New Roman"/>
          <w:color w:val="000000" w:themeColor="text1"/>
          <w14:textFill>
            <w14:solidFill>
              <w14:schemeClr w14:val="tx1"/>
            </w14:solidFill>
          </w14:textFill>
        </w:rPr>
        <w:t>约定应由甲方承担的其他义务和责任。</w:t>
      </w:r>
    </w:p>
    <w:p>
      <w:pPr>
        <w:autoSpaceDE w:val="0"/>
        <w:autoSpaceDN w:val="0"/>
        <w:adjustRightInd w:val="0"/>
        <w:snapToGrid w:val="0"/>
        <w:spacing w:line="400" w:lineRule="exact"/>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5. 乙方的权利和义务</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 签署合同后，乙方应确定项目负责人（或项目联系人），负责与本合同有关的事务。</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13"/>
        <w:spacing w:after="0" w:line="400" w:lineRule="exact"/>
        <w:ind w:firstLine="369" w:firstLineChars="17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5.3乙方有权根据合同约定向甲方收取合同价款。</w:t>
      </w:r>
    </w:p>
    <w:p>
      <w:pPr>
        <w:pStyle w:val="13"/>
        <w:spacing w:after="0" w:line="400" w:lineRule="exact"/>
        <w:ind w:firstLine="369" w:firstLineChars="17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5.4国家法律法规规定及</w:t>
      </w:r>
      <w:r>
        <w:rPr>
          <w:rFonts w:hint="default" w:ascii="Times New Roman" w:hAnsi="Times New Roman" w:cs="Times New Roman"/>
          <w:b/>
          <w:bCs/>
        </w:rPr>
        <w:t>【政府采购合同专用条款】</w:t>
      </w:r>
      <w:r>
        <w:rPr>
          <w:rFonts w:hint="default" w:ascii="Times New Roman" w:hAnsi="Times New Roman" w:cs="Times New Roman"/>
        </w:rPr>
        <w:t>约定应</w:t>
      </w:r>
      <w:r>
        <w:rPr>
          <w:rFonts w:hint="default" w:ascii="Times New Roman" w:hAnsi="Times New Roman" w:cs="Times New Roman"/>
          <w:color w:val="000000" w:themeColor="text1"/>
          <w14:textFill>
            <w14:solidFill>
              <w14:schemeClr w14:val="tx1"/>
            </w14:solidFill>
          </w14:textFill>
        </w:rPr>
        <w:t>由乙方承担的其他义务和责任。</w:t>
      </w:r>
    </w:p>
    <w:p>
      <w:pPr>
        <w:numPr>
          <w:ilvl w:val="0"/>
          <w:numId w:val="16"/>
        </w:numPr>
        <w:autoSpaceDE w:val="0"/>
        <w:autoSpaceDN w:val="0"/>
        <w:adjustRightInd w:val="0"/>
        <w:snapToGrid w:val="0"/>
        <w:spacing w:line="400" w:lineRule="exact"/>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合同履行</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 甲乙双方应当按照</w:t>
      </w:r>
      <w:r>
        <w:rPr>
          <w:rFonts w:hint="default" w:ascii="Times New Roman" w:hAnsi="Times New Roman" w:cs="Times New Roman"/>
          <w:b/>
          <w:bCs/>
        </w:rPr>
        <w:t>【政府采购合同专用条款】</w:t>
      </w:r>
      <w:r>
        <w:rPr>
          <w:rFonts w:hint="default" w:ascii="Times New Roman" w:hAnsi="Times New Roman" w:cs="Times New Roman"/>
          <w:color w:val="000000" w:themeColor="text1"/>
          <w14:textFill>
            <w14:solidFill>
              <w14:schemeClr w14:val="tx1"/>
            </w14:solidFill>
          </w14:textFill>
        </w:rPr>
        <w:t>约定顺序履行合同义务；如果没有先后顺序的，应当同时履行。</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7. 货物包装、运输、保险和交付要求</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7.1 本合同</w:t>
      </w:r>
      <w:r>
        <w:rPr>
          <w:rFonts w:hint="default" w:ascii="Times New Roman" w:hAnsi="Times New Roman" w:cs="Times New Roman"/>
          <w:bCs/>
          <w:color w:val="000000" w:themeColor="text1"/>
          <w14:textFill>
            <w14:solidFill>
              <w14:schemeClr w14:val="tx1"/>
            </w14:solidFill>
          </w14:textFill>
        </w:rPr>
        <w:t>涉及商品包装、快递包装的，</w:t>
      </w:r>
      <w:r>
        <w:rPr>
          <w:rFonts w:hint="default" w:ascii="Times New Roman" w:hAnsi="Times New Roman" w:cs="Times New Roman"/>
          <w:color w:val="000000" w:themeColor="text1"/>
          <w14:textFill>
            <w14:solidFill>
              <w14:schemeClr w14:val="tx1"/>
            </w14:solidFill>
          </w14:textFill>
        </w:rPr>
        <w:t>除</w:t>
      </w:r>
      <w:r>
        <w:rPr>
          <w:rFonts w:hint="default" w:ascii="Times New Roman" w:hAnsi="Times New Roman" w:cs="Times New Roman"/>
          <w:b/>
          <w:color w:val="000000" w:themeColor="text1"/>
          <w14:textFill>
            <w14:solidFill>
              <w14:schemeClr w14:val="tx1"/>
            </w14:solidFill>
          </w14:textFill>
        </w:rPr>
        <w:t>【政府采购合同专用条款】</w:t>
      </w:r>
      <w:r>
        <w:rPr>
          <w:rFonts w:hint="default" w:ascii="Times New Roman" w:hAnsi="Times New Roman" w:cs="Times New Roman"/>
          <w:bCs/>
          <w:color w:val="000000" w:themeColor="text1"/>
          <w14:textFill>
            <w14:solidFill>
              <w14:schemeClr w14:val="tx1"/>
            </w14:solidFill>
          </w14:textFill>
        </w:rPr>
        <w:t>另有约定外，</w:t>
      </w:r>
      <w:r>
        <w:rPr>
          <w:rFonts w:hint="default" w:ascii="Times New Roman" w:hAnsi="Times New Roman" w:cs="Times New Roman"/>
          <w:color w:val="000000" w:themeColor="text1"/>
          <w14:textFill>
            <w14:solidFill>
              <w14:schemeClr w14:val="tx1"/>
            </w14:solidFill>
          </w14:textFill>
        </w:rPr>
        <w:t>包装应适应远距离运输、防潮、防震、防锈和防野蛮装卸等要求，确保货物安全无损地运抵</w:t>
      </w:r>
      <w:r>
        <w:rPr>
          <w:rFonts w:hint="default" w:ascii="Times New Roman" w:hAnsi="Times New Roman" w:cs="Times New Roman"/>
          <w:b/>
          <w:color w:val="000000" w:themeColor="text1"/>
          <w14:textFill>
            <w14:solidFill>
              <w14:schemeClr w14:val="tx1"/>
            </w14:solidFill>
          </w14:textFill>
        </w:rPr>
        <w:t>【政府采购合同专用条款】</w:t>
      </w:r>
      <w:r>
        <w:rPr>
          <w:rFonts w:hint="default" w:ascii="Times New Roman" w:hAnsi="Times New Roman" w:cs="Times New Roman"/>
          <w:bCs/>
          <w:color w:val="000000" w:themeColor="text1"/>
          <w14:textFill>
            <w14:solidFill>
              <w14:schemeClr w14:val="tx1"/>
            </w14:solidFill>
          </w14:textFill>
        </w:rPr>
        <w:t>约定的</w:t>
      </w:r>
      <w:r>
        <w:rPr>
          <w:rFonts w:hint="default" w:ascii="Times New Roman" w:hAnsi="Times New Roman" w:cs="Times New Roman"/>
          <w:color w:val="000000" w:themeColor="text1"/>
          <w14:textFill>
            <w14:solidFill>
              <w14:schemeClr w14:val="tx1"/>
            </w14:solidFill>
          </w14:textFill>
        </w:rPr>
        <w:t>指定现场。</w:t>
      </w:r>
    </w:p>
    <w:p>
      <w:pPr>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7.2 除</w:t>
      </w:r>
      <w:r>
        <w:rPr>
          <w:rFonts w:hint="default" w:ascii="Times New Roman" w:hAnsi="Times New Roman" w:cs="Times New Roman"/>
          <w:b/>
          <w:color w:val="000000" w:themeColor="text1"/>
          <w14:textFill>
            <w14:solidFill>
              <w14:schemeClr w14:val="tx1"/>
            </w14:solidFill>
          </w14:textFill>
        </w:rPr>
        <w:t>【政府采购合同专用条款】</w:t>
      </w:r>
      <w:r>
        <w:rPr>
          <w:rFonts w:hint="default" w:ascii="Times New Roman" w:hAnsi="Times New Roman" w:cs="Times New Roman"/>
          <w:bCs/>
          <w:color w:val="000000" w:themeColor="text1"/>
          <w14:textFill>
            <w14:solidFill>
              <w14:schemeClr w14:val="tx1"/>
            </w14:solidFill>
          </w14:textFill>
        </w:rPr>
        <w:t>另有约定外，</w:t>
      </w:r>
      <w:r>
        <w:rPr>
          <w:rFonts w:hint="default" w:ascii="Times New Roman" w:hAnsi="Times New Roman" w:cs="Times New Roman"/>
          <w:color w:val="000000" w:themeColor="text1"/>
          <w14:textFill>
            <w14:solidFill>
              <w14:schemeClr w14:val="tx1"/>
            </w14:solidFill>
          </w14:textFill>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7.3 货物保险要求按</w:t>
      </w:r>
      <w:r>
        <w:rPr>
          <w:rFonts w:hint="default" w:ascii="Times New Roman" w:hAnsi="Times New Roman" w:cs="Times New Roman"/>
          <w:b/>
          <w:color w:val="000000" w:themeColor="text1"/>
          <w14:textFill>
            <w14:solidFill>
              <w14:schemeClr w14:val="tx1"/>
            </w14:solidFill>
          </w14:textFill>
        </w:rPr>
        <w:t>【政府采购合同专用条款】</w:t>
      </w:r>
      <w:r>
        <w:rPr>
          <w:rFonts w:hint="default" w:ascii="Times New Roman" w:hAnsi="Times New Roman" w:cs="Times New Roman"/>
          <w:bCs/>
          <w:color w:val="000000" w:themeColor="text1"/>
          <w14:textFill>
            <w14:solidFill>
              <w14:schemeClr w14:val="tx1"/>
            </w14:solidFill>
          </w14:textFill>
        </w:rPr>
        <w:t>规定执行</w:t>
      </w:r>
      <w:r>
        <w:rPr>
          <w:rFonts w:hint="default" w:ascii="Times New Roman" w:hAnsi="Times New Roman" w:cs="Times New Roman"/>
          <w:color w:val="000000" w:themeColor="text1"/>
          <w14:textFill>
            <w14:solidFill>
              <w14:schemeClr w14:val="tx1"/>
            </w14:solidFill>
          </w14:textFill>
        </w:rPr>
        <w:t>。</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7.5 </w:t>
      </w:r>
      <w:r>
        <w:rPr>
          <w:rFonts w:hint="default" w:ascii="Times New Roman" w:hAnsi="Times New Roman" w:cs="Times New Roman"/>
          <w:color w:val="000000"/>
        </w:rPr>
        <w:t>乙方在运输到达之前应提前通知甲方，并提示货物运输装卸的注意事项，甲方配合乙方做好货物的接收工作。</w:t>
      </w:r>
    </w:p>
    <w:p>
      <w:pPr>
        <w:pStyle w:val="48"/>
        <w:ind w:firstLine="420"/>
        <w:rPr>
          <w:rFonts w:hint="default" w:ascii="Times New Roman" w:hAnsi="Times New Roman" w:cs="Times New Roman"/>
          <w:sz w:val="21"/>
        </w:rPr>
      </w:pPr>
      <w:r>
        <w:rPr>
          <w:rFonts w:hint="default" w:ascii="Times New Roman" w:hAnsi="Times New Roman" w:eastAsia="宋体" w:cs="Times New Roman"/>
          <w:color w:val="000000" w:themeColor="text1"/>
          <w:kern w:val="2"/>
          <w:sz w:val="21"/>
          <w14:textFill>
            <w14:solidFill>
              <w14:schemeClr w14:val="tx1"/>
            </w14:solidFill>
          </w14:textFill>
        </w:rPr>
        <w:t xml:space="preserve">7.6 </w:t>
      </w:r>
      <w:r>
        <w:rPr>
          <w:rFonts w:hint="default" w:ascii="Times New Roman" w:hAnsi="Times New Roman" w:eastAsia="宋体" w:cs="Times New Roman"/>
          <w:color w:val="000000"/>
          <w:kern w:val="2"/>
          <w:sz w:val="21"/>
        </w:rPr>
        <w:t>如因包装、运输问题导致货物</w:t>
      </w:r>
      <w:r>
        <w:rPr>
          <w:rFonts w:hint="default" w:ascii="Times New Roman" w:hAnsi="Times New Roman" w:eastAsia="宋体" w:cs="Times New Roman"/>
          <w:color w:val="000000" w:themeColor="text1"/>
          <w:kern w:val="2"/>
          <w:sz w:val="21"/>
          <w14:textFill>
            <w14:solidFill>
              <w14:schemeClr w14:val="tx1"/>
            </w14:solidFill>
          </w14:textFill>
        </w:rPr>
        <w:t>损毁、丢失</w:t>
      </w:r>
      <w:r>
        <w:rPr>
          <w:rFonts w:hint="default" w:ascii="Times New Roman" w:hAnsi="Times New Roman" w:eastAsia="宋体" w:cs="Times New Roman"/>
          <w:color w:val="000000"/>
          <w:kern w:val="2"/>
          <w:sz w:val="21"/>
        </w:rPr>
        <w:t>或者品质下降，甲方有权要求降价、换货、拒收部分或整批货物，由此产生的费用和损失，均由乙方承担。</w:t>
      </w:r>
    </w:p>
    <w:p>
      <w:pPr>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color w:val="000000" w:themeColor="text1"/>
          <w:sz w:val="24"/>
          <w14:textFill>
            <w14:solidFill>
              <w14:schemeClr w14:val="tx1"/>
            </w14:solidFill>
          </w14:textFill>
        </w:rPr>
        <w:t xml:space="preserve">8. </w:t>
      </w:r>
      <w:r>
        <w:rPr>
          <w:rFonts w:hint="default" w:ascii="Times New Roman" w:hAnsi="Times New Roman" w:cs="Times New Roman"/>
          <w:b/>
          <w:sz w:val="24"/>
        </w:rPr>
        <w:t>质量标准和保证</w:t>
      </w:r>
    </w:p>
    <w:p>
      <w:pPr>
        <w:pStyle w:val="21"/>
        <w:adjustRightInd w:val="0"/>
        <w:snapToGrid w:val="0"/>
        <w:spacing w:line="400" w:lineRule="exact"/>
        <w:ind w:firstLine="420" w:firstLineChars="200"/>
        <w:jc w:val="left"/>
        <w:rPr>
          <w:rFonts w:hint="default" w:ascii="Times New Roman" w:hAnsi="Times New Roman" w:cs="Times New Roman"/>
          <w:b/>
        </w:rPr>
      </w:pPr>
      <w:r>
        <w:rPr>
          <w:rFonts w:hint="default" w:ascii="Times New Roman" w:hAnsi="Times New Roman" w:cs="Times New Roman"/>
        </w:rPr>
        <w:t>8.1 质量标准</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（1）本合同下提供的货物应符合合同</w:t>
      </w:r>
      <w:r>
        <w:rPr>
          <w:rFonts w:hint="default" w:ascii="Times New Roman" w:hAnsi="Times New Roman" w:cs="Times New Roman"/>
          <w:color w:val="000000"/>
        </w:rPr>
        <w:t>约定的</w:t>
      </w:r>
      <w:r>
        <w:rPr>
          <w:rFonts w:hint="default" w:ascii="Times New Roman" w:hAnsi="Times New Roman" w:cs="Times New Roman"/>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21"/>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（2）采用中华人民共和国法定计量单位。</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（3）乙方所提供的货物应符合国家有关安全、环保、卫生的规定。</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8.2 保证</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cs="Times New Roman"/>
          <w:b/>
        </w:rPr>
        <w:t>【政府采购合同专用条款】</w:t>
      </w:r>
      <w:r>
        <w:rPr>
          <w:rFonts w:hint="default" w:ascii="Times New Roman" w:hAnsi="Times New Roman" w:cs="Times New Roman"/>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（3）乙方收到通知后，应在</w:t>
      </w:r>
      <w:r>
        <w:rPr>
          <w:rFonts w:hint="default" w:ascii="Times New Roman" w:hAnsi="Times New Roman" w:cs="Times New Roman"/>
          <w:b/>
        </w:rPr>
        <w:t>【政府采购合同专用条款】</w:t>
      </w:r>
      <w:r>
        <w:rPr>
          <w:rFonts w:hint="default" w:ascii="Times New Roman" w:hAnsi="Times New Roman" w:cs="Times New Roman"/>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rPr>
        <w:t>.1条规定以书面形式</w:t>
      </w:r>
      <w:r>
        <w:rPr>
          <w:rFonts w:hint="default" w:ascii="Times New Roman" w:hAnsi="Times New Roman" w:cs="Times New Roman"/>
          <w:color w:val="000000" w:themeColor="text1"/>
          <w14:textFill>
            <w14:solidFill>
              <w14:schemeClr w14:val="tx1"/>
            </w14:solidFill>
          </w14:textFill>
        </w:rPr>
        <w:t>追究</w:t>
      </w:r>
      <w:r>
        <w:rPr>
          <w:rFonts w:hint="default" w:ascii="Times New Roman" w:hAnsi="Times New Roman" w:cs="Times New Roman"/>
        </w:rPr>
        <w:t>乙方</w:t>
      </w:r>
      <w:r>
        <w:rPr>
          <w:rFonts w:hint="default" w:ascii="Times New Roman" w:hAnsi="Times New Roman" w:cs="Times New Roman"/>
          <w:color w:val="000000" w:themeColor="text1"/>
          <w14:textFill>
            <w14:solidFill>
              <w14:schemeClr w14:val="tx1"/>
            </w14:solidFill>
          </w14:textFill>
        </w:rPr>
        <w:t>的违约责任</w:t>
      </w:r>
      <w:r>
        <w:rPr>
          <w:rFonts w:hint="default" w:ascii="Times New Roman" w:hAnsi="Times New Roman" w:cs="Times New Roman"/>
        </w:rPr>
        <w:t>。</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color w:val="000000" w:themeColor="text1"/>
          <w:sz w:val="24"/>
          <w14:textFill>
            <w14:solidFill>
              <w14:schemeClr w14:val="tx1"/>
            </w14:solidFill>
          </w14:textFill>
        </w:rPr>
        <w:t>9</w:t>
      </w:r>
      <w:r>
        <w:rPr>
          <w:rFonts w:hint="default" w:ascii="Times New Roman" w:hAnsi="Times New Roman" w:cs="Times New Roman"/>
          <w:b/>
          <w:bCs/>
          <w:sz w:val="24"/>
        </w:rPr>
        <w:t>.</w:t>
      </w:r>
      <w:r>
        <w:rPr>
          <w:rFonts w:hint="default" w:ascii="Times New Roman" w:hAnsi="Times New Roman" w:cs="Times New Roman"/>
          <w:b/>
          <w:bCs/>
          <w:color w:val="000000" w:themeColor="text1"/>
          <w:sz w:val="24"/>
          <w14:textFill>
            <w14:solidFill>
              <w14:schemeClr w14:val="tx1"/>
            </w14:solidFill>
          </w14:textFill>
        </w:rPr>
        <w:t xml:space="preserve"> </w:t>
      </w:r>
      <w:r>
        <w:rPr>
          <w:rFonts w:hint="default" w:ascii="Times New Roman" w:hAnsi="Times New Roman" w:cs="Times New Roman"/>
          <w:b/>
          <w:bCs/>
          <w:sz w:val="24"/>
        </w:rPr>
        <w:t>权利瑕疵担保</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9.1 乙方保证对其出售的货物享有合法的权利。</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9.2 </w:t>
      </w:r>
      <w:r>
        <w:rPr>
          <w:rFonts w:hint="default" w:ascii="Times New Roman" w:hAnsi="Times New Roman" w:cs="Times New Roman"/>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9.3 如甲方使用上述货物构成对第三人侵权的，则由乙方承担全部责任。</w:t>
      </w:r>
    </w:p>
    <w:p>
      <w:pPr>
        <w:autoSpaceDE w:val="0"/>
        <w:autoSpaceDN w:val="0"/>
        <w:adjustRightInd w:val="0"/>
        <w:snapToGrid w:val="0"/>
        <w:spacing w:line="400" w:lineRule="exact"/>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10. 知识产权保护</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color w:val="000000" w:themeColor="text1"/>
          <w14:textFill>
            <w14:solidFill>
              <w14:schemeClr w14:val="tx1"/>
            </w14:solidFill>
          </w14:textFill>
        </w:rPr>
        <w:t>10.1 乙方对其所销售的货物应当享有知识产权或经权利人合法授权，保证没有侵犯任</w:t>
      </w:r>
      <w:r>
        <w:rPr>
          <w:rFonts w:hint="default" w:ascii="Times New Roman" w:hAnsi="Times New Roman" w:cs="Times New Roman"/>
        </w:rPr>
        <w:t>何第三人的知识产权等权利。</w:t>
      </w:r>
      <w:bookmarkStart w:id="38" w:name="_Hlk163047038"/>
      <w:r>
        <w:rPr>
          <w:rFonts w:hint="default" w:ascii="Times New Roman" w:hAnsi="Times New Roman" w:cs="Times New Roman"/>
          <w:szCs w:val="15"/>
        </w:rPr>
        <w:t>因违反前述约定对第三人构成侵权的，应当由乙方向第三人承担法律责任；甲方依法向第三人赔偿后，有权向乙方追偿。甲方有其他损失的，乙方应当赔偿</w:t>
      </w:r>
      <w:bookmarkEnd w:id="38"/>
      <w:r>
        <w:rPr>
          <w:rFonts w:hint="default" w:ascii="Times New Roman" w:hAnsi="Times New Roman" w:cs="Times New Roman"/>
        </w:rPr>
        <w:t>。</w:t>
      </w:r>
    </w:p>
    <w:p>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11. 保密义务</w:t>
      </w:r>
    </w:p>
    <w:p>
      <w:pPr>
        <w:autoSpaceDE w:val="0"/>
        <w:autoSpaceDN w:val="0"/>
        <w:adjustRightInd w:val="0"/>
        <w:snapToGrid w:val="0"/>
        <w:spacing w:line="400" w:lineRule="exact"/>
        <w:ind w:firstLine="420" w:firstLineChars="200"/>
        <w:jc w:val="left"/>
        <w:rPr>
          <w:rFonts w:hint="default" w:ascii="Times New Roman" w:hAnsi="Times New Roman" w:cs="Times New Roman"/>
          <w:szCs w:val="15"/>
        </w:rPr>
      </w:pPr>
      <w:r>
        <w:rPr>
          <w:rFonts w:hint="default" w:ascii="Times New Roman" w:hAnsi="Times New Roman" w:cs="Times New Roman"/>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cs="Times New Roman"/>
          <w:b/>
          <w:bCs/>
          <w:szCs w:val="15"/>
        </w:rPr>
        <w:t>【政府采购合同专用条款】</w:t>
      </w:r>
      <w:r>
        <w:rPr>
          <w:rFonts w:hint="default" w:ascii="Times New Roman" w:hAnsi="Times New Roman" w:cs="Times New Roman"/>
          <w:szCs w:val="15"/>
        </w:rPr>
        <w:t>中约定。</w:t>
      </w:r>
    </w:p>
    <w:p>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12. 合同价款支付</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12.1 合同价款支付按照国库集中支付制度及财政管理相关规定执行。</w:t>
      </w:r>
    </w:p>
    <w:p>
      <w:pPr>
        <w:pStyle w:val="2"/>
        <w:spacing w:line="400" w:lineRule="exact"/>
        <w:ind w:firstLine="420" w:firstLineChars="200"/>
        <w:rPr>
          <w:rFonts w:hint="default" w:ascii="Times New Roman" w:hAnsi="Times New Roman" w:cs="Times New Roman"/>
        </w:rPr>
      </w:pPr>
      <w:r>
        <w:rPr>
          <w:rFonts w:hint="default" w:ascii="Times New Roman" w:hAnsi="Times New Roman" w:cs="Times New Roman"/>
          <w:sz w:val="21"/>
          <w:szCs w:val="21"/>
        </w:rPr>
        <w:t xml:space="preserve">12.2 </w:t>
      </w:r>
      <w:r>
        <w:rPr>
          <w:rFonts w:hint="default" w:ascii="Times New Roman" w:hAnsi="Times New Roman" w:cs="Times New Roman"/>
          <w:kern w:val="2"/>
          <w:sz w:val="21"/>
          <w:szCs w:val="21"/>
        </w:rPr>
        <w:t>对于满足合同约定支付条件的，甲方</w:t>
      </w:r>
      <w:r>
        <w:rPr>
          <w:rFonts w:hint="default" w:ascii="Times New Roman" w:hAnsi="Times New Roman" w:cs="Times New Roman"/>
          <w:sz w:val="21"/>
          <w:szCs w:val="21"/>
        </w:rPr>
        <w:t>原则上应当自收到发票后10个工作日内</w:t>
      </w:r>
      <w:r>
        <w:rPr>
          <w:rFonts w:hint="default" w:ascii="Times New Roman" w:hAnsi="Times New Roman" w:cs="Times New Roman"/>
          <w:kern w:val="2"/>
          <w:sz w:val="21"/>
          <w:szCs w:val="21"/>
        </w:rPr>
        <w:t>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cs="Times New Roman"/>
          <w:b/>
          <w:bCs/>
          <w:kern w:val="2"/>
          <w:sz w:val="21"/>
          <w:szCs w:val="21"/>
        </w:rPr>
        <w:t>政府采购合同专用条款</w:t>
      </w:r>
      <w:r>
        <w:rPr>
          <w:rFonts w:hint="default" w:ascii="Times New Roman" w:hAnsi="Times New Roman" w:cs="Times New Roman"/>
          <w:kern w:val="2"/>
          <w:sz w:val="21"/>
          <w:szCs w:val="21"/>
        </w:rPr>
        <w:t>】中约定。</w:t>
      </w:r>
    </w:p>
    <w:p>
      <w:pPr>
        <w:pStyle w:val="13"/>
        <w:spacing w:after="0" w:line="4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13. 履约保证金</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 xml:space="preserve">13.1 </w:t>
      </w:r>
      <w:r>
        <w:rPr>
          <w:rFonts w:hint="default" w:ascii="Times New Roman" w:hAnsi="Times New Roman" w:cs="Times New Roman"/>
          <w:szCs w:val="15"/>
        </w:rPr>
        <w:t>乙方应当以支票、汇票、本票或者金融机构、担保机构出具的保函等非现金形式提交。</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13.2 如果乙方出现</w:t>
      </w:r>
      <w:r>
        <w:rPr>
          <w:rFonts w:hint="default" w:ascii="Times New Roman" w:hAnsi="Times New Roman" w:cs="Times New Roman"/>
          <w:b/>
          <w:bCs/>
          <w:szCs w:val="15"/>
        </w:rPr>
        <w:t>【政府采购合同专用条款】</w:t>
      </w:r>
      <w:r>
        <w:rPr>
          <w:rFonts w:hint="default" w:ascii="Times New Roman" w:hAnsi="Times New Roman" w:cs="Times New Roman"/>
          <w:szCs w:val="15"/>
        </w:rPr>
        <w:t>约定情形的</w:t>
      </w:r>
      <w:r>
        <w:rPr>
          <w:rFonts w:hint="default" w:ascii="Times New Roman" w:hAnsi="Times New Roman" w:cs="Times New Roman"/>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hint="default" w:ascii="Times New Roman" w:hAnsi="Times New Roman" w:cs="Times New Roman"/>
        </w:rPr>
      </w:pPr>
      <w:r>
        <w:rPr>
          <w:rFonts w:hint="default" w:ascii="Times New Roman" w:hAnsi="Times New Roman" w:cs="Times New Roman"/>
        </w:rPr>
        <w:t>13.3 甲方在项目通过验收后按照</w:t>
      </w:r>
      <w:r>
        <w:rPr>
          <w:rFonts w:hint="default" w:ascii="Times New Roman" w:hAnsi="Times New Roman" w:cs="Times New Roman"/>
          <w:b/>
        </w:rPr>
        <w:t>【政府采购合同专用条款】</w:t>
      </w:r>
      <w:r>
        <w:rPr>
          <w:rFonts w:hint="default" w:ascii="Times New Roman" w:hAnsi="Times New Roman" w:cs="Times New Roman"/>
        </w:rPr>
        <w:t>规定的时间内将履约保证金退还乙方；逾期退还的，乙方可要求甲方支付违约金，违约金按照</w:t>
      </w:r>
      <w:r>
        <w:rPr>
          <w:rFonts w:hint="default" w:ascii="Times New Roman" w:hAnsi="Times New Roman" w:cs="Times New Roman"/>
          <w:b/>
        </w:rPr>
        <w:t>【政府采购合同专用条款】</w:t>
      </w:r>
      <w:r>
        <w:rPr>
          <w:rFonts w:hint="default" w:ascii="Times New Roman" w:hAnsi="Times New Roman" w:cs="Times New Roman"/>
        </w:rPr>
        <w:t>规定支付。</w:t>
      </w:r>
    </w:p>
    <w:p>
      <w:p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bCs/>
          <w:sz w:val="24"/>
        </w:rPr>
        <w:t xml:space="preserve">14. </w:t>
      </w:r>
      <w:r>
        <w:rPr>
          <w:rFonts w:hint="default" w:ascii="Times New Roman" w:hAnsi="Times New Roman" w:cs="Times New Roman"/>
          <w:b/>
          <w:sz w:val="24"/>
        </w:rPr>
        <w:t>售后服务</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（1）货物的现场移动、安装、调试、启动监督及技术支持；</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（2）提供货物组装和维修所需的专用工具和辅助材料；</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（3）在</w:t>
      </w:r>
      <w:r>
        <w:rPr>
          <w:rFonts w:hint="default" w:ascii="Times New Roman" w:hAnsi="Times New Roman" w:cs="Times New Roman"/>
          <w:b/>
          <w:bCs/>
          <w:szCs w:val="15"/>
        </w:rPr>
        <w:t>【政府采购合同专用条款】</w:t>
      </w:r>
      <w:r>
        <w:rPr>
          <w:rFonts w:hint="default" w:ascii="Times New Roman" w:hAnsi="Times New Roman" w:cs="Times New Roman"/>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（4）在制造商所在地或指定现场就货物的安装、启动、运营、维护、废弃处置等对甲方操作人员进行培训</w:t>
      </w:r>
      <w:r>
        <w:rPr>
          <w:rFonts w:hint="default" w:ascii="Times New Roman" w:hAnsi="Times New Roman" w:cs="Times New Roman"/>
          <w:szCs w:val="15"/>
        </w:rPr>
        <w:t>；</w:t>
      </w:r>
    </w:p>
    <w:p>
      <w:pPr>
        <w:pStyle w:val="48"/>
        <w:ind w:firstLine="420"/>
        <w:rPr>
          <w:rFonts w:hint="default" w:ascii="Times New Roman" w:hAnsi="Times New Roman" w:eastAsia="宋体" w:cs="Times New Roman"/>
          <w:sz w:val="21"/>
        </w:rPr>
      </w:pPr>
      <w:r>
        <w:rPr>
          <w:rFonts w:hint="default" w:ascii="Times New Roman" w:hAnsi="Times New Roman" w:eastAsia="宋体" w:cs="Times New Roman"/>
          <w:sz w:val="21"/>
        </w:rPr>
        <w:t>（5）依照法律、行政法规的规定或者按照</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b/>
        </w:rPr>
        <w:t>【政府采购合同专用条款】</w:t>
      </w:r>
      <w:r>
        <w:rPr>
          <w:rFonts w:hint="default" w:ascii="Times New Roman" w:hAnsi="Times New Roman" w:cs="Times New Roman"/>
        </w:rPr>
        <w:t>规定由乙方提供的其他服务。</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14.2 乙方提供的售后服务的费用已包含在合同价款中，甲方不再另行支付。</w:t>
      </w:r>
    </w:p>
    <w:p>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15. 违约责任</w:t>
      </w:r>
    </w:p>
    <w:p>
      <w:pPr>
        <w:adjustRightInd w:val="0"/>
        <w:snapToGrid w:val="0"/>
        <w:spacing w:line="400" w:lineRule="exact"/>
        <w:ind w:firstLine="420" w:firstLineChars="200"/>
        <w:jc w:val="left"/>
        <w:rPr>
          <w:rFonts w:hint="default" w:ascii="Times New Roman" w:hAnsi="Times New Roman" w:cs="Times New Roman"/>
          <w:bCs/>
        </w:rPr>
      </w:pPr>
      <w:r>
        <w:rPr>
          <w:rFonts w:hint="default" w:ascii="Times New Roman" w:hAnsi="Times New Roman" w:cs="Times New Roman"/>
          <w:bCs/>
        </w:rPr>
        <w:t>15.1质量瑕疵的违约责任</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乙方提供的产品不符合合同约定的质量标准或存在产品质量缺陷，甲方有权要求乙方根据</w:t>
      </w:r>
      <w:r>
        <w:rPr>
          <w:rFonts w:hint="default" w:ascii="Times New Roman" w:hAnsi="Times New Roman" w:cs="Times New Roman"/>
          <w:b/>
        </w:rPr>
        <w:t>【政府采购合同专用条款】</w:t>
      </w:r>
      <w:r>
        <w:rPr>
          <w:rFonts w:hint="default" w:ascii="Times New Roman" w:hAnsi="Times New Roman" w:cs="Times New Roman"/>
          <w:bCs/>
        </w:rPr>
        <w:t>要求</w:t>
      </w:r>
      <w:r>
        <w:rPr>
          <w:rFonts w:hint="default" w:ascii="Times New Roman" w:hAnsi="Times New Roman" w:cs="Times New Roman"/>
        </w:rPr>
        <w:t>及时修理、重作、更换，并承担由此给甲方造成的损失。</w:t>
      </w:r>
    </w:p>
    <w:p>
      <w:pPr>
        <w:autoSpaceDE w:val="0"/>
        <w:autoSpaceDN w:val="0"/>
        <w:adjustRightInd w:val="0"/>
        <w:snapToGrid w:val="0"/>
        <w:spacing w:line="400" w:lineRule="exact"/>
        <w:ind w:firstLine="420" w:firstLineChars="200"/>
        <w:jc w:val="left"/>
        <w:rPr>
          <w:rFonts w:hint="default" w:ascii="Times New Roman" w:hAnsi="Times New Roman" w:cs="Times New Roman"/>
          <w:bCs/>
        </w:rPr>
      </w:pPr>
      <w:r>
        <w:rPr>
          <w:rFonts w:hint="default" w:ascii="Times New Roman" w:hAnsi="Times New Roman" w:cs="Times New Roman"/>
          <w:bCs/>
        </w:rPr>
        <w:t>15.2 迟延交货的违约责任</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rPr>
        <w:t>【政府采购合同专用条款】</w:t>
      </w:r>
      <w:r>
        <w:rPr>
          <w:rFonts w:hint="default" w:ascii="Times New Roman" w:hAnsi="Times New Roman" w:cs="Times New Roman"/>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15.3 迟延支付的违约责任</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甲方存在迟延支付乙方合同款项的，应当承担</w:t>
      </w:r>
      <w:r>
        <w:rPr>
          <w:rFonts w:hint="default" w:ascii="Times New Roman" w:hAnsi="Times New Roman" w:cs="Times New Roman"/>
          <w:b/>
          <w:bCs/>
        </w:rPr>
        <w:t>【政府采购合同专用条款】</w:t>
      </w:r>
      <w:r>
        <w:rPr>
          <w:rFonts w:hint="default" w:ascii="Times New Roman" w:hAnsi="Times New Roman" w:cs="Times New Roman"/>
        </w:rPr>
        <w:t>规定的逾期付款利息。</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bCs/>
        </w:rPr>
        <w:t>15.4其他违约责任根据项目实际需要按</w:t>
      </w:r>
      <w:r>
        <w:rPr>
          <w:rFonts w:hint="default" w:ascii="Times New Roman" w:hAnsi="Times New Roman" w:cs="Times New Roman"/>
          <w:b/>
          <w:bCs/>
        </w:rPr>
        <w:t>【政府采购合同专用条款】</w:t>
      </w:r>
      <w:r>
        <w:rPr>
          <w:rFonts w:hint="default" w:ascii="Times New Roman" w:hAnsi="Times New Roman" w:cs="Times New Roman"/>
        </w:rPr>
        <w:t>规定执行。</w:t>
      </w:r>
    </w:p>
    <w:p>
      <w:pPr>
        <w:numPr>
          <w:ilvl w:val="0"/>
          <w:numId w:val="17"/>
        </w:num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rPr>
        <w:t>合同变更、中止与终止</w:t>
      </w:r>
    </w:p>
    <w:p>
      <w:pPr>
        <w:adjustRightInd w:val="0"/>
        <w:snapToGrid w:val="0"/>
        <w:spacing w:line="400" w:lineRule="exact"/>
        <w:jc w:val="left"/>
        <w:rPr>
          <w:rFonts w:hint="default" w:ascii="Times New Roman" w:hAnsi="Times New Roman" w:cs="Times New Roman"/>
        </w:rPr>
      </w:pPr>
      <w:r>
        <w:rPr>
          <w:rFonts w:hint="default" w:ascii="Times New Roman" w:hAnsi="Times New Roman" w:cs="Times New Roman"/>
        </w:rPr>
        <w:t xml:space="preserve">    16.1合同的变更</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16.2合同的中止</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48"/>
        <w:ind w:firstLine="420"/>
        <w:jc w:val="both"/>
        <w:rPr>
          <w:rFonts w:hint="default" w:ascii="Times New Roman" w:hAnsi="Times New Roman" w:cs="Times New Roman"/>
          <w:sz w:val="21"/>
        </w:rPr>
      </w:pPr>
      <w:r>
        <w:rPr>
          <w:rFonts w:hint="default"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（4）甲方不得以行政区划调整、政府换届、机构或者职能调整以及相关责任人更替为由中止合同。</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16.3合同的终止</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（1）合同因有效期限届满而终止；</w:t>
      </w:r>
    </w:p>
    <w:p>
      <w:pPr>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（2）乙方未按合同约定履行，构成根本性违约的，甲方有权终止合同，并追究乙方的违约责任。</w:t>
      </w:r>
    </w:p>
    <w:p>
      <w:pPr>
        <w:pStyle w:val="48"/>
        <w:rPr>
          <w:rFonts w:hint="default" w:ascii="Times New Roman" w:hAnsi="Times New Roman" w:cs="Times New Roman"/>
        </w:rPr>
      </w:pPr>
      <w:r>
        <w:rPr>
          <w:rFonts w:hint="default" w:ascii="Times New Roman" w:hAnsi="Times New Roman" w:cs="Times New Roman"/>
        </w:rPr>
        <w:t xml:space="preserve">16.4 </w:t>
      </w:r>
      <w:r>
        <w:rPr>
          <w:rFonts w:hint="default" w:ascii="Times New Roman" w:hAnsi="Times New Roman" w:eastAsia="宋体" w:cs="Times New Roman"/>
          <w:kern w:val="2"/>
          <w:sz w:val="21"/>
        </w:rPr>
        <w:t>涉及国家利益、社会公共利益的情形</w:t>
      </w:r>
    </w:p>
    <w:p>
      <w:pPr>
        <w:pStyle w:val="48"/>
        <w:ind w:firstLine="420"/>
        <w:jc w:val="both"/>
        <w:rPr>
          <w:rFonts w:hint="default" w:ascii="Times New Roman" w:hAnsi="Times New Roman" w:cs="Times New Roman"/>
          <w:sz w:val="21"/>
        </w:rPr>
      </w:pPr>
      <w:r>
        <w:rPr>
          <w:rFonts w:hint="default"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17. 合同分包</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18. 不可抗力</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19. 解决争议的方法</w:t>
      </w:r>
    </w:p>
    <w:p>
      <w:pPr>
        <w:pStyle w:val="48"/>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pPr>
        <w:pStyle w:val="48"/>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19.2 选择仲裁的，应在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中明确仲裁机构及仲裁地；通过诉讼方式解决的，可以在</w:t>
      </w:r>
      <w:r>
        <w:rPr>
          <w:rFonts w:hint="default" w:ascii="Times New Roman" w:hAnsi="Times New Roman" w:eastAsia="宋体" w:cs="Times New Roman"/>
          <w:b/>
          <w:bCs/>
          <w:sz w:val="21"/>
        </w:rPr>
        <w:t>【政府采购合同专用条款】</w:t>
      </w:r>
      <w:r>
        <w:rPr>
          <w:rFonts w:hint="default" w:ascii="Times New Roman" w:hAnsi="Times New Roman" w:eastAsia="宋体" w:cs="Times New Roman"/>
          <w:sz w:val="21"/>
        </w:rPr>
        <w:t>中进一步约定选择与争议有实际联系的地点的人民法院管辖，但管辖法院的约定不得违反级别管辖和专属管辖的规定。</w:t>
      </w:r>
    </w:p>
    <w:p>
      <w:pPr>
        <w:pStyle w:val="48"/>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default" w:ascii="Times New Roman" w:hAnsi="Times New Roman" w:cs="Times New Roman"/>
          <w:sz w:val="24"/>
        </w:rPr>
      </w:pPr>
      <w:r>
        <w:rPr>
          <w:rFonts w:hint="default" w:ascii="Times New Roman" w:hAnsi="Times New Roman" w:cs="Times New Roman"/>
          <w:b/>
          <w:sz w:val="24"/>
        </w:rPr>
        <w:t>20. 政府采购政策</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 xml:space="preserve">20.1 </w:t>
      </w:r>
      <w:r>
        <w:rPr>
          <w:rFonts w:hint="default" w:ascii="Times New Roman" w:hAnsi="Times New Roman" w:cs="Times New Roman"/>
          <w:lang w:val="en-GB"/>
        </w:rPr>
        <w:t>本合同应当按照规定执行政府采购政策。</w:t>
      </w:r>
    </w:p>
    <w:p>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20.2 本合同依法执行政府采购政策的方式和内容，属于合同履约验收的范围。甲乙双方</w:t>
      </w:r>
      <w:r>
        <w:rPr>
          <w:rFonts w:hint="default" w:ascii="Times New Roman" w:hAnsi="Times New Roman" w:cs="Times New Roman"/>
          <w:lang w:val="en-GB"/>
        </w:rPr>
        <w:t>未按规定要求执行政府采购政策造成损失的</w:t>
      </w:r>
      <w:r>
        <w:rPr>
          <w:rFonts w:hint="default" w:ascii="Times New Roman" w:hAnsi="Times New Roman" w:cs="Times New Roman"/>
        </w:rPr>
        <w:t>，有过错的一方应当承担赔偿责任，双方都有过错的，各自承担相应的责任。</w:t>
      </w:r>
    </w:p>
    <w:p>
      <w:pPr>
        <w:pStyle w:val="13"/>
        <w:spacing w:after="0" w:line="400" w:lineRule="exact"/>
        <w:ind w:firstLine="420" w:firstLineChars="200"/>
        <w:rPr>
          <w:rFonts w:hint="default" w:ascii="Times New Roman" w:hAnsi="Times New Roman" w:cs="Times New Roman"/>
        </w:rPr>
      </w:pPr>
      <w:r>
        <w:rPr>
          <w:rFonts w:hint="default" w:ascii="Times New Roman" w:hAnsi="Times New Roman" w:cs="Times New Roma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rPr>
        <w:t>21. 法律适用</w:t>
      </w:r>
    </w:p>
    <w:p>
      <w:pPr>
        <w:pStyle w:val="48"/>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21.1 本合同的订立、生效、解释、履行及与本合同有关的争议解决，均适用法律、行政法规。</w:t>
      </w:r>
    </w:p>
    <w:p>
      <w:pPr>
        <w:pStyle w:val="48"/>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rPr>
        <w:t>22. 通知</w:t>
      </w:r>
    </w:p>
    <w:p>
      <w:pPr>
        <w:pStyle w:val="48"/>
        <w:ind w:firstLine="420"/>
        <w:jc w:val="both"/>
        <w:rPr>
          <w:rFonts w:hint="default" w:ascii="Times New Roman" w:hAnsi="Times New Roman" w:eastAsia="宋体" w:cs="Times New Roman"/>
          <w:sz w:val="21"/>
        </w:rPr>
      </w:pPr>
      <w:r>
        <w:rPr>
          <w:rFonts w:hint="default"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pPr>
        <w:pStyle w:val="48"/>
        <w:ind w:firstLine="0" w:firstLineChars="0"/>
        <w:jc w:val="both"/>
        <w:rPr>
          <w:rFonts w:hint="default" w:ascii="Times New Roman" w:hAnsi="Times New Roman" w:cs="Times New Roman"/>
          <w:sz w:val="21"/>
        </w:rPr>
      </w:pPr>
      <w:r>
        <w:rPr>
          <w:rFonts w:hint="default"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22.4通知以送达之日或通知书中规定的生效之日起生效，两者中以较迟之日为准。</w:t>
      </w:r>
    </w:p>
    <w:p>
      <w:pPr>
        <w:numPr>
          <w:ilvl w:val="0"/>
          <w:numId w:val="18"/>
        </w:num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合同未尽事项</w:t>
      </w:r>
    </w:p>
    <w:p>
      <w:pPr>
        <w:adjustRightInd w:val="0"/>
        <w:snapToGrid w:val="0"/>
        <w:spacing w:line="400" w:lineRule="exact"/>
        <w:ind w:firstLine="420" w:firstLineChars="200"/>
        <w:jc w:val="left"/>
        <w:rPr>
          <w:rFonts w:hint="default" w:ascii="Times New Roman" w:hAnsi="Times New Roman" w:cs="Times New Roman"/>
          <w:bCs/>
        </w:rPr>
      </w:pPr>
      <w:r>
        <w:rPr>
          <w:rFonts w:hint="default" w:ascii="Times New Roman" w:hAnsi="Times New Roman" w:cs="Times New Roman"/>
          <w:bCs/>
        </w:rPr>
        <w:t>23.1合同未尽事项见</w:t>
      </w:r>
      <w:r>
        <w:rPr>
          <w:rFonts w:hint="default" w:ascii="Times New Roman" w:hAnsi="Times New Roman" w:cs="Times New Roman"/>
          <w:b/>
        </w:rPr>
        <w:t>【政府采购合同专用条款】</w:t>
      </w:r>
      <w:r>
        <w:rPr>
          <w:rFonts w:hint="default" w:ascii="Times New Roman" w:hAnsi="Times New Roman" w:cs="Times New Roman"/>
          <w:bCs/>
        </w:rPr>
        <w:t>。</w:t>
      </w:r>
    </w:p>
    <w:p>
      <w:pPr>
        <w:adjustRightInd w:val="0"/>
        <w:snapToGrid w:val="0"/>
        <w:spacing w:line="400" w:lineRule="exact"/>
        <w:jc w:val="left"/>
        <w:rPr>
          <w:rFonts w:hint="default" w:ascii="Times New Roman" w:hAnsi="Times New Roman" w:eastAsia="黑体" w:cs="Times New Roman"/>
          <w:sz w:val="28"/>
          <w:szCs w:val="28"/>
        </w:rPr>
      </w:pPr>
      <w:r>
        <w:rPr>
          <w:rFonts w:hint="default" w:ascii="Times New Roman" w:hAnsi="Times New Roman" w:cs="Times New Roman"/>
          <w:bCs/>
        </w:rPr>
        <w:t xml:space="preserve">    23.2 合同附件与合同正文具有同等的法律效力。</w:t>
      </w:r>
      <w:bookmarkStart w:id="39" w:name="_Toc20313"/>
    </w:p>
    <w:p>
      <w:pPr>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pPr>
        <w:pStyle w:val="2"/>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第三节 政府采购合同专用条款</w:t>
      </w:r>
      <w:bookmarkEnd w:id="39"/>
    </w:p>
    <w:tbl>
      <w:tblPr>
        <w:tblStyle w:val="3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第1.2（6）项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联合体具体要求</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第1.2（7）项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其他术语解释</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第4.4款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履约验收中甲方提出异议或作出说明的期限</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第4.6款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约定甲方承担的其他义务和责任</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snapToGrid w:val="0"/>
              <w:jc w:val="center"/>
              <w:rPr>
                <w:rFonts w:hint="default" w:ascii="Times New Roman" w:hAnsi="Times New Roman" w:cs="Times New Roman"/>
              </w:rPr>
            </w:pPr>
            <w:r>
              <w:rPr>
                <w:rFonts w:hint="default" w:ascii="Times New Roman" w:hAnsi="Times New Roman" w:cs="Times New Roman"/>
              </w:rPr>
              <w:t>第5.4款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约定乙方承担的其他义务和责任</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snapToGrid w:val="0"/>
              <w:jc w:val="center"/>
              <w:rPr>
                <w:rFonts w:hint="default" w:ascii="Times New Roman" w:hAnsi="Times New Roman" w:cs="Times New Roman"/>
              </w:rPr>
            </w:pPr>
            <w:r>
              <w:rPr>
                <w:rFonts w:hint="default" w:ascii="Times New Roman" w:hAnsi="Times New Roman" w:cs="Times New Roman"/>
              </w:rPr>
              <w:t>第6.1款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履行合同义务的顺序</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第7.1款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包装特殊要求</w:t>
            </w:r>
          </w:p>
        </w:tc>
        <w:tc>
          <w:tcPr>
            <w:tcW w:w="5170" w:type="dxa"/>
            <w:vAlign w:val="center"/>
          </w:tcPr>
          <w:p>
            <w:pPr>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default" w:ascii="Times New Roman" w:hAnsi="Times New Roman" w:cs="Times New Roman"/>
              </w:rPr>
            </w:pP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指定现场</w:t>
            </w:r>
          </w:p>
        </w:tc>
        <w:tc>
          <w:tcPr>
            <w:tcW w:w="5170" w:type="dxa"/>
            <w:vAlign w:val="center"/>
          </w:tcPr>
          <w:p>
            <w:pPr>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第7.2款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运输特殊要求</w:t>
            </w:r>
          </w:p>
        </w:tc>
        <w:tc>
          <w:tcPr>
            <w:tcW w:w="5170" w:type="dxa"/>
            <w:vAlign w:val="center"/>
          </w:tcPr>
          <w:p>
            <w:pPr>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第7.3款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保险要求</w:t>
            </w:r>
          </w:p>
        </w:tc>
        <w:tc>
          <w:tcPr>
            <w:tcW w:w="5170" w:type="dxa"/>
            <w:vAlign w:val="center"/>
          </w:tcPr>
          <w:p>
            <w:pPr>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第8.2（1）项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pPr>
              <w:autoSpaceDE w:val="0"/>
              <w:autoSpaceDN w:val="0"/>
              <w:adjustRightInd w:val="0"/>
              <w:snapToGrid w:val="0"/>
              <w:ind w:firstLine="420" w:firstLineChars="20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第8.2（3）项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货物质量缺陷</w:t>
            </w:r>
          </w:p>
          <w:p>
            <w:pPr>
              <w:adjustRightInd w:val="0"/>
              <w:snapToGrid w:val="0"/>
              <w:jc w:val="left"/>
              <w:rPr>
                <w:rFonts w:hint="default" w:ascii="Times New Roman" w:hAnsi="Times New Roman" w:cs="Times New Roman"/>
              </w:rPr>
            </w:pPr>
            <w:r>
              <w:rPr>
                <w:rFonts w:hint="default" w:ascii="Times New Roman" w:hAnsi="Times New Roman" w:cs="Times New Roman"/>
              </w:rPr>
              <w:t>响应时间</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snapToGrid w:val="0"/>
              <w:jc w:val="center"/>
              <w:rPr>
                <w:rFonts w:hint="default" w:ascii="Times New Roman" w:hAnsi="Times New Roman" w:cs="Times New Roman"/>
              </w:rPr>
            </w:pPr>
            <w:r>
              <w:rPr>
                <w:rFonts w:hint="default" w:ascii="Times New Roman" w:hAnsi="Times New Roman" w:cs="Times New Roman"/>
              </w:rPr>
              <w:t>第二节</w:t>
            </w:r>
          </w:p>
          <w:p>
            <w:pPr>
              <w:pStyle w:val="48"/>
              <w:ind w:firstLine="0" w:firstLineChars="0"/>
              <w:jc w:val="center"/>
              <w:rPr>
                <w:rFonts w:hint="default" w:ascii="Times New Roman" w:hAnsi="Times New Roman" w:cs="Times New Roman"/>
              </w:rPr>
            </w:pPr>
            <w:r>
              <w:rPr>
                <w:rFonts w:hint="default" w:ascii="Times New Roman" w:hAnsi="Times New Roman" w:eastAsia="宋体" w:cs="Times New Roman"/>
              </w:rPr>
              <w:t>第11.1款</w:t>
            </w:r>
          </w:p>
        </w:tc>
        <w:tc>
          <w:tcPr>
            <w:tcW w:w="1742" w:type="dxa"/>
            <w:vAlign w:val="center"/>
          </w:tcPr>
          <w:p>
            <w:pPr>
              <w:adjustRightInd w:val="0"/>
              <w:snapToGrid w:val="0"/>
              <w:rPr>
                <w:rFonts w:hint="default" w:ascii="Times New Roman" w:hAnsi="Times New Roman" w:cs="Times New Roman"/>
              </w:rPr>
            </w:pPr>
            <w:r>
              <w:rPr>
                <w:rFonts w:hint="default" w:ascii="Times New Roman" w:hAnsi="Times New Roman" w:cs="Times New Roman"/>
              </w:rPr>
              <w:t>其他应当保密的信息</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第12.2款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合同价款支付时间</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第13.2款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履约保证金不予退还的情形</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第13.3款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履约保证金退还时间及逾期退还的违约金</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第14.1（3）项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运行监督、维修期限</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第14.1（5）项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货物回收的约定</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第14.1（6）项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第15.1款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修理、重作、更换相关具体规定</w:t>
            </w:r>
          </w:p>
        </w:tc>
        <w:tc>
          <w:tcPr>
            <w:tcW w:w="5170" w:type="dxa"/>
            <w:vAlign w:val="center"/>
          </w:tcPr>
          <w:p>
            <w:pPr>
              <w:adjustRightInd w:val="0"/>
              <w:snapToGrid w:val="0"/>
              <w:jc w:val="left"/>
              <w:rPr>
                <w:rFonts w:hint="default" w:ascii="Times New Roman" w:hAnsi="Times New Roman" w:cs="Times New Roma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第15.2（2）项</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pPr>
              <w:adjustRightInd w:val="0"/>
              <w:snapToGrid w:val="0"/>
              <w:jc w:val="left"/>
              <w:rPr>
                <w:rFonts w:hint="default" w:ascii="Times New Roman" w:hAnsi="Times New Roman" w:cs="Times New Roman"/>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第15.3款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pPr>
              <w:adjustRightInd w:val="0"/>
              <w:snapToGrid w:val="0"/>
              <w:jc w:val="left"/>
              <w:rPr>
                <w:rFonts w:hint="default" w:ascii="Times New Roman" w:hAnsi="Times New Roman" w:cs="Times New Roman"/>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default" w:ascii="Times New Roman" w:hAnsi="Times New Roman" w:cs="Times New Roman"/>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default" w:ascii="Times New Roman" w:hAnsi="Times New Roman" w:cs="Times New Roman"/>
              </w:rPr>
            </w:pPr>
            <w:r>
              <w:rPr>
                <w:rFonts w:hint="default" w:ascii="Times New Roman" w:hAnsi="Times New Roman" w:cs="Times New Roma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default" w:ascii="Times New Roman" w:hAnsi="Times New Roman" w:cs="Times New Roman"/>
                <w:iCs/>
              </w:rPr>
            </w:pPr>
            <w:r>
              <w:rPr>
                <w:rFonts w:hint="default" w:ascii="Times New Roman" w:hAnsi="Times New Roman" w:cs="Times New Roman"/>
                <w:iCs/>
              </w:rPr>
              <w:t>因本合同及合同有关事项发生的争议，按下列第</w:t>
            </w:r>
            <w:r>
              <w:rPr>
                <w:rFonts w:hint="default" w:ascii="Times New Roman" w:hAnsi="Times New Roman" w:cs="Times New Roman"/>
                <w:iCs/>
                <w:u w:val="single"/>
              </w:rPr>
              <w:t xml:space="preserve">   </w:t>
            </w:r>
            <w:r>
              <w:rPr>
                <w:rFonts w:hint="default" w:ascii="Times New Roman" w:hAnsi="Times New Roman" w:cs="Times New Roman"/>
                <w:iCs/>
              </w:rPr>
              <w:t>种方式解决：</w:t>
            </w:r>
          </w:p>
          <w:p>
            <w:pPr>
              <w:autoSpaceDE w:val="0"/>
              <w:autoSpaceDN w:val="0"/>
              <w:adjustRightInd w:val="0"/>
              <w:snapToGrid w:val="0"/>
              <w:spacing w:line="400" w:lineRule="exact"/>
              <w:jc w:val="left"/>
              <w:rPr>
                <w:rFonts w:hint="default" w:ascii="Times New Roman" w:hAnsi="Times New Roman" w:cs="Times New Roman"/>
                <w:iCs/>
              </w:rPr>
            </w:pPr>
            <w:r>
              <w:rPr>
                <w:rFonts w:hint="default" w:ascii="Times New Roman" w:hAnsi="Times New Roman" w:cs="Times New Roman"/>
                <w:iCs/>
              </w:rPr>
              <w:t>（1）向</w:t>
            </w:r>
            <w:r>
              <w:rPr>
                <w:rFonts w:hint="default" w:ascii="Times New Roman" w:hAnsi="Times New Roman" w:cs="Times New Roman"/>
                <w:iCs/>
                <w:u w:val="single"/>
              </w:rPr>
              <w:t xml:space="preserve">                    </w:t>
            </w:r>
            <w:r>
              <w:rPr>
                <w:rFonts w:hint="default" w:ascii="Times New Roman" w:hAnsi="Times New Roman" w:cs="Times New Roman"/>
                <w:iCs/>
              </w:rPr>
              <w:t>仲裁委员会申请仲裁，仲裁地点为</w:t>
            </w:r>
            <w:r>
              <w:rPr>
                <w:rFonts w:hint="default" w:ascii="Times New Roman" w:hAnsi="Times New Roman" w:cs="Times New Roman"/>
                <w:iCs/>
                <w:u w:val="single"/>
              </w:rPr>
              <w:t xml:space="preserve">           </w:t>
            </w:r>
            <w:r>
              <w:rPr>
                <w:rFonts w:hint="default" w:ascii="Times New Roman" w:hAnsi="Times New Roman" w:cs="Times New Roman"/>
                <w:iCs/>
              </w:rPr>
              <w:t>；</w:t>
            </w:r>
          </w:p>
          <w:p>
            <w:pPr>
              <w:adjustRightInd w:val="0"/>
              <w:snapToGrid w:val="0"/>
              <w:jc w:val="left"/>
              <w:rPr>
                <w:rFonts w:hint="default" w:ascii="Times New Roman" w:hAnsi="Times New Roman" w:cs="Times New Roman"/>
                <w:u w:val="single"/>
              </w:rPr>
            </w:pPr>
            <w:r>
              <w:rPr>
                <w:rFonts w:hint="default" w:ascii="Times New Roman" w:hAnsi="Times New Roman" w:cs="Times New Roman"/>
                <w:iCs/>
              </w:rPr>
              <w:t>（2）向</w:t>
            </w:r>
            <w:r>
              <w:rPr>
                <w:rFonts w:hint="default" w:ascii="Times New Roman" w:hAnsi="Times New Roman" w:cs="Times New Roman"/>
                <w:iCs/>
                <w:u w:val="single"/>
              </w:rPr>
              <w:t xml:space="preserve">                    </w:t>
            </w:r>
            <w:r>
              <w:rPr>
                <w:rFonts w:hint="default" w:ascii="Times New Roman" w:hAnsi="Times New Roman" w:cs="Times New Roman"/>
                <w:iCs/>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pPr>
              <w:adjustRightInd w:val="0"/>
              <w:snapToGrid w:val="0"/>
              <w:jc w:val="center"/>
              <w:rPr>
                <w:rFonts w:hint="default" w:ascii="Times New Roman" w:hAnsi="Times New Roman" w:cs="Times New Roman"/>
              </w:rPr>
            </w:pPr>
            <w:r>
              <w:rPr>
                <w:rFonts w:hint="default" w:ascii="Times New Roman" w:hAnsi="Times New Roman" w:cs="Times New Roman"/>
              </w:rPr>
              <w:t>第23.1款</w:t>
            </w:r>
          </w:p>
        </w:tc>
        <w:tc>
          <w:tcPr>
            <w:tcW w:w="1742" w:type="dxa"/>
            <w:vAlign w:val="center"/>
          </w:tcPr>
          <w:p>
            <w:pPr>
              <w:adjustRightInd w:val="0"/>
              <w:snapToGrid w:val="0"/>
              <w:jc w:val="left"/>
              <w:rPr>
                <w:rFonts w:hint="default" w:ascii="Times New Roman" w:hAnsi="Times New Roman" w:cs="Times New Roman"/>
              </w:rPr>
            </w:pPr>
            <w:r>
              <w:rPr>
                <w:rFonts w:hint="default" w:ascii="Times New Roman" w:hAnsi="Times New Roman" w:cs="Times New Roman"/>
                <w:bCs/>
              </w:rPr>
              <w:t>其他专用条款</w:t>
            </w:r>
          </w:p>
        </w:tc>
        <w:tc>
          <w:tcPr>
            <w:tcW w:w="5170" w:type="dxa"/>
            <w:vAlign w:val="center"/>
          </w:tcPr>
          <w:p>
            <w:pPr>
              <w:adjustRightInd w:val="0"/>
              <w:snapToGrid w:val="0"/>
              <w:jc w:val="left"/>
              <w:rPr>
                <w:rFonts w:hint="default" w:ascii="Times New Roman" w:hAnsi="Times New Roman" w:cs="Times New Roman"/>
              </w:rPr>
            </w:pPr>
          </w:p>
        </w:tc>
      </w:tr>
    </w:tbl>
    <w:p>
      <w:pPr>
        <w:rPr>
          <w:rFonts w:hint="default" w:ascii="Times New Roman" w:hAnsi="Times New Roman" w:cs="Times New Roman"/>
        </w:rPr>
      </w:pPr>
    </w:p>
    <w:p>
      <w:pPr>
        <w:rPr>
          <w:rFonts w:hint="default" w:ascii="Times New Roman" w:hAnsi="Times New Roman" w:cs="Times New Roman"/>
        </w:rPr>
      </w:pPr>
    </w:p>
    <w:p>
      <w:pPr>
        <w:pStyle w:val="21"/>
        <w:snapToGrid w:val="0"/>
        <w:spacing w:line="300" w:lineRule="exact"/>
        <w:rPr>
          <w:rFonts w:hint="default" w:ascii="Times New Roman" w:hAnsi="Times New Roman" w:cs="Times New Roman"/>
        </w:rPr>
      </w:pPr>
    </w:p>
    <w:p>
      <w:pPr>
        <w:pStyle w:val="21"/>
        <w:snapToGrid w:val="0"/>
        <w:spacing w:line="300" w:lineRule="exact"/>
        <w:rPr>
          <w:rFonts w:hint="default" w:ascii="Times New Roman" w:hAnsi="Times New Roman" w:cs="Times New Roman"/>
        </w:rPr>
      </w:pPr>
    </w:p>
    <w:sectPr>
      <w:headerReference r:id="rId10" w:type="default"/>
      <w:footerReference r:id="rId11" w:type="default"/>
      <w:pgSz w:w="11906" w:h="16838"/>
      <w:pgMar w:top="1134" w:right="1134" w:bottom="1134" w:left="1417" w:header="851" w:footer="992" w:gutter="0"/>
      <w:cols w:space="72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w:altName w:val="汉仪中等线KW"/>
    <w:panose1 w:val="02010600030101010101"/>
    <w:charset w:val="86"/>
    <w:family w:val="auto"/>
    <w:pitch w:val="default"/>
    <w:sig w:usb0="00000000" w:usb1="00000000" w:usb2="00000016" w:usb3="00000000" w:csb0="0004000F" w:csb1="00000000"/>
  </w:font>
  <w:font w:name="Cambria">
    <w:altName w:val="Georgia"/>
    <w:panose1 w:val="02040503050406030204"/>
    <w:charset w:val="00"/>
    <w:family w:val="roman"/>
    <w:pitch w:val="default"/>
    <w:sig w:usb0="00000000" w:usb1="00000000" w:usb2="00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楷体_GB2312">
    <w:altName w:val="汉仪楷体KW"/>
    <w:panose1 w:val="00000000000000000000"/>
    <w:charset w:val="86"/>
    <w:family w:val="modern"/>
    <w:pitch w:val="default"/>
    <w:sig w:usb0="00000000" w:usb1="00000000" w:usb2="00000000" w:usb3="00000000" w:csb0="00040000" w:csb1="00000000"/>
  </w:font>
  <w:font w:name="华文楷体">
    <w:altName w:val="汉仪楷体KW"/>
    <w:panose1 w:val="02010600040101010101"/>
    <w:charset w:val="86"/>
    <w:family w:val="auto"/>
    <w:pitch w:val="default"/>
    <w:sig w:usb0="00000000" w:usb1="00000000" w:usb2="00000000" w:usb3="00000000" w:csb0="0004009F" w:csb1="DFD70000"/>
  </w:font>
  <w:font w:name="font-weight : 400">
    <w:altName w:val="Arial"/>
    <w:panose1 w:val="00000000000000000000"/>
    <w:charset w:val="00"/>
    <w:family w:val="auto"/>
    <w:pitch w:val="default"/>
    <w:sig w:usb0="00000000" w:usb1="00000000" w:usb2="00000000" w:usb3="00000000" w:csb0="00000001" w:csb1="00000000"/>
  </w:font>
  <w:font w:name="仿宋">
    <w:altName w:val="汉仪仿宋KW"/>
    <w:panose1 w:val="02010609060101010101"/>
    <w:charset w:val="86"/>
    <w:family w:val="modern"/>
    <w:pitch w:val="default"/>
    <w:sig w:usb0="00000000" w:usb1="00000000" w:usb2="00000016" w:usb3="00000000" w:csb0="00040001" w:csb1="00000000"/>
  </w:font>
  <w:font w:name="_x000B__x000C_">
    <w:altName w:val="Arial"/>
    <w:panose1 w:val="00000000000000000000"/>
    <w:charset w:val="00"/>
    <w:family w:val="roman"/>
    <w:pitch w:val="default"/>
    <w:sig w:usb0="00000000" w:usb1="00000000" w:usb2="00000000" w:usb3="00000000" w:csb0="00000001" w:csb1="00000000"/>
  </w:font>
  <w:font w:name="Arial Unicode MS">
    <w:altName w:val="Times New Roman"/>
    <w:panose1 w:val="020B0604020202020204"/>
    <w:charset w:val="86"/>
    <w:family w:val="swiss"/>
    <w:pitch w:val="default"/>
    <w:sig w:usb0="00000000" w:usb1="00000000" w:usb2="0000007F" w:usb3="00000000" w:csb0="203F01FF" w:csb1="DFFF0000"/>
  </w:font>
  <w:font w:name="PMingLiU">
    <w:altName w:val="汉仪书宋二KW"/>
    <w:panose1 w:val="02020500000000000000"/>
    <w:charset w:val="88"/>
    <w:family w:val="roman"/>
    <w:pitch w:val="default"/>
    <w:sig w:usb0="00000000" w:usb1="00000000" w:usb2="00000016" w:usb3="00000000" w:csb0="00100001" w:csb1="00000000"/>
  </w:font>
  <w:font w:name="微软雅黑">
    <w:altName w:val="汉仪旗黑KW 55S"/>
    <w:panose1 w:val="020B0503020204020204"/>
    <w:charset w:val="86"/>
    <w:family w:val="swiss"/>
    <w:pitch w:val="default"/>
    <w:sig w:usb0="00000000" w:usb1="00000000" w:usb2="00000016" w:usb3="00000000" w:csb0="0004001F" w:csb1="00000000"/>
  </w:font>
  <w:font w:name="方正书宋_GBK">
    <w:altName w:val="汉仪书宋二KW"/>
    <w:panose1 w:val="02000000000000000000"/>
    <w:charset w:val="86"/>
    <w:family w:val="auto"/>
    <w:pitch w:val="default"/>
    <w:sig w:usb0="00000000" w:usb1="00000000" w:usb2="00000000" w:usb3="00000000" w:csb0="00040000" w:csb1="00000000"/>
  </w:font>
  <w:font w:name="新宋体">
    <w:altName w:val="汉仪书宋二KW"/>
    <w:panose1 w:val="02010609030101010101"/>
    <w:charset w:val="86"/>
    <w:family w:val="modern"/>
    <w:pitch w:val="default"/>
    <w:sig w:usb0="00000000" w:usb1="00000000" w:usb2="00000006" w:usb3="00000000" w:csb0="00040001" w:csb1="00000000"/>
  </w:font>
  <w:font w:name="方正黑体简体">
    <w:altName w:val="汉仪中黑KW"/>
    <w:panose1 w:val="00000000000000000000"/>
    <w:charset w:val="86"/>
    <w:family w:val="auto"/>
    <w:pitch w:val="default"/>
    <w:sig w:usb0="00000000" w:usb1="00000000" w:usb2="00000010" w:usb3="00000000" w:csb0="00040000" w:csb1="00000000"/>
  </w:font>
  <w:font w:name="MS Mincho">
    <w:altName w:val="汉仪书宋二KW"/>
    <w:panose1 w:val="02020609040205080304"/>
    <w:charset w:val="80"/>
    <w:family w:val="modern"/>
    <w:pitch w:val="default"/>
    <w:sig w:usb0="00000000" w:usb1="00000000" w:usb2="00000012" w:usb3="00000000" w:csb0="4002009F" w:csb1="DFD70000"/>
  </w:font>
  <w:font w:name="Wingdings 2">
    <w:altName w:val="Webdings"/>
    <w:panose1 w:val="05020102010507070707"/>
    <w:charset w:val="02"/>
    <w:family w:val="roman"/>
    <w:pitch w:val="default"/>
    <w:sig w:usb0="00000000" w:usb1="00000000" w:usb2="00000000" w:usb3="00000000" w:csb0="80000000" w:csb1="00000000"/>
  </w:font>
  <w:font w:name="汉仪书宋二S">
    <w:altName w:val="Arial"/>
    <w:panose1 w:val="00000000000000000000"/>
    <w:charset w:val="00"/>
    <w:family w:val="auto"/>
    <w:pitch w:val="default"/>
    <w:sig w:usb0="00000000" w:usb1="00000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DejaVu Sans">
    <w:panose1 w:val="020B0603030804020204"/>
    <w:charset w:val="00"/>
    <w:family w:val="auto"/>
    <w:pitch w:val="default"/>
    <w:sig w:usb0="E7006EFF" w:usb1="D200FDFF" w:usb2="0A246029" w:usb3="0400200C" w:csb0="600001FF" w:csb1="DFFF0000"/>
  </w:font>
  <w:font w:name="Georgia">
    <w:panose1 w:val="02040502050405020303"/>
    <w:charset w:val="00"/>
    <w:family w:val="auto"/>
    <w:pitch w:val="default"/>
    <w:sig w:usb0="00000287" w:usb1="00000000" w:usb2="00000000" w:usb3="00000000" w:csb0="2000009F" w:csb1="00000000"/>
  </w:font>
  <w:font w:name="汉仪楷体KW">
    <w:panose1 w:val="00020600040101010101"/>
    <w:charset w:val="86"/>
    <w:family w:val="auto"/>
    <w:pitch w:val="default"/>
    <w:sig w:usb0="A00002BF" w:usb1="18EF7CFA" w:usb2="00000016" w:usb3="00000000" w:csb0="00040000" w:csb1="00000000"/>
  </w:font>
  <w:font w:name="汉仪旗黑KW 55S">
    <w:panose1 w:val="00020600040101010101"/>
    <w:charset w:val="86"/>
    <w:family w:val="auto"/>
    <w:pitch w:val="default"/>
    <w:sig w:usb0="A00002BF" w:usb1="3ACF7CFA" w:usb2="00000016" w:usb3="00000000" w:csb0="0004009F" w:csb1="DFD70000"/>
  </w:font>
  <w:font w:name="Webdings">
    <w:panose1 w:val="05030102010509060703"/>
    <w:charset w:val="00"/>
    <w:family w:val="auto"/>
    <w:pitch w:val="default"/>
    <w:sig w:usb0="00000000" w:usb1="00000000" w:usb2="00000000" w:usb3="00000000" w:csb0="80000000" w:csb1="00000000"/>
  </w:font>
  <w:font w:name="Noto Sans Symbols2">
    <w:panose1 w:val="020B0502040504020204"/>
    <w:charset w:val="00"/>
    <w:family w:val="auto"/>
    <w:pitch w:val="default"/>
    <w:sig w:usb0="80000003" w:usb1="0200E3E4" w:usb2="00040020" w:usb3="0580A048" w:csb0="00000001" w:csb1="00000000"/>
  </w:font>
  <w:font w:name="汉仪君黑KW">
    <w:panose1 w:val="00020600040101010101"/>
    <w:charset w:val="86"/>
    <w:family w:val="auto"/>
    <w:pitch w:val="default"/>
    <w:sig w:usb0="A00002BF" w:usb1="0A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rFonts w:ascii="Calibri" w:hAnsi="Calibri" w:cs="Times New Roman"/>
        <w:sz w:val="18"/>
        <w:szCs w:val="18"/>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-38735</wp:posOffset>
              </wp:positionV>
              <wp:extent cx="5943600" cy="0"/>
              <wp:effectExtent l="0" t="0" r="0" b="0"/>
              <wp:wrapNone/>
              <wp:docPr id="2"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pt;margin-top:-3.05pt;height:0pt;width:468pt;z-index:251659264;mso-width-relative:page;mso-height-relative:page;" filled="f" stroked="t" coordsize="21600,21600" o:gfxdata="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APnCzP0wAAAAYBAAAP&#10;AAAAAAAAAAEAIAAAADgAAABkcnMvZG93bnJldi54bWxQSwECFAAUAAAACACHTuJAQagd1s4BAABq&#10;AwAADgAAAAAAAAABACAAAAA4AQAAZHJzL2Uyb0RvYy54bWxQSwUGAAAAAAYABgBZAQAAeAU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w:fldChar w:fldCharType="begin"/>
    </w:r>
    <w:r>
      <w:instrText xml:space="preserve"> PAGE   \* MERGEFORMAT </w:instrText>
    </w:r>
    <w:r>
      <w:fldChar w:fldCharType="separate"/>
    </w:r>
    <w:r>
      <w:rPr>
        <w:lang w:val="zh-CN"/>
      </w:rPr>
      <w:t>40</w:t>
    </w:r>
    <w:r>
      <w:rPr>
        <w:lang w:val="zh-CN"/>
      </w:rPr>
      <w:fldChar w:fldCharType="end"/>
    </w:r>
  </w:p>
  <w:p>
    <w:pPr>
      <w:pStyle w:val="2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jc w:val="center"/>
      <w:rPr>
        <w:rFonts w:ascii="Calibri" w:hAnsi="Calibri"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s0lY7tAA&#10;AAAFAQAADwAAAAAAAAABACAAAAA4AAAAZHJzL2Rvd25yZXYueG1sUEsBAhQAFAAAAAgAh07iQGFr&#10;nWARAgAACQQAAA4AAAAAAAAAAQAgAAAANQEAAGRycy9lMm9Eb2MueG1sUEsFBgAAAAAGAAYAWQEA&#10;ALg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eastAsia="宋体"/>
        <w:lang w:eastAsia="zh-CN"/>
      </w:rPr>
    </w:pPr>
    <w:r>
      <w:rPr>
        <w:rFonts w:hint="eastAsia" w:cs="宋体"/>
        <w:color w:val="auto"/>
        <w:lang w:eastAsia="zh-CN"/>
      </w:rPr>
      <w:t>2026年芝英镇消防站家具采购项目（第二次招标）</w:t>
    </w:r>
    <w:r>
      <w:rPr>
        <w:rFonts w:hint="eastAsia" w:cs="宋体"/>
        <w:color w:val="auto"/>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left"/>
      <w:rPr>
        <w:sz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45AC90"/>
    <w:multiLevelType w:val="singleLevel"/>
    <w:tmpl w:val="A745AC90"/>
    <w:lvl w:ilvl="0" w:tentative="0">
      <w:start w:val="7"/>
      <w:numFmt w:val="chineseCounting"/>
      <w:suff w:val="nothing"/>
      <w:lvlText w:val="%1．"/>
      <w:lvlJc w:val="left"/>
      <w:rPr>
        <w:rFonts w:hint="eastAsia"/>
      </w:rPr>
    </w:lvl>
  </w:abstractNum>
  <w:abstractNum w:abstractNumId="1">
    <w:nsid w:val="B5FC1656"/>
    <w:multiLevelType w:val="singleLevel"/>
    <w:tmpl w:val="B5FC1656"/>
    <w:lvl w:ilvl="0" w:tentative="0">
      <w:start w:val="5"/>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6720457"/>
    <w:multiLevelType w:val="multilevel"/>
    <w:tmpl w:val="E6720457"/>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pStyle w:val="154"/>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8">
    <w:nsid w:val="EEDE3808"/>
    <w:multiLevelType w:val="singleLevel"/>
    <w:tmpl w:val="EEDE3808"/>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000000C"/>
    <w:multiLevelType w:val="multilevel"/>
    <w:tmpl w:val="0000000C"/>
    <w:lvl w:ilvl="0" w:tentative="0">
      <w:start w:val="1"/>
      <w:numFmt w:val="japaneseCounting"/>
      <w:lvlText w:val="第%1章"/>
      <w:lvlJc w:val="left"/>
      <w:pPr>
        <w:tabs>
          <w:tab w:val="left" w:pos="3645"/>
        </w:tabs>
        <w:ind w:left="3645" w:hanging="1965"/>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11">
    <w:nsid w:val="0C001BE7"/>
    <w:multiLevelType w:val="singleLevel"/>
    <w:tmpl w:val="0C001BE7"/>
    <w:lvl w:ilvl="0" w:tentative="0">
      <w:start w:val="1"/>
      <w:numFmt w:val="chineseCounting"/>
      <w:suff w:val="nothing"/>
      <w:lvlText w:val="（%1）"/>
      <w:lvlJc w:val="left"/>
      <w:rPr>
        <w:rFonts w:hint="eastAsia"/>
      </w:rPr>
    </w:lvl>
  </w:abstractNum>
  <w:abstractNum w:abstractNumId="12">
    <w:nsid w:val="13FE198C"/>
    <w:multiLevelType w:val="singleLevel"/>
    <w:tmpl w:val="13FE198C"/>
    <w:lvl w:ilvl="0" w:tentative="0">
      <w:start w:val="2"/>
      <w:numFmt w:val="chineseCounting"/>
      <w:suff w:val="nothing"/>
      <w:lvlText w:val="%1、"/>
      <w:lvlJc w:val="left"/>
      <w:rPr>
        <w:rFonts w:hint="eastAsia"/>
      </w:rPr>
    </w:lvl>
  </w:abstractNum>
  <w:abstractNum w:abstractNumId="13">
    <w:nsid w:val="5548FB09"/>
    <w:multiLevelType w:val="singleLevel"/>
    <w:tmpl w:val="5548FB09"/>
    <w:lvl w:ilvl="0" w:tentative="0">
      <w:start w:val="7"/>
      <w:numFmt w:val="chineseCounting"/>
      <w:suff w:val="nothing"/>
      <w:lvlText w:val="%1、"/>
      <w:lvlJc w:val="left"/>
      <w:rPr>
        <w:rFonts w:hint="eastAsia"/>
      </w:rPr>
    </w:lvl>
  </w:abstractNum>
  <w:abstractNum w:abstractNumId="14">
    <w:nsid w:val="562897E9"/>
    <w:multiLevelType w:val="multilevel"/>
    <w:tmpl w:val="562897E9"/>
    <w:lvl w:ilvl="0" w:tentative="0">
      <w:start w:val="3"/>
      <w:numFmt w:val="decimal"/>
      <w:suff w:val="nothing"/>
      <w:lvlText w:val="%1、"/>
      <w:lvlJc w:val="left"/>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60ED0CDF"/>
    <w:multiLevelType w:val="singleLevel"/>
    <w:tmpl w:val="60ED0CDF"/>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16">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7A0F6431"/>
    <w:multiLevelType w:val="singleLevel"/>
    <w:tmpl w:val="7A0F6431"/>
    <w:lvl w:ilvl="0" w:tentative="0">
      <w:start w:val="1"/>
      <w:numFmt w:val="decimal"/>
      <w:suff w:val="space"/>
      <w:lvlText w:val="%1."/>
      <w:lvlJc w:val="left"/>
    </w:lvl>
  </w:abstractNum>
  <w:num w:numId="1">
    <w:abstractNumId w:val="15"/>
  </w:num>
  <w:num w:numId="2">
    <w:abstractNumId w:val="7"/>
  </w:num>
  <w:num w:numId="3">
    <w:abstractNumId w:val="10"/>
  </w:num>
  <w:num w:numId="4">
    <w:abstractNumId w:val="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8"/>
  </w:num>
  <w:num w:numId="8">
    <w:abstractNumId w:val="11"/>
  </w:num>
  <w:num w:numId="9">
    <w:abstractNumId w:val="1"/>
  </w:num>
  <w:num w:numId="10">
    <w:abstractNumId w:val="13"/>
  </w:num>
  <w:num w:numId="11">
    <w:abstractNumId w:val="12"/>
  </w:num>
  <w:num w:numId="12">
    <w:abstractNumId w:val="17"/>
  </w:num>
  <w:num w:numId="13">
    <w:abstractNumId w:val="3"/>
  </w:num>
  <w:num w:numId="14">
    <w:abstractNumId w:val="9"/>
  </w:num>
  <w:num w:numId="15">
    <w:abstractNumId w:val="5"/>
  </w:num>
  <w:num w:numId="16">
    <w:abstractNumId w:val="4"/>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3ZGE4MmYwZTRmODEwOWNkOTEwNTAzNTZhYjI4ZTQifQ=="/>
  </w:docVars>
  <w:rsids>
    <w:rsidRoot w:val="00ED1ED6"/>
    <w:rsid w:val="00011D92"/>
    <w:rsid w:val="0001316C"/>
    <w:rsid w:val="00017690"/>
    <w:rsid w:val="000415C8"/>
    <w:rsid w:val="00042E8A"/>
    <w:rsid w:val="00044361"/>
    <w:rsid w:val="00072EED"/>
    <w:rsid w:val="000A3609"/>
    <w:rsid w:val="000B603D"/>
    <w:rsid w:val="000B6219"/>
    <w:rsid w:val="000C3C06"/>
    <w:rsid w:val="000D0761"/>
    <w:rsid w:val="000D4FB5"/>
    <w:rsid w:val="000E0318"/>
    <w:rsid w:val="000E1A5E"/>
    <w:rsid w:val="000E2295"/>
    <w:rsid w:val="000E3B68"/>
    <w:rsid w:val="000E4322"/>
    <w:rsid w:val="000F016C"/>
    <w:rsid w:val="000F062D"/>
    <w:rsid w:val="000F07B7"/>
    <w:rsid w:val="000F24D1"/>
    <w:rsid w:val="000F29A4"/>
    <w:rsid w:val="000F3F12"/>
    <w:rsid w:val="000F4695"/>
    <w:rsid w:val="0010122C"/>
    <w:rsid w:val="0010172E"/>
    <w:rsid w:val="00101E07"/>
    <w:rsid w:val="00131FA1"/>
    <w:rsid w:val="001321FC"/>
    <w:rsid w:val="001331F1"/>
    <w:rsid w:val="00151AD7"/>
    <w:rsid w:val="0015217B"/>
    <w:rsid w:val="001747A7"/>
    <w:rsid w:val="001749BD"/>
    <w:rsid w:val="00183893"/>
    <w:rsid w:val="001858DA"/>
    <w:rsid w:val="0018633F"/>
    <w:rsid w:val="001955F5"/>
    <w:rsid w:val="00196339"/>
    <w:rsid w:val="001B260D"/>
    <w:rsid w:val="001B36A1"/>
    <w:rsid w:val="001C01BA"/>
    <w:rsid w:val="001C5C4C"/>
    <w:rsid w:val="001C66D6"/>
    <w:rsid w:val="001D5661"/>
    <w:rsid w:val="001E26BA"/>
    <w:rsid w:val="001E4792"/>
    <w:rsid w:val="00212DEC"/>
    <w:rsid w:val="00213C28"/>
    <w:rsid w:val="00225C38"/>
    <w:rsid w:val="00235E40"/>
    <w:rsid w:val="00261D02"/>
    <w:rsid w:val="002620DF"/>
    <w:rsid w:val="0026702F"/>
    <w:rsid w:val="0027550B"/>
    <w:rsid w:val="002806D2"/>
    <w:rsid w:val="002A40C3"/>
    <w:rsid w:val="002B7F30"/>
    <w:rsid w:val="002C0D0C"/>
    <w:rsid w:val="002C2457"/>
    <w:rsid w:val="002D1C50"/>
    <w:rsid w:val="002D427C"/>
    <w:rsid w:val="002E5080"/>
    <w:rsid w:val="002F225E"/>
    <w:rsid w:val="002F7F92"/>
    <w:rsid w:val="00302A3F"/>
    <w:rsid w:val="00317164"/>
    <w:rsid w:val="00321AB2"/>
    <w:rsid w:val="003325A4"/>
    <w:rsid w:val="003438B0"/>
    <w:rsid w:val="0034430F"/>
    <w:rsid w:val="00345AF9"/>
    <w:rsid w:val="00347501"/>
    <w:rsid w:val="00347D1B"/>
    <w:rsid w:val="00353AA1"/>
    <w:rsid w:val="00354836"/>
    <w:rsid w:val="00365F3D"/>
    <w:rsid w:val="0037332D"/>
    <w:rsid w:val="00380669"/>
    <w:rsid w:val="0038763C"/>
    <w:rsid w:val="00390729"/>
    <w:rsid w:val="003922A2"/>
    <w:rsid w:val="00392FAE"/>
    <w:rsid w:val="003A257E"/>
    <w:rsid w:val="003A5783"/>
    <w:rsid w:val="003A5B60"/>
    <w:rsid w:val="003A69AA"/>
    <w:rsid w:val="003B4594"/>
    <w:rsid w:val="003C2279"/>
    <w:rsid w:val="003C519D"/>
    <w:rsid w:val="003D19AB"/>
    <w:rsid w:val="003D61FB"/>
    <w:rsid w:val="003E538E"/>
    <w:rsid w:val="003F1917"/>
    <w:rsid w:val="003F25AC"/>
    <w:rsid w:val="0040294D"/>
    <w:rsid w:val="00412373"/>
    <w:rsid w:val="00427158"/>
    <w:rsid w:val="00434688"/>
    <w:rsid w:val="004425D6"/>
    <w:rsid w:val="004434D5"/>
    <w:rsid w:val="004529D3"/>
    <w:rsid w:val="00456D1F"/>
    <w:rsid w:val="0047035F"/>
    <w:rsid w:val="00473270"/>
    <w:rsid w:val="0048242B"/>
    <w:rsid w:val="004848E9"/>
    <w:rsid w:val="00494B9C"/>
    <w:rsid w:val="0049541E"/>
    <w:rsid w:val="00497ED9"/>
    <w:rsid w:val="004B3952"/>
    <w:rsid w:val="004B7D3F"/>
    <w:rsid w:val="004C3380"/>
    <w:rsid w:val="004D02B4"/>
    <w:rsid w:val="004F21C2"/>
    <w:rsid w:val="0050113E"/>
    <w:rsid w:val="005037A9"/>
    <w:rsid w:val="00504FF8"/>
    <w:rsid w:val="005129D2"/>
    <w:rsid w:val="005162BD"/>
    <w:rsid w:val="00520A97"/>
    <w:rsid w:val="005210F3"/>
    <w:rsid w:val="00526F14"/>
    <w:rsid w:val="0052733B"/>
    <w:rsid w:val="00532F8F"/>
    <w:rsid w:val="00533277"/>
    <w:rsid w:val="005403AE"/>
    <w:rsid w:val="00540D3A"/>
    <w:rsid w:val="005414DD"/>
    <w:rsid w:val="00551794"/>
    <w:rsid w:val="00554D38"/>
    <w:rsid w:val="005554FB"/>
    <w:rsid w:val="00557378"/>
    <w:rsid w:val="00557728"/>
    <w:rsid w:val="00593811"/>
    <w:rsid w:val="00594930"/>
    <w:rsid w:val="005953FD"/>
    <w:rsid w:val="00596B29"/>
    <w:rsid w:val="00596FB3"/>
    <w:rsid w:val="0059707A"/>
    <w:rsid w:val="00597F75"/>
    <w:rsid w:val="005A0D31"/>
    <w:rsid w:val="005A4EC1"/>
    <w:rsid w:val="005B62E0"/>
    <w:rsid w:val="005B6F15"/>
    <w:rsid w:val="005D0A81"/>
    <w:rsid w:val="005E7C5B"/>
    <w:rsid w:val="00606E59"/>
    <w:rsid w:val="006101D8"/>
    <w:rsid w:val="00616AFE"/>
    <w:rsid w:val="00620154"/>
    <w:rsid w:val="006203CC"/>
    <w:rsid w:val="00641F35"/>
    <w:rsid w:val="00644889"/>
    <w:rsid w:val="006465BD"/>
    <w:rsid w:val="0065217A"/>
    <w:rsid w:val="0065560A"/>
    <w:rsid w:val="006560BC"/>
    <w:rsid w:val="006618BF"/>
    <w:rsid w:val="006701B0"/>
    <w:rsid w:val="0068756B"/>
    <w:rsid w:val="006966E0"/>
    <w:rsid w:val="006974BF"/>
    <w:rsid w:val="006B4B0D"/>
    <w:rsid w:val="006C43A9"/>
    <w:rsid w:val="006C5109"/>
    <w:rsid w:val="006E533D"/>
    <w:rsid w:val="006E70C3"/>
    <w:rsid w:val="00704FBF"/>
    <w:rsid w:val="00717F68"/>
    <w:rsid w:val="00720375"/>
    <w:rsid w:val="00723674"/>
    <w:rsid w:val="007271B7"/>
    <w:rsid w:val="00727E25"/>
    <w:rsid w:val="00741C06"/>
    <w:rsid w:val="00743CDC"/>
    <w:rsid w:val="00746A60"/>
    <w:rsid w:val="0075761A"/>
    <w:rsid w:val="00775CBF"/>
    <w:rsid w:val="0078255F"/>
    <w:rsid w:val="00786371"/>
    <w:rsid w:val="0078777D"/>
    <w:rsid w:val="00796304"/>
    <w:rsid w:val="007A0817"/>
    <w:rsid w:val="007B43B2"/>
    <w:rsid w:val="007C2EC8"/>
    <w:rsid w:val="007D02A5"/>
    <w:rsid w:val="007E1D1F"/>
    <w:rsid w:val="007E60B9"/>
    <w:rsid w:val="007F2ED4"/>
    <w:rsid w:val="007F6228"/>
    <w:rsid w:val="00801B4E"/>
    <w:rsid w:val="00810B4B"/>
    <w:rsid w:val="00814BB6"/>
    <w:rsid w:val="00857C06"/>
    <w:rsid w:val="00862D91"/>
    <w:rsid w:val="00865C66"/>
    <w:rsid w:val="00873006"/>
    <w:rsid w:val="008736A1"/>
    <w:rsid w:val="00875F8F"/>
    <w:rsid w:val="00881FF8"/>
    <w:rsid w:val="008825BB"/>
    <w:rsid w:val="008832D1"/>
    <w:rsid w:val="0089186D"/>
    <w:rsid w:val="00892E1E"/>
    <w:rsid w:val="0089514F"/>
    <w:rsid w:val="0089627B"/>
    <w:rsid w:val="008A343C"/>
    <w:rsid w:val="008A4C7E"/>
    <w:rsid w:val="008B480F"/>
    <w:rsid w:val="008D0099"/>
    <w:rsid w:val="008D0C83"/>
    <w:rsid w:val="008D71E8"/>
    <w:rsid w:val="008F0732"/>
    <w:rsid w:val="008F4C40"/>
    <w:rsid w:val="009009F5"/>
    <w:rsid w:val="009016D8"/>
    <w:rsid w:val="00902040"/>
    <w:rsid w:val="00911359"/>
    <w:rsid w:val="00915DB5"/>
    <w:rsid w:val="0093355B"/>
    <w:rsid w:val="00940537"/>
    <w:rsid w:val="009410B0"/>
    <w:rsid w:val="00945A57"/>
    <w:rsid w:val="00946EE2"/>
    <w:rsid w:val="00952285"/>
    <w:rsid w:val="00952885"/>
    <w:rsid w:val="009576B3"/>
    <w:rsid w:val="0097099E"/>
    <w:rsid w:val="0097338A"/>
    <w:rsid w:val="00980379"/>
    <w:rsid w:val="009869DD"/>
    <w:rsid w:val="00987E74"/>
    <w:rsid w:val="0099737B"/>
    <w:rsid w:val="009A1B9A"/>
    <w:rsid w:val="009C547E"/>
    <w:rsid w:val="009D013D"/>
    <w:rsid w:val="009D07BC"/>
    <w:rsid w:val="009D1B21"/>
    <w:rsid w:val="009E5805"/>
    <w:rsid w:val="00A03C29"/>
    <w:rsid w:val="00A071B6"/>
    <w:rsid w:val="00A17B62"/>
    <w:rsid w:val="00A22298"/>
    <w:rsid w:val="00A320EC"/>
    <w:rsid w:val="00A34D33"/>
    <w:rsid w:val="00A3617D"/>
    <w:rsid w:val="00A41C63"/>
    <w:rsid w:val="00A42A61"/>
    <w:rsid w:val="00A65A99"/>
    <w:rsid w:val="00A6684D"/>
    <w:rsid w:val="00A852DB"/>
    <w:rsid w:val="00A8692F"/>
    <w:rsid w:val="00A9451C"/>
    <w:rsid w:val="00AA78F1"/>
    <w:rsid w:val="00AB2BB3"/>
    <w:rsid w:val="00AB5A5A"/>
    <w:rsid w:val="00AD289A"/>
    <w:rsid w:val="00AD79F1"/>
    <w:rsid w:val="00AF52EE"/>
    <w:rsid w:val="00AF539B"/>
    <w:rsid w:val="00B0373D"/>
    <w:rsid w:val="00B121C0"/>
    <w:rsid w:val="00B1267B"/>
    <w:rsid w:val="00B12FB2"/>
    <w:rsid w:val="00B14DC0"/>
    <w:rsid w:val="00B217F2"/>
    <w:rsid w:val="00B43396"/>
    <w:rsid w:val="00B52278"/>
    <w:rsid w:val="00B60CF1"/>
    <w:rsid w:val="00B674EC"/>
    <w:rsid w:val="00B732D1"/>
    <w:rsid w:val="00B77E0B"/>
    <w:rsid w:val="00B80063"/>
    <w:rsid w:val="00B86640"/>
    <w:rsid w:val="00B871AC"/>
    <w:rsid w:val="00BA518A"/>
    <w:rsid w:val="00BA7C9E"/>
    <w:rsid w:val="00BB53C8"/>
    <w:rsid w:val="00BB7EB6"/>
    <w:rsid w:val="00BC088F"/>
    <w:rsid w:val="00BC11B3"/>
    <w:rsid w:val="00BD63AA"/>
    <w:rsid w:val="00BE6C88"/>
    <w:rsid w:val="00BF01C6"/>
    <w:rsid w:val="00BF1597"/>
    <w:rsid w:val="00BF5E9E"/>
    <w:rsid w:val="00C105D5"/>
    <w:rsid w:val="00C1180D"/>
    <w:rsid w:val="00C11A8F"/>
    <w:rsid w:val="00C17C81"/>
    <w:rsid w:val="00C303E0"/>
    <w:rsid w:val="00C365A9"/>
    <w:rsid w:val="00C41697"/>
    <w:rsid w:val="00C42685"/>
    <w:rsid w:val="00C47650"/>
    <w:rsid w:val="00C539F8"/>
    <w:rsid w:val="00C54330"/>
    <w:rsid w:val="00C67720"/>
    <w:rsid w:val="00C73BF4"/>
    <w:rsid w:val="00C7490C"/>
    <w:rsid w:val="00C75F2A"/>
    <w:rsid w:val="00C773DB"/>
    <w:rsid w:val="00C84BEB"/>
    <w:rsid w:val="00C94098"/>
    <w:rsid w:val="00C954CC"/>
    <w:rsid w:val="00CA449F"/>
    <w:rsid w:val="00CA7C89"/>
    <w:rsid w:val="00CB2700"/>
    <w:rsid w:val="00CB59D7"/>
    <w:rsid w:val="00CC18B6"/>
    <w:rsid w:val="00CC4D65"/>
    <w:rsid w:val="00CC6AA1"/>
    <w:rsid w:val="00CC7C15"/>
    <w:rsid w:val="00CD419C"/>
    <w:rsid w:val="00CD6729"/>
    <w:rsid w:val="00CF22C7"/>
    <w:rsid w:val="00CF491C"/>
    <w:rsid w:val="00CF4AE6"/>
    <w:rsid w:val="00D02A1E"/>
    <w:rsid w:val="00D03D35"/>
    <w:rsid w:val="00D15B96"/>
    <w:rsid w:val="00D16BFE"/>
    <w:rsid w:val="00D17C29"/>
    <w:rsid w:val="00D36440"/>
    <w:rsid w:val="00D47824"/>
    <w:rsid w:val="00D53F83"/>
    <w:rsid w:val="00D55C79"/>
    <w:rsid w:val="00D602D0"/>
    <w:rsid w:val="00D60658"/>
    <w:rsid w:val="00D60B4E"/>
    <w:rsid w:val="00D614C7"/>
    <w:rsid w:val="00D634B7"/>
    <w:rsid w:val="00D71276"/>
    <w:rsid w:val="00D72A3D"/>
    <w:rsid w:val="00D86AA3"/>
    <w:rsid w:val="00D90ED7"/>
    <w:rsid w:val="00D91FED"/>
    <w:rsid w:val="00D96B0E"/>
    <w:rsid w:val="00D976E3"/>
    <w:rsid w:val="00DA1A33"/>
    <w:rsid w:val="00DA3EBA"/>
    <w:rsid w:val="00DA6D5E"/>
    <w:rsid w:val="00DA7313"/>
    <w:rsid w:val="00DB28F8"/>
    <w:rsid w:val="00DE3B20"/>
    <w:rsid w:val="00DE4A15"/>
    <w:rsid w:val="00DE4F79"/>
    <w:rsid w:val="00E13240"/>
    <w:rsid w:val="00E212C9"/>
    <w:rsid w:val="00E224D1"/>
    <w:rsid w:val="00E307BE"/>
    <w:rsid w:val="00E37C42"/>
    <w:rsid w:val="00E53441"/>
    <w:rsid w:val="00E54624"/>
    <w:rsid w:val="00E54D85"/>
    <w:rsid w:val="00E5641A"/>
    <w:rsid w:val="00E7120B"/>
    <w:rsid w:val="00E75C47"/>
    <w:rsid w:val="00E8024B"/>
    <w:rsid w:val="00E82C4B"/>
    <w:rsid w:val="00E83EB4"/>
    <w:rsid w:val="00E9213C"/>
    <w:rsid w:val="00E938FE"/>
    <w:rsid w:val="00E93D90"/>
    <w:rsid w:val="00EA0065"/>
    <w:rsid w:val="00EA2113"/>
    <w:rsid w:val="00EA3C37"/>
    <w:rsid w:val="00EB49CE"/>
    <w:rsid w:val="00EB5DE7"/>
    <w:rsid w:val="00EB60FF"/>
    <w:rsid w:val="00EC09E3"/>
    <w:rsid w:val="00EC6492"/>
    <w:rsid w:val="00ED1917"/>
    <w:rsid w:val="00ED1ED6"/>
    <w:rsid w:val="00ED433F"/>
    <w:rsid w:val="00ED4C7F"/>
    <w:rsid w:val="00ED7E6B"/>
    <w:rsid w:val="00EF02EF"/>
    <w:rsid w:val="00EF1088"/>
    <w:rsid w:val="00EF37E2"/>
    <w:rsid w:val="00EF7ACA"/>
    <w:rsid w:val="00F0678B"/>
    <w:rsid w:val="00F167E9"/>
    <w:rsid w:val="00F237B3"/>
    <w:rsid w:val="00F524D6"/>
    <w:rsid w:val="00F569D6"/>
    <w:rsid w:val="00F5743C"/>
    <w:rsid w:val="00F60F0F"/>
    <w:rsid w:val="00F61D87"/>
    <w:rsid w:val="00F62431"/>
    <w:rsid w:val="00F7321B"/>
    <w:rsid w:val="00F800F1"/>
    <w:rsid w:val="00F81F59"/>
    <w:rsid w:val="00F971AC"/>
    <w:rsid w:val="00FA0714"/>
    <w:rsid w:val="00FA37AB"/>
    <w:rsid w:val="00FB57C3"/>
    <w:rsid w:val="00FC165C"/>
    <w:rsid w:val="00FC4245"/>
    <w:rsid w:val="00FC5E86"/>
    <w:rsid w:val="00FD2F4D"/>
    <w:rsid w:val="00FE09E1"/>
    <w:rsid w:val="00FF2293"/>
    <w:rsid w:val="01AE2427"/>
    <w:rsid w:val="01CF6CC2"/>
    <w:rsid w:val="01F04499"/>
    <w:rsid w:val="020F3A79"/>
    <w:rsid w:val="022A3718"/>
    <w:rsid w:val="026305F6"/>
    <w:rsid w:val="02AC4AE7"/>
    <w:rsid w:val="02EA2958"/>
    <w:rsid w:val="03663FB0"/>
    <w:rsid w:val="03A8118D"/>
    <w:rsid w:val="03D026CD"/>
    <w:rsid w:val="04344AA5"/>
    <w:rsid w:val="04622C48"/>
    <w:rsid w:val="04921E03"/>
    <w:rsid w:val="04D1736D"/>
    <w:rsid w:val="04E7478B"/>
    <w:rsid w:val="050642AA"/>
    <w:rsid w:val="050D7546"/>
    <w:rsid w:val="051C16D0"/>
    <w:rsid w:val="052D35AE"/>
    <w:rsid w:val="05685EEE"/>
    <w:rsid w:val="06225A33"/>
    <w:rsid w:val="065357F9"/>
    <w:rsid w:val="066B6091"/>
    <w:rsid w:val="06893A22"/>
    <w:rsid w:val="06975FDD"/>
    <w:rsid w:val="06B17456"/>
    <w:rsid w:val="07424046"/>
    <w:rsid w:val="079B25E0"/>
    <w:rsid w:val="082559D9"/>
    <w:rsid w:val="082D0D5E"/>
    <w:rsid w:val="08BE4761"/>
    <w:rsid w:val="091003CA"/>
    <w:rsid w:val="09276052"/>
    <w:rsid w:val="09355067"/>
    <w:rsid w:val="09C651EA"/>
    <w:rsid w:val="0A786C09"/>
    <w:rsid w:val="0ABD594F"/>
    <w:rsid w:val="0B254F66"/>
    <w:rsid w:val="0B932A01"/>
    <w:rsid w:val="0BAE34D6"/>
    <w:rsid w:val="0BE11644"/>
    <w:rsid w:val="0BF5372E"/>
    <w:rsid w:val="0C813D3B"/>
    <w:rsid w:val="0CB703D7"/>
    <w:rsid w:val="0D040CA0"/>
    <w:rsid w:val="0E3304F9"/>
    <w:rsid w:val="0E8C0579"/>
    <w:rsid w:val="0EA004DC"/>
    <w:rsid w:val="0EF80318"/>
    <w:rsid w:val="0F1478D0"/>
    <w:rsid w:val="0F5C7581"/>
    <w:rsid w:val="0F9811B3"/>
    <w:rsid w:val="0FE268D2"/>
    <w:rsid w:val="0FF04A9E"/>
    <w:rsid w:val="107812AC"/>
    <w:rsid w:val="112A7309"/>
    <w:rsid w:val="113828CB"/>
    <w:rsid w:val="114B6629"/>
    <w:rsid w:val="11F56CB9"/>
    <w:rsid w:val="125E044A"/>
    <w:rsid w:val="12822095"/>
    <w:rsid w:val="12CD386A"/>
    <w:rsid w:val="132C3788"/>
    <w:rsid w:val="133D03E1"/>
    <w:rsid w:val="13BE640F"/>
    <w:rsid w:val="13C53535"/>
    <w:rsid w:val="13CA5118"/>
    <w:rsid w:val="140963AB"/>
    <w:rsid w:val="143F6E4D"/>
    <w:rsid w:val="147F1921"/>
    <w:rsid w:val="1486575B"/>
    <w:rsid w:val="14FF668D"/>
    <w:rsid w:val="1559539C"/>
    <w:rsid w:val="15A96067"/>
    <w:rsid w:val="162445F8"/>
    <w:rsid w:val="16346297"/>
    <w:rsid w:val="1746566F"/>
    <w:rsid w:val="179817CB"/>
    <w:rsid w:val="1824217E"/>
    <w:rsid w:val="187C06CA"/>
    <w:rsid w:val="188148EF"/>
    <w:rsid w:val="18814EDA"/>
    <w:rsid w:val="18904496"/>
    <w:rsid w:val="19456905"/>
    <w:rsid w:val="198F12F2"/>
    <w:rsid w:val="19C07C84"/>
    <w:rsid w:val="19EF2361"/>
    <w:rsid w:val="19FE3D32"/>
    <w:rsid w:val="1A56099E"/>
    <w:rsid w:val="1A8D7289"/>
    <w:rsid w:val="1AD33D13"/>
    <w:rsid w:val="1AF000F5"/>
    <w:rsid w:val="1B2448F8"/>
    <w:rsid w:val="1B543A71"/>
    <w:rsid w:val="1B9A795F"/>
    <w:rsid w:val="1C073948"/>
    <w:rsid w:val="1C0C4A85"/>
    <w:rsid w:val="1C6D7B07"/>
    <w:rsid w:val="1C756A92"/>
    <w:rsid w:val="1CC52663"/>
    <w:rsid w:val="1D312236"/>
    <w:rsid w:val="1D461937"/>
    <w:rsid w:val="1D6C52C5"/>
    <w:rsid w:val="1D6D27B5"/>
    <w:rsid w:val="1D926B88"/>
    <w:rsid w:val="1DC43E7C"/>
    <w:rsid w:val="1E311BDF"/>
    <w:rsid w:val="1EE948EA"/>
    <w:rsid w:val="1EFB372A"/>
    <w:rsid w:val="1F4072EA"/>
    <w:rsid w:val="1F9C3E1C"/>
    <w:rsid w:val="1FE173D8"/>
    <w:rsid w:val="20A4482A"/>
    <w:rsid w:val="20CA1D45"/>
    <w:rsid w:val="20E051D4"/>
    <w:rsid w:val="21CF315A"/>
    <w:rsid w:val="21D435EF"/>
    <w:rsid w:val="2236792C"/>
    <w:rsid w:val="22452E48"/>
    <w:rsid w:val="224C1EB9"/>
    <w:rsid w:val="22D05E59"/>
    <w:rsid w:val="23104982"/>
    <w:rsid w:val="232D2D4C"/>
    <w:rsid w:val="23630548"/>
    <w:rsid w:val="237E22DE"/>
    <w:rsid w:val="23D87874"/>
    <w:rsid w:val="240D3AC6"/>
    <w:rsid w:val="24117748"/>
    <w:rsid w:val="243226E8"/>
    <w:rsid w:val="24452519"/>
    <w:rsid w:val="24612762"/>
    <w:rsid w:val="249C5259"/>
    <w:rsid w:val="24C97368"/>
    <w:rsid w:val="250550E5"/>
    <w:rsid w:val="256242E5"/>
    <w:rsid w:val="25843D51"/>
    <w:rsid w:val="25CD5A19"/>
    <w:rsid w:val="268A4A57"/>
    <w:rsid w:val="26A94938"/>
    <w:rsid w:val="26AD6E50"/>
    <w:rsid w:val="26D76D2B"/>
    <w:rsid w:val="26DA68E2"/>
    <w:rsid w:val="26F33BA3"/>
    <w:rsid w:val="27BF40D9"/>
    <w:rsid w:val="28A21943"/>
    <w:rsid w:val="28B56309"/>
    <w:rsid w:val="28BF18B6"/>
    <w:rsid w:val="28EC7FB7"/>
    <w:rsid w:val="2967007A"/>
    <w:rsid w:val="297B3E73"/>
    <w:rsid w:val="29D91732"/>
    <w:rsid w:val="2A554419"/>
    <w:rsid w:val="2A5D31BD"/>
    <w:rsid w:val="2A841EDB"/>
    <w:rsid w:val="2B014054"/>
    <w:rsid w:val="2B323F49"/>
    <w:rsid w:val="2BF0289F"/>
    <w:rsid w:val="2BF735CD"/>
    <w:rsid w:val="2C140842"/>
    <w:rsid w:val="2C5B7B88"/>
    <w:rsid w:val="2D097FAA"/>
    <w:rsid w:val="2D2A4CED"/>
    <w:rsid w:val="2D754826"/>
    <w:rsid w:val="2E1E5DAE"/>
    <w:rsid w:val="2E53788E"/>
    <w:rsid w:val="2F176141"/>
    <w:rsid w:val="309269AE"/>
    <w:rsid w:val="30F84323"/>
    <w:rsid w:val="31081A27"/>
    <w:rsid w:val="31A6515C"/>
    <w:rsid w:val="31FA18BD"/>
    <w:rsid w:val="31FC5D17"/>
    <w:rsid w:val="3231670E"/>
    <w:rsid w:val="32430EA3"/>
    <w:rsid w:val="34384B8F"/>
    <w:rsid w:val="34540AF1"/>
    <w:rsid w:val="34DD43D8"/>
    <w:rsid w:val="35987E32"/>
    <w:rsid w:val="35A07A01"/>
    <w:rsid w:val="35AC13CA"/>
    <w:rsid w:val="366D71CF"/>
    <w:rsid w:val="37236AE7"/>
    <w:rsid w:val="375B6BAC"/>
    <w:rsid w:val="376C5AC9"/>
    <w:rsid w:val="37A54F48"/>
    <w:rsid w:val="37D7055D"/>
    <w:rsid w:val="37F54B45"/>
    <w:rsid w:val="3836588A"/>
    <w:rsid w:val="38645D8F"/>
    <w:rsid w:val="39214F42"/>
    <w:rsid w:val="39322095"/>
    <w:rsid w:val="393E407D"/>
    <w:rsid w:val="399953AE"/>
    <w:rsid w:val="39BC7222"/>
    <w:rsid w:val="3A017404"/>
    <w:rsid w:val="3A0C6A79"/>
    <w:rsid w:val="3A154D7A"/>
    <w:rsid w:val="3B55115E"/>
    <w:rsid w:val="3B954970"/>
    <w:rsid w:val="3C0D4421"/>
    <w:rsid w:val="3C712090"/>
    <w:rsid w:val="3C894DA9"/>
    <w:rsid w:val="3C9749E1"/>
    <w:rsid w:val="3C9E715D"/>
    <w:rsid w:val="3D1607FC"/>
    <w:rsid w:val="3D5A0334"/>
    <w:rsid w:val="3D657435"/>
    <w:rsid w:val="3D7850CF"/>
    <w:rsid w:val="3D8D1C26"/>
    <w:rsid w:val="3DA55360"/>
    <w:rsid w:val="3E667925"/>
    <w:rsid w:val="3E985CDA"/>
    <w:rsid w:val="3F516B05"/>
    <w:rsid w:val="402375F9"/>
    <w:rsid w:val="407277FC"/>
    <w:rsid w:val="41C57FB5"/>
    <w:rsid w:val="4204506C"/>
    <w:rsid w:val="42061281"/>
    <w:rsid w:val="42602845"/>
    <w:rsid w:val="42B62A37"/>
    <w:rsid w:val="42D33CD5"/>
    <w:rsid w:val="43566DE0"/>
    <w:rsid w:val="43636CE5"/>
    <w:rsid w:val="436D4129"/>
    <w:rsid w:val="43946521"/>
    <w:rsid w:val="43B753A5"/>
    <w:rsid w:val="43D045A8"/>
    <w:rsid w:val="45AE7B5D"/>
    <w:rsid w:val="45E143E0"/>
    <w:rsid w:val="45F34E5C"/>
    <w:rsid w:val="466B524A"/>
    <w:rsid w:val="46CF5C1F"/>
    <w:rsid w:val="46F34946"/>
    <w:rsid w:val="471D243C"/>
    <w:rsid w:val="47347ED4"/>
    <w:rsid w:val="47456124"/>
    <w:rsid w:val="47481675"/>
    <w:rsid w:val="4776755E"/>
    <w:rsid w:val="47BC0C8B"/>
    <w:rsid w:val="48272AF9"/>
    <w:rsid w:val="483B7354"/>
    <w:rsid w:val="48A944CA"/>
    <w:rsid w:val="492C6132"/>
    <w:rsid w:val="495B5395"/>
    <w:rsid w:val="49EE0ED0"/>
    <w:rsid w:val="4A76167E"/>
    <w:rsid w:val="4A813F18"/>
    <w:rsid w:val="4AB47933"/>
    <w:rsid w:val="4AFE304E"/>
    <w:rsid w:val="4B182C41"/>
    <w:rsid w:val="4B8D35EE"/>
    <w:rsid w:val="4CE372B9"/>
    <w:rsid w:val="4CF06573"/>
    <w:rsid w:val="4D723FDD"/>
    <w:rsid w:val="4D7A784A"/>
    <w:rsid w:val="4DA22816"/>
    <w:rsid w:val="4E4D4F9C"/>
    <w:rsid w:val="4E72769B"/>
    <w:rsid w:val="4F2159BA"/>
    <w:rsid w:val="4F265B00"/>
    <w:rsid w:val="4F7800DE"/>
    <w:rsid w:val="4FA611B3"/>
    <w:rsid w:val="4FDF015D"/>
    <w:rsid w:val="501A5607"/>
    <w:rsid w:val="50493DDC"/>
    <w:rsid w:val="50D21FFA"/>
    <w:rsid w:val="50E5473E"/>
    <w:rsid w:val="5140588D"/>
    <w:rsid w:val="51573DDD"/>
    <w:rsid w:val="516C63B0"/>
    <w:rsid w:val="517F6B7B"/>
    <w:rsid w:val="5190094F"/>
    <w:rsid w:val="519F5AA2"/>
    <w:rsid w:val="51DC7EEC"/>
    <w:rsid w:val="520B0905"/>
    <w:rsid w:val="526E1486"/>
    <w:rsid w:val="527F3531"/>
    <w:rsid w:val="53052CD4"/>
    <w:rsid w:val="53650979"/>
    <w:rsid w:val="53784B50"/>
    <w:rsid w:val="53860519"/>
    <w:rsid w:val="53E333C6"/>
    <w:rsid w:val="53F45FD7"/>
    <w:rsid w:val="543A1E06"/>
    <w:rsid w:val="54593C76"/>
    <w:rsid w:val="546F6FF7"/>
    <w:rsid w:val="547559EB"/>
    <w:rsid w:val="54A60EBC"/>
    <w:rsid w:val="55930515"/>
    <w:rsid w:val="55941913"/>
    <w:rsid w:val="559C139F"/>
    <w:rsid w:val="55A244F7"/>
    <w:rsid w:val="55CA42D0"/>
    <w:rsid w:val="55E446F6"/>
    <w:rsid w:val="577469B9"/>
    <w:rsid w:val="58A70C52"/>
    <w:rsid w:val="58A90B96"/>
    <w:rsid w:val="58F21E8F"/>
    <w:rsid w:val="58F61756"/>
    <w:rsid w:val="59006D75"/>
    <w:rsid w:val="5949786A"/>
    <w:rsid w:val="59954CE6"/>
    <w:rsid w:val="59C7702F"/>
    <w:rsid w:val="5A8F05E2"/>
    <w:rsid w:val="5AD43095"/>
    <w:rsid w:val="5B176633"/>
    <w:rsid w:val="5B55302F"/>
    <w:rsid w:val="5B8E3922"/>
    <w:rsid w:val="5BE523F7"/>
    <w:rsid w:val="5C136BB0"/>
    <w:rsid w:val="5C4B60FF"/>
    <w:rsid w:val="5C6953B3"/>
    <w:rsid w:val="5C754844"/>
    <w:rsid w:val="5D39757E"/>
    <w:rsid w:val="5D3C6F10"/>
    <w:rsid w:val="5D8A58D0"/>
    <w:rsid w:val="5D8A5BAC"/>
    <w:rsid w:val="5DF23595"/>
    <w:rsid w:val="5E1029D5"/>
    <w:rsid w:val="5E1E3E46"/>
    <w:rsid w:val="5E8149E3"/>
    <w:rsid w:val="5ECE4F10"/>
    <w:rsid w:val="5EDB788E"/>
    <w:rsid w:val="5F1F0649"/>
    <w:rsid w:val="5F283A27"/>
    <w:rsid w:val="5F3F3148"/>
    <w:rsid w:val="5FEA0B84"/>
    <w:rsid w:val="603040BD"/>
    <w:rsid w:val="60CA4D3D"/>
    <w:rsid w:val="60E21587"/>
    <w:rsid w:val="61371DBF"/>
    <w:rsid w:val="618441FA"/>
    <w:rsid w:val="62036F93"/>
    <w:rsid w:val="630A0567"/>
    <w:rsid w:val="63923B0A"/>
    <w:rsid w:val="63F525EF"/>
    <w:rsid w:val="64046E46"/>
    <w:rsid w:val="6465769D"/>
    <w:rsid w:val="6483039B"/>
    <w:rsid w:val="648A6438"/>
    <w:rsid w:val="64ED7DF6"/>
    <w:rsid w:val="64F73CFE"/>
    <w:rsid w:val="651E2CBE"/>
    <w:rsid w:val="656735AD"/>
    <w:rsid w:val="65680850"/>
    <w:rsid w:val="65705BA3"/>
    <w:rsid w:val="65735178"/>
    <w:rsid w:val="65B039E9"/>
    <w:rsid w:val="65BF02DA"/>
    <w:rsid w:val="6606001D"/>
    <w:rsid w:val="66186F67"/>
    <w:rsid w:val="664C2042"/>
    <w:rsid w:val="665B137A"/>
    <w:rsid w:val="66BB373E"/>
    <w:rsid w:val="66E56698"/>
    <w:rsid w:val="67714FD1"/>
    <w:rsid w:val="67AA0AB5"/>
    <w:rsid w:val="67C021CA"/>
    <w:rsid w:val="67FC3F60"/>
    <w:rsid w:val="684B64CB"/>
    <w:rsid w:val="6904153A"/>
    <w:rsid w:val="69420AF4"/>
    <w:rsid w:val="696574CD"/>
    <w:rsid w:val="69C45FA2"/>
    <w:rsid w:val="6A7A2B04"/>
    <w:rsid w:val="6AF71ECE"/>
    <w:rsid w:val="6B867605"/>
    <w:rsid w:val="6BA5059F"/>
    <w:rsid w:val="6BA70785"/>
    <w:rsid w:val="6BFF17CA"/>
    <w:rsid w:val="6C605B4A"/>
    <w:rsid w:val="6C845956"/>
    <w:rsid w:val="6CB4376A"/>
    <w:rsid w:val="6CEE367B"/>
    <w:rsid w:val="6CF91E10"/>
    <w:rsid w:val="6D6F43ED"/>
    <w:rsid w:val="6D9305DB"/>
    <w:rsid w:val="6E296373"/>
    <w:rsid w:val="6E6F0540"/>
    <w:rsid w:val="6F320C1C"/>
    <w:rsid w:val="6F9422EA"/>
    <w:rsid w:val="6F9570EC"/>
    <w:rsid w:val="70545BA6"/>
    <w:rsid w:val="70A14871"/>
    <w:rsid w:val="70C20CF6"/>
    <w:rsid w:val="71080904"/>
    <w:rsid w:val="71A80F21"/>
    <w:rsid w:val="725526ED"/>
    <w:rsid w:val="725A34EB"/>
    <w:rsid w:val="73484244"/>
    <w:rsid w:val="73C6309F"/>
    <w:rsid w:val="73DDE939"/>
    <w:rsid w:val="742D2A54"/>
    <w:rsid w:val="746F73D5"/>
    <w:rsid w:val="755550E4"/>
    <w:rsid w:val="764F12E9"/>
    <w:rsid w:val="77337E64"/>
    <w:rsid w:val="77396EBB"/>
    <w:rsid w:val="7754162F"/>
    <w:rsid w:val="778D031B"/>
    <w:rsid w:val="77951148"/>
    <w:rsid w:val="77E60E9A"/>
    <w:rsid w:val="788B412F"/>
    <w:rsid w:val="794F59B9"/>
    <w:rsid w:val="795F767E"/>
    <w:rsid w:val="79C675D2"/>
    <w:rsid w:val="7A23598F"/>
    <w:rsid w:val="7A41266F"/>
    <w:rsid w:val="7A6B4A0F"/>
    <w:rsid w:val="7AF46434"/>
    <w:rsid w:val="7B4427BD"/>
    <w:rsid w:val="7B613354"/>
    <w:rsid w:val="7B83218C"/>
    <w:rsid w:val="7B8E4150"/>
    <w:rsid w:val="7BE03023"/>
    <w:rsid w:val="7BE31528"/>
    <w:rsid w:val="7D0C3A90"/>
    <w:rsid w:val="7D3E31C9"/>
    <w:rsid w:val="7D996BC2"/>
    <w:rsid w:val="7DFE20EE"/>
    <w:rsid w:val="7E9146BF"/>
    <w:rsid w:val="7EB13902"/>
    <w:rsid w:val="7ED05656"/>
    <w:rsid w:val="7EE44F73"/>
    <w:rsid w:val="7FA57890"/>
    <w:rsid w:val="7FA76E25"/>
    <w:rsid w:val="97ED7CA3"/>
    <w:rsid w:val="FC7FC7D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iPriority="39"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jc w:val="both"/>
    </w:pPr>
    <w:rPr>
      <w:rFonts w:ascii="等线" w:hAnsi="宋体" w:eastAsia="宋体" w:cs="等线"/>
      <w:kern w:val="2"/>
      <w:sz w:val="21"/>
      <w:szCs w:val="21"/>
      <w:lang w:val="en-US" w:eastAsia="zh-CN" w:bidi="ar-SA"/>
    </w:rPr>
  </w:style>
  <w:style w:type="paragraph" w:styleId="3">
    <w:name w:val="heading 1"/>
    <w:basedOn w:val="1"/>
    <w:next w:val="1"/>
    <w:link w:val="47"/>
    <w:qFormat/>
    <w:uiPriority w:val="99"/>
    <w:pPr>
      <w:keepNext/>
      <w:keepLines/>
      <w:spacing w:before="340" w:after="330" w:line="578" w:lineRule="auto"/>
      <w:outlineLvl w:val="0"/>
    </w:pPr>
    <w:rPr>
      <w:rFonts w:cs="Times New Roman"/>
      <w:b/>
      <w:bCs/>
      <w:kern w:val="44"/>
      <w:sz w:val="44"/>
      <w:szCs w:val="44"/>
    </w:rPr>
  </w:style>
  <w:style w:type="paragraph" w:styleId="2">
    <w:name w:val="heading 2"/>
    <w:basedOn w:val="1"/>
    <w:next w:val="1"/>
    <w:link w:val="45"/>
    <w:qFormat/>
    <w:uiPriority w:val="9"/>
    <w:pPr>
      <w:keepNext/>
      <w:keepLines/>
      <w:tabs>
        <w:tab w:val="left" w:pos="1080"/>
      </w:tabs>
      <w:spacing w:line="360" w:lineRule="auto"/>
      <w:outlineLvl w:val="1"/>
    </w:pPr>
    <w:rPr>
      <w:rFonts w:ascii="宋体" w:cs="Times New Roman"/>
      <w:kern w:val="24"/>
      <w:sz w:val="24"/>
      <w:szCs w:val="24"/>
    </w:rPr>
  </w:style>
  <w:style w:type="paragraph" w:styleId="4">
    <w:name w:val="heading 3"/>
    <w:basedOn w:val="1"/>
    <w:next w:val="1"/>
    <w:link w:val="46"/>
    <w:qFormat/>
    <w:uiPriority w:val="9"/>
    <w:pPr>
      <w:keepNext/>
      <w:keepLines/>
      <w:spacing w:after="120" w:line="360" w:lineRule="auto"/>
      <w:outlineLvl w:val="2"/>
    </w:pPr>
    <w:rPr>
      <w:rFonts w:ascii="黑体" w:eastAsia="黑体" w:cs="Times New Roman"/>
      <w:color w:val="000000"/>
      <w:kern w:val="24"/>
      <w:sz w:val="24"/>
      <w:szCs w:val="24"/>
    </w:rPr>
  </w:style>
  <w:style w:type="paragraph" w:styleId="5">
    <w:name w:val="heading 4"/>
    <w:basedOn w:val="1"/>
    <w:next w:val="1"/>
    <w:link w:val="44"/>
    <w:qFormat/>
    <w:uiPriority w:val="9"/>
    <w:pPr>
      <w:keepNext/>
      <w:keepLines/>
      <w:spacing w:before="280" w:after="290" w:line="376" w:lineRule="auto"/>
      <w:outlineLvl w:val="3"/>
    </w:pPr>
    <w:rPr>
      <w:rFonts w:ascii="Cambria" w:hAnsi="Cambria" w:cs="Times New Roman"/>
      <w:b/>
      <w:bCs/>
      <w:sz w:val="28"/>
      <w:szCs w:val="28"/>
    </w:rPr>
  </w:style>
  <w:style w:type="paragraph" w:styleId="6">
    <w:name w:val="heading 5"/>
    <w:basedOn w:val="1"/>
    <w:next w:val="7"/>
    <w:link w:val="49"/>
    <w:qFormat/>
    <w:uiPriority w:val="99"/>
    <w:pPr>
      <w:widowControl w:val="0"/>
      <w:ind w:firstLine="454"/>
      <w:outlineLvl w:val="4"/>
    </w:pPr>
    <w:rPr>
      <w:rFonts w:ascii="Calibri" w:hAnsi="Calibri" w:cs="Times New Roman"/>
    </w:rPr>
  </w:style>
  <w:style w:type="paragraph" w:styleId="7">
    <w:name w:val="heading 6"/>
    <w:basedOn w:val="1"/>
    <w:next w:val="1"/>
    <w:link w:val="57"/>
    <w:qFormat/>
    <w:uiPriority w:val="99"/>
    <w:pPr>
      <w:widowControl w:val="0"/>
      <w:ind w:firstLine="680"/>
      <w:outlineLvl w:val="5"/>
    </w:pPr>
    <w:rPr>
      <w:rFonts w:ascii="Calibri" w:hAnsi="Calibri" w:cs="Times New Roman"/>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styleId="8">
    <w:name w:val="Normal Indent"/>
    <w:basedOn w:val="1"/>
    <w:next w:val="1"/>
    <w:link w:val="58"/>
    <w:qFormat/>
    <w:uiPriority w:val="0"/>
    <w:pPr>
      <w:adjustRightInd w:val="0"/>
      <w:snapToGrid w:val="0"/>
      <w:spacing w:line="480" w:lineRule="exact"/>
      <w:ind w:firstLine="567"/>
    </w:pPr>
    <w:rPr>
      <w:rFonts w:ascii="宋体" w:cs="Times New Roman"/>
      <w:snapToGrid w:val="0"/>
      <w:color w:val="000000"/>
      <w:kern w:val="28"/>
      <w:sz w:val="28"/>
      <w:szCs w:val="20"/>
    </w:rPr>
  </w:style>
  <w:style w:type="paragraph" w:styleId="9">
    <w:name w:val="caption"/>
    <w:basedOn w:val="1"/>
    <w:next w:val="1"/>
    <w:qFormat/>
    <w:uiPriority w:val="35"/>
    <w:rPr>
      <w:rFonts w:ascii="Arial" w:hAnsi="Arial" w:eastAsia="黑体"/>
      <w:sz w:val="20"/>
    </w:rPr>
  </w:style>
  <w:style w:type="paragraph" w:styleId="10">
    <w:name w:val="Document Map"/>
    <w:basedOn w:val="1"/>
    <w:link w:val="59"/>
    <w:qFormat/>
    <w:uiPriority w:val="99"/>
    <w:pPr>
      <w:widowControl w:val="0"/>
    </w:pPr>
    <w:rPr>
      <w:rFonts w:ascii="宋体" w:hAnsi="Calibri" w:cs="Times New Roman"/>
      <w:sz w:val="18"/>
      <w:szCs w:val="18"/>
    </w:rPr>
  </w:style>
  <w:style w:type="paragraph" w:styleId="11">
    <w:name w:val="annotation text"/>
    <w:basedOn w:val="1"/>
    <w:link w:val="60"/>
    <w:qFormat/>
    <w:uiPriority w:val="99"/>
    <w:pPr>
      <w:widowControl w:val="0"/>
      <w:jc w:val="left"/>
    </w:pPr>
    <w:rPr>
      <w:rFonts w:ascii="Calibri" w:hAnsi="Calibri" w:cs="Times New Roman"/>
    </w:rPr>
  </w:style>
  <w:style w:type="paragraph" w:styleId="12">
    <w:name w:val="Body Text 3"/>
    <w:basedOn w:val="1"/>
    <w:qFormat/>
    <w:uiPriority w:val="0"/>
    <w:pPr>
      <w:snapToGrid w:val="0"/>
      <w:spacing w:before="50" w:after="50"/>
    </w:pPr>
    <w:rPr>
      <w:rFonts w:ascii="Times New Roman" w:eastAsia="仿宋_GB2312"/>
      <w:b/>
      <w:bCs/>
      <w:sz w:val="24"/>
      <w:szCs w:val="20"/>
    </w:rPr>
  </w:style>
  <w:style w:type="paragraph" w:styleId="13">
    <w:name w:val="Body Text"/>
    <w:basedOn w:val="1"/>
    <w:next w:val="14"/>
    <w:link w:val="61"/>
    <w:qFormat/>
    <w:uiPriority w:val="99"/>
    <w:pPr>
      <w:widowControl w:val="0"/>
      <w:spacing w:after="120"/>
    </w:pPr>
    <w:rPr>
      <w:rFonts w:ascii="Calibri" w:hAnsi="Calibri" w:cs="Times New Roman"/>
    </w:rPr>
  </w:style>
  <w:style w:type="paragraph" w:styleId="14">
    <w:name w:val="Body Text First Indent"/>
    <w:basedOn w:val="13"/>
    <w:next w:val="15"/>
    <w:unhideWhenUsed/>
    <w:qFormat/>
    <w:uiPriority w:val="99"/>
    <w:pPr>
      <w:ind w:firstLine="420" w:firstLineChars="100"/>
    </w:pPr>
    <w:rPr>
      <w:szCs w:val="22"/>
    </w:rPr>
  </w:style>
  <w:style w:type="paragraph" w:styleId="15">
    <w:name w:val="toc 6"/>
    <w:basedOn w:val="1"/>
    <w:next w:val="1"/>
    <w:qFormat/>
    <w:uiPriority w:val="0"/>
    <w:pPr>
      <w:ind w:left="2100" w:leftChars="1000"/>
    </w:pPr>
  </w:style>
  <w:style w:type="paragraph" w:styleId="16">
    <w:name w:val="Body Text Indent"/>
    <w:basedOn w:val="1"/>
    <w:next w:val="17"/>
    <w:link w:val="55"/>
    <w:qFormat/>
    <w:uiPriority w:val="99"/>
    <w:pPr>
      <w:widowControl w:val="0"/>
      <w:spacing w:after="120"/>
      <w:ind w:left="420" w:leftChars="200"/>
    </w:pPr>
    <w:rPr>
      <w:rFonts w:ascii="Calibri" w:hAnsi="Calibri" w:cs="Times New Roman"/>
    </w:rPr>
  </w:style>
  <w:style w:type="paragraph" w:styleId="17">
    <w:name w:val="Body Text First Indent 2"/>
    <w:basedOn w:val="16"/>
    <w:next w:val="18"/>
    <w:link w:val="56"/>
    <w:qFormat/>
    <w:uiPriority w:val="99"/>
    <w:pPr>
      <w:ind w:firstLine="420" w:firstLineChars="200"/>
    </w:pPr>
  </w:style>
  <w:style w:type="paragraph" w:customStyle="1" w:styleId="18">
    <w:name w:val="xl53"/>
    <w:basedOn w:val="1"/>
    <w:next w:val="1"/>
    <w:qFormat/>
    <w:uiPriority w:val="0"/>
    <w:pPr>
      <w:spacing w:before="280" w:after="280" w:line="100" w:lineRule="exact"/>
      <w:jc w:val="center"/>
    </w:pPr>
    <w:rPr>
      <w:b/>
      <w:sz w:val="20"/>
    </w:rPr>
  </w:style>
  <w:style w:type="paragraph" w:styleId="19">
    <w:name w:val="List Bullet 2"/>
    <w:basedOn w:val="1"/>
    <w:next w:val="20"/>
    <w:semiHidden/>
    <w:unhideWhenUsed/>
    <w:qFormat/>
    <w:uiPriority w:val="0"/>
    <w:pPr>
      <w:numPr>
        <w:ilvl w:val="0"/>
        <w:numId w:val="1"/>
      </w:numPr>
    </w:pPr>
  </w:style>
  <w:style w:type="paragraph" w:customStyle="1" w:styleId="20">
    <w:name w:val="Body Text 21"/>
    <w:basedOn w:val="1"/>
    <w:next w:val="1"/>
    <w:qFormat/>
    <w:uiPriority w:val="0"/>
    <w:pPr>
      <w:spacing w:line="300" w:lineRule="auto"/>
      <w:ind w:firstLine="5120"/>
      <w:jc w:val="center"/>
    </w:pPr>
    <w:rPr>
      <w:rFonts w:ascii="宋体" w:hAnsi="Times New Roman" w:cs="Times New Roman"/>
    </w:rPr>
  </w:style>
  <w:style w:type="paragraph" w:styleId="21">
    <w:name w:val="Plain Text"/>
    <w:basedOn w:val="1"/>
    <w:next w:val="1"/>
    <w:link w:val="62"/>
    <w:qFormat/>
    <w:uiPriority w:val="0"/>
    <w:pPr>
      <w:widowControl w:val="0"/>
    </w:pPr>
    <w:rPr>
      <w:rFonts w:ascii="宋体" w:hAnsi="Courier New" w:cs="Times New Roman"/>
    </w:rPr>
  </w:style>
  <w:style w:type="paragraph" w:styleId="22">
    <w:name w:val="Date"/>
    <w:basedOn w:val="1"/>
    <w:next w:val="1"/>
    <w:qFormat/>
    <w:uiPriority w:val="0"/>
    <w:pPr>
      <w:ind w:left="2500" w:leftChars="2500"/>
    </w:pPr>
    <w:rPr>
      <w:rFonts w:eastAsia="楷体_GB2312"/>
      <w:sz w:val="32"/>
      <w:szCs w:val="20"/>
    </w:rPr>
  </w:style>
  <w:style w:type="paragraph" w:styleId="23">
    <w:name w:val="Body Text Indent 2"/>
    <w:basedOn w:val="1"/>
    <w:next w:val="24"/>
    <w:qFormat/>
    <w:uiPriority w:val="0"/>
    <w:pPr>
      <w:widowControl w:val="0"/>
      <w:spacing w:after="120" w:line="480" w:lineRule="auto"/>
      <w:ind w:left="420" w:firstLine="3584"/>
    </w:pPr>
    <w:rPr>
      <w:rFonts w:ascii="Times New Roman" w:hAnsi="Times New Roman" w:cs="Times New Roman"/>
    </w:rPr>
  </w:style>
  <w:style w:type="paragraph" w:styleId="24">
    <w:name w:val="toc 1"/>
    <w:basedOn w:val="1"/>
    <w:next w:val="1"/>
    <w:qFormat/>
    <w:uiPriority w:val="0"/>
    <w:pPr>
      <w:widowControl w:val="0"/>
      <w:ind w:firstLine="3584"/>
    </w:pPr>
    <w:rPr>
      <w:rFonts w:ascii="Times New Roman" w:hAnsi="Times New Roman" w:cs="Times New Roman"/>
    </w:rPr>
  </w:style>
  <w:style w:type="paragraph" w:styleId="25">
    <w:name w:val="Balloon Text"/>
    <w:basedOn w:val="1"/>
    <w:link w:val="63"/>
    <w:qFormat/>
    <w:uiPriority w:val="99"/>
    <w:pPr>
      <w:widowControl w:val="0"/>
    </w:pPr>
    <w:rPr>
      <w:rFonts w:ascii="Calibri" w:hAnsi="Calibri" w:cs="Times New Roman"/>
      <w:sz w:val="18"/>
      <w:szCs w:val="18"/>
    </w:rPr>
  </w:style>
  <w:style w:type="paragraph" w:styleId="26">
    <w:name w:val="footer"/>
    <w:basedOn w:val="1"/>
    <w:next w:val="1"/>
    <w:link w:val="64"/>
    <w:qFormat/>
    <w:uiPriority w:val="99"/>
    <w:pPr>
      <w:tabs>
        <w:tab w:val="center" w:pos="4153"/>
        <w:tab w:val="right" w:pos="8306"/>
      </w:tabs>
      <w:snapToGrid w:val="0"/>
      <w:jc w:val="left"/>
    </w:pPr>
    <w:rPr>
      <w:rFonts w:cs="Times New Roman"/>
      <w:sz w:val="18"/>
      <w:szCs w:val="18"/>
    </w:rPr>
  </w:style>
  <w:style w:type="paragraph" w:styleId="27">
    <w:name w:val="envelope return"/>
    <w:basedOn w:val="1"/>
    <w:qFormat/>
    <w:uiPriority w:val="0"/>
    <w:pPr>
      <w:snapToGrid w:val="0"/>
    </w:pPr>
    <w:rPr>
      <w:rFonts w:ascii="Arial" w:hAnsi="Arial" w:cs="Arial"/>
    </w:rPr>
  </w:style>
  <w:style w:type="paragraph" w:styleId="28">
    <w:name w:val="header"/>
    <w:basedOn w:val="1"/>
    <w:next w:val="23"/>
    <w:link w:val="65"/>
    <w:qFormat/>
    <w:uiPriority w:val="99"/>
    <w:pPr>
      <w:widowControl w:val="0"/>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29">
    <w:name w:val="Body Text Indent 3"/>
    <w:basedOn w:val="1"/>
    <w:qFormat/>
    <w:uiPriority w:val="0"/>
    <w:pPr>
      <w:snapToGrid w:val="0"/>
      <w:ind w:firstLine="480" w:firstLineChars="200"/>
      <w:jc w:val="left"/>
    </w:pPr>
    <w:rPr>
      <w:rFonts w:ascii="仿宋_GB2312" w:eastAsia="仿宋_GB2312"/>
      <w:color w:val="000000"/>
      <w:sz w:val="24"/>
      <w:szCs w:val="24"/>
    </w:rPr>
  </w:style>
  <w:style w:type="paragraph" w:styleId="30">
    <w:name w:val="toc 2"/>
    <w:basedOn w:val="1"/>
    <w:next w:val="1"/>
    <w:unhideWhenUsed/>
    <w:qFormat/>
    <w:uiPriority w:val="39"/>
    <w:pPr>
      <w:jc w:val="left"/>
    </w:pPr>
  </w:style>
  <w:style w:type="paragraph" w:styleId="31">
    <w:name w:val="Body Text 2"/>
    <w:basedOn w:val="1"/>
    <w:qFormat/>
    <w:uiPriority w:val="0"/>
    <w:rPr>
      <w:rFonts w:ascii="宋体" w:hAnsi="Times New Roman" w:cs="Times New Roman"/>
      <w:color w:val="000000"/>
      <w:sz w:val="28"/>
    </w:rPr>
  </w:style>
  <w:style w:type="paragraph" w:styleId="32">
    <w:name w:val="HTML Preformatted"/>
    <w:basedOn w:val="1"/>
    <w:link w:val="66"/>
    <w:qFormat/>
    <w:uiPriority w:val="99"/>
    <w:pPr>
      <w:widowControl w:val="0"/>
    </w:pPr>
    <w:rPr>
      <w:rFonts w:ascii="Courier New" w:hAnsi="Courier New" w:cs="Times New Roman"/>
      <w:sz w:val="20"/>
      <w:szCs w:val="20"/>
    </w:rPr>
  </w:style>
  <w:style w:type="paragraph" w:styleId="33">
    <w:name w:val="Normal (Web)"/>
    <w:basedOn w:val="1"/>
    <w:qFormat/>
    <w:uiPriority w:val="0"/>
    <w:pPr>
      <w:widowControl w:val="0"/>
    </w:pPr>
    <w:rPr>
      <w:rFonts w:ascii="Calibri" w:hAnsi="Calibri" w:cs="Calibri"/>
      <w:sz w:val="24"/>
      <w:szCs w:val="24"/>
    </w:rPr>
  </w:style>
  <w:style w:type="paragraph" w:styleId="34">
    <w:name w:val="Title"/>
    <w:basedOn w:val="1"/>
    <w:next w:val="1"/>
    <w:qFormat/>
    <w:uiPriority w:val="0"/>
    <w:pPr>
      <w:spacing w:line="520" w:lineRule="exact"/>
      <w:jc w:val="center"/>
      <w:outlineLvl w:val="3"/>
    </w:pPr>
    <w:rPr>
      <w:rFonts w:ascii="Cambria" w:hAnsi="Cambria"/>
      <w:b/>
      <w:bCs/>
      <w:kern w:val="0"/>
      <w:sz w:val="28"/>
      <w:szCs w:val="32"/>
    </w:rPr>
  </w:style>
  <w:style w:type="paragraph" w:styleId="35">
    <w:name w:val="annotation subject"/>
    <w:basedOn w:val="11"/>
    <w:next w:val="11"/>
    <w:link w:val="67"/>
    <w:qFormat/>
    <w:uiPriority w:val="99"/>
    <w:rPr>
      <w:b/>
      <w:bCs/>
    </w:rPr>
  </w:style>
  <w:style w:type="table" w:styleId="37">
    <w:name w:val="Table Grid"/>
    <w:basedOn w:val="36"/>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9">
    <w:name w:val="Strong"/>
    <w:qFormat/>
    <w:uiPriority w:val="99"/>
    <w:rPr>
      <w:b/>
      <w:bCs/>
    </w:rPr>
  </w:style>
  <w:style w:type="character" w:styleId="40">
    <w:name w:val="page number"/>
    <w:basedOn w:val="38"/>
    <w:qFormat/>
    <w:uiPriority w:val="99"/>
  </w:style>
  <w:style w:type="character" w:styleId="41">
    <w:name w:val="Emphasis"/>
    <w:qFormat/>
    <w:uiPriority w:val="20"/>
    <w:rPr>
      <w:rFonts w:eastAsia="黑体"/>
      <w:color w:val="auto"/>
    </w:rPr>
  </w:style>
  <w:style w:type="character" w:styleId="42">
    <w:name w:val="Hyperlink"/>
    <w:qFormat/>
    <w:uiPriority w:val="99"/>
    <w:rPr>
      <w:color w:val="0000FF"/>
      <w:u w:val="single"/>
    </w:rPr>
  </w:style>
  <w:style w:type="character" w:styleId="43">
    <w:name w:val="annotation reference"/>
    <w:basedOn w:val="38"/>
    <w:qFormat/>
    <w:uiPriority w:val="99"/>
    <w:rPr>
      <w:sz w:val="21"/>
      <w:szCs w:val="21"/>
    </w:rPr>
  </w:style>
  <w:style w:type="character" w:customStyle="1" w:styleId="44">
    <w:name w:val="标题 4 字符"/>
    <w:link w:val="5"/>
    <w:qFormat/>
    <w:uiPriority w:val="9"/>
    <w:rPr>
      <w:rFonts w:ascii="Cambria" w:hAnsi="Cambria"/>
      <w:b/>
      <w:bCs/>
      <w:kern w:val="2"/>
      <w:sz w:val="28"/>
      <w:szCs w:val="28"/>
    </w:rPr>
  </w:style>
  <w:style w:type="character" w:customStyle="1" w:styleId="45">
    <w:name w:val="标题 2 字符"/>
    <w:link w:val="2"/>
    <w:qFormat/>
    <w:locked/>
    <w:uiPriority w:val="9"/>
    <w:rPr>
      <w:rFonts w:ascii="宋体" w:hAnsi="宋体" w:cs="宋体"/>
      <w:kern w:val="24"/>
      <w:sz w:val="24"/>
      <w:szCs w:val="24"/>
    </w:rPr>
  </w:style>
  <w:style w:type="character" w:customStyle="1" w:styleId="46">
    <w:name w:val="标题 3 字符"/>
    <w:link w:val="4"/>
    <w:qFormat/>
    <w:locked/>
    <w:uiPriority w:val="9"/>
    <w:rPr>
      <w:rFonts w:ascii="黑体" w:hAnsi="宋体" w:eastAsia="黑体" w:cs="黑体"/>
      <w:color w:val="000000"/>
      <w:kern w:val="24"/>
      <w:sz w:val="24"/>
      <w:szCs w:val="24"/>
    </w:rPr>
  </w:style>
  <w:style w:type="character" w:customStyle="1" w:styleId="47">
    <w:name w:val="标题 1 字符"/>
    <w:link w:val="3"/>
    <w:qFormat/>
    <w:locked/>
    <w:uiPriority w:val="99"/>
    <w:rPr>
      <w:rFonts w:ascii="等线" w:hAnsi="宋体" w:cs="等线"/>
      <w:b/>
      <w:bCs/>
      <w:kern w:val="44"/>
      <w:sz w:val="44"/>
      <w:szCs w:val="44"/>
    </w:rPr>
  </w:style>
  <w:style w:type="paragraph" w:customStyle="1" w:styleId="4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49">
    <w:name w:val="标题 5 字符"/>
    <w:link w:val="6"/>
    <w:qFormat/>
    <w:uiPriority w:val="99"/>
    <w:rPr>
      <w:rFonts w:ascii="Calibri" w:hAnsi="Calibri" w:cs="Calibri"/>
      <w:kern w:val="2"/>
      <w:sz w:val="21"/>
      <w:szCs w:val="21"/>
    </w:rPr>
  </w:style>
  <w:style w:type="paragraph" w:customStyle="1" w:styleId="50">
    <w:name w:val="正文1"/>
    <w:basedOn w:val="1"/>
    <w:qFormat/>
    <w:uiPriority w:val="0"/>
    <w:pPr>
      <w:widowControl w:val="0"/>
      <w:adjustRightInd w:val="0"/>
      <w:spacing w:line="318" w:lineRule="atLeast"/>
      <w:ind w:left="369" w:firstLine="369"/>
      <w:textAlignment w:val="baseline"/>
    </w:pPr>
    <w:rPr>
      <w:rFonts w:ascii="宋体" w:hAnsi="Times New Roman" w:cs="Times New Roman"/>
      <w:szCs w:val="20"/>
    </w:rPr>
  </w:style>
  <w:style w:type="paragraph" w:customStyle="1" w:styleId="51">
    <w:name w:val="样式 表格正文 + 两端对齐"/>
    <w:basedOn w:val="1"/>
    <w:next w:val="52"/>
    <w:qFormat/>
    <w:uiPriority w:val="99"/>
    <w:pPr>
      <w:spacing w:line="300" w:lineRule="auto"/>
    </w:pPr>
    <w:rPr>
      <w:sz w:val="24"/>
    </w:rPr>
  </w:style>
  <w:style w:type="paragraph" w:customStyle="1" w:styleId="52">
    <w:name w:val="正文11"/>
    <w:basedOn w:val="1"/>
    <w:next w:val="1"/>
    <w:qFormat/>
    <w:uiPriority w:val="0"/>
    <w:pPr>
      <w:tabs>
        <w:tab w:val="left" w:pos="1980"/>
        <w:tab w:val="left" w:pos="2160"/>
      </w:tabs>
      <w:spacing w:line="360" w:lineRule="auto"/>
      <w:ind w:left="2160"/>
    </w:pPr>
    <w:rPr>
      <w:rFonts w:ascii="宋体"/>
    </w:rPr>
  </w:style>
  <w:style w:type="paragraph" w:customStyle="1" w:styleId="53">
    <w:name w:val="Default"/>
    <w:next w:val="5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55">
    <w:name w:val="正文文本缩进 字符"/>
    <w:link w:val="16"/>
    <w:qFormat/>
    <w:locked/>
    <w:uiPriority w:val="99"/>
    <w:rPr>
      <w:rFonts w:ascii="Calibri" w:hAnsi="Calibri" w:cs="Calibri"/>
      <w:kern w:val="2"/>
      <w:sz w:val="21"/>
      <w:szCs w:val="21"/>
    </w:rPr>
  </w:style>
  <w:style w:type="character" w:customStyle="1" w:styleId="56">
    <w:name w:val="正文文本首行缩进 2 字符"/>
    <w:link w:val="17"/>
    <w:qFormat/>
    <w:locked/>
    <w:uiPriority w:val="99"/>
    <w:rPr>
      <w:rFonts w:ascii="Calibri" w:hAnsi="Calibri" w:cs="Calibri"/>
      <w:kern w:val="2"/>
      <w:sz w:val="21"/>
      <w:szCs w:val="21"/>
    </w:rPr>
  </w:style>
  <w:style w:type="character" w:customStyle="1" w:styleId="57">
    <w:name w:val="标题 6 字符"/>
    <w:link w:val="7"/>
    <w:qFormat/>
    <w:uiPriority w:val="99"/>
    <w:rPr>
      <w:rFonts w:ascii="Calibri" w:hAnsi="Calibri" w:cs="Calibri"/>
      <w:kern w:val="2"/>
      <w:sz w:val="21"/>
      <w:szCs w:val="21"/>
    </w:rPr>
  </w:style>
  <w:style w:type="character" w:customStyle="1" w:styleId="58">
    <w:name w:val="正文缩进 字符"/>
    <w:link w:val="8"/>
    <w:qFormat/>
    <w:uiPriority w:val="0"/>
    <w:rPr>
      <w:rFonts w:ascii="宋体" w:hAnsi="宋体"/>
      <w:snapToGrid w:val="0"/>
      <w:color w:val="000000"/>
      <w:kern w:val="28"/>
      <w:sz w:val="28"/>
    </w:rPr>
  </w:style>
  <w:style w:type="character" w:customStyle="1" w:styleId="59">
    <w:name w:val="文档结构图 字符"/>
    <w:link w:val="10"/>
    <w:qFormat/>
    <w:uiPriority w:val="99"/>
    <w:rPr>
      <w:rFonts w:ascii="宋体" w:hAnsi="Calibri" w:cs="宋体"/>
      <w:kern w:val="2"/>
      <w:sz w:val="18"/>
      <w:szCs w:val="18"/>
    </w:rPr>
  </w:style>
  <w:style w:type="character" w:customStyle="1" w:styleId="60">
    <w:name w:val="批注文字 字符"/>
    <w:link w:val="11"/>
    <w:qFormat/>
    <w:uiPriority w:val="99"/>
    <w:rPr>
      <w:rFonts w:ascii="Calibri" w:hAnsi="Calibri" w:cs="Calibri"/>
      <w:kern w:val="2"/>
      <w:sz w:val="21"/>
      <w:szCs w:val="21"/>
    </w:rPr>
  </w:style>
  <w:style w:type="character" w:customStyle="1" w:styleId="61">
    <w:name w:val="正文文本 字符"/>
    <w:link w:val="13"/>
    <w:qFormat/>
    <w:uiPriority w:val="99"/>
    <w:rPr>
      <w:rFonts w:ascii="Calibri" w:hAnsi="Calibri" w:cs="Calibri"/>
      <w:kern w:val="2"/>
      <w:sz w:val="21"/>
      <w:szCs w:val="21"/>
    </w:rPr>
  </w:style>
  <w:style w:type="character" w:customStyle="1" w:styleId="62">
    <w:name w:val="纯文本 字符"/>
    <w:link w:val="21"/>
    <w:qFormat/>
    <w:locked/>
    <w:uiPriority w:val="0"/>
    <w:rPr>
      <w:rFonts w:ascii="宋体" w:hAnsi="Courier New" w:cs="宋体"/>
      <w:kern w:val="2"/>
      <w:sz w:val="21"/>
      <w:szCs w:val="21"/>
    </w:rPr>
  </w:style>
  <w:style w:type="character" w:customStyle="1" w:styleId="63">
    <w:name w:val="批注框文本 字符"/>
    <w:link w:val="25"/>
    <w:qFormat/>
    <w:uiPriority w:val="99"/>
    <w:rPr>
      <w:rFonts w:ascii="Calibri" w:hAnsi="Calibri" w:cs="Calibri"/>
      <w:kern w:val="2"/>
      <w:sz w:val="18"/>
      <w:szCs w:val="18"/>
    </w:rPr>
  </w:style>
  <w:style w:type="character" w:customStyle="1" w:styleId="64">
    <w:name w:val="页脚 字符"/>
    <w:link w:val="26"/>
    <w:qFormat/>
    <w:uiPriority w:val="99"/>
    <w:rPr>
      <w:rFonts w:ascii="等线" w:hAnsi="宋体" w:cs="等线"/>
      <w:kern w:val="2"/>
      <w:sz w:val="18"/>
      <w:szCs w:val="18"/>
    </w:rPr>
  </w:style>
  <w:style w:type="character" w:customStyle="1" w:styleId="65">
    <w:name w:val="页眉 字符"/>
    <w:link w:val="28"/>
    <w:qFormat/>
    <w:locked/>
    <w:uiPriority w:val="99"/>
    <w:rPr>
      <w:rFonts w:ascii="Calibri" w:hAnsi="Calibri" w:cs="Calibri"/>
      <w:kern w:val="2"/>
      <w:sz w:val="18"/>
      <w:szCs w:val="18"/>
    </w:rPr>
  </w:style>
  <w:style w:type="character" w:customStyle="1" w:styleId="66">
    <w:name w:val="HTML 预设格式 字符"/>
    <w:link w:val="32"/>
    <w:qFormat/>
    <w:uiPriority w:val="99"/>
    <w:rPr>
      <w:rFonts w:ascii="Courier New" w:hAnsi="Courier New" w:cs="Courier New"/>
      <w:kern w:val="2"/>
    </w:rPr>
  </w:style>
  <w:style w:type="character" w:customStyle="1" w:styleId="67">
    <w:name w:val="批注主题 字符"/>
    <w:link w:val="35"/>
    <w:qFormat/>
    <w:uiPriority w:val="99"/>
    <w:rPr>
      <w:rFonts w:ascii="Calibri" w:hAnsi="Calibri" w:cs="Calibri"/>
      <w:b/>
      <w:bCs/>
      <w:kern w:val="2"/>
      <w:sz w:val="21"/>
      <w:szCs w:val="21"/>
    </w:rPr>
  </w:style>
  <w:style w:type="character" w:customStyle="1" w:styleId="68">
    <w:name w:val="font51"/>
    <w:basedOn w:val="38"/>
    <w:qFormat/>
    <w:uiPriority w:val="99"/>
    <w:rPr>
      <w:rFonts w:ascii="宋体" w:hAnsi="宋体" w:eastAsia="宋体" w:cs="宋体"/>
      <w:color w:val="000000"/>
      <w:sz w:val="20"/>
      <w:szCs w:val="20"/>
      <w:u w:val="none"/>
    </w:rPr>
  </w:style>
  <w:style w:type="character" w:customStyle="1" w:styleId="69">
    <w:name w:val="font61"/>
    <w:basedOn w:val="38"/>
    <w:qFormat/>
    <w:uiPriority w:val="99"/>
    <w:rPr>
      <w:rFonts w:ascii="宋体" w:hAnsi="宋体" w:eastAsia="宋体" w:cs="宋体"/>
      <w:color w:val="7030A0"/>
      <w:sz w:val="20"/>
      <w:szCs w:val="20"/>
      <w:u w:val="none"/>
    </w:rPr>
  </w:style>
  <w:style w:type="character" w:customStyle="1" w:styleId="70">
    <w:name w:val="large1"/>
    <w:qFormat/>
    <w:uiPriority w:val="99"/>
    <w:rPr>
      <w:rFonts w:ascii="宋体" w:hAnsi="宋体" w:eastAsia="宋体" w:cs="宋体"/>
      <w:sz w:val="21"/>
      <w:szCs w:val="21"/>
    </w:rPr>
  </w:style>
  <w:style w:type="character" w:customStyle="1" w:styleId="71">
    <w:name w:val="不明显强调1"/>
    <w:qFormat/>
    <w:uiPriority w:val="99"/>
    <w:rPr>
      <w:i/>
      <w:iCs/>
      <w:color w:val="auto"/>
    </w:rPr>
  </w:style>
  <w:style w:type="character" w:customStyle="1" w:styleId="72">
    <w:name w:val="font71"/>
    <w:basedOn w:val="38"/>
    <w:qFormat/>
    <w:uiPriority w:val="99"/>
    <w:rPr>
      <w:rFonts w:ascii="宋体" w:hAnsi="宋体" w:eastAsia="宋体" w:cs="宋体"/>
      <w:color w:val="000000"/>
      <w:sz w:val="18"/>
      <w:szCs w:val="18"/>
      <w:u w:val="none"/>
    </w:rPr>
  </w:style>
  <w:style w:type="character" w:customStyle="1" w:styleId="73">
    <w:name w:val="font41"/>
    <w:basedOn w:val="38"/>
    <w:qFormat/>
    <w:uiPriority w:val="99"/>
    <w:rPr>
      <w:rFonts w:ascii="Calibri" w:hAnsi="Calibri" w:cs="Calibri"/>
      <w:color w:val="000000"/>
      <w:sz w:val="18"/>
      <w:szCs w:val="18"/>
      <w:u w:val="none"/>
    </w:rPr>
  </w:style>
  <w:style w:type="character" w:customStyle="1" w:styleId="74">
    <w:name w:val="font11"/>
    <w:basedOn w:val="38"/>
    <w:qFormat/>
    <w:uiPriority w:val="99"/>
    <w:rPr>
      <w:rFonts w:ascii="宋体" w:hAnsi="宋体" w:eastAsia="宋体" w:cs="宋体"/>
      <w:color w:val="000000"/>
      <w:sz w:val="22"/>
      <w:szCs w:val="22"/>
      <w:u w:val="none"/>
    </w:rPr>
  </w:style>
  <w:style w:type="character" w:customStyle="1" w:styleId="75">
    <w:name w:val="font131"/>
    <w:qFormat/>
    <w:uiPriority w:val="99"/>
    <w:rPr>
      <w:rFonts w:ascii="等线" w:hAnsi="等线" w:eastAsia="等线" w:cs="等线"/>
      <w:color w:val="FF0000"/>
      <w:sz w:val="22"/>
      <w:szCs w:val="22"/>
      <w:u w:val="none"/>
    </w:rPr>
  </w:style>
  <w:style w:type="character" w:customStyle="1" w:styleId="76">
    <w:name w:val="font161"/>
    <w:basedOn w:val="38"/>
    <w:qFormat/>
    <w:uiPriority w:val="99"/>
    <w:rPr>
      <w:rFonts w:ascii="宋体" w:hAnsi="宋体" w:eastAsia="宋体" w:cs="宋体"/>
      <w:color w:val="000000"/>
      <w:sz w:val="20"/>
      <w:szCs w:val="20"/>
      <w:u w:val="none"/>
    </w:rPr>
  </w:style>
  <w:style w:type="character" w:customStyle="1" w:styleId="77">
    <w:name w:val="！正文（四号字） Char"/>
    <w:link w:val="78"/>
    <w:qFormat/>
    <w:uiPriority w:val="0"/>
    <w:rPr>
      <w:sz w:val="24"/>
      <w:szCs w:val="28"/>
      <w:lang w:val="en-US" w:eastAsia="zh-CN" w:bidi="ar-SA"/>
    </w:rPr>
  </w:style>
  <w:style w:type="paragraph" w:customStyle="1" w:styleId="78">
    <w:name w:val="！正文（四号字）"/>
    <w:link w:val="77"/>
    <w:qFormat/>
    <w:locked/>
    <w:uiPriority w:val="0"/>
    <w:pPr>
      <w:snapToGrid w:val="0"/>
      <w:spacing w:line="360" w:lineRule="auto"/>
      <w:ind w:firstLine="200" w:firstLineChars="200"/>
      <w:jc w:val="both"/>
    </w:pPr>
    <w:rPr>
      <w:rFonts w:ascii="Times New Roman" w:hAnsi="Times New Roman" w:eastAsia="宋体" w:cs="Times New Roman"/>
      <w:sz w:val="24"/>
      <w:szCs w:val="28"/>
      <w:lang w:val="en-US" w:eastAsia="zh-CN" w:bidi="ar-SA"/>
    </w:rPr>
  </w:style>
  <w:style w:type="character" w:customStyle="1" w:styleId="79">
    <w:name w:val="font141"/>
    <w:qFormat/>
    <w:uiPriority w:val="99"/>
    <w:rPr>
      <w:rFonts w:ascii="宋体" w:hAnsi="宋体" w:eastAsia="宋体" w:cs="宋体"/>
      <w:color w:val="000000"/>
      <w:sz w:val="20"/>
      <w:szCs w:val="20"/>
      <w:u w:val="none"/>
    </w:rPr>
  </w:style>
  <w:style w:type="character" w:customStyle="1" w:styleId="80">
    <w:name w:val="font171"/>
    <w:basedOn w:val="38"/>
    <w:qFormat/>
    <w:uiPriority w:val="99"/>
    <w:rPr>
      <w:rFonts w:ascii="font-weight : 400" w:hAnsi="font-weight : 400" w:cs="font-weight : 400"/>
      <w:color w:val="000000"/>
      <w:sz w:val="20"/>
      <w:szCs w:val="20"/>
      <w:u w:val="none"/>
    </w:rPr>
  </w:style>
  <w:style w:type="character" w:customStyle="1" w:styleId="81">
    <w:name w:val="font01"/>
    <w:basedOn w:val="38"/>
    <w:qFormat/>
    <w:uiPriority w:val="99"/>
    <w:rPr>
      <w:rFonts w:ascii="宋体" w:hAnsi="宋体" w:eastAsia="宋体" w:cs="宋体"/>
      <w:color w:val="000000"/>
      <w:sz w:val="20"/>
      <w:szCs w:val="20"/>
      <w:u w:val="none"/>
    </w:rPr>
  </w:style>
  <w:style w:type="character" w:customStyle="1" w:styleId="82">
    <w:name w:val="font151"/>
    <w:basedOn w:val="38"/>
    <w:qFormat/>
    <w:uiPriority w:val="99"/>
    <w:rPr>
      <w:rFonts w:ascii="宋体" w:hAnsi="宋体" w:eastAsia="宋体" w:cs="宋体"/>
      <w:color w:val="000000"/>
      <w:sz w:val="20"/>
      <w:szCs w:val="20"/>
      <w:u w:val="none"/>
    </w:rPr>
  </w:style>
  <w:style w:type="character" w:customStyle="1" w:styleId="83">
    <w:name w:val="font21"/>
    <w:basedOn w:val="38"/>
    <w:qFormat/>
    <w:uiPriority w:val="99"/>
    <w:rPr>
      <w:rFonts w:ascii="宋体" w:hAnsi="宋体" w:eastAsia="宋体" w:cs="宋体"/>
      <w:color w:val="000000"/>
      <w:sz w:val="22"/>
      <w:szCs w:val="22"/>
      <w:u w:val="none"/>
    </w:rPr>
  </w:style>
  <w:style w:type="character" w:customStyle="1" w:styleId="84">
    <w:name w:val="font31"/>
    <w:basedOn w:val="38"/>
    <w:qFormat/>
    <w:uiPriority w:val="99"/>
    <w:rPr>
      <w:rFonts w:ascii="宋体" w:hAnsi="宋体" w:eastAsia="宋体" w:cs="宋体"/>
      <w:color w:val="000000"/>
      <w:sz w:val="24"/>
      <w:szCs w:val="24"/>
      <w:u w:val="none"/>
    </w:rPr>
  </w:style>
  <w:style w:type="paragraph" w:customStyle="1" w:styleId="85">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86">
    <w:name w:val="xl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87">
    <w:name w:val="bg正文"/>
    <w:basedOn w:val="1"/>
    <w:qFormat/>
    <w:uiPriority w:val="0"/>
    <w:pPr>
      <w:spacing w:line="360" w:lineRule="auto"/>
      <w:jc w:val="left"/>
    </w:pPr>
    <w:rPr>
      <w:rFonts w:ascii="仿宋" w:eastAsia="仿宋" w:cs="Times New Roman"/>
      <w:sz w:val="28"/>
      <w:szCs w:val="28"/>
    </w:rPr>
  </w:style>
  <w:style w:type="paragraph" w:customStyle="1" w:styleId="88">
    <w:name w:val="列出段落11"/>
    <w:basedOn w:val="1"/>
    <w:qFormat/>
    <w:uiPriority w:val="99"/>
    <w:pPr>
      <w:widowControl w:val="0"/>
      <w:ind w:firstLine="420" w:firstLineChars="200"/>
    </w:pPr>
    <w:rPr>
      <w:rFonts w:ascii="Calibri" w:hAnsi="Calibri" w:cs="Calibri"/>
    </w:rPr>
  </w:style>
  <w:style w:type="paragraph" w:customStyle="1" w:styleId="89">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0">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91">
    <w:name w:val="xl85"/>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92">
    <w:name w:val="xl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93">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94">
    <w:name w:val="xl93"/>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5">
    <w:name w:val="正文2"/>
    <w:basedOn w:val="1"/>
    <w:qFormat/>
    <w:uiPriority w:val="99"/>
    <w:pPr>
      <w:widowControl w:val="0"/>
      <w:spacing w:before="156" w:line="360" w:lineRule="auto"/>
      <w:ind w:firstLine="510" w:firstLineChars="200"/>
    </w:pPr>
    <w:rPr>
      <w:rFonts w:ascii="Calibri" w:hAnsi="Calibri" w:cs="Calibri"/>
      <w:sz w:val="24"/>
      <w:szCs w:val="24"/>
    </w:rPr>
  </w:style>
  <w:style w:type="paragraph" w:customStyle="1" w:styleId="96">
    <w:name w:val="xl90"/>
    <w:basedOn w:val="1"/>
    <w:qFormat/>
    <w:uiPriority w:val="0"/>
    <w:pPr>
      <w:pBdr>
        <w:top w:val="single" w:color="auto" w:sz="4" w:space="0"/>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7">
    <w:name w:val="xl94"/>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98">
    <w:name w:val="xl91"/>
    <w:basedOn w:val="1"/>
    <w:qFormat/>
    <w:uiPriority w:val="0"/>
    <w:pPr>
      <w:pBdr>
        <w:left w:val="single" w:color="auto" w:sz="4" w:space="0"/>
        <w:right w:val="single" w:color="auto" w:sz="4" w:space="0"/>
      </w:pBdr>
      <w:spacing w:before="100" w:beforeAutospacing="1" w:after="100" w:afterAutospacing="1"/>
      <w:jc w:val="right"/>
      <w:textAlignment w:val="center"/>
    </w:pPr>
    <w:rPr>
      <w:rFonts w:ascii="宋体" w:cs="宋体"/>
      <w:kern w:val="0"/>
      <w:sz w:val="20"/>
      <w:szCs w:val="20"/>
    </w:rPr>
  </w:style>
  <w:style w:type="paragraph" w:customStyle="1" w:styleId="99">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4"/>
      <w:szCs w:val="24"/>
    </w:rPr>
  </w:style>
  <w:style w:type="paragraph" w:customStyle="1" w:styleId="100">
    <w:name w:val="xl72"/>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01">
    <w:name w:val="xl10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02">
    <w:name w:val="l15"/>
    <w:basedOn w:val="1"/>
    <w:qFormat/>
    <w:uiPriority w:val="99"/>
    <w:pPr>
      <w:spacing w:before="100" w:beforeAutospacing="1" w:after="100" w:afterAutospacing="1" w:line="300" w:lineRule="atLeast"/>
      <w:jc w:val="left"/>
    </w:pPr>
    <w:rPr>
      <w:rFonts w:ascii="_x000B__x000C_" w:hAnsi="_x000B__x000C_" w:cs="_x000B__x000C_"/>
      <w:color w:val="000000"/>
      <w:kern w:val="0"/>
      <w:sz w:val="23"/>
      <w:szCs w:val="23"/>
    </w:rPr>
  </w:style>
  <w:style w:type="paragraph" w:customStyle="1" w:styleId="103">
    <w:name w:val="正文文字 Char"/>
    <w:basedOn w:val="1"/>
    <w:next w:val="3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黑体"/>
      <w:kern w:val="0"/>
      <w:sz w:val="20"/>
      <w:szCs w:val="20"/>
    </w:rPr>
  </w:style>
  <w:style w:type="paragraph" w:customStyle="1" w:styleId="104">
    <w:name w:val="_Style 131"/>
    <w:basedOn w:val="1"/>
    <w:next w:val="105"/>
    <w:qFormat/>
    <w:uiPriority w:val="34"/>
    <w:pPr>
      <w:ind w:firstLine="420" w:firstLineChars="200"/>
    </w:pPr>
    <w:rPr>
      <w:rFonts w:ascii="Calibri" w:hAnsi="Calibri" w:cs="Times New Roman"/>
    </w:rPr>
  </w:style>
  <w:style w:type="paragraph" w:styleId="105">
    <w:name w:val="List Paragraph"/>
    <w:basedOn w:val="1"/>
    <w:qFormat/>
    <w:uiPriority w:val="34"/>
    <w:pPr>
      <w:ind w:firstLine="420" w:firstLineChars="200"/>
    </w:pPr>
  </w:style>
  <w:style w:type="paragraph" w:customStyle="1" w:styleId="106">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07">
    <w:name w:val="xl6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b/>
      <w:bCs/>
      <w:kern w:val="0"/>
    </w:rPr>
  </w:style>
  <w:style w:type="paragraph" w:customStyle="1" w:styleId="108">
    <w:name w:val="xl88"/>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09">
    <w:name w:val="xl74"/>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10">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11">
    <w:name w:val="列出段落1"/>
    <w:basedOn w:val="1"/>
    <w:qFormat/>
    <w:uiPriority w:val="99"/>
    <w:pPr>
      <w:widowControl w:val="0"/>
      <w:ind w:firstLine="420" w:firstLineChars="200"/>
    </w:pPr>
    <w:rPr>
      <w:rFonts w:ascii="Calibri" w:hAnsi="Calibri" w:cs="Calibri"/>
    </w:rPr>
  </w:style>
  <w:style w:type="paragraph" w:customStyle="1" w:styleId="112">
    <w:name w:val="+正文"/>
    <w:basedOn w:val="1"/>
    <w:qFormat/>
    <w:uiPriority w:val="0"/>
    <w:pPr>
      <w:ind w:firstLine="200" w:firstLineChars="200"/>
    </w:pPr>
    <w:rPr>
      <w:rFonts w:cs="Times New Roman"/>
      <w:szCs w:val="24"/>
    </w:rPr>
  </w:style>
  <w:style w:type="paragraph" w:customStyle="1" w:styleId="113">
    <w:name w:val="font6"/>
    <w:basedOn w:val="1"/>
    <w:qFormat/>
    <w:uiPriority w:val="0"/>
    <w:pPr>
      <w:spacing w:before="100" w:beforeAutospacing="1" w:after="100" w:afterAutospacing="1"/>
      <w:jc w:val="left"/>
    </w:pPr>
    <w:rPr>
      <w:rFonts w:ascii="宋体" w:cs="宋体"/>
      <w:kern w:val="0"/>
      <w:sz w:val="18"/>
      <w:szCs w:val="18"/>
    </w:rPr>
  </w:style>
  <w:style w:type="paragraph" w:customStyle="1" w:styleId="114">
    <w:name w:val="xl1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15">
    <w:name w:val="xl95"/>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6">
    <w:name w:val="xl92"/>
    <w:basedOn w:val="1"/>
    <w:qFormat/>
    <w:uiPriority w:val="0"/>
    <w:pPr>
      <w:pBdr>
        <w:left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17">
    <w:name w:val="样式 样式 标题 4 + 段后: 0.5 行 + 段后: 0.5 行"/>
    <w:basedOn w:val="1"/>
    <w:qFormat/>
    <w:uiPriority w:val="99"/>
    <w:pPr>
      <w:keepNext/>
      <w:widowControl w:val="0"/>
      <w:tabs>
        <w:tab w:val="left" w:pos="432"/>
        <w:tab w:val="left" w:pos="864"/>
      </w:tabs>
      <w:ind w:left="864" w:hanging="864"/>
      <w:jc w:val="left"/>
      <w:outlineLvl w:val="3"/>
    </w:pPr>
    <w:rPr>
      <w:rFonts w:ascii="宋体" w:hAnsi="Calibri" w:cs="宋体"/>
      <w:b/>
      <w:bCs/>
      <w:kern w:val="0"/>
    </w:rPr>
  </w:style>
  <w:style w:type="paragraph" w:customStyle="1" w:styleId="118">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Arial Unicode MS" w:eastAsia="Times New Roman" w:cs="Calibri"/>
      <w:color w:val="000000"/>
      <w:kern w:val="2"/>
      <w:sz w:val="21"/>
      <w:szCs w:val="21"/>
      <w:lang w:val="en-US" w:eastAsia="zh-CN" w:bidi="ar-SA"/>
    </w:rPr>
  </w:style>
  <w:style w:type="paragraph" w:customStyle="1" w:styleId="119">
    <w:name w:val="font5"/>
    <w:basedOn w:val="1"/>
    <w:qFormat/>
    <w:uiPriority w:val="0"/>
    <w:pPr>
      <w:spacing w:before="100" w:beforeAutospacing="1" w:after="100" w:afterAutospacing="1"/>
      <w:jc w:val="left"/>
    </w:pPr>
    <w:rPr>
      <w:rFonts w:eastAsia="等线" w:cs="宋体"/>
      <w:kern w:val="0"/>
      <w:sz w:val="18"/>
      <w:szCs w:val="18"/>
    </w:rPr>
  </w:style>
  <w:style w:type="paragraph" w:customStyle="1" w:styleId="120">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sz w:val="20"/>
      <w:szCs w:val="20"/>
    </w:rPr>
  </w:style>
  <w:style w:type="paragraph" w:customStyle="1" w:styleId="121">
    <w:name w:val="_Style 49"/>
    <w:basedOn w:val="1"/>
    <w:next w:val="105"/>
    <w:qFormat/>
    <w:uiPriority w:val="34"/>
    <w:pPr>
      <w:ind w:firstLine="420" w:firstLineChars="200"/>
    </w:pPr>
    <w:rPr>
      <w:rFonts w:ascii="Calibri" w:hAnsi="Calibri" w:cs="Times New Roman"/>
    </w:rPr>
  </w:style>
  <w:style w:type="paragraph" w:customStyle="1" w:styleId="122">
    <w:name w:val="Table Paragraph"/>
    <w:basedOn w:val="1"/>
    <w:qFormat/>
    <w:uiPriority w:val="99"/>
    <w:pPr>
      <w:widowControl w:val="0"/>
    </w:pPr>
    <w:rPr>
      <w:rFonts w:ascii="PMingLiU" w:hAnsi="PMingLiU" w:eastAsia="PMingLiU" w:cs="PMingLiU"/>
      <w:lang w:val="zh-CN"/>
    </w:rPr>
  </w:style>
  <w:style w:type="paragraph" w:customStyle="1" w:styleId="123">
    <w:name w:val="xl73"/>
    <w:basedOn w:val="1"/>
    <w:qFormat/>
    <w:uiPriority w:val="0"/>
    <w:pPr>
      <w:spacing w:before="100" w:beforeAutospacing="1" w:after="100" w:afterAutospacing="1"/>
      <w:jc w:val="center"/>
      <w:textAlignment w:val="center"/>
    </w:pPr>
    <w:rPr>
      <w:rFonts w:ascii="宋体" w:cs="宋体"/>
      <w:kern w:val="0"/>
      <w:sz w:val="20"/>
      <w:szCs w:val="20"/>
    </w:rPr>
  </w:style>
  <w:style w:type="paragraph" w:customStyle="1" w:styleId="124">
    <w:name w:val="xl87"/>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5">
    <w:name w:val="xl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26">
    <w:name w:val="xl7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27">
    <w:name w:val="xl82"/>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28">
    <w:name w:val="_Style 3"/>
    <w:qFormat/>
    <w:uiPriority w:val="99"/>
    <w:rPr>
      <w:rFonts w:ascii="Calibri" w:hAnsi="Calibri" w:eastAsia="宋体" w:cs="Calibri"/>
      <w:sz w:val="22"/>
      <w:szCs w:val="22"/>
      <w:lang w:val="en-US" w:eastAsia="zh-CN" w:bidi="ar-SA"/>
    </w:rPr>
  </w:style>
  <w:style w:type="paragraph" w:customStyle="1" w:styleId="129">
    <w:name w:val="列出段落2"/>
    <w:basedOn w:val="1"/>
    <w:qFormat/>
    <w:uiPriority w:val="0"/>
    <w:pPr>
      <w:ind w:firstLine="420" w:firstLineChars="200"/>
    </w:pPr>
  </w:style>
  <w:style w:type="paragraph" w:customStyle="1" w:styleId="130">
    <w:name w:val="_Style 2"/>
    <w:basedOn w:val="1"/>
    <w:qFormat/>
    <w:uiPriority w:val="99"/>
    <w:pPr>
      <w:widowControl w:val="0"/>
      <w:ind w:firstLine="420" w:firstLineChars="200"/>
    </w:pPr>
    <w:rPr>
      <w:rFonts w:ascii="Calibri" w:hAnsi="Calibri" w:cs="Calibri"/>
    </w:rPr>
  </w:style>
  <w:style w:type="paragraph" w:customStyle="1" w:styleId="131">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4"/>
      <w:szCs w:val="24"/>
    </w:rPr>
  </w:style>
  <w:style w:type="paragraph" w:customStyle="1" w:styleId="132">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b/>
      <w:bCs/>
      <w:kern w:val="0"/>
      <w:sz w:val="20"/>
      <w:szCs w:val="20"/>
    </w:rPr>
  </w:style>
  <w:style w:type="paragraph" w:customStyle="1" w:styleId="133">
    <w:name w:val="p0"/>
    <w:basedOn w:val="1"/>
    <w:qFormat/>
    <w:uiPriority w:val="0"/>
    <w:pPr>
      <w:ind w:left="108" w:right="108" w:firstLine="200"/>
    </w:pPr>
    <w:rPr>
      <w:rFonts w:ascii="Times New Roman" w:hAnsi="Times New Roman" w:eastAsia="微软雅黑" w:cs="Times New Roman"/>
      <w:kern w:val="0"/>
    </w:rPr>
  </w:style>
  <w:style w:type="paragraph" w:customStyle="1" w:styleId="134">
    <w:name w:val="xl69"/>
    <w:basedOn w:val="1"/>
    <w:qFormat/>
    <w:uiPriority w:val="0"/>
    <w:pPr>
      <w:spacing w:before="100" w:beforeAutospacing="1" w:after="100" w:afterAutospacing="1"/>
      <w:jc w:val="left"/>
      <w:textAlignment w:val="center"/>
    </w:pPr>
    <w:rPr>
      <w:rFonts w:ascii="宋体" w:cs="宋体"/>
      <w:kern w:val="0"/>
      <w:sz w:val="24"/>
      <w:szCs w:val="24"/>
    </w:rPr>
  </w:style>
  <w:style w:type="paragraph" w:customStyle="1" w:styleId="135">
    <w:name w:val="xl6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cs="宋体"/>
      <w:kern w:val="0"/>
    </w:rPr>
  </w:style>
  <w:style w:type="paragraph" w:customStyle="1" w:styleId="136">
    <w:name w:val="Proposals body"/>
    <w:basedOn w:val="1"/>
    <w:next w:val="1"/>
    <w:qFormat/>
    <w:uiPriority w:val="99"/>
    <w:pPr>
      <w:spacing w:line="360" w:lineRule="auto"/>
      <w:jc w:val="left"/>
    </w:pPr>
    <w:rPr>
      <w:rFonts w:ascii="宋体" w:hAnsi="Calibri" w:cs="宋体"/>
      <w:color w:val="000000"/>
      <w:kern w:val="0"/>
      <w:sz w:val="24"/>
      <w:szCs w:val="24"/>
    </w:rPr>
  </w:style>
  <w:style w:type="paragraph" w:customStyle="1" w:styleId="137">
    <w:name w:val="正文 New New New New"/>
    <w:qFormat/>
    <w:uiPriority w:val="99"/>
    <w:pPr>
      <w:widowControl w:val="0"/>
      <w:jc w:val="both"/>
    </w:pPr>
    <w:rPr>
      <w:rFonts w:ascii="Calibri" w:hAnsi="Calibri" w:eastAsia="宋体" w:cs="Calibri"/>
      <w:sz w:val="21"/>
      <w:szCs w:val="21"/>
      <w:lang w:val="en-US" w:eastAsia="zh-CN" w:bidi="ar-SA"/>
    </w:rPr>
  </w:style>
  <w:style w:type="paragraph" w:customStyle="1" w:styleId="138">
    <w:name w:val="xl8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39">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cs="宋体"/>
      <w:kern w:val="0"/>
      <w:sz w:val="20"/>
      <w:szCs w:val="20"/>
    </w:rPr>
  </w:style>
  <w:style w:type="paragraph" w:customStyle="1" w:styleId="140">
    <w:name w:val="xl84"/>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kern w:val="0"/>
      <w:sz w:val="20"/>
      <w:szCs w:val="20"/>
    </w:rPr>
  </w:style>
  <w:style w:type="paragraph" w:customStyle="1" w:styleId="141">
    <w:name w:val="xl70"/>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cs="宋体"/>
      <w:kern w:val="0"/>
    </w:rPr>
  </w:style>
  <w:style w:type="paragraph" w:customStyle="1" w:styleId="142">
    <w:name w:val="xl102"/>
    <w:basedOn w:val="1"/>
    <w:qFormat/>
    <w:uiPriority w:val="0"/>
    <w:pPr>
      <w:pBdr>
        <w:left w:val="single" w:color="auto" w:sz="4" w:space="0"/>
        <w:bottom w:val="single" w:color="auto" w:sz="4" w:space="0"/>
        <w:right w:val="single" w:color="auto" w:sz="4" w:space="0"/>
      </w:pBdr>
      <w:spacing w:before="100" w:beforeAutospacing="1" w:after="100" w:afterAutospacing="1"/>
      <w:jc w:val="left"/>
      <w:textAlignment w:val="center"/>
    </w:pPr>
    <w:rPr>
      <w:rFonts w:ascii="宋体" w:cs="宋体"/>
      <w:kern w:val="0"/>
      <w:sz w:val="20"/>
      <w:szCs w:val="20"/>
    </w:rPr>
  </w:style>
  <w:style w:type="paragraph" w:customStyle="1" w:styleId="143">
    <w:name w:val="xl71"/>
    <w:basedOn w:val="1"/>
    <w:qFormat/>
    <w:uiPriority w:val="0"/>
    <w:pPr>
      <w:spacing w:before="100" w:beforeAutospacing="1" w:after="100" w:afterAutospacing="1"/>
      <w:jc w:val="left"/>
      <w:textAlignment w:val="center"/>
    </w:pPr>
    <w:rPr>
      <w:rFonts w:ascii="宋体" w:cs="宋体"/>
      <w:kern w:val="0"/>
      <w:sz w:val="20"/>
      <w:szCs w:val="20"/>
    </w:rPr>
  </w:style>
  <w:style w:type="paragraph" w:customStyle="1" w:styleId="144">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cs="宋体"/>
      <w:b/>
      <w:bCs/>
      <w:kern w:val="0"/>
      <w:sz w:val="20"/>
      <w:szCs w:val="20"/>
    </w:rPr>
  </w:style>
  <w:style w:type="paragraph" w:customStyle="1" w:styleId="145">
    <w:name w:val="paragraphindent"/>
    <w:basedOn w:val="1"/>
    <w:qFormat/>
    <w:uiPriority w:val="99"/>
    <w:pPr>
      <w:spacing w:before="100" w:beforeAutospacing="1" w:after="100" w:afterAutospacing="1"/>
      <w:jc w:val="left"/>
    </w:pPr>
    <w:rPr>
      <w:rFonts w:ascii="宋体" w:cs="宋体"/>
      <w:kern w:val="0"/>
      <w:sz w:val="24"/>
      <w:szCs w:val="24"/>
    </w:rPr>
  </w:style>
  <w:style w:type="paragraph" w:customStyle="1" w:styleId="146">
    <w:name w:val="普通(Web)1"/>
    <w:basedOn w:val="1"/>
    <w:next w:val="33"/>
    <w:qFormat/>
    <w:uiPriority w:val="99"/>
    <w:pPr>
      <w:spacing w:before="100" w:beforeAutospacing="1" w:after="100" w:afterAutospacing="1"/>
      <w:jc w:val="left"/>
    </w:pPr>
    <w:rPr>
      <w:rFonts w:ascii="宋体" w:cs="宋体"/>
      <w:color w:val="000000"/>
      <w:kern w:val="0"/>
      <w:sz w:val="24"/>
      <w:szCs w:val="24"/>
    </w:rPr>
  </w:style>
  <w:style w:type="paragraph" w:customStyle="1" w:styleId="147">
    <w:name w:val="Item List in Table"/>
    <w:basedOn w:val="1"/>
    <w:qFormat/>
    <w:uiPriority w:val="99"/>
    <w:pPr>
      <w:tabs>
        <w:tab w:val="left" w:pos="284"/>
      </w:tabs>
      <w:topLinePunct/>
      <w:snapToGrid w:val="0"/>
      <w:spacing w:before="80" w:after="80" w:line="240" w:lineRule="atLeast"/>
      <w:ind w:left="284" w:hanging="284"/>
    </w:pPr>
    <w:rPr>
      <w:rFonts w:ascii="Calibri" w:hAnsi="Calibri" w:cs="Calibri"/>
    </w:rPr>
  </w:style>
  <w:style w:type="paragraph" w:customStyle="1" w:styleId="148">
    <w:name w:val="自动更正"/>
    <w:qFormat/>
    <w:uiPriority w:val="99"/>
    <w:pPr>
      <w:widowControl w:val="0"/>
      <w:jc w:val="both"/>
    </w:pPr>
    <w:rPr>
      <w:rFonts w:ascii="黑体" w:hAnsi="黑体" w:eastAsia="微软雅黑" w:cs="黑体"/>
      <w:kern w:val="2"/>
      <w:sz w:val="21"/>
      <w:szCs w:val="21"/>
      <w:lang w:val="en-US" w:eastAsia="zh-CN" w:bidi="ar-SA"/>
    </w:rPr>
  </w:style>
  <w:style w:type="paragraph" w:customStyle="1" w:styleId="149">
    <w:name w:val="index heading1"/>
    <w:basedOn w:val="1"/>
    <w:next w:val="150"/>
    <w:qFormat/>
    <w:uiPriority w:val="99"/>
    <w:rPr>
      <w:rFonts w:ascii="Arial" w:hAnsi="Arial" w:cs="Arial"/>
      <w:b/>
      <w:bCs/>
    </w:rPr>
  </w:style>
  <w:style w:type="paragraph" w:customStyle="1" w:styleId="150">
    <w:name w:val="index 11"/>
    <w:basedOn w:val="1"/>
    <w:next w:val="1"/>
    <w:qFormat/>
    <w:uiPriority w:val="99"/>
  </w:style>
  <w:style w:type="paragraph" w:customStyle="1" w:styleId="151">
    <w:name w:val="纯文本1"/>
    <w:basedOn w:val="95"/>
    <w:qFormat/>
    <w:uiPriority w:val="0"/>
    <w:rPr>
      <w:rFonts w:ascii="宋体" w:hAnsi="Courier New"/>
      <w:kern w:val="0"/>
      <w:sz w:val="20"/>
      <w:szCs w:val="21"/>
    </w:rPr>
  </w:style>
  <w:style w:type="paragraph" w:customStyle="1" w:styleId="152">
    <w:name w:val="Normal Indent1"/>
    <w:basedOn w:val="1"/>
    <w:qFormat/>
    <w:uiPriority w:val="0"/>
    <w:pPr>
      <w:ind w:firstLine="420" w:firstLineChars="200"/>
    </w:pPr>
    <w:rPr>
      <w:rFonts w:ascii="Calibri" w:hAnsi="Calibri" w:cs="Times New Roman"/>
      <w:szCs w:val="22"/>
    </w:rPr>
  </w:style>
  <w:style w:type="character" w:customStyle="1" w:styleId="153">
    <w:name w:val="NormalCharacter"/>
    <w:qFormat/>
    <w:uiPriority w:val="0"/>
    <w:rPr>
      <w:rFonts w:ascii="Times New Roman" w:hAnsi="Times New Roman" w:eastAsia="宋体" w:cs="Times New Roman"/>
    </w:rPr>
  </w:style>
  <w:style w:type="paragraph" w:customStyle="1" w:styleId="154">
    <w:name w:val="首行缩进"/>
    <w:basedOn w:val="1"/>
    <w:next w:val="26"/>
    <w:qFormat/>
    <w:uiPriority w:val="0"/>
    <w:pPr>
      <w:numPr>
        <w:ilvl w:val="6"/>
        <w:numId w:val="2"/>
      </w:numPr>
      <w:tabs>
        <w:tab w:val="left" w:pos="822"/>
      </w:tabs>
      <w:snapToGrid w:val="0"/>
      <w:spacing w:before="40" w:after="40" w:line="300" w:lineRule="atLeast"/>
    </w:pPr>
    <w:rPr>
      <w:rFonts w:ascii="Arial" w:hAnsi="Arial"/>
      <w:kern w:val="0"/>
      <w:szCs w:val="20"/>
    </w:rPr>
  </w:style>
  <w:style w:type="character" w:customStyle="1" w:styleId="155">
    <w:name w:val="15"/>
    <w:basedOn w:val="38"/>
    <w:qFormat/>
    <w:uiPriority w:val="0"/>
    <w:rPr>
      <w:rFonts w:hint="default" w:ascii="Times New Roman" w:hAnsi="Times New Roman" w:cs="Times New Roman"/>
      <w:color w:val="0000FF"/>
      <w:u w:val="single"/>
    </w:rPr>
  </w:style>
  <w:style w:type="paragraph" w:customStyle="1" w:styleId="156">
    <w:name w:val="样式2"/>
    <w:basedOn w:val="1"/>
    <w:qFormat/>
    <w:uiPriority w:val="0"/>
    <w:pPr>
      <w:keepNext/>
      <w:keepLines/>
      <w:widowControl w:val="0"/>
      <w:spacing w:line="576" w:lineRule="auto"/>
      <w:ind w:left="440" w:hanging="440"/>
      <w:jc w:val="left"/>
      <w:outlineLvl w:val="0"/>
    </w:pPr>
    <w:rPr>
      <w:rFonts w:hint="eastAsia" w:ascii="宋体" w:cs="Times New Roman"/>
      <w:b/>
      <w:kern w:val="44"/>
      <w:sz w:val="44"/>
      <w:szCs w:val="44"/>
    </w:rPr>
  </w:style>
  <w:style w:type="paragraph" w:customStyle="1" w:styleId="157">
    <w:name w:val="Table Text"/>
    <w:basedOn w:val="1"/>
    <w:semiHidden/>
    <w:qFormat/>
    <w:uiPriority w:val="0"/>
    <w:rPr>
      <w:rFonts w:ascii="宋体" w:cs="宋体"/>
      <w:sz w:val="24"/>
    </w:rPr>
  </w:style>
  <w:style w:type="paragraph" w:customStyle="1" w:styleId="158">
    <w:name w:val="样式 标题 3 + 左侧:  1 字符 右侧:  1 字符"/>
    <w:basedOn w:val="4"/>
    <w:qFormat/>
    <w:uiPriority w:val="0"/>
    <w:pPr>
      <w:tabs>
        <w:tab w:val="left" w:pos="420"/>
      </w:tabs>
      <w:spacing w:before="20" w:after="20"/>
      <w:ind w:left="4200" w:leftChars="100" w:right="280" w:rightChars="100"/>
    </w:pPr>
    <w:rPr>
      <w:szCs w:val="20"/>
    </w:rPr>
  </w:style>
  <w:style w:type="character" w:customStyle="1" w:styleId="159">
    <w:name w:val="标题 2 Char1"/>
    <w:qFormat/>
    <w:uiPriority w:val="0"/>
    <w:rPr>
      <w:rFonts w:ascii="Arial" w:hAnsi="Arial" w:eastAsia="宋体" w:cs="Times New Roman"/>
      <w:b/>
      <w:bCs/>
      <w:sz w:val="28"/>
      <w:szCs w:val="32"/>
    </w:rPr>
  </w:style>
  <w:style w:type="character" w:customStyle="1" w:styleId="160">
    <w:name w:val="font81"/>
    <w:basedOn w:val="38"/>
    <w:qFormat/>
    <w:uiPriority w:val="0"/>
    <w:rPr>
      <w:rFonts w:hint="eastAsia" w:ascii="宋体" w:hAnsi="宋体" w:eastAsia="宋体" w:cs="宋体"/>
      <w:color w:val="000000"/>
      <w:sz w:val="20"/>
      <w:szCs w:val="20"/>
      <w:u w:val="none"/>
    </w:rPr>
  </w:style>
  <w:style w:type="character" w:customStyle="1" w:styleId="161">
    <w:name w:val="font91"/>
    <w:basedOn w:val="38"/>
    <w:qFormat/>
    <w:uiPriority w:val="0"/>
    <w:rPr>
      <w:rFonts w:hint="default" w:ascii="Times New Roman" w:hAnsi="Times New Roman" w:cs="Times New Roman"/>
      <w:color w:val="000000"/>
      <w:sz w:val="21"/>
      <w:szCs w:val="21"/>
      <w:u w:val="none"/>
    </w:rPr>
  </w:style>
  <w:style w:type="character" w:customStyle="1" w:styleId="162">
    <w:name w:val="font12"/>
    <w:basedOn w:val="38"/>
    <w:qFormat/>
    <w:uiPriority w:val="0"/>
    <w:rPr>
      <w:rFonts w:hint="eastAsia" w:ascii="宋体" w:hAnsi="宋体" w:eastAsia="宋体" w:cs="宋体"/>
      <w:color w:val="000000"/>
      <w:sz w:val="22"/>
      <w:szCs w:val="22"/>
      <w:u w:val="none"/>
    </w:rPr>
  </w:style>
  <w:style w:type="character" w:customStyle="1" w:styleId="163">
    <w:name w:val="font101"/>
    <w:basedOn w:val="38"/>
    <w:qFormat/>
    <w:uiPriority w:val="0"/>
    <w:rPr>
      <w:rFonts w:hint="eastAsia" w:ascii="宋体" w:hAnsi="宋体" w:eastAsia="宋体" w:cs="宋体"/>
      <w:color w:val="000000"/>
      <w:sz w:val="22"/>
      <w:szCs w:val="22"/>
      <w:u w:val="none"/>
    </w:rPr>
  </w:style>
  <w:style w:type="character" w:customStyle="1" w:styleId="164">
    <w:name w:val="font181"/>
    <w:basedOn w:val="38"/>
    <w:qFormat/>
    <w:uiPriority w:val="0"/>
    <w:rPr>
      <w:rFonts w:hint="eastAsia" w:ascii="方正书宋_GBK" w:hAnsi="方正书宋_GBK" w:eastAsia="方正书宋_GBK" w:cs="方正书宋_GBK"/>
      <w:color w:val="000000"/>
      <w:sz w:val="22"/>
      <w:szCs w:val="22"/>
      <w:u w:val="none"/>
    </w:rPr>
  </w:style>
  <w:style w:type="character" w:customStyle="1" w:styleId="165">
    <w:name w:val="font191"/>
    <w:basedOn w:val="3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1.wmf"/><Relationship Id="rId53" Type="http://schemas.openxmlformats.org/officeDocument/2006/relationships/oleObject" Target="embeddings/oleObject1.bin"/><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HP Inc.</Company>
  <Pages>128</Pages>
  <Words>58781</Words>
  <Characters>80200</Characters>
  <Lines>3193</Lines>
  <Paragraphs>3460</Paragraphs>
  <TotalTime>240</TotalTime>
  <ScaleCrop>false</ScaleCrop>
  <LinksUpToDate>false</LinksUpToDate>
  <CharactersWithSpaces>82261</CharactersWithSpaces>
  <Application>WWO_openplatform_20210507165418-e6971cd0a6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2022-10-14T01:41:00Z</dcterms:created>
  <dc:creator>2K-5</dc:creator>
  <cp:lastModifiedBy>交易中心-钱海汇</cp:lastModifiedBy>
  <cp:lastPrinted>2021-05-12T01:00:00Z</cp:lastPrinted>
  <dcterms:modified xsi:type="dcterms:W3CDTF">2026-05-11T09:51:33Z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BE2556A71782496AA6ABAE11E6E27C9B_13</vt:lpwstr>
  </property>
  <property fmtid="{D5CDD505-2E9C-101B-9397-08002B2CF9AE}" pid="4" name="KSOTemplateDocerSaveRecord">
    <vt:lpwstr>eyJoZGlkIjoiNzQ3MjAzNDRjNmMzOTRlNWJjMWQ5MjFkZGU4YWUyNDAiLCJ1c2VySWQiOiIyNzEzMTMwNDYifQ==</vt:lpwstr>
  </property>
</Properties>
</file>