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774B3">
      <w:pPr>
        <w:spacing w:line="360" w:lineRule="auto"/>
        <w:jc w:val="center"/>
        <w:rPr>
          <w:rFonts w:hint="eastAsia" w:ascii="宋体" w:hAnsi="宋体" w:eastAsia="宋体" w:cs="宋体"/>
          <w:b/>
          <w:color w:val="auto"/>
          <w:sz w:val="24"/>
          <w:highlight w:val="none"/>
        </w:rPr>
      </w:pPr>
    </w:p>
    <w:p w14:paraId="4104FF6B">
      <w:pPr>
        <w:pStyle w:val="2"/>
        <w:rPr>
          <w:rFonts w:hint="eastAsia" w:ascii="宋体" w:hAnsi="宋体" w:eastAsia="宋体" w:cs="宋体"/>
          <w:b/>
          <w:color w:val="auto"/>
          <w:sz w:val="24"/>
          <w:highlight w:val="none"/>
        </w:rPr>
      </w:pPr>
    </w:p>
    <w:p w14:paraId="15FBBFE2">
      <w:pPr>
        <w:rPr>
          <w:rFonts w:hint="eastAsia" w:ascii="宋体" w:hAnsi="宋体" w:eastAsia="宋体" w:cs="宋体"/>
          <w:b/>
          <w:color w:val="auto"/>
          <w:sz w:val="24"/>
          <w:highlight w:val="none"/>
        </w:rPr>
      </w:pPr>
    </w:p>
    <w:p w14:paraId="71D7BE19">
      <w:pPr>
        <w:pStyle w:val="2"/>
        <w:rPr>
          <w:rFonts w:hint="eastAsia"/>
        </w:rPr>
      </w:pPr>
    </w:p>
    <w:p w14:paraId="58CF1656">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宁波市临床病理诊断中心</w:t>
      </w:r>
    </w:p>
    <w:p w14:paraId="708E4FFC">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人力资源服务外包项目</w:t>
      </w:r>
    </w:p>
    <w:p w14:paraId="6D941185">
      <w:pPr>
        <w:adjustRightInd/>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 xml:space="preserve">招标文件 </w:t>
      </w:r>
    </w:p>
    <w:p w14:paraId="3BFAB317">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（电子招投标）</w:t>
      </w:r>
    </w:p>
    <w:p w14:paraId="004DD41A">
      <w:pPr>
        <w:snapToGri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项目</w:t>
      </w:r>
      <w:r>
        <w:rPr>
          <w:rFonts w:hint="eastAsia" w:ascii="宋体" w:hAnsi="宋体" w:eastAsia="宋体" w:cs="宋体"/>
          <w:color w:val="auto"/>
          <w:sz w:val="30"/>
          <w:szCs w:val="30"/>
          <w:highlight w:val="none"/>
        </w:rPr>
        <w:t>编号:</w:t>
      </w:r>
      <w:r>
        <w:rPr>
          <w:rFonts w:hint="eastAsia" w:ascii="宋体" w:hAnsi="宋体" w:cs="宋体"/>
          <w:color w:val="auto"/>
          <w:sz w:val="30"/>
          <w:szCs w:val="30"/>
          <w:highlight w:val="none"/>
          <w:lang w:eastAsia="zh-CN"/>
        </w:rPr>
        <w:t>CBNB-2026</w:t>
      </w:r>
      <w:r>
        <w:rPr>
          <w:rFonts w:hint="eastAsia" w:ascii="宋体" w:hAnsi="宋体" w:cs="宋体"/>
          <w:color w:val="auto"/>
          <w:sz w:val="30"/>
          <w:szCs w:val="30"/>
          <w:highlight w:val="none"/>
          <w:lang w:val="en-US" w:eastAsia="zh-CN"/>
        </w:rPr>
        <w:t>1213</w:t>
      </w:r>
      <w:r>
        <w:rPr>
          <w:rFonts w:hint="eastAsia" w:ascii="宋体" w:hAnsi="宋体" w:cs="宋体"/>
          <w:color w:val="auto"/>
          <w:sz w:val="30"/>
          <w:szCs w:val="30"/>
          <w:highlight w:val="none"/>
          <w:lang w:eastAsia="zh-CN"/>
        </w:rPr>
        <w:t>G</w:t>
      </w:r>
      <w:r>
        <w:rPr>
          <w:rFonts w:hint="eastAsia" w:ascii="宋体" w:hAnsi="宋体" w:eastAsia="宋体" w:cs="宋体"/>
          <w:color w:val="auto"/>
          <w:sz w:val="30"/>
          <w:szCs w:val="30"/>
          <w:highlight w:val="none"/>
        </w:rPr>
        <w:t> </w:t>
      </w:r>
    </w:p>
    <w:p w14:paraId="2706DAB7">
      <w:pPr>
        <w:adjustRightInd/>
        <w:spacing w:line="360" w:lineRule="auto"/>
        <w:rPr>
          <w:rFonts w:hint="eastAsia" w:ascii="宋体" w:hAnsi="宋体" w:eastAsia="宋体" w:cs="宋体"/>
          <w:color w:val="auto"/>
          <w:sz w:val="28"/>
          <w:szCs w:val="20"/>
          <w:highlight w:val="none"/>
        </w:rPr>
      </w:pPr>
    </w:p>
    <w:p w14:paraId="19CEE29D">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15B9F9A2">
      <w:pPr>
        <w:spacing w:line="360" w:lineRule="auto"/>
        <w:jc w:val="center"/>
        <w:rPr>
          <w:rFonts w:hint="eastAsia" w:ascii="宋体" w:hAnsi="宋体" w:eastAsia="宋体" w:cs="宋体"/>
          <w:b/>
          <w:color w:val="auto"/>
          <w:sz w:val="44"/>
          <w:szCs w:val="44"/>
          <w:highlight w:val="none"/>
        </w:rPr>
      </w:pPr>
    </w:p>
    <w:p w14:paraId="4DFF09EB">
      <w:pPr>
        <w:spacing w:line="360" w:lineRule="auto"/>
        <w:jc w:val="center"/>
        <w:rPr>
          <w:rFonts w:hint="eastAsia" w:ascii="宋体" w:hAnsi="宋体" w:eastAsia="宋体" w:cs="宋体"/>
          <w:b/>
          <w:color w:val="auto"/>
          <w:sz w:val="44"/>
          <w:szCs w:val="44"/>
          <w:highlight w:val="none"/>
        </w:rPr>
      </w:pPr>
    </w:p>
    <w:p w14:paraId="7DB49869">
      <w:pPr>
        <w:spacing w:line="360" w:lineRule="auto"/>
        <w:jc w:val="center"/>
        <w:rPr>
          <w:rFonts w:hint="eastAsia" w:ascii="宋体" w:hAnsi="宋体" w:eastAsia="宋体" w:cs="宋体"/>
          <w:b/>
          <w:color w:val="auto"/>
          <w:sz w:val="44"/>
          <w:szCs w:val="44"/>
          <w:highlight w:val="none"/>
        </w:rPr>
      </w:pPr>
    </w:p>
    <w:p w14:paraId="2723B214">
      <w:pPr>
        <w:spacing w:line="360" w:lineRule="auto"/>
        <w:jc w:val="center"/>
        <w:rPr>
          <w:rFonts w:hint="eastAsia" w:ascii="宋体" w:hAnsi="宋体" w:eastAsia="宋体" w:cs="宋体"/>
          <w:color w:val="auto"/>
          <w:sz w:val="24"/>
          <w:highlight w:val="none"/>
        </w:rPr>
      </w:pPr>
    </w:p>
    <w:p w14:paraId="3E8D66FB">
      <w:pPr>
        <w:spacing w:line="360" w:lineRule="auto"/>
        <w:jc w:val="center"/>
        <w:rPr>
          <w:rFonts w:hint="eastAsia" w:ascii="宋体" w:hAnsi="宋体" w:eastAsia="宋体" w:cs="宋体"/>
          <w:color w:val="auto"/>
          <w:sz w:val="24"/>
          <w:highlight w:val="none"/>
        </w:rPr>
      </w:pPr>
    </w:p>
    <w:p w14:paraId="04347745">
      <w:pPr>
        <w:spacing w:line="360" w:lineRule="auto"/>
        <w:rPr>
          <w:rFonts w:hint="eastAsia" w:ascii="宋体" w:hAnsi="宋体" w:eastAsia="宋体" w:cs="宋体"/>
          <w:color w:val="auto"/>
          <w:sz w:val="32"/>
          <w:szCs w:val="32"/>
          <w:highlight w:val="none"/>
        </w:rPr>
      </w:pPr>
    </w:p>
    <w:p w14:paraId="3D937F1E">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采购人：</w:t>
      </w:r>
      <w:r>
        <w:rPr>
          <w:rFonts w:hint="eastAsia" w:ascii="宋体" w:hAnsi="宋体" w:eastAsia="宋体" w:cs="宋体"/>
          <w:bCs/>
          <w:color w:val="auto"/>
          <w:sz w:val="32"/>
          <w:szCs w:val="32"/>
          <w:highlight w:val="none"/>
          <w:lang w:eastAsia="zh-CN"/>
        </w:rPr>
        <w:t>宁波市临床病理诊断中心</w:t>
      </w:r>
    </w:p>
    <w:p w14:paraId="62B86A86">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bookmarkStart w:id="0" w:name="_Toc2466"/>
      <w:r>
        <w:rPr>
          <w:rFonts w:hint="eastAsia" w:ascii="宋体" w:hAnsi="宋体" w:eastAsia="宋体" w:cs="宋体"/>
          <w:bCs/>
          <w:color w:val="auto"/>
          <w:sz w:val="32"/>
          <w:szCs w:val="32"/>
          <w:highlight w:val="none"/>
        </w:rPr>
        <w:t>采购代理机构：宁波中基国际招标有限公司</w:t>
      </w:r>
      <w:bookmarkEnd w:id="0"/>
    </w:p>
    <w:p w14:paraId="766D9438">
      <w:pPr>
        <w:spacing w:line="360" w:lineRule="auto"/>
        <w:jc w:val="center"/>
        <w:rPr>
          <w:rFonts w:hint="eastAsia" w:ascii="宋体" w:hAnsi="宋体" w:eastAsia="宋体" w:cs="宋体"/>
          <w:bCs/>
          <w:color w:val="auto"/>
          <w:sz w:val="32"/>
          <w:szCs w:val="32"/>
          <w:highlight w:val="none"/>
        </w:rPr>
      </w:pPr>
    </w:p>
    <w:p w14:paraId="788C089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eastAsia="宋体" w:cs="宋体"/>
          <w:bCs/>
          <w:color w:val="auto"/>
          <w:sz w:val="32"/>
          <w:szCs w:val="32"/>
          <w:highlight w:val="none"/>
        </w:rPr>
        <w:t>月</w:t>
      </w:r>
      <w:r>
        <w:rPr>
          <w:rFonts w:hint="eastAsia" w:ascii="宋体" w:hAnsi="宋体" w:eastAsia="宋体" w:cs="宋体"/>
          <w:color w:val="auto"/>
          <w:sz w:val="24"/>
          <w:highlight w:val="none"/>
        </w:rPr>
        <w:br w:type="page"/>
      </w:r>
      <w:bookmarkStart w:id="1" w:name="_Hlt67893495"/>
      <w:bookmarkEnd w:id="1"/>
    </w:p>
    <w:p w14:paraId="3E1C54AE">
      <w:pPr>
        <w:spacing w:line="360" w:lineRule="auto"/>
        <w:rPr>
          <w:rFonts w:hint="eastAsia" w:ascii="宋体" w:hAnsi="宋体" w:eastAsia="宋体" w:cs="宋体"/>
          <w:color w:val="auto"/>
          <w:sz w:val="32"/>
          <w:szCs w:val="32"/>
          <w:highlight w:val="none"/>
        </w:rPr>
      </w:pPr>
    </w:p>
    <w:sdt>
      <w:sdtPr>
        <w:rPr>
          <w:rFonts w:hint="eastAsia" w:ascii="宋体" w:hAnsi="宋体" w:eastAsia="宋体" w:cs="宋体"/>
          <w:color w:val="auto"/>
          <w:sz w:val="48"/>
          <w:szCs w:val="48"/>
          <w:highlight w:val="none"/>
        </w:rPr>
        <w:id w:val="147476114"/>
        <w15:color w:val="DBDBDB"/>
        <w:docPartObj>
          <w:docPartGallery w:val="Table of Contents"/>
          <w:docPartUnique/>
        </w:docPartObj>
      </w:sdtPr>
      <w:sdtEndPr>
        <w:rPr>
          <w:rFonts w:hint="eastAsia" w:ascii="宋体" w:hAnsi="宋体" w:eastAsia="宋体" w:cs="宋体"/>
          <w:color w:val="auto"/>
          <w:sz w:val="48"/>
          <w:szCs w:val="48"/>
          <w:highlight w:val="none"/>
        </w:rPr>
      </w:sdtEndPr>
      <w:sdtContent>
        <w:p w14:paraId="197921F7">
          <w:pPr>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26729693">
          <w:pPr>
            <w:pStyle w:val="63"/>
            <w:ind w:firstLine="960"/>
            <w:rPr>
              <w:rFonts w:hint="eastAsia" w:ascii="宋体" w:hAnsi="宋体" w:eastAsia="宋体" w:cs="宋体"/>
              <w:color w:val="auto"/>
              <w:sz w:val="48"/>
              <w:szCs w:val="48"/>
              <w:highlight w:val="none"/>
            </w:rPr>
          </w:pPr>
        </w:p>
        <w:p w14:paraId="6F8E5FEB">
          <w:pPr>
            <w:rPr>
              <w:rFonts w:hint="eastAsia" w:ascii="宋体" w:hAnsi="宋体" w:eastAsia="宋体" w:cs="宋体"/>
              <w:color w:val="auto"/>
              <w:highlight w:val="none"/>
            </w:rPr>
          </w:pPr>
        </w:p>
        <w:p w14:paraId="6084AE8E">
          <w:pPr>
            <w:pStyle w:val="45"/>
            <w:tabs>
              <w:tab w:val="right" w:leader="dot" w:pos="9070"/>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"_Toc32263"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第一部分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_Toc32263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89BD717">
          <w:pPr>
            <w:pStyle w:val="45"/>
            <w:tabs>
              <w:tab w:val="right" w:leader="dot" w:pos="9070"/>
            </w:tabs>
            <w:spacing w:line="6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"_Toc1745"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第二部分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5A855F83">
          <w:pPr>
            <w:pStyle w:val="45"/>
            <w:tabs>
              <w:tab w:val="right" w:leader="dot" w:pos="9070"/>
            </w:tabs>
            <w:spacing w:line="6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"_Toc9424"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第三部分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_Toc9424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6814090F">
          <w:pPr>
            <w:pStyle w:val="45"/>
            <w:tabs>
              <w:tab w:val="right" w:leader="dot" w:pos="9070"/>
            </w:tabs>
            <w:spacing w:line="6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"_Toc22578"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第四部分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_Toc22578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4854C556">
          <w:pPr>
            <w:pStyle w:val="45"/>
            <w:tabs>
              <w:tab w:val="right" w:leader="dot" w:pos="9070"/>
            </w:tabs>
            <w:spacing w:line="6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"_Toc12957"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_Toc12957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5F2893A7">
          <w:pPr>
            <w:pStyle w:val="45"/>
            <w:tabs>
              <w:tab w:val="right" w:leader="dot" w:pos="9070"/>
            </w:tabs>
            <w:spacing w:line="6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"_Toc12182"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第六部分 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17E2C859">
          <w:pPr>
            <w:spacing w:line="600" w:lineRule="exact"/>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sdtContent>
    </w:sdt>
    <w:p w14:paraId="1AF90541">
      <w:pPr>
        <w:spacing w:line="360" w:lineRule="auto"/>
        <w:ind w:firstLine="549" w:firstLineChars="229"/>
        <w:rPr>
          <w:rFonts w:hint="eastAsia" w:ascii="宋体" w:hAnsi="宋体" w:eastAsia="宋体" w:cs="宋体"/>
          <w:color w:val="auto"/>
          <w:sz w:val="24"/>
          <w:highlight w:val="none"/>
        </w:rPr>
      </w:pPr>
      <w:bookmarkStart w:id="2" w:name="_Hlt91233176"/>
      <w:bookmarkEnd w:id="2"/>
      <w:bookmarkStart w:id="3" w:name="_Toc91899869"/>
    </w:p>
    <w:p w14:paraId="69C5AB37">
      <w:pPr>
        <w:spacing w:line="360" w:lineRule="auto"/>
        <w:ind w:firstLine="549" w:firstLineChars="229"/>
        <w:rPr>
          <w:rFonts w:hint="eastAsia" w:ascii="宋体" w:hAnsi="宋体" w:eastAsia="宋体" w:cs="宋体"/>
          <w:color w:val="auto"/>
          <w:sz w:val="24"/>
          <w:highlight w:val="none"/>
        </w:rPr>
      </w:pPr>
    </w:p>
    <w:p w14:paraId="60CF6332">
      <w:pPr>
        <w:spacing w:line="360" w:lineRule="auto"/>
        <w:ind w:firstLine="549" w:firstLineChars="229"/>
        <w:rPr>
          <w:rFonts w:hint="eastAsia" w:ascii="宋体" w:hAnsi="宋体" w:eastAsia="宋体" w:cs="宋体"/>
          <w:color w:val="auto"/>
          <w:sz w:val="24"/>
          <w:highlight w:val="none"/>
        </w:rPr>
      </w:pPr>
    </w:p>
    <w:p w14:paraId="48396336">
      <w:pPr>
        <w:spacing w:line="360" w:lineRule="auto"/>
        <w:ind w:firstLine="549" w:firstLineChars="229"/>
        <w:rPr>
          <w:rFonts w:hint="eastAsia" w:ascii="宋体" w:hAnsi="宋体" w:eastAsia="宋体" w:cs="宋体"/>
          <w:color w:val="auto"/>
          <w:sz w:val="24"/>
          <w:highlight w:val="none"/>
        </w:rPr>
      </w:pPr>
    </w:p>
    <w:p w14:paraId="0F66A1D7">
      <w:pPr>
        <w:spacing w:line="360" w:lineRule="auto"/>
        <w:ind w:firstLine="549" w:firstLineChars="229"/>
        <w:rPr>
          <w:rFonts w:hint="eastAsia" w:ascii="宋体" w:hAnsi="宋体" w:eastAsia="宋体" w:cs="宋体"/>
          <w:color w:val="auto"/>
          <w:sz w:val="24"/>
          <w:highlight w:val="none"/>
        </w:rPr>
      </w:pPr>
    </w:p>
    <w:p w14:paraId="11BBF58C">
      <w:pPr>
        <w:spacing w:line="360" w:lineRule="auto"/>
        <w:ind w:firstLine="549" w:firstLineChars="229"/>
        <w:rPr>
          <w:rFonts w:hint="eastAsia" w:ascii="宋体" w:hAnsi="宋体" w:eastAsia="宋体" w:cs="宋体"/>
          <w:color w:val="auto"/>
          <w:sz w:val="24"/>
          <w:highlight w:val="none"/>
        </w:rPr>
      </w:pPr>
    </w:p>
    <w:p w14:paraId="407D9631">
      <w:pPr>
        <w:spacing w:line="360" w:lineRule="auto"/>
        <w:ind w:firstLine="549" w:firstLineChars="229"/>
        <w:rPr>
          <w:rFonts w:hint="eastAsia" w:ascii="宋体" w:hAnsi="宋体" w:eastAsia="宋体" w:cs="宋体"/>
          <w:color w:val="auto"/>
          <w:sz w:val="24"/>
          <w:highlight w:val="none"/>
        </w:rPr>
      </w:pPr>
    </w:p>
    <w:p w14:paraId="45086C17">
      <w:pPr>
        <w:spacing w:line="360" w:lineRule="auto"/>
        <w:ind w:firstLine="549" w:firstLineChars="229"/>
        <w:rPr>
          <w:rFonts w:hint="eastAsia" w:ascii="宋体" w:hAnsi="宋体" w:eastAsia="宋体" w:cs="宋体"/>
          <w:color w:val="auto"/>
          <w:sz w:val="24"/>
          <w:highlight w:val="none"/>
        </w:rPr>
      </w:pPr>
    </w:p>
    <w:p w14:paraId="069BE976">
      <w:pPr>
        <w:spacing w:line="360" w:lineRule="auto"/>
        <w:ind w:firstLine="549" w:firstLineChars="229"/>
        <w:rPr>
          <w:rFonts w:hint="eastAsia" w:ascii="宋体" w:hAnsi="宋体" w:eastAsia="宋体" w:cs="宋体"/>
          <w:color w:val="auto"/>
          <w:sz w:val="24"/>
          <w:highlight w:val="none"/>
        </w:rPr>
      </w:pPr>
    </w:p>
    <w:p w14:paraId="1BC24D8D">
      <w:pPr>
        <w:spacing w:line="360" w:lineRule="auto"/>
        <w:ind w:firstLine="549" w:firstLineChars="229"/>
        <w:rPr>
          <w:rFonts w:hint="eastAsia" w:ascii="宋体" w:hAnsi="宋体" w:eastAsia="宋体" w:cs="宋体"/>
          <w:color w:val="auto"/>
          <w:sz w:val="24"/>
          <w:highlight w:val="none"/>
        </w:rPr>
      </w:pPr>
    </w:p>
    <w:p w14:paraId="560B2FDE">
      <w:pPr>
        <w:spacing w:line="360" w:lineRule="auto"/>
        <w:ind w:firstLine="549" w:firstLineChars="229"/>
        <w:rPr>
          <w:rFonts w:hint="eastAsia" w:ascii="宋体" w:hAnsi="宋体" w:eastAsia="宋体" w:cs="宋体"/>
          <w:color w:val="auto"/>
          <w:sz w:val="24"/>
          <w:highlight w:val="none"/>
        </w:rPr>
      </w:pPr>
    </w:p>
    <w:p w14:paraId="67D37AE1">
      <w:pPr>
        <w:spacing w:line="360" w:lineRule="auto"/>
        <w:ind w:firstLine="549" w:firstLineChars="229"/>
        <w:rPr>
          <w:rFonts w:hint="eastAsia" w:ascii="宋体" w:hAnsi="宋体" w:eastAsia="宋体" w:cs="宋体"/>
          <w:color w:val="auto"/>
          <w:sz w:val="24"/>
          <w:highlight w:val="none"/>
        </w:rPr>
      </w:pPr>
    </w:p>
    <w:p w14:paraId="0E0C72C2">
      <w:pPr>
        <w:spacing w:line="360" w:lineRule="auto"/>
        <w:ind w:firstLine="549" w:firstLineChars="229"/>
        <w:rPr>
          <w:rFonts w:hint="eastAsia" w:ascii="宋体" w:hAnsi="宋体" w:eastAsia="宋体" w:cs="宋体"/>
          <w:color w:val="auto"/>
          <w:sz w:val="24"/>
          <w:highlight w:val="none"/>
        </w:rPr>
      </w:pPr>
    </w:p>
    <w:p w14:paraId="34072C80">
      <w:pPr>
        <w:spacing w:line="360" w:lineRule="auto"/>
        <w:rPr>
          <w:rFonts w:hint="eastAsia" w:ascii="宋体" w:hAnsi="宋体" w:eastAsia="宋体" w:cs="宋体"/>
          <w:color w:val="auto"/>
          <w:sz w:val="24"/>
          <w:highlight w:val="none"/>
        </w:rPr>
      </w:pPr>
    </w:p>
    <w:p w14:paraId="2455B9CE">
      <w:pPr>
        <w:adjustRightInd/>
        <w:spacing w:line="360" w:lineRule="auto"/>
        <w:jc w:val="center"/>
        <w:outlineLvl w:val="0"/>
        <w:rPr>
          <w:rFonts w:hint="eastAsia" w:ascii="宋体" w:hAnsi="宋体" w:eastAsia="宋体" w:cs="宋体"/>
          <w:b/>
          <w:color w:val="auto"/>
          <w:sz w:val="36"/>
          <w:szCs w:val="20"/>
          <w:highlight w:val="none"/>
        </w:rPr>
      </w:pPr>
      <w:bookmarkStart w:id="4" w:name="第一部分"/>
      <w:r>
        <w:rPr>
          <w:rFonts w:hint="eastAsia" w:ascii="宋体" w:hAnsi="宋体" w:eastAsia="宋体" w:cs="宋体"/>
          <w:b/>
          <w:color w:val="auto"/>
          <w:sz w:val="36"/>
          <w:szCs w:val="36"/>
          <w:highlight w:val="none"/>
        </w:rPr>
        <w:br w:type="page"/>
      </w:r>
      <w:bookmarkEnd w:id="3"/>
      <w:bookmarkEnd w:id="4"/>
      <w:bookmarkStart w:id="5" w:name="_Hlt74729822"/>
      <w:bookmarkEnd w:id="5"/>
      <w:bookmarkStart w:id="6" w:name="_Hlt74707423"/>
      <w:bookmarkEnd w:id="6"/>
      <w:bookmarkStart w:id="7" w:name="_Hlt74649545"/>
      <w:bookmarkEnd w:id="7"/>
      <w:bookmarkStart w:id="8" w:name="_Hlt74728647"/>
      <w:bookmarkEnd w:id="8"/>
      <w:bookmarkStart w:id="9" w:name="_Toc32263"/>
      <w:bookmarkStart w:id="10" w:name="_Toc15656"/>
      <w:bookmarkStart w:id="11" w:name="第二部分"/>
      <w:bookmarkStart w:id="12" w:name="_Toc91899870"/>
      <w:bookmarkStart w:id="13" w:name="_Toc91899871"/>
      <w:r>
        <w:rPr>
          <w:rStyle w:val="286"/>
          <w:rFonts w:hint="eastAsia" w:ascii="宋体" w:hAnsi="宋体" w:eastAsia="宋体" w:cs="宋体"/>
          <w:color w:val="auto"/>
          <w:highlight w:val="none"/>
        </w:rPr>
        <w:t>第一部分 招标公告</w:t>
      </w:r>
      <w:bookmarkEnd w:id="9"/>
      <w:bookmarkEnd w:id="10"/>
    </w:p>
    <w:p w14:paraId="4270F27B">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7699EC16">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eastAsia="zh-CN"/>
        </w:rPr>
        <w:t>宁波市临床病理诊断中心人力资源服务外包项目</w:t>
      </w:r>
      <w:r>
        <w:rPr>
          <w:rFonts w:hint="eastAsia" w:ascii="宋体" w:hAnsi="宋体" w:eastAsia="宋体" w:cs="宋体"/>
          <w:color w:val="auto"/>
          <w:sz w:val="24"/>
          <w:highlight w:val="none"/>
        </w:rPr>
        <w:t>）招标项目的潜在投标人应在政采云平台（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"https://www.zcygov.cn/）获取（下载）招标文件，并于2023年5月4日14点00分00秒" </w:instrText>
      </w:r>
      <w:r>
        <w:rPr>
          <w:rFonts w:hint="eastAsia" w:ascii="宋体" w:hAnsi="宋体" w:eastAsia="宋体" w:cs="宋体"/>
          <w:color w:val="auto"/>
          <w:highlight w:val="none"/>
        </w:rPr>
        <w:fldChar w:fldCharType="separate"/>
      </w:r>
      <w:r>
        <w:rPr>
          <w:rStyle w:val="78"/>
          <w:rFonts w:hint="eastAsia" w:ascii="宋体" w:hAnsi="宋体" w:eastAsia="宋体" w:cs="宋体"/>
          <w:snapToGrid/>
          <w:color w:val="auto"/>
          <w:kern w:val="2"/>
          <w:sz w:val="24"/>
          <w:szCs w:val="24"/>
          <w:highlight w:val="none"/>
        </w:rPr>
        <w:t>https://www.zcygov.cn/）获取（下载）招标文件，并于202</w:t>
      </w:r>
      <w:r>
        <w:rPr>
          <w:rStyle w:val="78"/>
          <w:rFonts w:hint="eastAsia" w:ascii="宋体" w:hAnsi="宋体" w:cs="宋体"/>
          <w:snapToGrid/>
          <w:color w:val="auto"/>
          <w:kern w:val="2"/>
          <w:sz w:val="24"/>
          <w:szCs w:val="24"/>
          <w:highlight w:val="none"/>
          <w:lang w:val="en-US" w:eastAsia="zh-CN"/>
        </w:rPr>
        <w:t>6</w:t>
      </w:r>
      <w:r>
        <w:rPr>
          <w:rStyle w:val="78"/>
          <w:rFonts w:hint="eastAsia" w:ascii="宋体" w:hAnsi="宋体" w:eastAsia="宋体" w:cs="宋体"/>
          <w:snapToGrid/>
          <w:color w:val="auto"/>
          <w:kern w:val="2"/>
          <w:sz w:val="24"/>
          <w:szCs w:val="24"/>
          <w:highlight w:val="none"/>
        </w:rPr>
        <w:t>年</w:t>
      </w:r>
      <w:r>
        <w:rPr>
          <w:rStyle w:val="78"/>
          <w:rFonts w:hint="eastAsia" w:ascii="宋体" w:hAnsi="宋体" w:cs="宋体"/>
          <w:snapToGrid/>
          <w:color w:val="auto"/>
          <w:kern w:val="2"/>
          <w:sz w:val="24"/>
          <w:szCs w:val="24"/>
          <w:highlight w:val="none"/>
          <w:lang w:val="en-US" w:eastAsia="zh-CN"/>
        </w:rPr>
        <w:t>6</w:t>
      </w:r>
      <w:r>
        <w:rPr>
          <w:rStyle w:val="78"/>
          <w:rFonts w:hint="eastAsia" w:ascii="宋体" w:hAnsi="宋体" w:eastAsia="宋体" w:cs="宋体"/>
          <w:snapToGrid/>
          <w:color w:val="auto"/>
          <w:kern w:val="2"/>
          <w:sz w:val="24"/>
          <w:szCs w:val="24"/>
          <w:highlight w:val="none"/>
        </w:rPr>
        <w:t>月</w:t>
      </w:r>
      <w:r>
        <w:rPr>
          <w:rStyle w:val="78"/>
          <w:rFonts w:hint="eastAsia" w:ascii="宋体" w:hAnsi="宋体" w:cs="宋体"/>
          <w:snapToGrid/>
          <w:color w:val="auto"/>
          <w:kern w:val="2"/>
          <w:sz w:val="24"/>
          <w:szCs w:val="24"/>
          <w:highlight w:val="none"/>
          <w:lang w:val="en-US" w:eastAsia="zh-CN"/>
        </w:rPr>
        <w:t>5</w:t>
      </w:r>
      <w:r>
        <w:rPr>
          <w:rStyle w:val="78"/>
          <w:rFonts w:hint="eastAsia" w:ascii="宋体" w:hAnsi="宋体" w:eastAsia="宋体" w:cs="宋体"/>
          <w:snapToGrid/>
          <w:color w:val="auto"/>
          <w:kern w:val="2"/>
          <w:sz w:val="24"/>
          <w:szCs w:val="24"/>
          <w:highlight w:val="none"/>
        </w:rPr>
        <w:t>日</w:t>
      </w:r>
      <w:r>
        <w:rPr>
          <w:rStyle w:val="78"/>
          <w:rFonts w:hint="eastAsia" w:ascii="宋体" w:hAnsi="宋体" w:cs="宋体"/>
          <w:snapToGrid/>
          <w:color w:val="auto"/>
          <w:kern w:val="2"/>
          <w:sz w:val="24"/>
          <w:szCs w:val="24"/>
          <w:highlight w:val="none"/>
          <w:lang w:val="en-US" w:eastAsia="zh-CN"/>
        </w:rPr>
        <w:t>14</w:t>
      </w:r>
      <w:r>
        <w:rPr>
          <w:rStyle w:val="78"/>
          <w:rFonts w:hint="eastAsia" w:ascii="宋体" w:hAnsi="宋体" w:eastAsia="宋体" w:cs="宋体"/>
          <w:snapToGrid/>
          <w:color w:val="auto"/>
          <w:kern w:val="2"/>
          <w:sz w:val="24"/>
          <w:szCs w:val="24"/>
          <w:highlight w:val="none"/>
        </w:rPr>
        <w:t>点</w:t>
      </w:r>
      <w:r>
        <w:rPr>
          <w:rStyle w:val="78"/>
          <w:rFonts w:hint="eastAsia" w:ascii="宋体" w:hAnsi="宋体" w:cs="宋体"/>
          <w:snapToGrid/>
          <w:color w:val="auto"/>
          <w:kern w:val="2"/>
          <w:sz w:val="24"/>
          <w:szCs w:val="24"/>
          <w:highlight w:val="none"/>
          <w:lang w:val="en-US" w:eastAsia="zh-CN"/>
        </w:rPr>
        <w:t>30</w:t>
      </w:r>
      <w:r>
        <w:rPr>
          <w:rStyle w:val="78"/>
          <w:rFonts w:hint="eastAsia" w:ascii="宋体" w:hAnsi="宋体" w:eastAsia="宋体" w:cs="宋体"/>
          <w:snapToGrid/>
          <w:color w:val="auto"/>
          <w:kern w:val="2"/>
          <w:sz w:val="24"/>
          <w:szCs w:val="24"/>
          <w:highlight w:val="none"/>
        </w:rPr>
        <w:t>分</w:t>
      </w:r>
      <w:r>
        <w:rPr>
          <w:rStyle w:val="78"/>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0FD1A68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一、项目基本情况                                            </w:t>
      </w:r>
    </w:p>
    <w:p w14:paraId="5CC9F9E4">
      <w:pPr>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Start w:id="14" w:name="_Toc23734"/>
      <w:r>
        <w:rPr>
          <w:rFonts w:hint="eastAsia" w:ascii="宋体" w:hAnsi="宋体" w:eastAsia="宋体" w:cs="宋体"/>
          <w:b/>
          <w:color w:val="auto"/>
          <w:sz w:val="24"/>
          <w:highlight w:val="none"/>
        </w:rPr>
        <w:t>项目编号：</w:t>
      </w:r>
      <w:r>
        <w:rPr>
          <w:rFonts w:hint="eastAsia" w:ascii="宋体" w:hAnsi="宋体" w:cs="宋体"/>
          <w:bCs/>
          <w:color w:val="auto"/>
          <w:sz w:val="24"/>
          <w:highlight w:val="none"/>
          <w:lang w:eastAsia="zh-CN"/>
        </w:rPr>
        <w:t>CBNB-20261213G</w:t>
      </w:r>
      <w:r>
        <w:rPr>
          <w:rFonts w:hint="eastAsia" w:ascii="宋体" w:hAnsi="宋体" w:eastAsia="宋体" w:cs="宋体"/>
          <w:bCs/>
          <w:color w:val="auto"/>
          <w:sz w:val="24"/>
          <w:highlight w:val="none"/>
        </w:rPr>
        <w:t> </w:t>
      </w:r>
      <w:bookmarkEnd w:id="14"/>
    </w:p>
    <w:p w14:paraId="6F96F038">
      <w:pPr>
        <w:spacing w:line="360" w:lineRule="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项目名称：</w:t>
      </w:r>
      <w:r>
        <w:rPr>
          <w:rFonts w:hint="eastAsia" w:ascii="宋体" w:hAnsi="宋体" w:cs="宋体"/>
          <w:bCs/>
          <w:color w:val="auto"/>
          <w:sz w:val="24"/>
          <w:highlight w:val="none"/>
          <w:lang w:eastAsia="zh-CN"/>
        </w:rPr>
        <w:t>宁波市临床病理诊断中心人力资源服务外包项目</w:t>
      </w:r>
    </w:p>
    <w:p w14:paraId="754C0A3A">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预算金额（元</w:t>
      </w:r>
      <w:r>
        <w:rPr>
          <w:rFonts w:hint="eastAsia" w:ascii="宋体" w:hAnsi="宋体" w:cs="宋体"/>
          <w:b/>
          <w:color w:val="auto"/>
          <w:sz w:val="24"/>
          <w:highlight w:val="none"/>
          <w:lang w:val="en-US" w:eastAsia="zh-CN"/>
        </w:rPr>
        <w:t>/年</w:t>
      </w:r>
      <w:r>
        <w:rPr>
          <w:rFonts w:hint="eastAsia" w:ascii="宋体" w:hAnsi="宋体" w:eastAsia="宋体" w:cs="宋体"/>
          <w:b/>
          <w:color w:val="auto"/>
          <w:sz w:val="24"/>
          <w:highlight w:val="none"/>
        </w:rPr>
        <w:t>）：</w:t>
      </w:r>
      <w:r>
        <w:rPr>
          <w:rFonts w:hint="eastAsia" w:ascii="宋体" w:hAnsi="宋体" w:cs="宋体"/>
          <w:color w:val="auto"/>
          <w:sz w:val="24"/>
          <w:highlight w:val="none"/>
          <w:lang w:val="en-US" w:eastAsia="zh-CN"/>
        </w:rPr>
        <w:t>9,450,000.00</w:t>
      </w:r>
    </w:p>
    <w:p w14:paraId="3DF9F806">
      <w:pPr>
        <w:spacing w:line="360" w:lineRule="auto"/>
        <w:ind w:firstLine="48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最高限价（元</w:t>
      </w:r>
      <w:r>
        <w:rPr>
          <w:rFonts w:hint="eastAsia" w:ascii="宋体" w:hAnsi="宋体" w:cs="宋体"/>
          <w:b/>
          <w:color w:val="auto"/>
          <w:sz w:val="24"/>
          <w:highlight w:val="none"/>
          <w:lang w:val="en-US" w:eastAsia="zh-CN"/>
        </w:rPr>
        <w:t>/年</w:t>
      </w:r>
      <w:r>
        <w:rPr>
          <w:rFonts w:hint="eastAsia" w:ascii="宋体" w:hAnsi="宋体" w:eastAsia="宋体" w:cs="宋体"/>
          <w:b/>
          <w:color w:val="auto"/>
          <w:sz w:val="24"/>
          <w:highlight w:val="none"/>
        </w:rPr>
        <w:t>）：</w:t>
      </w:r>
      <w:r>
        <w:rPr>
          <w:rFonts w:hint="eastAsia" w:ascii="宋体" w:hAnsi="宋体" w:cs="宋体"/>
          <w:color w:val="auto"/>
          <w:sz w:val="24"/>
          <w:highlight w:val="none"/>
          <w:lang w:val="en-US" w:eastAsia="zh-CN"/>
        </w:rPr>
        <w:t>9,450,000.00</w:t>
      </w:r>
    </w:p>
    <w:p w14:paraId="07D44171">
      <w:pPr>
        <w:spacing w:line="360" w:lineRule="auto"/>
        <w:ind w:firstLine="480" w:firstLineChars="200"/>
        <w:rPr>
          <w:rFonts w:hint="eastAsia" w:ascii="宋体" w:hAnsi="宋体" w:cs="宋体"/>
          <w:bCs/>
          <w:color w:val="auto"/>
          <w:sz w:val="24"/>
          <w:highlight w:val="none"/>
          <w:lang w:eastAsia="zh-CN"/>
        </w:rPr>
      </w:pPr>
      <w:r>
        <w:rPr>
          <w:rFonts w:hint="eastAsia" w:ascii="宋体" w:hAnsi="宋体" w:eastAsia="宋体" w:cs="宋体"/>
          <w:color w:val="auto"/>
          <w:sz w:val="24"/>
          <w:highlight w:val="none"/>
        </w:rPr>
        <w:t>标项名称:</w:t>
      </w:r>
      <w:r>
        <w:rPr>
          <w:rFonts w:hint="eastAsia" w:ascii="宋体" w:hAnsi="宋体" w:cs="宋体"/>
          <w:bCs/>
          <w:color w:val="auto"/>
          <w:sz w:val="24"/>
          <w:highlight w:val="none"/>
          <w:lang w:eastAsia="zh-CN"/>
        </w:rPr>
        <w:t>人力资源服务外包</w:t>
      </w:r>
    </w:p>
    <w:p w14:paraId="3C0B9A0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数量:1</w:t>
      </w:r>
      <w:r>
        <w:rPr>
          <w:rFonts w:hint="eastAsia" w:ascii="宋体" w:hAnsi="宋体" w:cs="宋体"/>
          <w:color w:val="auto"/>
          <w:sz w:val="24"/>
          <w:highlight w:val="none"/>
          <w:lang w:val="en-US" w:eastAsia="zh-CN"/>
        </w:rPr>
        <w:t>年</w:t>
      </w:r>
    </w:p>
    <w:p w14:paraId="0273B98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预算金额（元</w:t>
      </w:r>
      <w:r>
        <w:rPr>
          <w:rFonts w:hint="eastAsia" w:ascii="宋体" w:hAnsi="宋体" w:cs="宋体"/>
          <w:b w:val="0"/>
          <w:bCs/>
          <w:color w:val="auto"/>
          <w:sz w:val="24"/>
          <w:highlight w:val="none"/>
          <w:lang w:val="en-US" w:eastAsia="zh-CN"/>
        </w:rPr>
        <w:t>/年</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9,450,000.00</w:t>
      </w:r>
    </w:p>
    <w:p w14:paraId="4E1DC0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简要规格描述或项目基本概况介绍、用途：具体以招标文件第三部分采购需求为准。</w:t>
      </w:r>
    </w:p>
    <w:p w14:paraId="328A3DAF">
      <w:pPr>
        <w:pStyle w:val="7"/>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备注：</w:t>
      </w:r>
      <w:r>
        <w:rPr>
          <w:rFonts w:hint="eastAsia" w:hAnsi="宋体" w:cs="宋体"/>
          <w:snapToGrid/>
          <w:color w:val="auto"/>
          <w:kern w:val="2"/>
          <w:sz w:val="24"/>
          <w:szCs w:val="24"/>
          <w:highlight w:val="none"/>
          <w:lang w:val="en-US" w:eastAsia="zh-CN"/>
        </w:rPr>
        <w:t>服务期限为</w:t>
      </w:r>
      <w:r>
        <w:rPr>
          <w:rFonts w:hint="eastAsia" w:ascii="宋体" w:hAnsi="宋体" w:eastAsia="宋体" w:cs="宋体"/>
          <w:snapToGrid/>
          <w:color w:val="auto"/>
          <w:kern w:val="2"/>
          <w:sz w:val="24"/>
          <w:szCs w:val="24"/>
          <w:highlight w:val="none"/>
        </w:rPr>
        <w:t>自合同生效之日起一年；根据中标人在合同履约期内履约、考核等情况决定是否续签，最多续签一次。</w:t>
      </w:r>
      <w:bookmarkStart w:id="15" w:name="_Toc27797"/>
    </w:p>
    <w:p w14:paraId="26968DE3">
      <w:pPr>
        <w:pStyle w:val="7"/>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合同履约期限：</w:t>
      </w:r>
      <w:bookmarkEnd w:id="15"/>
      <w:r>
        <w:rPr>
          <w:rFonts w:hint="eastAsia" w:ascii="宋体" w:hAnsi="宋体" w:eastAsia="宋体" w:cs="宋体"/>
          <w:color w:val="auto"/>
          <w:sz w:val="24"/>
          <w:szCs w:val="24"/>
          <w:highlight w:val="none"/>
        </w:rPr>
        <w:t xml:space="preserve">自合同签订生效后开始至双方合同义务完全履行后截止。 </w:t>
      </w:r>
    </w:p>
    <w:p w14:paraId="77CD8AC5">
      <w:pPr>
        <w:pStyle w:val="7"/>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本项目</w:t>
      </w:r>
      <w:r>
        <w:rPr>
          <w:rFonts w:hint="eastAsia" w:hAnsi="宋体" w:cs="宋体"/>
          <w:b/>
          <w:color w:val="auto"/>
          <w:sz w:val="24"/>
          <w:highlight w:val="none"/>
          <w:lang w:eastAsia="zh-CN"/>
        </w:rPr>
        <w:t>不</w:t>
      </w:r>
      <w:r>
        <w:rPr>
          <w:rFonts w:hint="eastAsia" w:ascii="宋体" w:hAnsi="宋体" w:eastAsia="宋体" w:cs="宋体"/>
          <w:b/>
          <w:color w:val="auto"/>
          <w:sz w:val="24"/>
          <w:highlight w:val="none"/>
        </w:rPr>
        <w:t>接受联合体投标</w:t>
      </w:r>
      <w:r>
        <w:rPr>
          <w:rFonts w:hint="eastAsia" w:ascii="宋体" w:hAnsi="宋体" w:eastAsia="宋体" w:cs="宋体"/>
          <w:color w:val="auto"/>
          <w:kern w:val="0"/>
          <w:sz w:val="24"/>
          <w:highlight w:val="none"/>
        </w:rPr>
        <w:t>。</w:t>
      </w:r>
    </w:p>
    <w:p w14:paraId="76C00577">
      <w:pPr>
        <w:spacing w:line="360" w:lineRule="auto"/>
        <w:outlineLvl w:val="1"/>
        <w:rPr>
          <w:rFonts w:hint="eastAsia" w:ascii="宋体" w:hAnsi="宋体" w:eastAsia="宋体" w:cs="宋体"/>
          <w:b/>
          <w:color w:val="auto"/>
          <w:sz w:val="24"/>
          <w:highlight w:val="none"/>
        </w:rPr>
      </w:pPr>
      <w:bookmarkStart w:id="16" w:name="_Toc23184"/>
      <w:r>
        <w:rPr>
          <w:rFonts w:hint="eastAsia" w:ascii="宋体" w:hAnsi="宋体" w:eastAsia="宋体" w:cs="宋体"/>
          <w:b/>
          <w:color w:val="auto"/>
          <w:sz w:val="24"/>
          <w:highlight w:val="none"/>
        </w:rPr>
        <w:t>二、</w:t>
      </w:r>
      <w:bookmarkStart w:id="17" w:name="_Hlk101132948"/>
      <w:r>
        <w:rPr>
          <w:rFonts w:hint="eastAsia" w:ascii="宋体" w:hAnsi="宋体" w:eastAsia="宋体" w:cs="宋体"/>
          <w:b/>
          <w:color w:val="auto"/>
          <w:sz w:val="24"/>
          <w:highlight w:val="none"/>
        </w:rPr>
        <w:t>申请人的资格要求</w:t>
      </w:r>
      <w:bookmarkEnd w:id="17"/>
      <w:r>
        <w:rPr>
          <w:rFonts w:hint="eastAsia" w:ascii="宋体" w:hAnsi="宋体" w:eastAsia="宋体" w:cs="宋体"/>
          <w:b/>
          <w:color w:val="auto"/>
          <w:sz w:val="24"/>
          <w:highlight w:val="none"/>
        </w:rPr>
        <w:t>：</w:t>
      </w:r>
      <w:bookmarkEnd w:id="16"/>
    </w:p>
    <w:p w14:paraId="5CBC3869">
      <w:pPr>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44CA2722">
      <w:pPr>
        <w:spacing w:line="360" w:lineRule="auto"/>
        <w:ind w:firstLine="480" w:firstLineChars="200"/>
        <w:rPr>
          <w:rFonts w:hint="eastAsia" w:ascii="宋体" w:hAnsi="宋体" w:eastAsia="宋体" w:cs="宋体"/>
          <w:snapToGrid w:val="0"/>
          <w:color w:val="auto"/>
          <w:kern w:val="28"/>
          <w:sz w:val="24"/>
          <w:szCs w:val="20"/>
          <w:highlight w:val="none"/>
        </w:rPr>
      </w:pPr>
      <w:r>
        <w:rPr>
          <w:rFonts w:hint="eastAsia" w:ascii="宋体" w:hAnsi="宋体" w:cs="宋体"/>
          <w:snapToGrid w:val="0"/>
          <w:color w:val="auto"/>
          <w:kern w:val="28"/>
          <w:sz w:val="24"/>
          <w:szCs w:val="20"/>
          <w:highlight w:val="none"/>
          <w:lang w:val="en-US" w:eastAsia="zh-CN"/>
        </w:rPr>
        <w:t>2</w:t>
      </w:r>
      <w:r>
        <w:rPr>
          <w:rFonts w:hint="eastAsia" w:ascii="宋体" w:hAnsi="宋体" w:eastAsia="宋体" w:cs="宋体"/>
          <w:snapToGrid w:val="0"/>
          <w:color w:val="auto"/>
          <w:kern w:val="28"/>
          <w:sz w:val="24"/>
          <w:szCs w:val="20"/>
          <w:highlight w:val="none"/>
        </w:rPr>
        <w:t>.落实政府采购政策需满足的资格要求：</w:t>
      </w:r>
      <w:r>
        <w:rPr>
          <w:rFonts w:hint="eastAsia" w:ascii="宋体" w:hAnsi="宋体" w:cs="宋体"/>
          <w:color w:val="auto"/>
          <w:sz w:val="24"/>
          <w:szCs w:val="21"/>
          <w:highlight w:val="none"/>
        </w:rPr>
        <w:t>本项目属于专门面向中小企业采购的项目，服务全部由符合政策要求的中小企业承接，提供中小企业声明函</w:t>
      </w:r>
      <w:r>
        <w:rPr>
          <w:rFonts w:hint="eastAsia" w:ascii="宋体" w:hAnsi="宋体" w:eastAsia="宋体" w:cs="宋体"/>
          <w:snapToGrid w:val="0"/>
          <w:color w:val="auto"/>
          <w:kern w:val="28"/>
          <w:sz w:val="24"/>
          <w:szCs w:val="20"/>
          <w:highlight w:val="none"/>
        </w:rPr>
        <w:t>；</w:t>
      </w:r>
    </w:p>
    <w:p w14:paraId="0232D13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.本项目的特定资格要求：</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rPr>
        <w:t>；</w:t>
      </w:r>
    </w:p>
    <w:p w14:paraId="1D5E8885">
      <w:pPr>
        <w:snapToGrid w:val="0"/>
        <w:spacing w:line="360" w:lineRule="auto"/>
        <w:ind w:firstLine="480" w:firstLineChars="200"/>
        <w:outlineLvl w:val="9"/>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Start w:id="18" w:name="_Toc15435"/>
    </w:p>
    <w:p w14:paraId="558FD764">
      <w:pP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三、获取招标文件</w:t>
      </w:r>
      <w:bookmarkEnd w:id="18"/>
      <w:r>
        <w:rPr>
          <w:rFonts w:hint="eastAsia" w:ascii="宋体" w:hAnsi="宋体" w:eastAsia="宋体" w:cs="宋体"/>
          <w:b/>
          <w:color w:val="auto"/>
          <w:sz w:val="24"/>
          <w:highlight w:val="none"/>
        </w:rPr>
        <w:t xml:space="preserve"> </w:t>
      </w:r>
    </w:p>
    <w:p w14:paraId="3C33EA3B">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22</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，每天上午00:00至12:00 ，下午12:00至23:59（北京时间，线上获取法定节假日均可，线下获取文件法定节假日除外）</w:t>
      </w:r>
    </w:p>
    <w:p w14:paraId="3924D0CD">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 xml:space="preserve">政采云平台（https://www.zcygov.cn/） </w:t>
      </w:r>
    </w:p>
    <w:p w14:paraId="2391ECE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 xml:space="preserve">供应商登录政采云平台https://www.zcygov.cn/在线申请获取采购文件（进入“项目采购”应用，在获取采购文件菜单中选择项目，申请获取采购文件）。 </w:t>
      </w:r>
    </w:p>
    <w:p w14:paraId="4042C20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 xml:space="preserve">0 </w:t>
      </w:r>
      <w:r>
        <w:rPr>
          <w:rFonts w:hint="eastAsia" w:ascii="宋体" w:hAnsi="宋体" w:eastAsia="宋体" w:cs="宋体"/>
          <w:color w:val="auto"/>
          <w:sz w:val="24"/>
          <w:highlight w:val="none"/>
        </w:rPr>
        <w:tab/>
      </w:r>
    </w:p>
    <w:p w14:paraId="73CD9668">
      <w:pPr>
        <w:spacing w:line="360" w:lineRule="auto"/>
        <w:outlineLvl w:val="1"/>
        <w:rPr>
          <w:rFonts w:hint="eastAsia" w:ascii="宋体" w:hAnsi="宋体" w:eastAsia="宋体" w:cs="宋体"/>
          <w:b/>
          <w:color w:val="auto"/>
          <w:sz w:val="24"/>
          <w:highlight w:val="none"/>
        </w:rPr>
      </w:pPr>
      <w:bookmarkStart w:id="19" w:name="_Toc18115"/>
      <w:r>
        <w:rPr>
          <w:rFonts w:hint="eastAsia" w:ascii="宋体" w:hAnsi="宋体" w:eastAsia="宋体" w:cs="宋体"/>
          <w:b/>
          <w:color w:val="auto"/>
          <w:sz w:val="24"/>
          <w:highlight w:val="none"/>
        </w:rPr>
        <w:t>四、提交投标文件截止时间、开标时间和地点</w:t>
      </w:r>
      <w:bookmarkEnd w:id="19"/>
    </w:p>
    <w:p w14:paraId="3C010344">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Fonts w:hint="eastAsia" w:ascii="宋体" w:hAnsi="宋体" w:eastAsia="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14:30</w:t>
      </w:r>
      <w:r>
        <w:rPr>
          <w:rFonts w:hint="eastAsia" w:ascii="宋体" w:hAnsi="宋体" w:eastAsia="宋体" w:cs="宋体"/>
          <w:color w:val="auto"/>
          <w:sz w:val="24"/>
          <w:highlight w:val="none"/>
        </w:rPr>
        <w:t>（北京时间）</w:t>
      </w:r>
    </w:p>
    <w:p w14:paraId="0F5DC22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 xml:space="preserve">政采云平台（https://www.zcygov.cn/） </w:t>
      </w:r>
    </w:p>
    <w:p w14:paraId="6206B68A">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14:30</w:t>
      </w:r>
    </w:p>
    <w:p w14:paraId="30F834C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政采云平台（https://www.zcygov.cn/）</w:t>
      </w:r>
    </w:p>
    <w:p w14:paraId="6CCD75FC">
      <w:pPr>
        <w:spacing w:line="360" w:lineRule="auto"/>
        <w:outlineLvl w:val="1"/>
        <w:rPr>
          <w:rFonts w:hint="eastAsia" w:ascii="宋体" w:hAnsi="宋体" w:eastAsia="宋体" w:cs="宋体"/>
          <w:color w:val="auto"/>
          <w:sz w:val="24"/>
          <w:highlight w:val="none"/>
        </w:rPr>
      </w:pPr>
      <w:bookmarkStart w:id="20" w:name="_Toc16463"/>
      <w:r>
        <w:rPr>
          <w:rFonts w:hint="eastAsia" w:ascii="宋体" w:hAnsi="宋体" w:eastAsia="宋体" w:cs="宋体"/>
          <w:b/>
          <w:color w:val="auto"/>
          <w:sz w:val="24"/>
          <w:highlight w:val="none"/>
        </w:rPr>
        <w:t>五、公告期限</w:t>
      </w:r>
      <w:bookmarkEnd w:id="20"/>
      <w:r>
        <w:rPr>
          <w:rFonts w:hint="eastAsia" w:ascii="宋体" w:hAnsi="宋体" w:eastAsia="宋体" w:cs="宋体"/>
          <w:b/>
          <w:color w:val="auto"/>
          <w:sz w:val="24"/>
          <w:highlight w:val="none"/>
        </w:rPr>
        <w:t xml:space="preserve"> </w:t>
      </w:r>
    </w:p>
    <w:p w14:paraId="5E3B31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51B32B00">
      <w:pPr>
        <w:spacing w:line="360" w:lineRule="auto"/>
        <w:outlineLvl w:val="1"/>
        <w:rPr>
          <w:rFonts w:hint="eastAsia" w:ascii="宋体" w:hAnsi="宋体" w:eastAsia="宋体" w:cs="宋体"/>
          <w:b/>
          <w:color w:val="auto"/>
          <w:sz w:val="24"/>
          <w:highlight w:val="none"/>
        </w:rPr>
      </w:pPr>
      <w:bookmarkStart w:id="21" w:name="_Toc20735"/>
      <w:r>
        <w:rPr>
          <w:rFonts w:hint="eastAsia" w:ascii="宋体" w:hAnsi="宋体" w:eastAsia="宋体" w:cs="宋体"/>
          <w:b/>
          <w:color w:val="auto"/>
          <w:sz w:val="24"/>
          <w:highlight w:val="none"/>
        </w:rPr>
        <w:t>六、其他补充事宜</w:t>
      </w:r>
      <w:bookmarkEnd w:id="21"/>
    </w:p>
    <w:p w14:paraId="29F566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9EA34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2.其他事项：</w:t>
      </w:r>
    </w:p>
    <w:p w14:paraId="1C6CC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（1）需要落实的政府采购政策：包括节约资源、保护环境、支持创新、促进中小企业发展等。详见招标文件的第二部分总则。</w:t>
      </w:r>
    </w:p>
    <w:p w14:paraId="1E0A3B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寄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2BDD70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（3）招标文件公告期限与招标公告的公告期限一致。</w:t>
      </w:r>
    </w:p>
    <w:p w14:paraId="2FFACE25">
      <w:pPr>
        <w:spacing w:line="360" w:lineRule="auto"/>
        <w:outlineLvl w:val="1"/>
        <w:rPr>
          <w:rFonts w:hint="eastAsia" w:ascii="宋体" w:hAnsi="宋体" w:eastAsia="宋体" w:cs="宋体"/>
          <w:b/>
          <w:color w:val="auto"/>
          <w:sz w:val="24"/>
          <w:highlight w:val="none"/>
        </w:rPr>
      </w:pPr>
      <w:bookmarkStart w:id="22" w:name="_Toc3685"/>
      <w:r>
        <w:rPr>
          <w:rFonts w:hint="eastAsia" w:ascii="宋体" w:hAnsi="宋体" w:eastAsia="宋体" w:cs="宋体"/>
          <w:b/>
          <w:color w:val="auto"/>
          <w:sz w:val="24"/>
          <w:highlight w:val="none"/>
        </w:rPr>
        <w:t>七、对本次采购提出询问、质疑、投诉，请按以下方式联系</w:t>
      </w:r>
      <w:bookmarkEnd w:id="22"/>
    </w:p>
    <w:p w14:paraId="2D6203B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017132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称：宁波市临床病理诊断中心</w:t>
      </w:r>
    </w:p>
    <w:p w14:paraId="73A4AB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址：浙江省宁波市江北区环城北路东段685号</w:t>
      </w:r>
    </w:p>
    <w:p w14:paraId="6B5976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1556373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项目联系人（询问）：</w:t>
      </w:r>
      <w:r>
        <w:rPr>
          <w:rFonts w:hint="eastAsia" w:ascii="宋体" w:hAnsi="宋体" w:cs="宋体"/>
          <w:color w:val="auto"/>
          <w:sz w:val="24"/>
          <w:highlight w:val="none"/>
          <w:lang w:val="en-US" w:eastAsia="zh-CN"/>
        </w:rPr>
        <w:t>杜</w:t>
      </w:r>
      <w:r>
        <w:rPr>
          <w:rFonts w:hint="eastAsia" w:ascii="宋体" w:hAnsi="宋体" w:eastAsia="宋体" w:cs="宋体"/>
          <w:color w:val="auto"/>
          <w:sz w:val="24"/>
          <w:highlight w:val="none"/>
          <w:lang w:eastAsia="zh-CN"/>
        </w:rPr>
        <w:t>老师</w:t>
      </w:r>
    </w:p>
    <w:p w14:paraId="5E37A2F6">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项目联系方式（询问）：0574-876511</w:t>
      </w:r>
      <w:r>
        <w:rPr>
          <w:rFonts w:hint="eastAsia" w:ascii="宋体" w:hAnsi="宋体" w:cs="宋体"/>
          <w:color w:val="auto"/>
          <w:sz w:val="24"/>
          <w:highlight w:val="none"/>
          <w:lang w:val="en-US" w:eastAsia="zh-CN"/>
        </w:rPr>
        <w:t>20</w:t>
      </w:r>
    </w:p>
    <w:p w14:paraId="2BBB20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w:t>
      </w:r>
      <w:r>
        <w:rPr>
          <w:rFonts w:hint="eastAsia" w:ascii="宋体" w:hAnsi="宋体" w:cs="宋体"/>
          <w:color w:val="auto"/>
          <w:sz w:val="24"/>
          <w:highlight w:val="none"/>
          <w:lang w:val="en-US" w:eastAsia="zh-CN"/>
        </w:rPr>
        <w:t>谢</w:t>
      </w:r>
      <w:r>
        <w:rPr>
          <w:rFonts w:hint="eastAsia" w:ascii="宋体" w:hAnsi="宋体" w:eastAsia="宋体" w:cs="宋体"/>
          <w:color w:val="auto"/>
          <w:sz w:val="24"/>
          <w:highlight w:val="none"/>
        </w:rPr>
        <w:t>老师</w:t>
      </w:r>
    </w:p>
    <w:p w14:paraId="113D3E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质疑联系方式：0574-87651110</w:t>
      </w:r>
    </w:p>
    <w:p w14:paraId="614F2F1C">
      <w:pPr>
        <w:spacing w:line="360" w:lineRule="auto"/>
        <w:ind w:firstLine="480" w:firstLineChars="200"/>
        <w:rPr>
          <w:rFonts w:hint="eastAsia" w:ascii="宋体" w:hAnsi="宋体" w:eastAsia="宋体" w:cs="宋体"/>
          <w:color w:val="auto"/>
          <w:sz w:val="24"/>
          <w:highlight w:val="none"/>
        </w:rPr>
      </w:pPr>
    </w:p>
    <w:p w14:paraId="3FA4ED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            </w:t>
      </w:r>
    </w:p>
    <w:p w14:paraId="096754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名称：宁波中基国际招标有限公司             </w:t>
      </w:r>
    </w:p>
    <w:p w14:paraId="564A25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地址：宁波市鄞州区天童南路666号中基大厦19楼             </w:t>
      </w:r>
    </w:p>
    <w:p w14:paraId="28FA27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传真：0574-87425386             </w:t>
      </w:r>
    </w:p>
    <w:p w14:paraId="76FA46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项目联系人（询问）：王鸯鸯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徐承</w:t>
      </w:r>
      <w:r>
        <w:rPr>
          <w:rFonts w:hint="eastAsia" w:ascii="宋体" w:hAnsi="宋体" w:eastAsia="宋体" w:cs="宋体"/>
          <w:color w:val="auto"/>
          <w:sz w:val="24"/>
          <w:highlight w:val="none"/>
        </w:rPr>
        <w:t xml:space="preserve">          </w:t>
      </w:r>
    </w:p>
    <w:p w14:paraId="61CA798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项目联系方式（询问）：0574-88090157</w:t>
      </w:r>
    </w:p>
    <w:p w14:paraId="78D5D3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w:t>
      </w:r>
      <w:r>
        <w:rPr>
          <w:rFonts w:hint="eastAsia" w:ascii="宋体" w:hAnsi="宋体" w:eastAsia="宋体" w:cs="宋体"/>
          <w:color w:val="auto"/>
          <w:sz w:val="24"/>
          <w:highlight w:val="none"/>
          <w:lang w:val="en-US" w:eastAsia="zh-CN"/>
        </w:rPr>
        <w:t>张亮</w:t>
      </w:r>
      <w:r>
        <w:rPr>
          <w:rFonts w:hint="eastAsia" w:ascii="宋体" w:hAnsi="宋体" w:eastAsia="宋体" w:cs="宋体"/>
          <w:color w:val="auto"/>
          <w:sz w:val="24"/>
          <w:highlight w:val="none"/>
        </w:rPr>
        <w:t xml:space="preserve">           </w:t>
      </w:r>
    </w:p>
    <w:p w14:paraId="06C3C64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rPr>
        <w:t>质疑联系方式：0574-8</w:t>
      </w:r>
      <w:r>
        <w:rPr>
          <w:rFonts w:hint="eastAsia" w:ascii="宋体" w:hAnsi="宋体" w:eastAsia="宋体" w:cs="宋体"/>
          <w:color w:val="auto"/>
          <w:sz w:val="24"/>
          <w:highlight w:val="none"/>
          <w:lang w:val="en-US" w:eastAsia="zh-CN"/>
        </w:rPr>
        <w:t>8090213</w:t>
      </w:r>
      <w:r>
        <w:rPr>
          <w:rFonts w:hint="eastAsia" w:ascii="宋体" w:hAnsi="宋体" w:eastAsia="宋体" w:cs="宋体"/>
          <w:color w:val="auto"/>
          <w:sz w:val="24"/>
          <w:highlight w:val="none"/>
        </w:rPr>
        <w:t>　　　</w:t>
      </w:r>
      <w:r>
        <w:rPr>
          <w:rFonts w:hint="eastAsia" w:ascii="宋体" w:hAnsi="宋体" w:eastAsia="宋体" w:cs="宋体"/>
          <w:color w:val="auto"/>
          <w:szCs w:val="21"/>
          <w:highlight w:val="none"/>
        </w:rPr>
        <w:t>　　　     </w:t>
      </w:r>
    </w:p>
    <w:p w14:paraId="2427EA2A">
      <w:pPr>
        <w:spacing w:line="360" w:lineRule="auto"/>
        <w:ind w:left="630" w:leftChars="2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155B7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3.同级政府采购监督管理部门            </w:t>
      </w:r>
    </w:p>
    <w:p w14:paraId="3A1401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名称：宁波市财政局政府采购监管处 　　　　　　　　　　　</w:t>
      </w:r>
    </w:p>
    <w:p w14:paraId="27B735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地址：宁波市海曙区中山西路19号  　　　　　　　　　　　</w:t>
      </w:r>
    </w:p>
    <w:p w14:paraId="23B85C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14:paraId="5821ED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张</w:t>
      </w:r>
      <w:r>
        <w:rPr>
          <w:rFonts w:hint="eastAsia" w:ascii="宋体" w:hAnsi="宋体" w:eastAsia="宋体" w:cs="宋体"/>
          <w:color w:val="auto"/>
          <w:sz w:val="24"/>
          <w:highlight w:val="none"/>
        </w:rPr>
        <w:t>老师    　　　　　　　　　　　</w:t>
      </w:r>
    </w:p>
    <w:p w14:paraId="3AB992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监督投诉电话：0574-89388399</w:t>
      </w:r>
    </w:p>
    <w:p w14:paraId="5838CC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1780ECFC">
      <w:pPr>
        <w:spacing w:line="360" w:lineRule="auto"/>
        <w:ind w:firstLine="480" w:firstLineChars="200"/>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CA问题联系电话（人工）：汇信CA 400-888-4636；天谷CA 400-087-8198。               </w:t>
      </w:r>
      <w:r>
        <w:rPr>
          <w:rFonts w:hint="eastAsia" w:ascii="宋体" w:hAnsi="宋体" w:eastAsia="宋体" w:cs="宋体"/>
          <w:b/>
          <w:color w:val="auto"/>
          <w:sz w:val="36"/>
          <w:szCs w:val="20"/>
          <w:highlight w:val="none"/>
        </w:rPr>
        <w:t xml:space="preserve"> </w:t>
      </w:r>
    </w:p>
    <w:p w14:paraId="502AFFD7">
      <w:pPr>
        <w:pStyle w:val="5"/>
        <w:rPr>
          <w:rFonts w:hint="eastAsia" w:ascii="宋体" w:hAnsi="宋体" w:eastAsia="宋体" w:cs="宋体"/>
          <w:snapToGrid w:val="0"/>
          <w:color w:val="auto"/>
          <w:highlight w:val="none"/>
        </w:rPr>
      </w:pPr>
      <w:r>
        <w:rPr>
          <w:rFonts w:hint="eastAsia" w:ascii="宋体" w:hAnsi="宋体" w:eastAsia="宋体" w:cs="宋体"/>
          <w:color w:val="auto"/>
          <w:highlight w:val="none"/>
        </w:rPr>
        <w:br w:type="page"/>
      </w:r>
    </w:p>
    <w:p w14:paraId="5C6686AE">
      <w:pPr>
        <w:adjustRightInd/>
        <w:spacing w:line="360" w:lineRule="auto"/>
        <w:jc w:val="center"/>
        <w:outlineLvl w:val="0"/>
        <w:rPr>
          <w:rFonts w:hint="eastAsia" w:ascii="宋体" w:hAnsi="宋体" w:eastAsia="宋体" w:cs="宋体"/>
          <w:b/>
          <w:color w:val="auto"/>
          <w:sz w:val="36"/>
          <w:szCs w:val="20"/>
          <w:highlight w:val="none"/>
        </w:rPr>
      </w:pPr>
      <w:bookmarkStart w:id="23" w:name="_Toc31038"/>
      <w:bookmarkStart w:id="24" w:name="_Toc1745"/>
      <w:r>
        <w:rPr>
          <w:rFonts w:hint="eastAsia" w:ascii="宋体" w:hAnsi="宋体" w:eastAsia="宋体" w:cs="宋体"/>
          <w:b/>
          <w:color w:val="auto"/>
          <w:sz w:val="36"/>
          <w:szCs w:val="20"/>
          <w:highlight w:val="none"/>
        </w:rPr>
        <w:t>第二部分</w:t>
      </w:r>
      <w:bookmarkEnd w:id="11"/>
      <w:r>
        <w:rPr>
          <w:rFonts w:hint="eastAsia" w:ascii="宋体" w:hAnsi="宋体" w:eastAsia="宋体" w:cs="宋体"/>
          <w:b/>
          <w:color w:val="auto"/>
          <w:sz w:val="36"/>
          <w:szCs w:val="20"/>
          <w:highlight w:val="none"/>
        </w:rPr>
        <w:t xml:space="preserve"> 投标人须知</w:t>
      </w:r>
      <w:bookmarkEnd w:id="12"/>
      <w:bookmarkEnd w:id="23"/>
      <w:bookmarkEnd w:id="24"/>
    </w:p>
    <w:p w14:paraId="100C73E7">
      <w:pPr>
        <w:adjustRightInd/>
        <w:spacing w:line="360" w:lineRule="auto"/>
        <w:ind w:firstLine="3845" w:firstLineChars="1197"/>
        <w:outlineLvl w:val="1"/>
        <w:rPr>
          <w:rFonts w:hint="eastAsia" w:ascii="宋体" w:hAnsi="宋体" w:eastAsia="宋体" w:cs="宋体"/>
          <w:b/>
          <w:color w:val="auto"/>
          <w:sz w:val="32"/>
          <w:szCs w:val="20"/>
          <w:highlight w:val="none"/>
        </w:rPr>
      </w:pPr>
      <w:bookmarkStart w:id="25" w:name="_Toc17934"/>
      <w:r>
        <w:rPr>
          <w:rFonts w:hint="eastAsia" w:ascii="宋体" w:hAnsi="宋体" w:eastAsia="宋体" w:cs="宋体"/>
          <w:b/>
          <w:color w:val="auto"/>
          <w:sz w:val="32"/>
          <w:szCs w:val="20"/>
          <w:highlight w:val="none"/>
        </w:rPr>
        <w:t>前附表</w:t>
      </w:r>
      <w:bookmarkEnd w:id="25"/>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6379"/>
      </w:tblGrid>
      <w:tr w14:paraId="60DE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4" w:type="dxa"/>
            <w:shd w:val="clear" w:color="auto" w:fill="auto"/>
            <w:vAlign w:val="center"/>
          </w:tcPr>
          <w:p w14:paraId="24A658A0">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701" w:type="dxa"/>
            <w:shd w:val="clear" w:color="auto" w:fill="auto"/>
            <w:vAlign w:val="center"/>
          </w:tcPr>
          <w:p w14:paraId="7B2F1FEA">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事项</w:t>
            </w:r>
          </w:p>
        </w:tc>
        <w:tc>
          <w:tcPr>
            <w:tcW w:w="6379" w:type="dxa"/>
            <w:shd w:val="clear" w:color="auto" w:fill="auto"/>
            <w:vAlign w:val="center"/>
          </w:tcPr>
          <w:p w14:paraId="55FD606D">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本项目的特别规定</w:t>
            </w:r>
          </w:p>
        </w:tc>
      </w:tr>
      <w:tr w14:paraId="6960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026B728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01" w:type="dxa"/>
            <w:shd w:val="clear" w:color="auto" w:fill="auto"/>
            <w:vAlign w:val="center"/>
          </w:tcPr>
          <w:p w14:paraId="5B31D467">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项目属性与核心产品</w:t>
            </w:r>
          </w:p>
        </w:tc>
        <w:tc>
          <w:tcPr>
            <w:tcW w:w="6379" w:type="dxa"/>
            <w:shd w:val="clear" w:color="auto" w:fill="auto"/>
            <w:vAlign w:val="center"/>
          </w:tcPr>
          <w:p w14:paraId="0026228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服务类。</w:t>
            </w:r>
          </w:p>
        </w:tc>
      </w:tr>
      <w:tr w14:paraId="7740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6AF666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01" w:type="dxa"/>
            <w:shd w:val="clear" w:color="auto" w:fill="auto"/>
            <w:vAlign w:val="center"/>
          </w:tcPr>
          <w:p w14:paraId="1C03D2F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采购标的及其对应的中小企业划分标准所属行业</w:t>
            </w:r>
          </w:p>
        </w:tc>
        <w:tc>
          <w:tcPr>
            <w:tcW w:w="6379" w:type="dxa"/>
            <w:shd w:val="clear" w:color="auto" w:fill="auto"/>
            <w:vAlign w:val="center"/>
          </w:tcPr>
          <w:p w14:paraId="68BE5C45">
            <w:pPr>
              <w:snapToGrid w:val="0"/>
              <w:spacing w:line="360" w:lineRule="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本项目为专门面向中小企业采购。</w:t>
            </w:r>
          </w:p>
          <w:p w14:paraId="678C07DB">
            <w:pPr>
              <w:snapToGrid w:val="0"/>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b/>
                <w:bCs/>
                <w:color w:val="auto"/>
                <w:kern w:val="0"/>
                <w:sz w:val="24"/>
                <w:highlight w:val="none"/>
              </w:rPr>
              <w:t>标的：</w:t>
            </w:r>
            <w:r>
              <w:rPr>
                <w:rFonts w:hint="eastAsia" w:ascii="宋体" w:hAnsi="宋体" w:cs="宋体"/>
                <w:b/>
                <w:bCs/>
                <w:color w:val="auto"/>
                <w:kern w:val="0"/>
                <w:sz w:val="24"/>
                <w:highlight w:val="none"/>
                <w:u w:val="single"/>
                <w:lang w:val="en-US" w:eastAsia="zh-CN"/>
              </w:rPr>
              <w:t>人力资源服务外包</w:t>
            </w:r>
            <w:r>
              <w:rPr>
                <w:rFonts w:hint="eastAsia" w:ascii="宋体" w:hAnsi="宋体" w:eastAsia="宋体" w:cs="宋体"/>
                <w:b/>
                <w:bCs/>
                <w:color w:val="auto"/>
                <w:kern w:val="0"/>
                <w:sz w:val="24"/>
                <w:highlight w:val="none"/>
              </w:rPr>
              <w:t>，属于</w:t>
            </w:r>
            <w:r>
              <w:rPr>
                <w:rFonts w:hint="eastAsia" w:ascii="宋体" w:hAnsi="宋体" w:cs="宋体"/>
                <w:b/>
                <w:bCs/>
                <w:color w:val="auto"/>
                <w:kern w:val="0"/>
                <w:sz w:val="24"/>
                <w:highlight w:val="none"/>
                <w:u w:val="single"/>
                <w:lang w:val="en-US" w:eastAsia="zh-CN"/>
              </w:rPr>
              <w:t>租赁和商务服务业</w:t>
            </w:r>
            <w:r>
              <w:rPr>
                <w:rFonts w:hint="eastAsia" w:ascii="宋体" w:hAnsi="宋体" w:cs="宋体"/>
                <w:b/>
                <w:bCs/>
                <w:color w:val="auto"/>
                <w:kern w:val="0"/>
                <w:sz w:val="24"/>
                <w:highlight w:val="none"/>
                <w:u w:val="none"/>
                <w:lang w:eastAsia="zh-CN"/>
              </w:rPr>
              <w:t>。</w:t>
            </w:r>
          </w:p>
          <w:p w14:paraId="0E2D1605">
            <w:pPr>
              <w:pStyle w:val="5"/>
              <w:ind w:left="0" w:firstLine="0"/>
              <w:rPr>
                <w:rFonts w:hint="eastAsia" w:ascii="宋体" w:hAnsi="宋体" w:eastAsia="宋体" w:cs="宋体"/>
                <w:b w:val="0"/>
                <w:bCs w:val="0"/>
                <w:color w:val="auto"/>
                <w:sz w:val="24"/>
                <w:szCs w:val="24"/>
                <w:highlight w:val="none"/>
                <w:lang w:val="en-US"/>
              </w:rPr>
            </w:pPr>
            <w:bookmarkStart w:id="26" w:name="_Toc15395"/>
            <w:r>
              <w:rPr>
                <w:rFonts w:hint="eastAsia" w:ascii="宋体" w:hAnsi="宋体" w:eastAsia="宋体" w:cs="宋体"/>
                <w:b w:val="0"/>
                <w:bCs w:val="0"/>
                <w:color w:val="auto"/>
                <w:sz w:val="24"/>
                <w:szCs w:val="24"/>
                <w:highlight w:val="none"/>
                <w:lang w:val="en-US"/>
              </w:rPr>
              <w:t>备注：《关于印发中小企业划型标准规定的通知》（工信</w:t>
            </w:r>
            <w:bookmarkEnd w:id="26"/>
            <w:bookmarkStart w:id="27" w:name="_Toc11782"/>
            <w:r>
              <w:rPr>
                <w:rFonts w:hint="eastAsia" w:ascii="宋体" w:hAnsi="宋体" w:eastAsia="宋体" w:cs="宋体"/>
                <w:b w:val="0"/>
                <w:bCs w:val="0"/>
                <w:color w:val="auto"/>
                <w:sz w:val="24"/>
                <w:szCs w:val="24"/>
                <w:highlight w:val="none"/>
                <w:lang w:val="en-US"/>
              </w:rPr>
              <w:t>部联企业〔2011〕300）：</w:t>
            </w:r>
            <w:bookmarkEnd w:id="27"/>
          </w:p>
          <w:p w14:paraId="180C78CC">
            <w:pPr>
              <w:pStyle w:val="5"/>
              <w:ind w:left="0" w:firstLine="0"/>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4FB3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15B6484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01" w:type="dxa"/>
            <w:shd w:val="clear" w:color="auto" w:fill="auto"/>
            <w:vAlign w:val="center"/>
          </w:tcPr>
          <w:p w14:paraId="2845FCA9">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379" w:type="dxa"/>
            <w:shd w:val="clear" w:color="auto" w:fill="auto"/>
            <w:vAlign w:val="center"/>
          </w:tcPr>
          <w:p w14:paraId="378FA711">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rPr>
              <w:t>本项目不允许采购进口产品。</w:t>
            </w:r>
          </w:p>
          <w:p w14:paraId="16FD0CB5">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可以就_____采购进口产品。</w:t>
            </w:r>
          </w:p>
        </w:tc>
      </w:tr>
      <w:tr w14:paraId="1143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4D4ADB5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01" w:type="dxa"/>
            <w:shd w:val="clear" w:color="auto" w:fill="auto"/>
            <w:vAlign w:val="center"/>
          </w:tcPr>
          <w:p w14:paraId="13F718E2">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379" w:type="dxa"/>
            <w:shd w:val="clear" w:color="auto" w:fill="auto"/>
            <w:vAlign w:val="center"/>
          </w:tcPr>
          <w:p w14:paraId="5F024EC0">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同意将非主体、非关键性的工作分包。</w:t>
            </w:r>
          </w:p>
          <w:p w14:paraId="60B8E416">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rPr>
              <w:t>B</w:t>
            </w:r>
            <w:r>
              <w:rPr>
                <w:rFonts w:hint="eastAsia" w:ascii="宋体" w:hAnsi="宋体" w:eastAsia="宋体" w:cs="宋体"/>
                <w:color w:val="auto"/>
                <w:sz w:val="24"/>
                <w:highlight w:val="none"/>
              </w:rPr>
              <w:t>不同意分包。</w:t>
            </w:r>
          </w:p>
        </w:tc>
      </w:tr>
      <w:tr w14:paraId="5BCB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0E9BB6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01" w:type="dxa"/>
            <w:shd w:val="clear" w:color="auto" w:fill="auto"/>
            <w:vAlign w:val="center"/>
          </w:tcPr>
          <w:p w14:paraId="36F21A4E">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379" w:type="dxa"/>
            <w:shd w:val="clear" w:color="auto" w:fill="auto"/>
            <w:vAlign w:val="center"/>
          </w:tcPr>
          <w:p w14:paraId="2EFC98CB">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71B045FF">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7037129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14:paraId="3A5C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0AB3971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01" w:type="dxa"/>
            <w:shd w:val="clear" w:color="auto" w:fill="auto"/>
            <w:vAlign w:val="center"/>
          </w:tcPr>
          <w:p w14:paraId="33C67E7B">
            <w:pPr>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样品提供</w:t>
            </w:r>
          </w:p>
        </w:tc>
        <w:tc>
          <w:tcPr>
            <w:tcW w:w="6379" w:type="dxa"/>
            <w:shd w:val="clear" w:color="auto" w:fill="auto"/>
          </w:tcPr>
          <w:p w14:paraId="1009BEC4">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不要求提供。</w:t>
            </w:r>
          </w:p>
          <w:p w14:paraId="5B213120">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☐B要求提供，</w:t>
            </w:r>
          </w:p>
          <w:p w14:paraId="5F0871A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4FCB387B">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49E6661A">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评标办法</w:t>
            </w:r>
            <w:r>
              <w:rPr>
                <w:rFonts w:hint="eastAsia" w:ascii="宋体" w:hAnsi="宋体" w:eastAsia="宋体" w:cs="宋体"/>
                <w:color w:val="auto"/>
                <w:kern w:val="0"/>
                <w:sz w:val="24"/>
                <w:highlight w:val="none"/>
              </w:rPr>
              <w:t>；</w:t>
            </w:r>
          </w:p>
          <w:p w14:paraId="1BE1C788">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（4）是否需要随样品提交检测报告：☐否；☐是，检测机构的要求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0F520E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（5）提供样品的时间：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。请投标人在上述时间内提供样品并按规定位置安装完毕。超过截止时间的，采购人或采购代理机构将不予接收，并将清场并封闭样品现场。</w:t>
            </w:r>
          </w:p>
          <w:p w14:paraId="67B1D1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BE52B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（7）制作、运输、安装和保管样品所发生的一切费用由投标人自理。</w:t>
            </w:r>
          </w:p>
        </w:tc>
      </w:tr>
      <w:tr w14:paraId="1864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406EE6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701" w:type="dxa"/>
            <w:shd w:val="clear" w:color="auto" w:fill="auto"/>
            <w:vAlign w:val="center"/>
          </w:tcPr>
          <w:p w14:paraId="2313CB34">
            <w:pPr>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方案讲解演示</w:t>
            </w:r>
          </w:p>
        </w:tc>
        <w:tc>
          <w:tcPr>
            <w:tcW w:w="6379" w:type="dxa"/>
            <w:shd w:val="clear" w:color="auto" w:fill="auto"/>
            <w:vAlign w:val="center"/>
          </w:tcPr>
          <w:p w14:paraId="51BC28A6">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47202978"/>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68EF8AF5">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p>
          <w:p w14:paraId="7D241B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（1）在评标时安排每个投标人进行方案讲解演示。每个投标人时间不超过</w:t>
            </w:r>
            <w:r>
              <w:rPr>
                <w:rFonts w:hint="eastAsia" w:ascii="宋体" w:hAnsi="宋体" w:eastAsia="宋体" w:cs="宋体"/>
                <w:color w:val="auto"/>
                <w:kern w:val="0"/>
                <w:sz w:val="24"/>
                <w:highlight w:val="none"/>
                <w:u w:val="single"/>
              </w:rPr>
              <w:t>15</w:t>
            </w:r>
            <w:r>
              <w:rPr>
                <w:rFonts w:hint="eastAsia" w:ascii="宋体" w:hAnsi="宋体" w:eastAsia="宋体" w:cs="宋体"/>
                <w:color w:val="auto"/>
                <w:kern w:val="0"/>
                <w:sz w:val="24"/>
                <w:highlight w:val="none"/>
              </w:rPr>
              <w:t>分钟，讲解次序以投标文件解密时间先后次序为准，讲解演示人员不超过</w:t>
            </w:r>
            <w:r>
              <w:rPr>
                <w:rFonts w:hint="eastAsia" w:ascii="宋体" w:hAnsi="宋体" w:eastAsia="宋体" w:cs="宋体"/>
                <w:color w:val="auto"/>
                <w:kern w:val="0"/>
                <w:sz w:val="24"/>
                <w:highlight w:val="none"/>
                <w:u w:val="single"/>
              </w:rPr>
              <w:t>2</w:t>
            </w:r>
            <w:r>
              <w:rPr>
                <w:rFonts w:hint="eastAsia" w:ascii="宋体" w:hAnsi="宋体" w:eastAsia="宋体" w:cs="宋体"/>
                <w:color w:val="auto"/>
                <w:kern w:val="0"/>
                <w:sz w:val="24"/>
                <w:highlight w:val="none"/>
              </w:rPr>
              <w:t>人。讲解演示结束后按要求解答评标委员会提问。</w:t>
            </w:r>
          </w:p>
          <w:p w14:paraId="1D76DA6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（2）方案讲解演示可选择以下其中一种方式：</w:t>
            </w:r>
          </w:p>
          <w:p w14:paraId="129ED2B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方式一：以U盘形式提供的讲解演示视频。投标人需提前录制讲解演示视频，并以U盘形式递交。</w:t>
            </w:r>
          </w:p>
          <w:p w14:paraId="609B010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递交要求：密封提交，外包封上写明项目编号、项目名称、投标人名称、演示视频。</w:t>
            </w:r>
          </w:p>
          <w:p w14:paraId="496B18E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递交截止时间：同投标截止时间。</w:t>
            </w:r>
          </w:p>
          <w:p w14:paraId="2A69346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递交地点：①采用邮寄方式递交的，投标人须在投标截止时间前一日的17:00（北京时间）前将演示视频邮寄至</w:t>
            </w:r>
            <w:r>
              <w:rPr>
                <w:rFonts w:hint="eastAsia" w:ascii="宋体" w:hAnsi="宋体" w:eastAsia="宋体" w:cs="宋体"/>
                <w:color w:val="auto"/>
                <w:kern w:val="28"/>
                <w:sz w:val="24"/>
                <w:highlight w:val="none"/>
              </w:rPr>
              <w:t>宁波市鄞州区天童南路666号中基大厦19楼业务一部，收件人：王鸯鸯，联系方式：0574-88090157。由采购代理工作人员进行签收，各投标人自行考虑邮寄在途时间，邮寄过程中无论何种因素导致演示视频未按时递交的后果，均由投标人自行负责。演示视频递交时间以采购代理实际收到演示视频的时间为准。②采用现场方式递交的，投标人须在投标截止时间前将演示视频送达至__</w:t>
            </w:r>
            <w:r>
              <w:rPr>
                <w:rFonts w:hint="eastAsia" w:ascii="宋体" w:hAnsi="宋体" w:eastAsia="宋体" w:cs="宋体"/>
                <w:color w:val="auto"/>
                <w:kern w:val="28"/>
                <w:sz w:val="24"/>
                <w:highlight w:val="none"/>
                <w:u w:val="single"/>
              </w:rPr>
              <w:t>/</w:t>
            </w:r>
            <w:r>
              <w:rPr>
                <w:rFonts w:hint="eastAsia" w:ascii="宋体" w:hAnsi="宋体" w:eastAsia="宋体" w:cs="宋体"/>
                <w:color w:val="auto"/>
                <w:kern w:val="28"/>
                <w:sz w:val="24"/>
                <w:highlight w:val="none"/>
              </w:rPr>
              <w:t>___。</w:t>
            </w:r>
          </w:p>
          <w:p w14:paraId="416247A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方式二：评标现场讲解演示。现场讲解地点为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28"/>
                <w:sz w:val="24"/>
                <w:highlight w:val="none"/>
              </w:rPr>
              <w:t>__</w:t>
            </w:r>
            <w:r>
              <w:rPr>
                <w:rFonts w:hint="eastAsia" w:ascii="宋体" w:hAnsi="宋体" w:eastAsia="宋体" w:cs="宋体"/>
                <w:color w:val="auto"/>
                <w:kern w:val="28"/>
                <w:sz w:val="24"/>
                <w:highlight w:val="none"/>
                <w:u w:val="single"/>
              </w:rPr>
              <w:t>/</w:t>
            </w:r>
            <w:r>
              <w:rPr>
                <w:rFonts w:hint="eastAsia" w:ascii="宋体" w:hAnsi="宋体" w:eastAsia="宋体" w:cs="宋体"/>
                <w:color w:val="auto"/>
                <w:kern w:val="28"/>
                <w:sz w:val="24"/>
                <w:highlight w:val="none"/>
              </w:rPr>
              <w:t>___</w:t>
            </w:r>
            <w:r>
              <w:rPr>
                <w:rFonts w:hint="eastAsia" w:ascii="宋体" w:hAnsi="宋体" w:eastAsia="宋体" w:cs="宋体"/>
                <w:color w:val="auto"/>
                <w:kern w:val="0"/>
                <w:sz w:val="24"/>
                <w:highlight w:val="none"/>
              </w:rPr>
              <w:t>，讲解演示所用电脑等设备由投标人自备。</w:t>
            </w:r>
            <w:r>
              <w:rPr>
                <w:rFonts w:hint="eastAsia" w:ascii="宋体" w:hAnsi="宋体" w:eastAsia="宋体" w:cs="宋体"/>
                <w:b/>
                <w:bCs/>
                <w:color w:val="auto"/>
                <w:kern w:val="0"/>
                <w:sz w:val="24"/>
                <w:highlight w:val="none"/>
              </w:rPr>
              <w:t>现场讲解演示人员进场时提供讲解人员名单（加盖公章或授权代表签名）及身份证明，否则不得讲解演示。</w:t>
            </w:r>
          </w:p>
          <w:p w14:paraId="4DCADDC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注：因投标人自身原因导致无法演示或者演示效果不理想的，责任自负。</w:t>
            </w:r>
          </w:p>
        </w:tc>
      </w:tr>
      <w:tr w14:paraId="0ED6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187AC15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701" w:type="dxa"/>
            <w:shd w:val="clear" w:color="auto" w:fill="auto"/>
            <w:vAlign w:val="center"/>
          </w:tcPr>
          <w:p w14:paraId="42DBF92A">
            <w:pPr>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投标人应当提供的资格、资信证明文件</w:t>
            </w:r>
          </w:p>
        </w:tc>
        <w:tc>
          <w:tcPr>
            <w:tcW w:w="6379" w:type="dxa"/>
            <w:shd w:val="clear" w:color="auto" w:fill="auto"/>
          </w:tcPr>
          <w:p w14:paraId="6A2BF18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（1）资格证明文件：见招标文件第二部分11.1。</w:t>
            </w:r>
          </w:p>
          <w:p w14:paraId="41FBA3C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投标人未提供有效的资格证明文件的，视为投标人不具备招标文件中规定的资格要求，投标无效。</w:t>
            </w:r>
          </w:p>
          <w:p w14:paraId="3188D40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（2）资信证明文件：根据招标文件第四部分评标标准提供。</w:t>
            </w:r>
          </w:p>
        </w:tc>
      </w:tr>
      <w:tr w14:paraId="2123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538ACBA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701" w:type="dxa"/>
            <w:shd w:val="clear" w:color="auto" w:fill="auto"/>
            <w:vAlign w:val="center"/>
          </w:tcPr>
          <w:p w14:paraId="6F55B396">
            <w:pPr>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节能产品、环境标志产品</w:t>
            </w:r>
          </w:p>
        </w:tc>
        <w:tc>
          <w:tcPr>
            <w:tcW w:w="6379" w:type="dxa"/>
            <w:shd w:val="clear" w:color="auto" w:fill="auto"/>
          </w:tcPr>
          <w:p w14:paraId="7E91F7E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728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1E1CCF3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701" w:type="dxa"/>
            <w:shd w:val="clear" w:color="auto" w:fill="auto"/>
            <w:vAlign w:val="center"/>
          </w:tcPr>
          <w:p w14:paraId="08B667F2">
            <w:pPr>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报价要求</w:t>
            </w:r>
          </w:p>
        </w:tc>
        <w:tc>
          <w:tcPr>
            <w:tcW w:w="6379" w:type="dxa"/>
            <w:shd w:val="clear" w:color="auto" w:fill="auto"/>
            <w:vAlign w:val="center"/>
          </w:tcPr>
          <w:p w14:paraId="4C5AE08A">
            <w:pPr>
              <w:snapToGrid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1、有关本项目实施所需的所有费用（含税费）均计入报价。</w:t>
            </w:r>
          </w:p>
          <w:p w14:paraId="34C58185">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2、</w:t>
            </w:r>
            <w:r>
              <w:rPr>
                <w:rFonts w:hint="eastAsia" w:ascii="宋体" w:hAnsi="宋体" w:eastAsia="宋体" w:cs="宋体"/>
                <w:b/>
                <w:bCs/>
                <w:color w:val="auto"/>
                <w:kern w:val="0"/>
                <w:sz w:val="24"/>
                <w:highlight w:val="none"/>
                <w:lang w:val="zh-CN"/>
              </w:rPr>
              <w:t>投标文件</w:t>
            </w:r>
            <w:r>
              <w:rPr>
                <w:rFonts w:hint="eastAsia" w:ascii="宋体" w:hAnsi="宋体" w:eastAsia="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p>
          <w:p w14:paraId="345B781A">
            <w:pPr>
              <w:tabs>
                <w:tab w:val="left" w:pos="647"/>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报价要求：</w:t>
            </w:r>
            <w:r>
              <w:rPr>
                <w:rFonts w:hint="eastAsia" w:ascii="宋体" w:hAnsi="宋体" w:eastAsia="宋体" w:cs="宋体"/>
                <w:b/>
                <w:bCs/>
                <w:color w:val="auto"/>
                <w:sz w:val="24"/>
                <w:highlight w:val="none"/>
              </w:rPr>
              <w:t>投标报价为</w:t>
            </w:r>
            <w:r>
              <w:rPr>
                <w:rFonts w:hint="eastAsia" w:ascii="宋体" w:hAnsi="宋体" w:cs="宋体"/>
                <w:b/>
                <w:bCs/>
                <w:color w:val="auto"/>
                <w:sz w:val="24"/>
                <w:highlight w:val="none"/>
                <w:lang w:val="en-US" w:eastAsia="zh-CN"/>
              </w:rPr>
              <w:t>人民币</w:t>
            </w:r>
            <w:r>
              <w:rPr>
                <w:rFonts w:hint="eastAsia" w:ascii="宋体" w:hAnsi="宋体" w:eastAsia="宋体" w:cs="宋体"/>
                <w:b/>
                <w:bCs/>
                <w:color w:val="auto"/>
                <w:sz w:val="24"/>
                <w:highlight w:val="none"/>
              </w:rPr>
              <w:t>报价。</w:t>
            </w:r>
          </w:p>
          <w:p w14:paraId="5CB102E2">
            <w:pPr>
              <w:snapToGrid w:val="0"/>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4、投标报价</w:t>
            </w:r>
            <w:r>
              <w:rPr>
                <w:rFonts w:hint="eastAsia" w:ascii="宋体" w:hAnsi="宋体" w:eastAsia="宋体" w:cs="宋体"/>
                <w:bCs/>
                <w:color w:val="auto"/>
                <w:kern w:val="0"/>
                <w:sz w:val="24"/>
                <w:highlight w:val="none"/>
                <w:lang w:val="zh-CN"/>
              </w:rPr>
              <w:t>应包括但不限于完成服务所需的人员工资、福利、加班费（含节假日加班）、服装费、体检费、人员保险费、培训费、相关办公设备及用品等一切与本项目有关的所有费用，即完成本项目服务涉及的全部费用</w:t>
            </w:r>
            <w:r>
              <w:rPr>
                <w:rFonts w:hint="eastAsia" w:ascii="宋体" w:hAnsi="宋体" w:eastAsia="宋体" w:cs="宋体"/>
                <w:bCs/>
                <w:color w:val="auto"/>
                <w:kern w:val="0"/>
                <w:sz w:val="24"/>
                <w:highlight w:val="none"/>
              </w:rPr>
              <w:t>。</w:t>
            </w:r>
          </w:p>
          <w:p w14:paraId="3A082388">
            <w:pPr>
              <w:snapToGrid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5、最高限价：</w:t>
            </w:r>
            <w:r>
              <w:rPr>
                <w:rFonts w:hint="eastAsia" w:ascii="宋体" w:hAnsi="宋体" w:cs="宋体"/>
                <w:b/>
                <w:color w:val="auto"/>
                <w:kern w:val="0"/>
                <w:sz w:val="24"/>
                <w:highlight w:val="none"/>
                <w:lang w:val="en-US" w:eastAsia="zh-CN"/>
              </w:rPr>
              <w:t>人民币945万元/年，</w:t>
            </w:r>
            <w:r>
              <w:rPr>
                <w:rFonts w:hint="eastAsia" w:ascii="宋体" w:hAnsi="宋体" w:eastAsia="宋体" w:cs="宋体"/>
                <w:b/>
                <w:color w:val="auto"/>
                <w:kern w:val="0"/>
                <w:sz w:val="24"/>
                <w:highlight w:val="none"/>
              </w:rPr>
              <w:t>超出</w:t>
            </w:r>
            <w:r>
              <w:rPr>
                <w:rFonts w:hint="eastAsia" w:ascii="宋体" w:hAnsi="宋体" w:cs="宋体"/>
                <w:b/>
                <w:color w:val="auto"/>
                <w:kern w:val="0"/>
                <w:sz w:val="24"/>
                <w:highlight w:val="none"/>
                <w:lang w:val="en-US" w:eastAsia="zh-CN"/>
              </w:rPr>
              <w:t>最高限价</w:t>
            </w:r>
            <w:r>
              <w:rPr>
                <w:rFonts w:hint="eastAsia" w:ascii="宋体" w:hAnsi="宋体" w:eastAsia="宋体" w:cs="宋体"/>
                <w:b/>
                <w:color w:val="auto"/>
                <w:kern w:val="0"/>
                <w:sz w:val="24"/>
                <w:highlight w:val="none"/>
              </w:rPr>
              <w:t>的报价，</w:t>
            </w:r>
            <w:r>
              <w:rPr>
                <w:rFonts w:hint="eastAsia" w:ascii="宋体" w:hAnsi="宋体" w:cs="宋体"/>
                <w:b/>
                <w:color w:val="auto"/>
                <w:kern w:val="0"/>
                <w:sz w:val="24"/>
                <w:highlight w:val="none"/>
                <w:lang w:val="en-US" w:eastAsia="zh-CN"/>
              </w:rPr>
              <w:t>作</w:t>
            </w:r>
            <w:r>
              <w:rPr>
                <w:rFonts w:hint="eastAsia" w:ascii="宋体" w:hAnsi="宋体" w:eastAsia="宋体" w:cs="宋体"/>
                <w:b/>
                <w:color w:val="auto"/>
                <w:kern w:val="0"/>
                <w:sz w:val="24"/>
                <w:highlight w:val="none"/>
              </w:rPr>
              <w:t>无效报价处理。</w:t>
            </w:r>
          </w:p>
          <w:p w14:paraId="50225FAD">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rPr>
              <w:t>6</w:t>
            </w:r>
            <w:r>
              <w:rPr>
                <w:rFonts w:hint="eastAsia" w:ascii="宋体" w:hAnsi="宋体" w:eastAsia="宋体" w:cs="宋体"/>
                <w:b/>
                <w:color w:val="auto"/>
                <w:kern w:val="0"/>
                <w:sz w:val="24"/>
                <w:highlight w:val="none"/>
                <w:lang w:val="zh-CN"/>
              </w:rPr>
              <w:t>、投标报价出现下列情形的，投标无效：</w:t>
            </w:r>
          </w:p>
          <w:p w14:paraId="44FC6F30">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（1）投标文件出现不是唯一的、有选择性投标报价的；</w:t>
            </w:r>
          </w:p>
          <w:p w14:paraId="66C23E41">
            <w:pPr>
              <w:snapToGrid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（2）投标报价超过招标文件中规定的预算金额或者最高限价的；</w:t>
            </w:r>
          </w:p>
          <w:p w14:paraId="39D4DDE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（3）</w:t>
            </w:r>
            <w:r>
              <w:rPr>
                <w:rFonts w:hint="eastAsia" w:ascii="宋体" w:hAnsi="宋体" w:eastAsia="宋体" w:cs="宋体"/>
                <w:b/>
                <w:color w:val="auto"/>
                <w:kern w:val="0"/>
                <w:sz w:val="24"/>
                <w:highlight w:val="none"/>
                <w:lang w:val="en-US" w:eastAsia="zh-CN"/>
              </w:rPr>
              <w:t>评标委员会启动异常低价投标审查程序后，投标人不能提供书面说明、证明材料，或者提供的书面说明、证明材料不能证明其报价合理性的</w:t>
            </w:r>
            <w:r>
              <w:rPr>
                <w:rFonts w:hint="eastAsia" w:ascii="宋体" w:hAnsi="宋体" w:eastAsia="宋体" w:cs="宋体"/>
                <w:b/>
                <w:color w:val="auto"/>
                <w:sz w:val="24"/>
                <w:highlight w:val="none"/>
              </w:rPr>
              <w:t>；</w:t>
            </w:r>
          </w:p>
          <w:p w14:paraId="43A5F588">
            <w:pPr>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（4）投标人对根据修正原则修正后的报价不确认的</w:t>
            </w:r>
            <w:r>
              <w:rPr>
                <w:rFonts w:hint="eastAsia" w:ascii="宋体" w:hAnsi="宋体" w:eastAsia="宋体" w:cs="宋体"/>
                <w:b/>
                <w:color w:val="auto"/>
                <w:sz w:val="24"/>
                <w:highlight w:val="none"/>
              </w:rPr>
              <w:t>。</w:t>
            </w:r>
          </w:p>
        </w:tc>
      </w:tr>
      <w:tr w14:paraId="3F0C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6C0D5CA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701" w:type="dxa"/>
            <w:shd w:val="clear" w:color="auto" w:fill="auto"/>
            <w:vAlign w:val="center"/>
          </w:tcPr>
          <w:p w14:paraId="06274CC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379" w:type="dxa"/>
            <w:shd w:val="clear" w:color="auto" w:fill="auto"/>
            <w:vAlign w:val="center"/>
          </w:tcPr>
          <w:p w14:paraId="68F34C35">
            <w:pPr>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2A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72481D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701" w:type="dxa"/>
            <w:shd w:val="clear" w:color="auto" w:fill="auto"/>
            <w:vAlign w:val="center"/>
          </w:tcPr>
          <w:p w14:paraId="5F93ECD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备份投标文件送达地点和签收人员 </w:t>
            </w:r>
          </w:p>
        </w:tc>
        <w:tc>
          <w:tcPr>
            <w:tcW w:w="6379" w:type="dxa"/>
            <w:shd w:val="clear" w:color="auto" w:fill="auto"/>
            <w:vAlign w:val="center"/>
          </w:tcPr>
          <w:p w14:paraId="5BAB2CB1">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（1）供应商如提供备份投标文件的，可采用邮寄方式或直接提交方式递交备份投标文件，供应商需将以U盘存储的备份投标文件密封递交，逾期送达或未密封将予以拒收。</w:t>
            </w:r>
          </w:p>
          <w:p w14:paraId="03A7C4AF">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（2）采用邮寄方式递交备份投标文件，需按以下要求递交：</w:t>
            </w:r>
          </w:p>
          <w:p w14:paraId="008E7902">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供应商应在开标前一日17:00（含）前将备份投标文件邮寄至规定地点，邮寄地址为：宁波市鄞州区天童南路666号中基大厦19楼业务一部，收件人：王鸯鸯，联系方式：0574-88090157。由采购代理工作人员进行签收，各供应商自行考虑邮寄在途时间，邮寄过程中无论何种因素导致备份投标文件未按时递交的后果，均由供应商自行负责。备份投标文件递交时间以采购代理实际收到备份投标文件的时间为准。</w:t>
            </w:r>
          </w:p>
          <w:p w14:paraId="3F629A36">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（3）采用直接提交方式送达备份投标文件，需按以下要求递交：在投标截止时间前将备份投标文件送至</w:t>
            </w:r>
            <w:r>
              <w:rPr>
                <w:rFonts w:hint="eastAsia" w:ascii="宋体" w:hAnsi="宋体" w:eastAsia="宋体" w:cs="宋体"/>
                <w:snapToGrid w:val="0"/>
                <w:color w:val="auto"/>
                <w:kern w:val="28"/>
                <w:sz w:val="24"/>
                <w:highlight w:val="none"/>
                <w:u w:val="single"/>
              </w:rPr>
              <w:t>中基招标会议中心1楼开标室（宁波市鄞州区天童南路666号中基大厦1楼）</w:t>
            </w:r>
            <w:r>
              <w:rPr>
                <w:rFonts w:hint="eastAsia" w:ascii="宋体" w:hAnsi="宋体" w:eastAsia="宋体" w:cs="宋体"/>
                <w:snapToGrid w:val="0"/>
                <w:color w:val="auto"/>
                <w:kern w:val="28"/>
                <w:sz w:val="24"/>
                <w:highlight w:val="none"/>
              </w:rPr>
              <w:t xml:space="preserve">。       </w:t>
            </w:r>
          </w:p>
          <w:p w14:paraId="3F6E61BC">
            <w:pPr>
              <w:spacing w:line="360" w:lineRule="auto"/>
              <w:rPr>
                <w:rFonts w:hint="eastAsia" w:ascii="宋体" w:hAnsi="宋体" w:eastAsia="宋体" w:cs="宋体"/>
                <w:color w:val="auto"/>
                <w:sz w:val="24"/>
                <w:highlight w:val="none"/>
              </w:rPr>
            </w:pPr>
            <w:r>
              <w:rPr>
                <w:rFonts w:hint="eastAsia" w:ascii="宋体" w:hAnsi="宋体" w:eastAsia="宋体" w:cs="宋体"/>
                <w:b/>
                <w:bCs/>
                <w:snapToGrid w:val="0"/>
                <w:color w:val="auto"/>
                <w:kern w:val="28"/>
                <w:sz w:val="24"/>
                <w:highlight w:val="none"/>
              </w:rPr>
              <w:t>采购人、采购代理机构不强制投标人提交备份投标文件。</w:t>
            </w:r>
          </w:p>
        </w:tc>
      </w:tr>
      <w:tr w14:paraId="2365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48AF5BE3">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1701" w:type="dxa"/>
            <w:shd w:val="clear" w:color="auto" w:fill="auto"/>
            <w:vAlign w:val="center"/>
          </w:tcPr>
          <w:p w14:paraId="5192B18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采购代理服务费</w:t>
            </w:r>
          </w:p>
        </w:tc>
        <w:tc>
          <w:tcPr>
            <w:tcW w:w="6379" w:type="dxa"/>
            <w:shd w:val="clear" w:color="auto" w:fill="auto"/>
            <w:vAlign w:val="center"/>
          </w:tcPr>
          <w:p w14:paraId="7CB51FAA">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（1）收取方式：供应商应当自中标结果公告发布之日起5个工作日内一次性向采购代理机构支付代理服务费。</w:t>
            </w:r>
          </w:p>
          <w:p w14:paraId="71A81E32">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（2）采购代理服务费用收取标准：本项目采购代理服务费用参照《招标代理服务收费管理暂行办法》(计价格【2002】1980号)的</w:t>
            </w:r>
            <w:r>
              <w:rPr>
                <w:rFonts w:hint="eastAsia" w:ascii="宋体" w:hAnsi="宋体" w:cs="宋体"/>
                <w:snapToGrid w:val="0"/>
                <w:color w:val="auto"/>
                <w:kern w:val="28"/>
                <w:sz w:val="24"/>
                <w:highlight w:val="none"/>
                <w:lang w:val="en-US" w:eastAsia="zh-CN"/>
              </w:rPr>
              <w:t>服务</w:t>
            </w:r>
            <w:r>
              <w:rPr>
                <w:rFonts w:hint="eastAsia" w:ascii="宋体" w:hAnsi="宋体" w:eastAsia="宋体" w:cs="宋体"/>
                <w:snapToGrid w:val="0"/>
                <w:color w:val="auto"/>
                <w:kern w:val="28"/>
                <w:sz w:val="24"/>
                <w:highlight w:val="none"/>
              </w:rPr>
              <w:t>规定</w:t>
            </w:r>
            <w:r>
              <w:rPr>
                <w:rFonts w:hint="eastAsia" w:ascii="宋体" w:hAnsi="宋体" w:cs="宋体"/>
                <w:snapToGrid w:val="0"/>
                <w:color w:val="auto"/>
                <w:kern w:val="28"/>
                <w:sz w:val="24"/>
                <w:highlight w:val="none"/>
                <w:lang w:val="en-US" w:eastAsia="zh-CN"/>
              </w:rPr>
              <w:t>下浮20%</w:t>
            </w:r>
            <w:r>
              <w:rPr>
                <w:rFonts w:hint="eastAsia" w:ascii="宋体" w:hAnsi="宋体" w:eastAsia="宋体" w:cs="宋体"/>
                <w:snapToGrid w:val="0"/>
                <w:color w:val="auto"/>
                <w:kern w:val="28"/>
                <w:sz w:val="24"/>
                <w:highlight w:val="none"/>
              </w:rPr>
              <w:t>，以</w:t>
            </w:r>
            <w:r>
              <w:rPr>
                <w:rFonts w:hint="eastAsia" w:ascii="宋体" w:hAnsi="宋体" w:cs="宋体"/>
                <w:snapToGrid w:val="0"/>
                <w:color w:val="auto"/>
                <w:kern w:val="28"/>
                <w:sz w:val="24"/>
                <w:highlight w:val="none"/>
                <w:lang w:val="en-US" w:eastAsia="zh-CN"/>
              </w:rPr>
              <w:t>中标</w:t>
            </w:r>
            <w:r>
              <w:rPr>
                <w:rFonts w:hint="eastAsia" w:ascii="宋体" w:hAnsi="宋体" w:eastAsia="宋体" w:cs="宋体"/>
                <w:snapToGrid w:val="0"/>
                <w:color w:val="auto"/>
                <w:kern w:val="28"/>
                <w:sz w:val="24"/>
                <w:highlight w:val="none"/>
              </w:rPr>
              <w:t>金额为计费基数，按差额定</w:t>
            </w:r>
            <w:r>
              <w:rPr>
                <w:rFonts w:hint="eastAsia" w:ascii="宋体" w:hAnsi="宋体" w:cs="宋体"/>
                <w:snapToGrid w:val="0"/>
                <w:color w:val="auto"/>
                <w:kern w:val="28"/>
                <w:sz w:val="24"/>
                <w:highlight w:val="none"/>
                <w:lang w:val="en-US" w:eastAsia="zh-CN"/>
              </w:rPr>
              <w:t>率</w:t>
            </w:r>
            <w:r>
              <w:rPr>
                <w:rFonts w:hint="eastAsia" w:ascii="宋体" w:hAnsi="宋体" w:eastAsia="宋体" w:cs="宋体"/>
                <w:snapToGrid w:val="0"/>
                <w:color w:val="auto"/>
                <w:kern w:val="28"/>
                <w:sz w:val="24"/>
                <w:highlight w:val="none"/>
              </w:rPr>
              <w:t>累进</w:t>
            </w:r>
            <w:r>
              <w:rPr>
                <w:rFonts w:hint="eastAsia" w:ascii="宋体" w:hAnsi="宋体" w:cs="宋体"/>
                <w:snapToGrid w:val="0"/>
                <w:color w:val="auto"/>
                <w:kern w:val="28"/>
                <w:sz w:val="24"/>
                <w:highlight w:val="none"/>
                <w:lang w:val="en-US" w:eastAsia="zh-CN"/>
              </w:rPr>
              <w:t>法计算向中标人收取</w:t>
            </w:r>
            <w:r>
              <w:rPr>
                <w:rFonts w:hint="eastAsia" w:ascii="宋体" w:hAnsi="宋体" w:eastAsia="宋体" w:cs="宋体"/>
                <w:snapToGrid w:val="0"/>
                <w:color w:val="auto"/>
                <w:kern w:val="28"/>
                <w:sz w:val="24"/>
                <w:highlight w:val="none"/>
              </w:rPr>
              <w:t>。</w:t>
            </w:r>
          </w:p>
          <w:p w14:paraId="09C16D8A">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（3）支付形式及账号：</w:t>
            </w:r>
          </w:p>
          <w:p w14:paraId="11BF59DC">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① 代理服务费缴纳形式：汇票/电汇/现金</w:t>
            </w:r>
          </w:p>
          <w:p w14:paraId="670237B5">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② 代理服务费汇入以下账户 ：</w:t>
            </w:r>
          </w:p>
          <w:p w14:paraId="7AA058B0">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收款单位（户名）：宁波中基国际招标有限公司</w:t>
            </w:r>
          </w:p>
          <w:p w14:paraId="2A5224E1">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开户：宁波银行科技支行</w:t>
            </w:r>
          </w:p>
          <w:p w14:paraId="7D53BD60">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账号：31010122000005488</w:t>
            </w:r>
          </w:p>
          <w:p w14:paraId="1680ED95">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（4）支付流程：中标供应商按照中标结果公告确定金额支付至采购代理机构账户后将汇款底单、开票信息和发票邮寄地址发送至</w:t>
            </w:r>
            <w:r>
              <w:rPr>
                <w:rFonts w:hint="eastAsia" w:ascii="宋体" w:hAnsi="宋体" w:eastAsia="宋体" w:cs="宋体"/>
                <w:snapToGrid w:val="0"/>
                <w:color w:val="auto"/>
                <w:kern w:val="28"/>
                <w:sz w:val="24"/>
                <w:highlight w:val="none"/>
                <w:u w:val="single"/>
              </w:rPr>
              <w:t>719126619@qq.com</w:t>
            </w:r>
            <w:r>
              <w:rPr>
                <w:rFonts w:hint="eastAsia" w:ascii="宋体" w:hAnsi="宋体" w:eastAsia="宋体" w:cs="宋体"/>
                <w:snapToGrid w:val="0"/>
                <w:color w:val="auto"/>
                <w:kern w:val="28"/>
                <w:sz w:val="24"/>
                <w:highlight w:val="none"/>
              </w:rPr>
              <w:t>，采购代理机构在收到邮件后开具发票。</w:t>
            </w:r>
          </w:p>
        </w:tc>
      </w:tr>
    </w:tbl>
    <w:p w14:paraId="15772C8E">
      <w:pPr>
        <w:snapToGrid w:val="0"/>
        <w:spacing w:line="360" w:lineRule="auto"/>
        <w:jc w:val="center"/>
        <w:rPr>
          <w:rFonts w:hint="eastAsia" w:ascii="宋体" w:hAnsi="宋体" w:eastAsia="宋体" w:cs="宋体"/>
          <w:b/>
          <w:color w:val="auto"/>
          <w:sz w:val="32"/>
          <w:szCs w:val="20"/>
          <w:highlight w:val="none"/>
        </w:rPr>
      </w:pPr>
    </w:p>
    <w:bookmarkEnd w:id="13"/>
    <w:p w14:paraId="084CF9C5">
      <w:pPr>
        <w:rPr>
          <w:rFonts w:hint="eastAsia" w:ascii="宋体" w:hAnsi="宋体" w:eastAsia="宋体" w:cs="宋体"/>
          <w:b/>
          <w:color w:val="auto"/>
          <w:sz w:val="32"/>
          <w:szCs w:val="20"/>
          <w:highlight w:val="none"/>
        </w:rPr>
      </w:pPr>
      <w:bookmarkStart w:id="28" w:name="_Toc164416483"/>
      <w:bookmarkStart w:id="29" w:name="第三部分"/>
      <w:r>
        <w:rPr>
          <w:rFonts w:hint="eastAsia" w:ascii="宋体" w:hAnsi="宋体" w:eastAsia="宋体" w:cs="宋体"/>
          <w:b/>
          <w:color w:val="auto"/>
          <w:sz w:val="32"/>
          <w:szCs w:val="20"/>
          <w:highlight w:val="none"/>
        </w:rPr>
        <w:br w:type="page"/>
      </w:r>
    </w:p>
    <w:p w14:paraId="02C9E362">
      <w:pPr>
        <w:adjustRightInd/>
        <w:spacing w:line="360" w:lineRule="auto"/>
        <w:ind w:firstLine="3845" w:firstLineChars="1197"/>
        <w:outlineLvl w:val="1"/>
        <w:rPr>
          <w:rFonts w:hint="eastAsia" w:ascii="宋体" w:hAnsi="宋体" w:eastAsia="宋体" w:cs="宋体"/>
          <w:b/>
          <w:color w:val="auto"/>
          <w:sz w:val="32"/>
          <w:szCs w:val="20"/>
          <w:highlight w:val="none"/>
        </w:rPr>
      </w:pPr>
      <w:bookmarkStart w:id="30" w:name="_Toc19896"/>
      <w:r>
        <w:rPr>
          <w:rFonts w:hint="eastAsia" w:ascii="宋体" w:hAnsi="宋体" w:eastAsia="宋体" w:cs="宋体"/>
          <w:b/>
          <w:color w:val="auto"/>
          <w:sz w:val="32"/>
          <w:szCs w:val="20"/>
          <w:highlight w:val="none"/>
        </w:rPr>
        <w:t>一、总则</w:t>
      </w:r>
      <w:bookmarkEnd w:id="30"/>
    </w:p>
    <w:p w14:paraId="4BD72A85">
      <w:pPr>
        <w:snapToGrid w:val="0"/>
        <w:spacing w:line="360" w:lineRule="auto"/>
        <w:ind w:firstLine="361" w:firstLineChars="150"/>
        <w:jc w:val="left"/>
        <w:outlineLvl w:val="1"/>
        <w:rPr>
          <w:rFonts w:hint="eastAsia" w:ascii="宋体" w:hAnsi="宋体" w:eastAsia="宋体" w:cs="宋体"/>
          <w:b/>
          <w:color w:val="auto"/>
          <w:sz w:val="24"/>
          <w:highlight w:val="none"/>
        </w:rPr>
      </w:pPr>
      <w:bookmarkStart w:id="31" w:name="_Toc4803"/>
      <w:r>
        <w:rPr>
          <w:rFonts w:hint="eastAsia" w:ascii="宋体" w:hAnsi="宋体" w:eastAsia="宋体" w:cs="宋体"/>
          <w:b/>
          <w:color w:val="auto"/>
          <w:sz w:val="24"/>
          <w:highlight w:val="none"/>
        </w:rPr>
        <w:t>1. 适用范围</w:t>
      </w:r>
      <w:bookmarkEnd w:id="31"/>
    </w:p>
    <w:p w14:paraId="5A9B105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本招标文件适用于该项目的招标、投标、开标、资格审查及信用信息查询、评标、定标、合同、验收等行为（法律、法规另有规定的，从其规定）。</w:t>
      </w:r>
    </w:p>
    <w:p w14:paraId="41EFD938">
      <w:pPr>
        <w:snapToGrid w:val="0"/>
        <w:spacing w:line="360" w:lineRule="auto"/>
        <w:ind w:firstLine="361" w:firstLineChars="150"/>
        <w:jc w:val="left"/>
        <w:outlineLvl w:val="1"/>
        <w:rPr>
          <w:rFonts w:hint="eastAsia" w:ascii="宋体" w:hAnsi="宋体" w:eastAsia="宋体" w:cs="宋体"/>
          <w:b/>
          <w:color w:val="auto"/>
          <w:sz w:val="24"/>
          <w:highlight w:val="none"/>
        </w:rPr>
      </w:pPr>
      <w:bookmarkStart w:id="32" w:name="_Toc17533"/>
      <w:r>
        <w:rPr>
          <w:rFonts w:hint="eastAsia" w:ascii="宋体" w:hAnsi="宋体" w:eastAsia="宋体" w:cs="宋体"/>
          <w:b/>
          <w:color w:val="auto"/>
          <w:sz w:val="24"/>
          <w:highlight w:val="none"/>
        </w:rPr>
        <w:t>2.定义</w:t>
      </w:r>
      <w:bookmarkEnd w:id="32"/>
    </w:p>
    <w:p w14:paraId="6C9B33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“采购人”系指招标公告中载明的本项目的采购人。</w:t>
      </w:r>
    </w:p>
    <w:p w14:paraId="64F46B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“采购代理机构”系指招标公告中载明的本项目的采购代理机构。</w:t>
      </w:r>
    </w:p>
    <w:p w14:paraId="390D12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“投标人”系指响应招标、参加投标竞争的法人、其他组织或者自然人。</w:t>
      </w:r>
    </w:p>
    <w:p w14:paraId="7F7422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“负责人”系指法人企业的法定负责人，或其他组织为法律、行政法规规定代表单位行使职权的主要负责人，或自然人本人。</w:t>
      </w:r>
    </w:p>
    <w:p w14:paraId="35BA0B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A479E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2.6“电子交易平台”系指本项目政府采购活动所依托的政府采购云平台（https://www.zcygov.cn/）。</w:t>
      </w:r>
    </w:p>
    <w:p w14:paraId="215640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 “▲” 系指实质性要求条款，“</w:t>
      </w:r>
      <w:sdt>
        <w:sdtPr>
          <w:rPr>
            <w:rFonts w:hint="eastAsia" w:ascii="宋体" w:hAnsi="宋体" w:eastAsia="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 系指适用本项目的要求，“</w:t>
      </w:r>
      <w:sdt>
        <w:sdtPr>
          <w:rPr>
            <w:rFonts w:hint="eastAsia" w:ascii="宋体" w:hAnsi="宋体" w:eastAsia="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 系指不适用本项目的要求。</w:t>
      </w:r>
    </w:p>
    <w:p w14:paraId="769551B6">
      <w:pPr>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432A483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0648243B">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 支持绿色发展</w:t>
      </w:r>
    </w:p>
    <w:p w14:paraId="5D33A920">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737536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3" w:name="_Hlk107568539"/>
    </w:p>
    <w:p w14:paraId="1D50FA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 鼓励供应商在参加政府采购过程中开展绿色设计、选择绿色材料、打造绿色制造工艺、开展绿色运输、做好废弃产品回收处理，实现产品全周期的绿色环保。</w:t>
      </w:r>
      <w:bookmarkEnd w:id="33"/>
    </w:p>
    <w:p w14:paraId="4BD6CBB6">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3.3支持中小企业发展</w:t>
      </w:r>
    </w:p>
    <w:p w14:paraId="5CB403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7CB0C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257B7C0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3.3.2</w:t>
      </w:r>
      <w:r>
        <w:rPr>
          <w:rFonts w:hint="eastAsia" w:ascii="宋体" w:hAnsi="宋体" w:eastAsia="宋体" w:cs="宋体"/>
          <w:color w:val="auto"/>
          <w:kern w:val="0"/>
          <w:sz w:val="24"/>
          <w:highlight w:val="none"/>
        </w:rPr>
        <w:t>在政府采购活动中，投标人提供服务符合下列情形的，享受中小企业扶持政策：在服务采购项目中，服务由中小企业承接，即提供服务的人员为中小企业依照《中华人民共和国民法典》订立劳动合同的从业人员。</w:t>
      </w:r>
    </w:p>
    <w:p w14:paraId="1CC3FC31">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7396EC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w:t>
      </w:r>
      <w:bookmarkStart w:id="34" w:name="_Hlk101132181"/>
      <w:r>
        <w:rPr>
          <w:rFonts w:hint="eastAsia" w:ascii="宋体" w:hAnsi="宋体" w:eastAsia="宋体" w:cs="宋体"/>
          <w:color w:val="auto"/>
          <w:sz w:val="24"/>
          <w:highlight w:val="none"/>
        </w:rPr>
        <w:t>联合协议或者分包意向协议约定小微企业的合同份额占到合同总金额30%以上的</w:t>
      </w:r>
      <w:bookmarkEnd w:id="34"/>
      <w:r>
        <w:rPr>
          <w:rFonts w:hint="eastAsia" w:ascii="宋体" w:hAnsi="宋体" w:eastAsia="宋体" w:cs="宋体"/>
          <w:color w:val="auto"/>
          <w:sz w:val="24"/>
          <w:highlight w:val="none"/>
        </w:rPr>
        <w:t>，对联合体或者大中型企业的报价给予4%的扣除，用扣除后的价格参加评审。组成联合体或者接受分包的小微企业与联合体内其他企业、分包企业之间存在直接控股、管理关系的，不享受价格扣除优惠政策。</w:t>
      </w:r>
    </w:p>
    <w:p w14:paraId="325958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07CC8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E7D5B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BBD35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3.3.7中小企业享受扶持政策获得政府采购合同的，小微企业不得将合同分包给大中型企业，中型企业不得将合同分包给大型企业。</w:t>
      </w:r>
    </w:p>
    <w:p w14:paraId="1AAE5076">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支持创新发展</w:t>
      </w:r>
    </w:p>
    <w:p w14:paraId="223B82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3.4.1对省级以上主管部门认定的首台套产品，自纳入《省推广应用指导目录》起三年内参加政府采购活动，视同已具备相应销售业绩，业绩分为满分。</w:t>
      </w:r>
    </w:p>
    <w:p w14:paraId="1BB4EE5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3.5平等对待内外资企业和符合条件的破产重整企业</w:t>
      </w:r>
    </w:p>
    <w:p w14:paraId="12B6F53E">
      <w:pPr>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color w:val="auto"/>
          <w:sz w:val="24"/>
          <w:highlight w:val="none"/>
        </w:rPr>
        <w:t>平等对待内外资企业和符合条件的破产重整企业，切实保障企业公平竞争，平等维护企业的合法利益。</w:t>
      </w:r>
      <w:r>
        <w:rPr>
          <w:rFonts w:hint="eastAsia" w:ascii="宋体" w:hAnsi="宋体" w:eastAsia="宋体" w:cs="宋体"/>
          <w:color w:val="auto"/>
          <w:sz w:val="24"/>
          <w:highlight w:val="none"/>
        </w:rPr>
        <w:cr/>
      </w:r>
      <w:r>
        <w:rPr>
          <w:rFonts w:hint="eastAsia" w:ascii="宋体" w:hAnsi="宋体" w:eastAsia="宋体" w:cs="宋体"/>
          <w:b/>
          <w:color w:val="auto"/>
          <w:highlight w:val="none"/>
        </w:rPr>
        <w:t>4. 询问、质疑、投诉</w:t>
      </w:r>
    </w:p>
    <w:p w14:paraId="2FE5E81A">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4.1在线询问、质疑、投诉</w:t>
      </w:r>
    </w:p>
    <w:p w14:paraId="78B64AE0">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根据《浙江省财政厅关于进一步促进政府采购公平竞争打造最优营商环境的通知》（浙财采监</w:t>
      </w:r>
      <w:r>
        <w:rPr>
          <w:color w:val="auto"/>
          <w:highlight w:val="none"/>
        </w:rPr>
        <w:t>〔</w:t>
      </w:r>
      <w:r>
        <w:rPr>
          <w:rFonts w:hint="eastAsia"/>
          <w:color w:val="auto"/>
          <w:highlight w:val="none"/>
          <w:lang w:val="zh-CN"/>
        </w:rPr>
        <w:t>2021</w:t>
      </w:r>
      <w:r>
        <w:rPr>
          <w:color w:val="auto"/>
          <w:highlight w:val="none"/>
        </w:rPr>
        <w:t>〕</w:t>
      </w:r>
      <w:r>
        <w:rPr>
          <w:rFonts w:hint="eastAsia"/>
          <w:color w:val="auto"/>
          <w:highlight w:val="none"/>
          <w:lang w:val="zh-CN"/>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01E4863">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E0D0A96">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1FF714F">
      <w:pPr>
        <w:tabs>
          <w:tab w:val="left" w:pos="2622"/>
        </w:tabs>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r>
        <w:rPr>
          <w:rFonts w:hint="eastAsia" w:ascii="宋体" w:hAnsi="宋体" w:cs="宋体"/>
          <w:color w:val="auto"/>
          <w:kern w:val="0"/>
          <w:sz w:val="24"/>
          <w:highlight w:val="none"/>
          <w:lang w:val="zh-CN"/>
        </w:rPr>
        <w:tab/>
      </w:r>
    </w:p>
    <w:p w14:paraId="194A9D14">
      <w:pPr>
        <w:pStyle w:val="968"/>
        <w:spacing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4.3.1</w:t>
      </w:r>
      <w:r>
        <w:rPr>
          <w:rFonts w:hint="eastAsia" w:ascii="宋体" w:hAnsi="宋体" w:eastAsia="宋体" w:cs="宋体"/>
          <w:color w:val="auto"/>
          <w:sz w:val="24"/>
          <w:szCs w:val="24"/>
          <w:highlight w:val="none"/>
          <w:lang w:val="zh-CN"/>
        </w:rPr>
        <w:t>供应商认为采购文件、采购过程、中标或者成交结果使自己的权益受到损害的，可以在知道或者应知其权益受到损害之日起七个工作日内向采购人</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zh-CN"/>
        </w:rPr>
        <w:t>采购代理机构提出质疑。为有效保护供应商合法权益和提高采购效率，鼓励供应商发现自己的权益受到损害后尽早提出质疑。</w:t>
      </w:r>
      <w:r>
        <w:rPr>
          <w:rFonts w:hint="eastAsia" w:ascii="宋体" w:hAnsi="宋体" w:eastAsia="宋体" w:cs="宋体"/>
          <w:b/>
          <w:bCs/>
          <w:color w:val="auto"/>
          <w:sz w:val="24"/>
          <w:szCs w:val="24"/>
          <w:highlight w:val="none"/>
          <w:lang w:val="zh-CN"/>
        </w:rPr>
        <w:t>供应商</w:t>
      </w:r>
      <w:r>
        <w:rPr>
          <w:rFonts w:hint="eastAsia" w:ascii="宋体" w:hAnsi="宋体" w:eastAsia="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zh-CN"/>
        </w:rPr>
        <w:t>在法定质疑期内一次性提出针对同一采购程序环节的质疑。</w:t>
      </w:r>
    </w:p>
    <w:p w14:paraId="2A1FC5FE">
      <w:pPr>
        <w:pStyle w:val="968"/>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4.3.2</w:t>
      </w:r>
      <w:r>
        <w:rPr>
          <w:rFonts w:hint="eastAsia" w:ascii="宋体" w:hAnsi="宋体" w:eastAsia="宋体" w:cs="宋体"/>
          <w:color w:val="auto"/>
          <w:sz w:val="24"/>
          <w:szCs w:val="24"/>
          <w:highlight w:val="none"/>
          <w:lang w:val="zh-CN"/>
        </w:rPr>
        <w:t>供应商知道或者应知其权益受到损害之日，是指：</w:t>
      </w:r>
    </w:p>
    <w:p w14:paraId="0D691F54">
      <w:pPr>
        <w:pStyle w:val="968"/>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对可以质疑的采购文件提出质疑的，为获取采购文件之日；获取采购文件时采购公告期限已届满的，为采购公告期限届满之日；</w:t>
      </w:r>
    </w:p>
    <w:p w14:paraId="68D4D6E8">
      <w:pPr>
        <w:pStyle w:val="968"/>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对采购过程中开标、资格审查、符合性审查和评审等环节提出质疑的，为各采购程序环节结束之日；</w:t>
      </w:r>
    </w:p>
    <w:p w14:paraId="2733E466">
      <w:pPr>
        <w:pStyle w:val="968"/>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对中标或者成交结果提出质疑的，为中标或者成交结果公告期限届满之日；</w:t>
      </w:r>
    </w:p>
    <w:p w14:paraId="286727A3">
      <w:pPr>
        <w:pStyle w:val="968"/>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采购文件、采购过程、中标或者成交结果发生澄清、修改、更正的，对经澄清、修改、更正的部分内容提出质疑的，为通知送达供应商之日或者澄清公告、更正公告发布之日。</w:t>
      </w:r>
    </w:p>
    <w:p w14:paraId="18DB4BE7">
      <w:pPr>
        <w:pStyle w:val="968"/>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.3.3提出质疑的供应商（以下简称质疑供应商）应当是参与所质疑项目（采购包）采购活动的供应商。潜在供应商已依法获取其可质疑的采购文件的，可以对该采购文件提出质疑。</w:t>
      </w:r>
    </w:p>
    <w:p w14:paraId="64CFA82D">
      <w:pPr>
        <w:pStyle w:val="968"/>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项目设立、项目预算、采购方式、组织形式、进口产品核准、采购需求调查过程、专门面向中小企业采购、合同履约等不属于可质疑事项。</w:t>
      </w:r>
    </w:p>
    <w:p w14:paraId="3EFBDCD9">
      <w:pPr>
        <w:pStyle w:val="33"/>
        <w:spacing w:line="360" w:lineRule="auto"/>
        <w:ind w:firstLine="480" w:firstLineChars="200"/>
        <w:rPr>
          <w:rFonts w:hint="eastAsia" w:hAnsi="宋体" w:cs="宋体"/>
          <w:color w:val="auto"/>
          <w:kern w:val="0"/>
          <w:sz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.3.4供应商提出质疑应当有明确的请求和必要的证明材料。</w:t>
      </w:r>
      <w:r>
        <w:rPr>
          <w:rFonts w:hint="eastAsia" w:hAnsi="宋体" w:cs="宋体"/>
          <w:color w:val="auto"/>
          <w:sz w:val="24"/>
          <w:highlight w:val="none"/>
        </w:rPr>
        <w:t>质疑函应当包括下列内容：</w:t>
      </w:r>
    </w:p>
    <w:p w14:paraId="7503B5D6">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1）</w:t>
      </w:r>
      <w:r>
        <w:rPr>
          <w:rFonts w:hint="eastAsia" w:hAnsi="宋体" w:cs="宋体"/>
          <w:color w:val="auto"/>
          <w:kern w:val="0"/>
          <w:sz w:val="24"/>
          <w:highlight w:val="none"/>
          <w:lang w:val="zh-CN"/>
        </w:rPr>
        <w:t>供应商的姓名或者名称、地址、邮编、联系人及联系电话；</w:t>
      </w:r>
    </w:p>
    <w:p w14:paraId="7E5B5CEE">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2）</w:t>
      </w:r>
      <w:r>
        <w:rPr>
          <w:rFonts w:hint="eastAsia" w:hAnsi="宋体" w:cs="宋体"/>
          <w:color w:val="auto"/>
          <w:kern w:val="0"/>
          <w:sz w:val="24"/>
          <w:highlight w:val="none"/>
          <w:lang w:val="zh-CN"/>
        </w:rPr>
        <w:t>质疑项目的名称、编号；</w:t>
      </w:r>
    </w:p>
    <w:p w14:paraId="2AE16E5D">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3）</w:t>
      </w:r>
      <w:r>
        <w:rPr>
          <w:rFonts w:hint="eastAsia" w:hAnsi="宋体" w:cs="宋体"/>
          <w:color w:val="auto"/>
          <w:kern w:val="0"/>
          <w:sz w:val="24"/>
          <w:highlight w:val="none"/>
          <w:lang w:val="zh-CN"/>
        </w:rPr>
        <w:t>具体、明确的质疑事项和与质疑事项相关的请求；</w:t>
      </w:r>
    </w:p>
    <w:p w14:paraId="5FD9EA5D">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4）</w:t>
      </w:r>
      <w:r>
        <w:rPr>
          <w:rFonts w:hint="eastAsia" w:hAnsi="宋体" w:cs="宋体"/>
          <w:color w:val="auto"/>
          <w:kern w:val="0"/>
          <w:sz w:val="24"/>
          <w:highlight w:val="none"/>
          <w:lang w:val="zh-CN"/>
        </w:rPr>
        <w:t>事实依据；</w:t>
      </w:r>
    </w:p>
    <w:p w14:paraId="43C20DA3">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5）</w:t>
      </w:r>
      <w:r>
        <w:rPr>
          <w:rFonts w:hint="eastAsia" w:hAnsi="宋体" w:cs="宋体"/>
          <w:color w:val="auto"/>
          <w:kern w:val="0"/>
          <w:sz w:val="24"/>
          <w:highlight w:val="none"/>
          <w:lang w:val="zh-CN"/>
        </w:rPr>
        <w:t>必要的法律依据；</w:t>
      </w:r>
    </w:p>
    <w:p w14:paraId="5270FF17">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6）</w:t>
      </w:r>
      <w:r>
        <w:rPr>
          <w:rFonts w:hint="eastAsia" w:hAnsi="宋体" w:cs="宋体"/>
          <w:color w:val="auto"/>
          <w:kern w:val="0"/>
          <w:sz w:val="24"/>
          <w:highlight w:val="none"/>
          <w:lang w:val="zh-CN"/>
        </w:rPr>
        <w:t>提出质疑的日期。</w:t>
      </w:r>
    </w:p>
    <w:p w14:paraId="426C3E0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 xml:space="preserve"> 供应商为自然人的，应当由本人签字；供应商为法人或者其他组织的，应当由法定代表人、主要负责人，或者其授权代表签字或者盖章，并加盖公章。以联合体形式参加政府采购活动的，其</w:t>
      </w:r>
      <w:r>
        <w:rPr>
          <w:rFonts w:hint="eastAsia"/>
          <w:color w:val="auto"/>
          <w:highlight w:val="none"/>
          <w:lang w:val="en-US" w:eastAsia="zh-CN"/>
        </w:rPr>
        <w:t>质疑</w:t>
      </w:r>
      <w:r>
        <w:rPr>
          <w:rFonts w:hint="eastAsia"/>
          <w:color w:val="auto"/>
          <w:highlight w:val="none"/>
        </w:rPr>
        <w:t>应当由组成联合体的所有供应商共同提出。</w:t>
      </w:r>
    </w:p>
    <w:p w14:paraId="6F721C50">
      <w:pPr>
        <w:pStyle w:val="968"/>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供应商提出质疑可使用财政部制定的质疑函范本，该范本可在浙江政府采购网下载专区下载。</w:t>
      </w:r>
    </w:p>
    <w:p w14:paraId="753C095C">
      <w:pPr>
        <w:pStyle w:val="968"/>
        <w:spacing w:line="360" w:lineRule="auto"/>
        <w:ind w:firstLine="48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rPr>
        <w:t>4.3.</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zh-CN"/>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w:t>
      </w:r>
      <w:r>
        <w:rPr>
          <w:rFonts w:hint="eastAsia" w:ascii="宋体" w:hAnsi="宋体" w:eastAsia="宋体" w:cs="宋体"/>
          <w:b w:val="0"/>
          <w:bCs w:val="0"/>
          <w:color w:val="auto"/>
          <w:sz w:val="24"/>
          <w:szCs w:val="24"/>
          <w:highlight w:val="none"/>
          <w:lang w:val="en-US" w:eastAsia="zh-CN"/>
        </w:rPr>
        <w:t>或者</w:t>
      </w:r>
      <w:r>
        <w:rPr>
          <w:rFonts w:hint="eastAsia" w:ascii="宋体" w:hAnsi="宋体" w:eastAsia="宋体" w:cs="宋体"/>
          <w:b w:val="0"/>
          <w:bCs w:val="0"/>
          <w:color w:val="auto"/>
          <w:sz w:val="24"/>
          <w:szCs w:val="24"/>
          <w:highlight w:val="none"/>
          <w:lang w:val="zh-CN"/>
        </w:rPr>
        <w:t>采购代理机构应向质疑供应商出具签收回执，注明接收日期。</w:t>
      </w:r>
    </w:p>
    <w:p w14:paraId="5F324FD0">
      <w:pPr>
        <w:pStyle w:val="968"/>
        <w:spacing w:line="360" w:lineRule="auto"/>
        <w:ind w:firstLine="48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rPr>
        <w:t>4.3.</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zh-CN"/>
        </w:rPr>
        <w:t>供应商提交的质疑函缺少具体明确的质疑事项、事实依据、必要的法律依据、与质疑事项相关的请求、签章等内容的，采购人</w:t>
      </w:r>
      <w:r>
        <w:rPr>
          <w:rFonts w:hint="eastAsia" w:ascii="宋体" w:hAnsi="宋体" w:eastAsia="宋体" w:cs="宋体"/>
          <w:b w:val="0"/>
          <w:bCs w:val="0"/>
          <w:color w:val="auto"/>
          <w:sz w:val="24"/>
          <w:szCs w:val="24"/>
          <w:highlight w:val="none"/>
          <w:lang w:val="en-US" w:eastAsia="zh-CN"/>
        </w:rPr>
        <w:t>或者</w:t>
      </w:r>
      <w:r>
        <w:rPr>
          <w:rFonts w:hint="eastAsia" w:ascii="宋体" w:hAnsi="宋体" w:eastAsia="宋体" w:cs="宋体"/>
          <w:b w:val="0"/>
          <w:bCs w:val="0"/>
          <w:color w:val="auto"/>
          <w:sz w:val="24"/>
          <w:szCs w:val="24"/>
          <w:highlight w:val="none"/>
          <w:lang w:val="zh-CN"/>
        </w:rPr>
        <w:t>采购代理机构可通知其在法定质疑期内补充、完善。质疑供应商在法定质疑期内未按要求补充、完善的，自行承担不利后果。</w:t>
      </w:r>
    </w:p>
    <w:p w14:paraId="5EF839C8">
      <w:pPr>
        <w:pStyle w:val="968"/>
        <w:spacing w:line="360" w:lineRule="auto"/>
        <w:ind w:firstLine="48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采购人</w:t>
      </w:r>
      <w:r>
        <w:rPr>
          <w:rFonts w:hint="eastAsia" w:ascii="宋体" w:hAnsi="宋体" w:eastAsia="宋体" w:cs="宋体"/>
          <w:b w:val="0"/>
          <w:bCs w:val="0"/>
          <w:color w:val="auto"/>
          <w:sz w:val="24"/>
          <w:szCs w:val="24"/>
          <w:highlight w:val="none"/>
          <w:lang w:val="en-US" w:eastAsia="zh-CN"/>
        </w:rPr>
        <w:t>或者</w:t>
      </w:r>
      <w:r>
        <w:rPr>
          <w:rFonts w:hint="eastAsia" w:ascii="宋体" w:hAnsi="宋体" w:eastAsia="宋体" w:cs="宋体"/>
          <w:b w:val="0"/>
          <w:bCs w:val="0"/>
          <w:color w:val="auto"/>
          <w:sz w:val="24"/>
          <w:szCs w:val="24"/>
          <w:highlight w:val="none"/>
          <w:lang w:val="zh-CN"/>
        </w:rPr>
        <w:t>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4E1963E5">
      <w:pPr>
        <w:pStyle w:val="888"/>
        <w:shd w:val="clear" w:color="auto" w:fill="FFFFFF"/>
        <w:snapToGrid w:val="0"/>
        <w:spacing w:before="0" w:beforeAutospacing="0" w:after="0" w:afterAutospacing="0" w:line="360" w:lineRule="auto"/>
        <w:ind w:firstLine="400"/>
        <w:contextualSpacing/>
        <w:rPr>
          <w:rFonts w:hint="eastAsia"/>
          <w:b w:val="0"/>
          <w:bCs w:val="0"/>
          <w:color w:val="auto"/>
          <w:highlight w:val="none"/>
        </w:rPr>
      </w:pPr>
      <w:r>
        <w:rPr>
          <w:rFonts w:hint="eastAsia"/>
          <w:b w:val="0"/>
          <w:bCs w:val="0"/>
          <w:color w:val="auto"/>
          <w:highlight w:val="none"/>
        </w:rPr>
        <w:t>4.3.</w:t>
      </w:r>
      <w:r>
        <w:rPr>
          <w:rFonts w:hint="eastAsia"/>
          <w:b w:val="0"/>
          <w:bCs w:val="0"/>
          <w:color w:val="auto"/>
          <w:highlight w:val="none"/>
          <w:lang w:val="en-US" w:eastAsia="zh-CN"/>
        </w:rPr>
        <w:t>7</w:t>
      </w:r>
      <w:r>
        <w:rPr>
          <w:rFonts w:hint="eastAsia"/>
          <w:b w:val="0"/>
          <w:bCs w:val="0"/>
          <w:color w:val="auto"/>
          <w:highlight w:val="none"/>
        </w:rPr>
        <w:t>供应商有下列情形之一的，质疑事项不予处理，由采购人</w:t>
      </w:r>
      <w:r>
        <w:rPr>
          <w:rFonts w:hint="eastAsia" w:ascii="宋体" w:hAnsi="宋体" w:eastAsia="宋体" w:cs="宋体"/>
          <w:b w:val="0"/>
          <w:bCs w:val="0"/>
          <w:color w:val="auto"/>
          <w:sz w:val="24"/>
          <w:szCs w:val="24"/>
          <w:highlight w:val="none"/>
          <w:lang w:val="en-US" w:eastAsia="zh-CN"/>
        </w:rPr>
        <w:t>或</w:t>
      </w:r>
      <w:r>
        <w:rPr>
          <w:rFonts w:hint="eastAsia" w:cs="宋体"/>
          <w:b w:val="0"/>
          <w:bCs w:val="0"/>
          <w:color w:val="auto"/>
          <w:sz w:val="24"/>
          <w:szCs w:val="24"/>
          <w:highlight w:val="none"/>
          <w:lang w:val="en-US" w:eastAsia="zh-CN"/>
        </w:rPr>
        <w:t>者</w:t>
      </w:r>
      <w:r>
        <w:rPr>
          <w:rFonts w:hint="eastAsia"/>
          <w:b w:val="0"/>
          <w:bCs w:val="0"/>
          <w:color w:val="auto"/>
          <w:highlight w:val="none"/>
        </w:rPr>
        <w:t>采购代理机构收到质疑函后七个工作日内书面通知质疑供应商：</w:t>
      </w:r>
    </w:p>
    <w:p w14:paraId="624702CE">
      <w:pPr>
        <w:pStyle w:val="888"/>
        <w:shd w:val="clear" w:color="auto" w:fill="FFFFFF"/>
        <w:snapToGrid w:val="0"/>
        <w:spacing w:after="240" w:afterAutospacing="0" w:line="360" w:lineRule="auto"/>
        <w:ind w:firstLine="400"/>
        <w:contextualSpacing/>
        <w:rPr>
          <w:rFonts w:hint="eastAsia"/>
          <w:b w:val="0"/>
          <w:bCs w:val="0"/>
          <w:color w:val="auto"/>
          <w:highlight w:val="none"/>
        </w:rPr>
      </w:pPr>
      <w:bookmarkStart w:id="35" w:name="OLE_LINK3"/>
      <w:r>
        <w:rPr>
          <w:rFonts w:hint="eastAsia"/>
          <w:b w:val="0"/>
          <w:bCs w:val="0"/>
          <w:color w:val="auto"/>
          <w:highlight w:val="none"/>
        </w:rPr>
        <w:t>（1）</w:t>
      </w:r>
      <w:bookmarkEnd w:id="35"/>
      <w:r>
        <w:rPr>
          <w:rFonts w:hint="eastAsia"/>
          <w:b w:val="0"/>
          <w:bCs w:val="0"/>
          <w:color w:val="auto"/>
          <w:highlight w:val="none"/>
        </w:rPr>
        <w:t>潜在供应商未提供依法获取采购文件证据材料，对采购文件提出质疑的；</w:t>
      </w:r>
    </w:p>
    <w:p w14:paraId="1794F7DA">
      <w:pPr>
        <w:pStyle w:val="888"/>
        <w:shd w:val="clear" w:color="auto" w:fill="FFFFFF"/>
        <w:snapToGrid w:val="0"/>
        <w:spacing w:after="240" w:afterAutospacing="0" w:line="360" w:lineRule="auto"/>
        <w:ind w:firstLine="400"/>
        <w:contextualSpacing/>
        <w:rPr>
          <w:rFonts w:hint="eastAsia"/>
          <w:b w:val="0"/>
          <w:bCs w:val="0"/>
          <w:color w:val="auto"/>
          <w:highlight w:val="none"/>
        </w:rPr>
      </w:pPr>
      <w:r>
        <w:rPr>
          <w:rFonts w:hint="eastAsia"/>
          <w:b w:val="0"/>
          <w:bCs w:val="0"/>
          <w:color w:val="auto"/>
          <w:highlight w:val="none"/>
        </w:rPr>
        <w:t>（</w:t>
      </w:r>
      <w:r>
        <w:rPr>
          <w:rFonts w:hint="eastAsia"/>
          <w:b w:val="0"/>
          <w:bCs w:val="0"/>
          <w:color w:val="auto"/>
          <w:highlight w:val="none"/>
          <w:lang w:val="en-US" w:eastAsia="zh-CN"/>
        </w:rPr>
        <w:t>2</w:t>
      </w:r>
      <w:r>
        <w:rPr>
          <w:rFonts w:hint="eastAsia"/>
          <w:b w:val="0"/>
          <w:bCs w:val="0"/>
          <w:color w:val="auto"/>
          <w:highlight w:val="none"/>
        </w:rPr>
        <w:t>）供应商未按采购人、采购代理机构要求提供项目设置的特定资格条件证明材料，对特定资格条件以外的采购文件内容提出质疑的；</w:t>
      </w:r>
    </w:p>
    <w:p w14:paraId="52480FD5">
      <w:pPr>
        <w:pStyle w:val="888"/>
        <w:shd w:val="clear" w:color="auto" w:fill="FFFFFF"/>
        <w:snapToGrid w:val="0"/>
        <w:spacing w:after="240" w:afterAutospacing="0" w:line="360" w:lineRule="auto"/>
        <w:ind w:firstLine="400"/>
        <w:contextualSpacing/>
        <w:rPr>
          <w:rFonts w:hint="eastAsia"/>
          <w:b w:val="0"/>
          <w:bCs w:val="0"/>
          <w:color w:val="auto"/>
          <w:highlight w:val="none"/>
        </w:rPr>
      </w:pPr>
      <w:r>
        <w:rPr>
          <w:rFonts w:hint="eastAsia"/>
          <w:b w:val="0"/>
          <w:bCs w:val="0"/>
          <w:color w:val="auto"/>
          <w:highlight w:val="none"/>
        </w:rPr>
        <w:t>（3）未提交投标文件，对采购过程、采购结果提出质疑的；</w:t>
      </w:r>
    </w:p>
    <w:p w14:paraId="5B825E45">
      <w:pPr>
        <w:pStyle w:val="888"/>
        <w:shd w:val="clear" w:color="auto" w:fill="FFFFFF"/>
        <w:snapToGrid w:val="0"/>
        <w:spacing w:after="240" w:afterAutospacing="0" w:line="360" w:lineRule="auto"/>
        <w:ind w:firstLine="400"/>
        <w:contextualSpacing/>
        <w:rPr>
          <w:rFonts w:hint="eastAsia"/>
          <w:b w:val="0"/>
          <w:bCs w:val="0"/>
          <w:color w:val="auto"/>
          <w:highlight w:val="none"/>
        </w:rPr>
      </w:pPr>
      <w:r>
        <w:rPr>
          <w:rFonts w:hint="eastAsia"/>
          <w:b w:val="0"/>
          <w:bCs w:val="0"/>
          <w:color w:val="auto"/>
          <w:highlight w:val="none"/>
        </w:rPr>
        <w:t>（4）未通过资格审查，对评审过程、采购结果提出质疑的；</w:t>
      </w:r>
    </w:p>
    <w:p w14:paraId="050EE933">
      <w:pPr>
        <w:pStyle w:val="888"/>
        <w:shd w:val="clear" w:color="auto" w:fill="FFFFFF"/>
        <w:snapToGrid w:val="0"/>
        <w:spacing w:after="240" w:afterAutospacing="0" w:line="360" w:lineRule="auto"/>
        <w:ind w:firstLine="400"/>
        <w:contextualSpacing/>
        <w:rPr>
          <w:rFonts w:hint="eastAsia"/>
          <w:b w:val="0"/>
          <w:bCs w:val="0"/>
          <w:color w:val="auto"/>
          <w:highlight w:val="none"/>
        </w:rPr>
      </w:pPr>
      <w:r>
        <w:rPr>
          <w:rFonts w:hint="eastAsia"/>
          <w:b w:val="0"/>
          <w:bCs w:val="0"/>
          <w:color w:val="auto"/>
          <w:highlight w:val="none"/>
        </w:rPr>
        <w:t>（5）未通过符合性审查，对符合性审查后的评审活动、采购结果提出质疑的；</w:t>
      </w:r>
    </w:p>
    <w:p w14:paraId="5897671D">
      <w:pPr>
        <w:pStyle w:val="888"/>
        <w:shd w:val="clear" w:color="auto" w:fill="FFFFFF"/>
        <w:snapToGrid w:val="0"/>
        <w:spacing w:after="240" w:afterAutospacing="0" w:line="360" w:lineRule="auto"/>
        <w:ind w:firstLine="400"/>
        <w:contextualSpacing/>
        <w:rPr>
          <w:rFonts w:hint="eastAsia"/>
          <w:b w:val="0"/>
          <w:bCs w:val="0"/>
          <w:color w:val="auto"/>
          <w:highlight w:val="none"/>
        </w:rPr>
      </w:pPr>
      <w:r>
        <w:rPr>
          <w:rFonts w:hint="eastAsia"/>
          <w:b w:val="0"/>
          <w:bCs w:val="0"/>
          <w:color w:val="auto"/>
          <w:highlight w:val="none"/>
        </w:rPr>
        <w:t>（6）未通过采购文件规定的方式提出质疑的；</w:t>
      </w:r>
    </w:p>
    <w:p w14:paraId="4AF5DF3D">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（7）提出质疑时间已超出法定质疑期的；</w:t>
      </w:r>
    </w:p>
    <w:p w14:paraId="4CE73625">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（8）采购文件要求供应商在法定质疑期内一次性提出针对同一采购程序环节质疑，再次提出质疑的；</w:t>
      </w:r>
    </w:p>
    <w:p w14:paraId="1FEB4CB2">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（9）质疑函未按采购人、采购代理机构要求补充完善签署、盖章、联系方式、提交合法有效的授权委托书的；</w:t>
      </w:r>
    </w:p>
    <w:p w14:paraId="7D69B166">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（10）质疑供应商未按照采购人、采购代理机构要求提供属于潜在供应商或其合法权益受到损害的事实依据的；</w:t>
      </w:r>
    </w:p>
    <w:p w14:paraId="2CE8FC6B">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（11）以联合体形式参加政府采购活动，联合体成员未共同提出质疑的；</w:t>
      </w:r>
    </w:p>
    <w:p w14:paraId="37218D05">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（12）法律法规或省级以上财政部门规定的其他情形。</w:t>
      </w:r>
    </w:p>
    <w:p w14:paraId="6D22EB86">
      <w:pPr>
        <w:pStyle w:val="888"/>
        <w:shd w:val="clear" w:color="auto" w:fill="FFFFFF"/>
        <w:snapToGrid w:val="0"/>
        <w:spacing w:after="240" w:afterAutospacing="0" w:line="360" w:lineRule="auto"/>
        <w:ind w:firstLine="480" w:firstLineChars="200"/>
        <w:contextualSpacing/>
        <w:rPr>
          <w:rFonts w:hint="eastAsia"/>
          <w:color w:val="auto"/>
          <w:highlight w:val="none"/>
          <w:lang w:val="zh-CN"/>
        </w:rPr>
      </w:pPr>
      <w:r>
        <w:rPr>
          <w:rFonts w:hint="eastAsia"/>
          <w:color w:val="auto"/>
          <w:highlight w:val="none"/>
          <w:lang w:val="zh-CN"/>
        </w:rPr>
        <w:t>4.4供应商投诉</w:t>
      </w:r>
    </w:p>
    <w:p w14:paraId="0C8C286E">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6BAE5D4">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C9EB862">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4.4.3供应商投诉应当有明确的请求和必要的证明材料。</w:t>
      </w:r>
    </w:p>
    <w:p w14:paraId="791B1457">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4.4.4 以联合体形式参加政府采购活动的，其</w:t>
      </w:r>
      <w:r>
        <w:rPr>
          <w:rFonts w:hint="eastAsia"/>
          <w:color w:val="auto"/>
          <w:highlight w:val="none"/>
          <w:lang w:val="en-US" w:eastAsia="zh-CN"/>
        </w:rPr>
        <w:t>质疑</w:t>
      </w:r>
      <w:r>
        <w:rPr>
          <w:rFonts w:hint="eastAsia"/>
          <w:color w:val="auto"/>
          <w:highlight w:val="none"/>
        </w:rPr>
        <w:t>应当由组成联合体的所有供应商共同提出。</w:t>
      </w:r>
    </w:p>
    <w:p w14:paraId="7B5DA323">
      <w:pPr>
        <w:pStyle w:val="888"/>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4.4.5投诉材料</w:t>
      </w:r>
      <w:r>
        <w:rPr>
          <w:rFonts w:hint="eastAsia" w:hAnsi="Courier New"/>
          <w:color w:val="auto"/>
          <w:highlight w:val="none"/>
        </w:rPr>
        <w:t>寄送</w:t>
      </w:r>
      <w:r>
        <w:rPr>
          <w:rFonts w:hint="eastAsia"/>
          <w:color w:val="auto"/>
          <w:highlight w:val="none"/>
        </w:rPr>
        <w:t>相关信息详见《第一部分  招标公告》。</w:t>
      </w:r>
    </w:p>
    <w:p w14:paraId="42986D89">
      <w:pPr>
        <w:pStyle w:val="888"/>
        <w:shd w:val="clear" w:color="auto" w:fill="FFFFFF"/>
        <w:snapToGrid w:val="0"/>
        <w:spacing w:after="240" w:afterAutospacing="0" w:line="360" w:lineRule="auto"/>
        <w:ind w:firstLine="480" w:firstLineChars="200"/>
        <w:contextualSpacing/>
        <w:rPr>
          <w:rFonts w:hint="eastAsia" w:ascii="宋体" w:hAnsi="宋体" w:eastAsia="宋体" w:cs="宋体"/>
          <w:color w:val="auto"/>
          <w:sz w:val="18"/>
          <w:szCs w:val="18"/>
          <w:highlight w:val="none"/>
        </w:rPr>
      </w:pPr>
      <w:r>
        <w:rPr>
          <w:rFonts w:hint="eastAsia" w:ascii="宋体" w:hAnsi="宋体" w:eastAsia="宋体" w:cs="宋体"/>
          <w:color w:val="auto"/>
          <w:highlight w:val="none"/>
        </w:rPr>
        <w:t>投诉书</w:t>
      </w:r>
      <w:r>
        <w:rPr>
          <w:rFonts w:hint="eastAsia" w:ascii="宋体" w:hAnsi="宋体" w:eastAsia="宋体" w:cs="宋体"/>
          <w:color w:val="auto"/>
          <w:highlight w:val="none"/>
          <w:lang w:val="zh-CN"/>
        </w:rPr>
        <w:t>使用财政部制定的</w:t>
      </w:r>
      <w:r>
        <w:rPr>
          <w:rFonts w:hint="eastAsia" w:ascii="宋体" w:hAnsi="宋体" w:eastAsia="宋体" w:cs="宋体"/>
          <w:color w:val="auto"/>
          <w:highlight w:val="none"/>
        </w:rPr>
        <w:t>投诉书</w:t>
      </w:r>
      <w:r>
        <w:rPr>
          <w:rFonts w:hint="eastAsia" w:ascii="宋体" w:hAnsi="宋体" w:eastAsia="宋体" w:cs="宋体"/>
          <w:color w:val="auto"/>
          <w:highlight w:val="none"/>
          <w:lang w:val="zh-CN"/>
        </w:rPr>
        <w:t>范本，该范本可在浙江政府采购网下载专区下载。</w:t>
      </w:r>
    </w:p>
    <w:p w14:paraId="2C430979">
      <w:pPr>
        <w:pStyle w:val="134"/>
        <w:snapToGrid w:val="0"/>
        <w:spacing w:before="0"/>
        <w:ind w:firstLine="360"/>
        <w:rPr>
          <w:rFonts w:hint="eastAsia" w:ascii="宋体" w:hAnsi="宋体" w:eastAsia="宋体" w:cs="宋体"/>
          <w:color w:val="auto"/>
          <w:sz w:val="18"/>
          <w:szCs w:val="18"/>
          <w:highlight w:val="none"/>
        </w:rPr>
      </w:pPr>
    </w:p>
    <w:p w14:paraId="13E36B04">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 xml:space="preserve">      </w:t>
      </w:r>
      <w:bookmarkStart w:id="36" w:name="_Toc20717"/>
      <w:r>
        <w:rPr>
          <w:rFonts w:hint="eastAsia" w:ascii="宋体" w:hAnsi="宋体" w:eastAsia="宋体" w:cs="宋体"/>
          <w:b/>
          <w:color w:val="auto"/>
          <w:sz w:val="32"/>
          <w:szCs w:val="20"/>
          <w:highlight w:val="none"/>
        </w:rPr>
        <w:t>二、招标文件的构成、澄清、修改</w:t>
      </w:r>
      <w:bookmarkEnd w:id="36"/>
    </w:p>
    <w:p w14:paraId="24B0FEFD">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5．招标文件的构成</w:t>
      </w:r>
    </w:p>
    <w:p w14:paraId="586BAA84">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招标文件包括下列文件及附件：</w:t>
      </w:r>
    </w:p>
    <w:p w14:paraId="4009D6AC">
      <w:pPr>
        <w:pStyle w:val="33"/>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4F4303AA">
      <w:pPr>
        <w:pStyle w:val="33"/>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5BE6BC04">
      <w:pPr>
        <w:pStyle w:val="33"/>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02879CDA">
      <w:pPr>
        <w:pStyle w:val="33"/>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63784CF7">
      <w:pPr>
        <w:pStyle w:val="33"/>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171810B3">
      <w:pPr>
        <w:pStyle w:val="33"/>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1BC7BB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740A54F6">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招标文件的澄清、修改</w:t>
      </w:r>
    </w:p>
    <w:p w14:paraId="70989F88">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6.1已获取招标文件的潜在投标人，若有问题需要澄清，应于投标截止时间前，以书面形式向采购代理机构提出。</w:t>
      </w:r>
    </w:p>
    <w:p w14:paraId="3789E8CB">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E6B115E">
      <w:pPr>
        <w:pStyle w:val="3"/>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2288AD2">
      <w:pPr>
        <w:adjustRightInd/>
        <w:spacing w:line="360" w:lineRule="auto"/>
        <w:jc w:val="center"/>
        <w:outlineLvl w:val="1"/>
        <w:rPr>
          <w:rFonts w:hint="eastAsia" w:ascii="宋体" w:hAnsi="宋体" w:eastAsia="宋体" w:cs="宋体"/>
          <w:b/>
          <w:color w:val="auto"/>
          <w:sz w:val="30"/>
          <w:szCs w:val="20"/>
          <w:highlight w:val="none"/>
        </w:rPr>
      </w:pPr>
      <w:bookmarkStart w:id="37" w:name="_Toc6708"/>
      <w:r>
        <w:rPr>
          <w:rFonts w:hint="eastAsia" w:ascii="宋体" w:hAnsi="宋体" w:eastAsia="宋体" w:cs="宋体"/>
          <w:b/>
          <w:color w:val="auto"/>
          <w:sz w:val="30"/>
          <w:szCs w:val="20"/>
          <w:highlight w:val="none"/>
        </w:rPr>
        <w:t>三、投标</w:t>
      </w:r>
      <w:bookmarkEnd w:id="37"/>
    </w:p>
    <w:p w14:paraId="3A1F7AAB">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招标文件的获取</w:t>
      </w:r>
    </w:p>
    <w:p w14:paraId="300F1DC7">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详见招标公告中获取招标文件的时间期限、地点、方式及招标文件售价。</w:t>
      </w:r>
    </w:p>
    <w:p w14:paraId="77D14663">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3FB8CA09">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C70C878">
      <w:pPr>
        <w:pStyle w:val="33"/>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rPr>
        <w:t>9.投标保证金</w:t>
      </w:r>
    </w:p>
    <w:p w14:paraId="243BFF9C">
      <w:pPr>
        <w:pStyle w:val="7"/>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本项目不需缴纳投标保证金。</w:t>
      </w:r>
    </w:p>
    <w:p w14:paraId="7B0C1E36">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195475BA">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投标文件及投标人与采购有关的来往通知、函件和文件均应使用中文。</w:t>
      </w:r>
    </w:p>
    <w:p w14:paraId="6EEA2C3C">
      <w:pPr>
        <w:pStyle w:val="33"/>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11. 投标文件的组成</w:t>
      </w:r>
    </w:p>
    <w:p w14:paraId="3F3C89D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b/>
          <w:color w:val="auto"/>
          <w:sz w:val="24"/>
          <w:highlight w:val="none"/>
        </w:rPr>
        <w:t>资格文件</w:t>
      </w:r>
      <w:r>
        <w:rPr>
          <w:rFonts w:hint="eastAsia" w:ascii="宋体" w:hAnsi="宋体" w:eastAsia="宋体" w:cs="宋体"/>
          <w:color w:val="auto"/>
          <w:sz w:val="24"/>
          <w:highlight w:val="none"/>
        </w:rPr>
        <w:t>：</w:t>
      </w:r>
    </w:p>
    <w:p w14:paraId="6DC8C438">
      <w:pPr>
        <w:snapToGrid w:val="0"/>
        <w:spacing w:line="360" w:lineRule="auto"/>
        <w:ind w:left="479" w:leftChars="228"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11.1.1营业执照等证明材料；</w:t>
      </w:r>
    </w:p>
    <w:p w14:paraId="708F131B">
      <w:pPr>
        <w:snapToGrid w:val="0"/>
        <w:spacing w:line="360" w:lineRule="auto"/>
        <w:ind w:left="479" w:leftChars="228"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注：法人或者其他组织投标的须提供营业执照（或事业法人登记证或其他登记证明材料）扫描件，自然人投标的提供身份证明扫描件；</w:t>
      </w:r>
    </w:p>
    <w:p w14:paraId="7BD65D7D">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11.1.2符合参加政府采购活动应当具备的一般条件的承诺函；</w:t>
      </w:r>
    </w:p>
    <w:p w14:paraId="7CE842B1">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11.1.3联合协议（</w:t>
      </w:r>
      <w:r>
        <w:rPr>
          <w:rFonts w:hint="eastAsia" w:ascii="宋体" w:hAnsi="宋体" w:cs="宋体"/>
          <w:color w:val="auto"/>
          <w:sz w:val="24"/>
          <w:highlight w:val="none"/>
          <w:lang w:val="en-US" w:eastAsia="zh-CN"/>
        </w:rPr>
        <w:t>不适用</w:t>
      </w:r>
      <w:r>
        <w:rPr>
          <w:rFonts w:hint="eastAsia" w:ascii="宋体" w:hAnsi="宋体" w:eastAsia="宋体" w:cs="宋体"/>
          <w:color w:val="auto"/>
          <w:sz w:val="24"/>
          <w:highlight w:val="none"/>
        </w:rPr>
        <w:t>）；</w:t>
      </w:r>
    </w:p>
    <w:p w14:paraId="64B164A3">
      <w:pPr>
        <w:snapToGrid w:val="0"/>
        <w:spacing w:line="360" w:lineRule="auto"/>
        <w:ind w:firstLine="960" w:firstLineChars="4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11.1.4落实政府采购政策需满足的资格要求</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提供以下资料之一</w:t>
      </w:r>
      <w:r>
        <w:rPr>
          <w:rFonts w:hint="eastAsia" w:ascii="宋体" w:hAnsi="宋体" w:eastAsia="宋体" w:cs="宋体"/>
          <w:color w:val="auto"/>
          <w:sz w:val="24"/>
          <w:highlight w:val="none"/>
          <w:lang w:val="en-US" w:eastAsia="zh-CN"/>
        </w:rPr>
        <w:t>）</w:t>
      </w:r>
      <w:r>
        <w:rPr>
          <w:rFonts w:hint="eastAsia" w:ascii="宋体" w:hAnsi="宋体" w:eastAsia="宋体" w:cs="宋体"/>
          <w:snapToGrid w:val="0"/>
          <w:color w:val="auto"/>
          <w:kern w:val="28"/>
          <w:sz w:val="24"/>
          <w:szCs w:val="20"/>
          <w:highlight w:val="none"/>
          <w:lang w:eastAsia="zh-CN"/>
        </w:rPr>
        <w:t>；</w:t>
      </w:r>
    </w:p>
    <w:p w14:paraId="5D52954F">
      <w:pPr>
        <w:snapToGrid w:val="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4-1</w:t>
      </w:r>
      <w:r>
        <w:rPr>
          <w:rFonts w:hint="eastAsia" w:ascii="宋体" w:hAnsi="宋体" w:eastAsia="宋体" w:cs="宋体"/>
          <w:color w:val="auto"/>
          <w:sz w:val="24"/>
          <w:highlight w:val="none"/>
          <w:lang w:val="en-US" w:eastAsia="zh-CN"/>
        </w:rPr>
        <w:t>中小企业声明函</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lang w:val="en-US" w:eastAsia="zh-CN"/>
        </w:rPr>
        <w:t>；</w:t>
      </w:r>
    </w:p>
    <w:p w14:paraId="26BAA756">
      <w:pPr>
        <w:snapToGrid w:val="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4-2</w:t>
      </w:r>
      <w:r>
        <w:rPr>
          <w:rFonts w:hint="eastAsia" w:ascii="宋体" w:hAnsi="宋体" w:eastAsia="宋体" w:cs="宋体"/>
          <w:color w:val="auto"/>
          <w:sz w:val="24"/>
          <w:highlight w:val="none"/>
          <w:lang w:val="en-US" w:eastAsia="zh-CN"/>
        </w:rPr>
        <w:t>残疾人福利性单位声明函</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lang w:val="en-US" w:eastAsia="zh-CN"/>
        </w:rPr>
        <w:t>；</w:t>
      </w:r>
    </w:p>
    <w:p w14:paraId="3C7021A0">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4-3</w:t>
      </w:r>
      <w:r>
        <w:rPr>
          <w:rFonts w:hint="eastAsia" w:ascii="宋体" w:hAnsi="宋体" w:eastAsia="宋体" w:cs="宋体"/>
          <w:color w:val="auto"/>
          <w:sz w:val="24"/>
          <w:highlight w:val="none"/>
          <w:lang w:val="en-US" w:eastAsia="zh-CN"/>
        </w:rPr>
        <w:t>由省级以上监狱管理局、戒毒管理局（含新疆生产建设兵团）出具的属于监狱企业的证明文件</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lang w:val="en-US" w:eastAsia="zh-CN"/>
        </w:rPr>
        <w:t>；</w:t>
      </w:r>
    </w:p>
    <w:p w14:paraId="4699532A">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11.1.5本项目的特定资格要求</w:t>
      </w:r>
      <w:r>
        <w:rPr>
          <w:rFonts w:hint="eastAsia" w:ascii="宋体" w:hAnsi="宋体" w:eastAsia="宋体" w:cs="宋体"/>
          <w:snapToGrid w:val="0"/>
          <w:color w:val="auto"/>
          <w:kern w:val="28"/>
          <w:sz w:val="24"/>
          <w:szCs w:val="20"/>
          <w:highlight w:val="none"/>
        </w:rPr>
        <w:t>：</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rPr>
        <w:t>；</w:t>
      </w:r>
    </w:p>
    <w:p w14:paraId="05AB3983">
      <w:pPr>
        <w:pStyle w:val="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        11.1.6</w:t>
      </w:r>
      <w:r>
        <w:rPr>
          <w:rFonts w:hint="eastAsia" w:ascii="宋体" w:hAnsi="宋体" w:eastAsia="宋体" w:cs="宋体"/>
          <w:color w:val="auto"/>
          <w:kern w:val="0"/>
          <w:highlight w:val="none"/>
        </w:rPr>
        <w:t>业务专用章使用说明函（如适用）。</w:t>
      </w:r>
    </w:p>
    <w:p w14:paraId="592CE839">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rPr>
        <w:t>商务技术</w:t>
      </w:r>
      <w:r>
        <w:rPr>
          <w:rFonts w:hint="eastAsia" w:ascii="宋体" w:hAnsi="宋体" w:eastAsia="宋体" w:cs="宋体"/>
          <w:b/>
          <w:bCs/>
          <w:color w:val="auto"/>
          <w:sz w:val="24"/>
          <w:highlight w:val="none"/>
          <w:lang w:val="zh-CN"/>
        </w:rPr>
        <w:t>文件：</w:t>
      </w:r>
    </w:p>
    <w:p w14:paraId="50CC413B">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11.2.1投标函；</w:t>
      </w:r>
    </w:p>
    <w:p w14:paraId="3B661035">
      <w:pPr>
        <w:snapToGrid w:val="0"/>
        <w:spacing w:line="360" w:lineRule="auto"/>
        <w:ind w:left="958" w:leftChars="456"/>
        <w:rPr>
          <w:rFonts w:hint="eastAsia" w:ascii="宋体" w:hAnsi="宋体" w:eastAsia="宋体" w:cs="宋体"/>
          <w:color w:val="auto"/>
          <w:highlight w:val="none"/>
        </w:rPr>
      </w:pPr>
      <w:r>
        <w:rPr>
          <w:rFonts w:hint="eastAsia" w:ascii="宋体" w:hAnsi="宋体" w:eastAsia="宋体" w:cs="宋体"/>
          <w:color w:val="auto"/>
          <w:sz w:val="24"/>
          <w:highlight w:val="none"/>
        </w:rPr>
        <w:t>11.2.2授权委托书或法定代表人（单位负责人、自然人本人）身份证明</w:t>
      </w:r>
      <w:r>
        <w:rPr>
          <w:rFonts w:hint="eastAsia" w:ascii="宋体" w:hAnsi="宋体" w:eastAsia="宋体" w:cs="宋体"/>
          <w:color w:val="auto"/>
          <w:highlight w:val="none"/>
        </w:rPr>
        <w:t>；</w:t>
      </w:r>
    </w:p>
    <w:p w14:paraId="42C33C2A">
      <w:pPr>
        <w:snapToGrid w:val="0"/>
        <w:spacing w:line="360" w:lineRule="auto"/>
        <w:ind w:left="958" w:leftChars="456"/>
        <w:rPr>
          <w:rFonts w:hint="eastAsia" w:ascii="宋体" w:hAnsi="宋体" w:eastAsia="宋体" w:cs="宋体"/>
          <w:color w:val="auto"/>
          <w:sz w:val="24"/>
          <w:highlight w:val="none"/>
        </w:rPr>
      </w:pPr>
      <w:r>
        <w:rPr>
          <w:rFonts w:hint="eastAsia" w:ascii="宋体" w:hAnsi="宋体" w:eastAsia="宋体" w:cs="宋体"/>
          <w:color w:val="auto"/>
          <w:sz w:val="24"/>
          <w:highlight w:val="none"/>
        </w:rPr>
        <w:t>11.2.3分包意向协议</w:t>
      </w:r>
      <w:r>
        <w:rPr>
          <w:rFonts w:hint="eastAsia" w:ascii="宋体" w:hAnsi="宋体" w:eastAsia="宋体" w:cs="宋体"/>
          <w:snapToGrid w:val="0"/>
          <w:color w:val="auto"/>
          <w:kern w:val="28"/>
          <w:sz w:val="24"/>
          <w:szCs w:val="20"/>
          <w:highlight w:val="none"/>
        </w:rPr>
        <w:t>（</w:t>
      </w:r>
      <w:r>
        <w:rPr>
          <w:rFonts w:hint="eastAsia" w:ascii="宋体" w:hAnsi="宋体" w:eastAsia="宋体" w:cs="宋体"/>
          <w:snapToGrid w:val="0"/>
          <w:color w:val="auto"/>
          <w:kern w:val="28"/>
          <w:sz w:val="24"/>
          <w:szCs w:val="20"/>
          <w:highlight w:val="none"/>
          <w:lang w:val="en-US" w:eastAsia="zh-CN"/>
        </w:rPr>
        <w:t>如有</w:t>
      </w:r>
      <w:r>
        <w:rPr>
          <w:rFonts w:hint="eastAsia" w:ascii="宋体" w:hAnsi="宋体" w:eastAsia="宋体" w:cs="宋体"/>
          <w:snapToGrid w:val="0"/>
          <w:color w:val="auto"/>
          <w:kern w:val="28"/>
          <w:sz w:val="24"/>
          <w:szCs w:val="20"/>
          <w:highlight w:val="none"/>
        </w:rPr>
        <w:t>)；</w:t>
      </w:r>
    </w:p>
    <w:p w14:paraId="63653090">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11.2.4符合性审查资料；</w:t>
      </w:r>
    </w:p>
    <w:p w14:paraId="2C3503E7">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11.2.5</w:t>
      </w:r>
      <w:r>
        <w:rPr>
          <w:rFonts w:hint="eastAsia" w:ascii="宋体" w:hAnsi="宋体" w:eastAsia="宋体" w:cs="宋体"/>
          <w:color w:val="auto"/>
          <w:sz w:val="24"/>
          <w:highlight w:val="none"/>
          <w:lang w:val="zh-CN"/>
        </w:rPr>
        <w:t>政府采购供应商廉洁自律承诺书</w:t>
      </w:r>
      <w:r>
        <w:rPr>
          <w:rFonts w:hint="eastAsia" w:ascii="宋体" w:hAnsi="宋体" w:eastAsia="宋体" w:cs="宋体"/>
          <w:color w:val="auto"/>
          <w:sz w:val="24"/>
          <w:highlight w:val="none"/>
        </w:rPr>
        <w:t>；</w:t>
      </w:r>
    </w:p>
    <w:p w14:paraId="5254A11B">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11.2.6采购要求偏离表；</w:t>
      </w:r>
    </w:p>
    <w:p w14:paraId="6E2C0715">
      <w:pPr>
        <w:snapToGrid w:val="0"/>
        <w:spacing w:line="360" w:lineRule="auto"/>
        <w:ind w:firstLine="960" w:firstLineChars="4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11.2.7商务要求偏离表 </w:t>
      </w:r>
      <w:r>
        <w:rPr>
          <w:rFonts w:hint="eastAsia" w:ascii="宋体" w:hAnsi="宋体" w:eastAsia="宋体" w:cs="宋体"/>
          <w:color w:val="auto"/>
          <w:highlight w:val="none"/>
        </w:rPr>
        <w:t>；</w:t>
      </w:r>
    </w:p>
    <w:p w14:paraId="718070C1">
      <w:pPr>
        <w:pStyle w:val="3"/>
        <w:ind w:firstLine="960" w:firstLineChars="400"/>
        <w:rPr>
          <w:rFonts w:hint="eastAsia" w:ascii="宋体" w:hAnsi="宋体" w:eastAsia="宋体" w:cs="宋体"/>
          <w:color w:val="auto"/>
          <w:highlight w:val="none"/>
        </w:rPr>
      </w:pPr>
      <w:r>
        <w:rPr>
          <w:rFonts w:hint="eastAsia" w:ascii="宋体" w:hAnsi="宋体" w:eastAsia="宋体" w:cs="宋体"/>
          <w:color w:val="auto"/>
          <w:highlight w:val="none"/>
        </w:rPr>
        <w:t>11.2.</w:t>
      </w:r>
      <w:r>
        <w:rPr>
          <w:rFonts w:hint="eastAsia" w:ascii="宋体" w:hAnsi="宋体" w:eastAsia="宋体" w:cs="宋体"/>
          <w:color w:val="auto"/>
          <w:highlight w:val="none"/>
          <w:lang w:val="en-US"/>
        </w:rPr>
        <w:t>8</w:t>
      </w:r>
      <w:r>
        <w:rPr>
          <w:rFonts w:hint="eastAsia" w:ascii="宋体" w:hAnsi="宋体" w:eastAsia="宋体" w:cs="宋体"/>
          <w:color w:val="auto"/>
          <w:highlight w:val="none"/>
        </w:rPr>
        <w:t>评</w:t>
      </w:r>
      <w:r>
        <w:rPr>
          <w:rFonts w:hint="eastAsia" w:ascii="宋体" w:hAnsi="宋体" w:eastAsia="宋体" w:cs="宋体"/>
          <w:color w:val="auto"/>
          <w:highlight w:val="none"/>
          <w:lang w:val="en-US"/>
        </w:rPr>
        <w:t>标标准相应的商务技术资料；</w:t>
      </w:r>
    </w:p>
    <w:p w14:paraId="74839D06">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ascii="宋体" w:hAnsi="宋体" w:cs="宋体"/>
          <w:bCs/>
          <w:color w:val="auto"/>
          <w:kern w:val="0"/>
          <w:szCs w:val="21"/>
          <w:highlight w:val="none"/>
        </w:rPr>
        <w:t>项目了解情况</w:t>
      </w:r>
    </w:p>
    <w:p w14:paraId="53D60115">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-2）总体</w:t>
      </w:r>
      <w:r>
        <w:rPr>
          <w:rFonts w:hint="eastAsia" w:hAnsi="宋体" w:cs="宋体"/>
          <w:color w:val="auto"/>
          <w:highlight w:val="none"/>
          <w:lang w:val="en-US" w:eastAsia="zh-CN"/>
        </w:rPr>
        <w:t>服务</w:t>
      </w:r>
      <w:r>
        <w:rPr>
          <w:rFonts w:hint="default" w:ascii="宋体" w:hAnsi="宋体" w:eastAsia="宋体" w:cs="宋体"/>
          <w:color w:val="auto"/>
          <w:highlight w:val="none"/>
          <w:lang w:val="en-US" w:eastAsia="zh-CN"/>
        </w:rPr>
        <w:t>方案</w:t>
      </w:r>
    </w:p>
    <w:p w14:paraId="20061707">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-3）</w:t>
      </w:r>
      <w:r>
        <w:rPr>
          <w:rFonts w:hint="eastAsia" w:hAnsi="宋体" w:cs="宋体"/>
          <w:color w:val="auto"/>
          <w:highlight w:val="none"/>
          <w:lang w:val="en-US" w:eastAsia="zh-CN"/>
        </w:rPr>
        <w:t>总体实施方案</w:t>
      </w:r>
    </w:p>
    <w:p w14:paraId="30A17657">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（8-4）重难点分析及解决方案</w:t>
      </w:r>
    </w:p>
    <w:p w14:paraId="2CF039BF">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5</w:t>
      </w:r>
      <w:r>
        <w:rPr>
          <w:rFonts w:hint="default" w:ascii="宋体" w:hAnsi="宋体" w:eastAsia="宋体" w:cs="宋体"/>
          <w:color w:val="auto"/>
          <w:highlight w:val="none"/>
          <w:lang w:val="en-US" w:eastAsia="zh-CN"/>
        </w:rPr>
        <w:t>）人员招聘方案</w:t>
      </w:r>
    </w:p>
    <w:p w14:paraId="628C0089">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6</w:t>
      </w:r>
      <w:r>
        <w:rPr>
          <w:rFonts w:hint="default" w:ascii="宋体" w:hAnsi="宋体" w:eastAsia="宋体" w:cs="宋体"/>
          <w:color w:val="auto"/>
          <w:highlight w:val="none"/>
          <w:lang w:val="en-US" w:eastAsia="zh-CN"/>
        </w:rPr>
        <w:t>）人员管理方案</w:t>
      </w:r>
    </w:p>
    <w:p w14:paraId="7CC96D87">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7</w:t>
      </w:r>
      <w:r>
        <w:rPr>
          <w:rFonts w:hint="default" w:ascii="宋体" w:hAnsi="宋体" w:eastAsia="宋体" w:cs="宋体"/>
          <w:color w:val="auto"/>
          <w:highlight w:val="none"/>
          <w:lang w:val="en-US" w:eastAsia="zh-CN"/>
        </w:rPr>
        <w:t>）人员培训方案</w:t>
      </w:r>
    </w:p>
    <w:p w14:paraId="0AFE381C">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）项目人员衔接方案</w:t>
      </w:r>
    </w:p>
    <w:p w14:paraId="1039D615">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9</w:t>
      </w:r>
      <w:r>
        <w:rPr>
          <w:rFonts w:hint="default" w:ascii="宋体" w:hAnsi="宋体" w:eastAsia="宋体" w:cs="宋体"/>
          <w:color w:val="auto"/>
          <w:highlight w:val="none"/>
          <w:lang w:val="en-US" w:eastAsia="zh-CN"/>
        </w:rPr>
        <w:t>）应急预案</w:t>
      </w:r>
    </w:p>
    <w:p w14:paraId="0709604A">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10</w:t>
      </w:r>
      <w:r>
        <w:rPr>
          <w:rFonts w:hint="default" w:ascii="宋体" w:hAnsi="宋体" w:eastAsia="宋体" w:cs="宋体"/>
          <w:color w:val="auto"/>
          <w:highlight w:val="none"/>
          <w:lang w:val="en-US" w:eastAsia="zh-CN"/>
        </w:rPr>
        <w:t>）纠纷处理方案</w:t>
      </w:r>
    </w:p>
    <w:p w14:paraId="5225872F">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1</w:t>
      </w:r>
      <w:r>
        <w:rPr>
          <w:rFonts w:hint="default" w:ascii="宋体" w:hAnsi="宋体" w:eastAsia="宋体" w:cs="宋体"/>
          <w:color w:val="auto"/>
          <w:highlight w:val="none"/>
          <w:lang w:val="en-US" w:eastAsia="zh-CN"/>
        </w:rPr>
        <w:t>）项目管理团队</w:t>
      </w:r>
    </w:p>
    <w:p w14:paraId="176412B6">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（8-12）</w:t>
      </w:r>
      <w:r>
        <w:rPr>
          <w:rFonts w:hint="eastAsia" w:ascii="宋体" w:hAnsi="宋体" w:cs="宋体"/>
          <w:color w:val="auto"/>
          <w:szCs w:val="21"/>
          <w:highlight w:val="none"/>
          <w:lang w:val="en-US" w:eastAsia="zh-CN"/>
        </w:rPr>
        <w:t>政策变动应对方案</w:t>
      </w:r>
    </w:p>
    <w:p w14:paraId="0D63C172">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（8-13）</w:t>
      </w:r>
      <w:r>
        <w:rPr>
          <w:rFonts w:hint="eastAsia" w:ascii="宋体" w:hAnsi="宋体" w:cs="宋体"/>
          <w:color w:val="auto"/>
          <w:szCs w:val="21"/>
          <w:highlight w:val="none"/>
          <w:lang w:val="en-US" w:eastAsia="zh-CN"/>
        </w:rPr>
        <w:t>服务质量管控方案</w:t>
      </w:r>
    </w:p>
    <w:p w14:paraId="2F861FF8">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4</w:t>
      </w:r>
      <w:r>
        <w:rPr>
          <w:rFonts w:hint="default" w:ascii="宋体" w:hAnsi="宋体" w:eastAsia="宋体" w:cs="宋体"/>
          <w:color w:val="auto"/>
          <w:highlight w:val="none"/>
          <w:lang w:val="en-US" w:eastAsia="zh-CN"/>
        </w:rPr>
        <w:t>）服务承诺</w:t>
      </w:r>
    </w:p>
    <w:p w14:paraId="65FA6EED">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（8-15）保密方案</w:t>
      </w:r>
    </w:p>
    <w:p w14:paraId="5B149D93">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6</w:t>
      </w:r>
      <w:r>
        <w:rPr>
          <w:rFonts w:hint="default" w:ascii="宋体" w:hAnsi="宋体" w:eastAsia="宋体" w:cs="宋体"/>
          <w:color w:val="auto"/>
          <w:highlight w:val="none"/>
          <w:lang w:val="en-US" w:eastAsia="zh-CN"/>
        </w:rPr>
        <w:t>）有效期内的认证证书扫描件及全国认证认可信息公共服务平台证书信息查询截图（结果为有效）加盖公章（如有，请按评分标准要求提供）</w:t>
      </w:r>
    </w:p>
    <w:p w14:paraId="5157E752">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7</w:t>
      </w:r>
      <w:r>
        <w:rPr>
          <w:rFonts w:hint="default" w:ascii="宋体" w:hAnsi="宋体" w:eastAsia="宋体" w:cs="宋体"/>
          <w:color w:val="auto"/>
          <w:highlight w:val="none"/>
          <w:lang w:val="en-US" w:eastAsia="zh-CN"/>
        </w:rPr>
        <w:t>）业绩一览表</w:t>
      </w:r>
      <w:r>
        <w:rPr>
          <w:rFonts w:hint="eastAsia" w:hAnsi="宋体" w:cs="宋体"/>
          <w:color w:val="auto"/>
          <w:highlight w:val="none"/>
          <w:lang w:val="en-US" w:eastAsia="zh-CN"/>
        </w:rPr>
        <w:t>及合同扫描件</w:t>
      </w:r>
      <w:r>
        <w:rPr>
          <w:rFonts w:hint="default" w:ascii="宋体" w:hAnsi="宋体" w:eastAsia="宋体" w:cs="宋体"/>
          <w:color w:val="auto"/>
          <w:highlight w:val="none"/>
          <w:lang w:val="en-US" w:eastAsia="zh-CN"/>
        </w:rPr>
        <w:t>（如有，请按评分标准要求提供）</w:t>
      </w:r>
    </w:p>
    <w:p w14:paraId="1307FC73">
      <w:pPr>
        <w:pStyle w:val="3"/>
        <w:ind w:firstLine="96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w:t>
      </w:r>
      <w:r>
        <w:rPr>
          <w:rFonts w:hint="eastAsia" w:hAnsi="宋体" w:cs="宋体"/>
          <w:color w:val="auto"/>
          <w:highlight w:val="none"/>
          <w:lang w:val="en-US" w:eastAsia="zh-CN"/>
        </w:rPr>
        <w:t>8</w:t>
      </w:r>
      <w:r>
        <w:rPr>
          <w:rFonts w:hint="eastAsia" w:ascii="宋体" w:hAnsi="宋体" w:eastAsia="宋体" w:cs="宋体"/>
          <w:color w:val="auto"/>
          <w:highlight w:val="none"/>
          <w:lang w:val="en-US" w:eastAsia="zh-CN"/>
        </w:rPr>
        <w:t>）评标标准相应的其他商务技术资料。</w:t>
      </w:r>
    </w:p>
    <w:p w14:paraId="2B99148C">
      <w:pPr>
        <w:snapToGrid w:val="0"/>
        <w:spacing w:line="360" w:lineRule="auto"/>
        <w:ind w:firstLine="480" w:firstLineChars="200"/>
        <w:rPr>
          <w:rFonts w:hint="eastAsia" w:ascii="宋体" w:hAnsi="宋体" w:eastAsia="宋体" w:cs="宋体"/>
          <w:color w:val="auto"/>
          <w:sz w:val="24"/>
          <w:highlight w:val="none"/>
          <w:u w:val="single"/>
          <w:lang w:val="zh-CN"/>
        </w:rPr>
      </w:pPr>
      <w:r>
        <w:rPr>
          <w:rFonts w:hint="eastAsia" w:ascii="宋体" w:hAnsi="宋体" w:eastAsia="宋体" w:cs="宋体"/>
          <w:color w:val="auto"/>
          <w:kern w:val="0"/>
          <w:sz w:val="24"/>
          <w:highlight w:val="none"/>
          <w:lang w:val="zh-CN"/>
        </w:rPr>
        <w:t>11.</w:t>
      </w:r>
      <w:r>
        <w:rPr>
          <w:rFonts w:hint="eastAsia" w:ascii="宋体" w:hAnsi="宋体" w:eastAsia="宋体" w:cs="宋体"/>
          <w:color w:val="auto"/>
          <w:kern w:val="0"/>
          <w:sz w:val="24"/>
          <w:highlight w:val="none"/>
        </w:rPr>
        <w:t>3</w:t>
      </w:r>
      <w:r>
        <w:rPr>
          <w:rFonts w:hint="eastAsia" w:ascii="宋体" w:hAnsi="宋体" w:eastAsia="宋体" w:cs="宋体"/>
          <w:b/>
          <w:color w:val="auto"/>
          <w:sz w:val="24"/>
          <w:highlight w:val="none"/>
        </w:rPr>
        <w:t>报价文件：</w:t>
      </w:r>
      <w:r>
        <w:rPr>
          <w:rFonts w:hint="eastAsia" w:ascii="宋体" w:hAnsi="宋体" w:eastAsia="宋体" w:cs="宋体"/>
          <w:color w:val="auto"/>
          <w:sz w:val="24"/>
          <w:highlight w:val="none"/>
        </w:rPr>
        <w:t xml:space="preserve"> </w:t>
      </w:r>
    </w:p>
    <w:p w14:paraId="4817BAB5">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11.3.1开标一览表（报价表）；</w:t>
      </w:r>
    </w:p>
    <w:p w14:paraId="16C6D26A">
      <w:pPr>
        <w:snapToGrid w:val="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lang w:val="en-US" w:eastAsia="zh-CN"/>
        </w:rPr>
        <w:t>.2分项报价</w:t>
      </w:r>
      <w:r>
        <w:rPr>
          <w:rFonts w:hint="eastAsia" w:ascii="宋体" w:hAnsi="宋体" w:eastAsia="宋体" w:cs="宋体"/>
          <w:color w:val="auto"/>
          <w:sz w:val="24"/>
          <w:highlight w:val="none"/>
        </w:rPr>
        <w:t>表</w:t>
      </w:r>
      <w:r>
        <w:rPr>
          <w:rFonts w:hint="eastAsia" w:ascii="宋体" w:hAnsi="宋体" w:eastAsia="宋体" w:cs="宋体"/>
          <w:color w:val="auto"/>
          <w:sz w:val="24"/>
          <w:highlight w:val="none"/>
          <w:lang w:eastAsia="zh-CN"/>
        </w:rPr>
        <w:t>。</w:t>
      </w:r>
    </w:p>
    <w:p w14:paraId="29A0ACC3">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投标文件含有采购人不能接受的附加条件的，投标无效；</w:t>
      </w:r>
    </w:p>
    <w:p w14:paraId="7B59BC02">
      <w:pPr>
        <w:spacing w:line="360" w:lineRule="auto"/>
        <w:ind w:firstLine="723" w:firstLineChars="300"/>
        <w:rPr>
          <w:rFonts w:hint="eastAsia" w:ascii="宋体" w:hAnsi="宋体" w:eastAsia="宋体" w:cs="宋体"/>
          <w:b/>
          <w:color w:val="auto"/>
          <w:sz w:val="24"/>
          <w:szCs w:val="21"/>
          <w:highlight w:val="none"/>
        </w:rPr>
      </w:pPr>
      <w:r>
        <w:rPr>
          <w:rFonts w:hint="eastAsia" w:ascii="宋体" w:hAnsi="宋体" w:eastAsia="宋体" w:cs="宋体"/>
          <w:b/>
          <w:color w:val="auto"/>
          <w:sz w:val="24"/>
          <w:highlight w:val="none"/>
        </w:rPr>
        <w:t>投标人提供虚假材料投标的，投标无效。</w:t>
      </w:r>
    </w:p>
    <w:p w14:paraId="4B8A8DB7">
      <w:pPr>
        <w:snapToGrid w:val="0"/>
        <w:spacing w:line="360" w:lineRule="auto"/>
        <w:rPr>
          <w:rFonts w:hint="eastAsia" w:ascii="宋体" w:hAnsi="宋体" w:eastAsia="宋体" w:cs="宋体"/>
          <w:b/>
          <w:color w:val="auto"/>
          <w:sz w:val="24"/>
          <w:highlight w:val="none"/>
        </w:rPr>
      </w:pPr>
      <w:bookmarkStart w:id="38" w:name="_Toc14413"/>
      <w:r>
        <w:rPr>
          <w:rFonts w:hint="eastAsia" w:ascii="宋体" w:hAnsi="宋体" w:eastAsia="宋体" w:cs="宋体"/>
          <w:b/>
          <w:color w:val="auto"/>
          <w:sz w:val="24"/>
          <w:highlight w:val="none"/>
        </w:rPr>
        <w:t>12</w:t>
      </w:r>
      <w:r>
        <w:rPr>
          <w:rFonts w:hint="eastAsia" w:ascii="宋体" w:hAnsi="宋体" w:eastAsia="宋体" w:cs="宋体"/>
          <w:b/>
          <w:color w:val="auto"/>
          <w:sz w:val="24"/>
          <w:highlight w:val="none"/>
          <w:lang w:val="zh-CN"/>
        </w:rPr>
        <w:t xml:space="preserve">. </w:t>
      </w:r>
      <w:r>
        <w:rPr>
          <w:rFonts w:hint="eastAsia" w:ascii="宋体" w:hAnsi="宋体" w:eastAsia="宋体" w:cs="宋体"/>
          <w:b/>
          <w:color w:val="auto"/>
          <w:sz w:val="24"/>
          <w:highlight w:val="none"/>
        </w:rPr>
        <w:t>投标文件的编制</w:t>
      </w:r>
      <w:bookmarkEnd w:id="38"/>
    </w:p>
    <w:p w14:paraId="78A8698F">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D4CFAE2">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174D50B">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DB29F38">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13.投标文件的签署、盖章</w:t>
      </w:r>
    </w:p>
    <w:p w14:paraId="15EB92A2">
      <w:pPr>
        <w:pStyle w:val="134"/>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13.1投标文件按照招标文件第六部分格式要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▲投标人的投标文件未按照招标文件要求签署、盖章的，其投标无效</w:t>
      </w:r>
      <w:r>
        <w:rPr>
          <w:rFonts w:hint="eastAsia" w:ascii="宋体" w:hAnsi="宋体" w:eastAsia="宋体" w:cs="宋体"/>
          <w:color w:val="auto"/>
          <w:szCs w:val="24"/>
          <w:highlight w:val="none"/>
        </w:rPr>
        <w:t>。</w:t>
      </w:r>
    </w:p>
    <w:p w14:paraId="6C22D293">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5A13CEB">
      <w:pPr>
        <w:pStyle w:val="134"/>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13.3招标文件对投标文件签署、盖章的要求适用于电子签名。</w:t>
      </w:r>
    </w:p>
    <w:p w14:paraId="6C81A110">
      <w:pPr>
        <w:pStyle w:val="134"/>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 投标文件的提交、补充、修改、撤回</w:t>
      </w:r>
    </w:p>
    <w:p w14:paraId="44075673">
      <w:pPr>
        <w:pStyle w:val="134"/>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3684B3F">
      <w:pPr>
        <w:pStyle w:val="13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1D5A51A">
      <w:pPr>
        <w:pStyle w:val="13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335E6C5C">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28E22992">
      <w:pPr>
        <w:pStyle w:val="33"/>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15.1投标人在电子交易平台传输递交投标文件后，还可以在投标截止时间前直接提交或者以邮寄方式递交备份投标文件1份，</w:t>
      </w:r>
      <w:r>
        <w:rPr>
          <w:rFonts w:hint="eastAsia" w:ascii="宋体" w:hAnsi="宋体" w:eastAsia="宋体" w:cs="宋体"/>
          <w:b/>
          <w:color w:val="auto"/>
          <w:sz w:val="24"/>
          <w:szCs w:val="24"/>
          <w:highlight w:val="none"/>
        </w:rPr>
        <w:t>但采购人、采购代理机构不强制投标人提交备份投标文件。</w:t>
      </w:r>
    </w:p>
    <w:p w14:paraId="55B25A88">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15.2备份投标文件须在“政采云投标客户端”制作生成，并储存在</w:t>
      </w:r>
      <w:r>
        <w:rPr>
          <w:rFonts w:hint="eastAsia" w:ascii="宋体" w:hAnsi="宋体" w:eastAsia="宋体" w:cs="宋体"/>
          <w:color w:val="auto"/>
          <w:kern w:val="28"/>
          <w:sz w:val="24"/>
          <w:highlight w:val="none"/>
        </w:rPr>
        <w:t>U盘存储</w:t>
      </w:r>
      <w:r>
        <w:rPr>
          <w:rFonts w:hint="eastAsia" w:ascii="宋体" w:hAnsi="宋体" w:eastAsia="宋体" w:cs="宋体"/>
          <w:color w:val="auto"/>
          <w:sz w:val="24"/>
          <w:highlight w:val="none"/>
        </w:rPr>
        <w:t>介质</w:t>
      </w:r>
      <w:r>
        <w:rPr>
          <w:rFonts w:hint="eastAsia" w:ascii="宋体" w:hAnsi="宋体" w:eastAsia="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存储、密封规定的备份投标文件将被视为无效或者被拒绝接收。</w:t>
      </w:r>
    </w:p>
    <w:p w14:paraId="5D43584F">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w:t>
      </w:r>
      <w:r>
        <w:rPr>
          <w:rFonts w:hint="eastAsia" w:ascii="宋体" w:hAnsi="宋体" w:eastAsia="宋体" w:cs="宋体"/>
          <w:snapToGrid/>
          <w:color w:val="auto"/>
          <w:sz w:val="24"/>
          <w:szCs w:val="24"/>
          <w:highlight w:val="none"/>
        </w:rPr>
        <w:t>招标文件第二部分投标人须知前附表载明地点</w:t>
      </w:r>
      <w:r>
        <w:rPr>
          <w:rFonts w:hint="eastAsia" w:ascii="宋体" w:hAnsi="宋体" w:eastAsia="宋体" w:cs="宋体"/>
          <w:color w:val="auto"/>
          <w:sz w:val="24"/>
          <w:szCs w:val="24"/>
          <w:highlight w:val="none"/>
        </w:rPr>
        <w:t>将备份投标文件提交给采购代理机构，采购代理机构将拒绝接受逾期送达的备份投标文件。</w:t>
      </w:r>
    </w:p>
    <w:p w14:paraId="23006DB4">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15.4以邮寄方式递交备份投标文件的，投标人应先将备份投标文件按要求密封和标记，再进行邮件外包装后邮寄。备份投标文件须在</w:t>
      </w:r>
      <w:r>
        <w:rPr>
          <w:rFonts w:hint="eastAsia" w:ascii="宋体" w:hAnsi="宋体" w:eastAsia="宋体" w:cs="宋体"/>
          <w:snapToGrid/>
          <w:color w:val="auto"/>
          <w:sz w:val="24"/>
          <w:szCs w:val="24"/>
          <w:highlight w:val="none"/>
        </w:rPr>
        <w:t>招标文件第二部分投标人须知前附表规定截止时间</w:t>
      </w:r>
      <w:r>
        <w:rPr>
          <w:rFonts w:hint="eastAsia" w:ascii="宋体" w:hAnsi="宋体" w:eastAsia="宋体" w:cs="宋体"/>
          <w:color w:val="auto"/>
          <w:sz w:val="24"/>
          <w:szCs w:val="24"/>
          <w:highlight w:val="none"/>
        </w:rPr>
        <w:t>之前送达到规定的地点</w:t>
      </w:r>
      <w:r>
        <w:rPr>
          <w:rFonts w:hint="eastAsia" w:ascii="宋体" w:hAnsi="宋体" w:eastAsia="宋体" w:cs="宋体"/>
          <w:snapToGrid/>
          <w:color w:val="auto"/>
          <w:sz w:val="24"/>
          <w:szCs w:val="24"/>
          <w:highlight w:val="none"/>
        </w:rPr>
        <w:t>；</w:t>
      </w:r>
      <w:r>
        <w:rPr>
          <w:rFonts w:hint="eastAsia" w:ascii="宋体" w:hAnsi="宋体" w:eastAsia="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7A288686">
      <w:pPr>
        <w:pStyle w:val="33"/>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1D8026A5">
      <w:pPr>
        <w:pStyle w:val="134"/>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16.投标文件的无效处理</w:t>
      </w:r>
    </w:p>
    <w:p w14:paraId="4B4F3356">
      <w:pPr>
        <w:pStyle w:val="25"/>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有招标文件第四部分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的情形之一的，投标无效：</w:t>
      </w:r>
    </w:p>
    <w:p w14:paraId="10870B62">
      <w:pPr>
        <w:pStyle w:val="134"/>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17.投标有效期</w:t>
      </w:r>
    </w:p>
    <w:p w14:paraId="184A8A5D">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17.1投标有效期为从提交投标文件的截止之日起90天。▲</w:t>
      </w:r>
      <w:r>
        <w:rPr>
          <w:rFonts w:hint="eastAsia" w:ascii="宋体" w:hAnsi="宋体" w:eastAsia="宋体" w:cs="宋体"/>
          <w:b/>
          <w:color w:val="auto"/>
          <w:sz w:val="24"/>
          <w:szCs w:val="20"/>
          <w:highlight w:val="none"/>
        </w:rPr>
        <w:t>投标人的投标文件中承</w:t>
      </w:r>
      <w:r>
        <w:rPr>
          <w:rFonts w:hint="eastAsia" w:ascii="宋体" w:hAnsi="宋体" w:eastAsia="宋体" w:cs="宋体"/>
          <w:b/>
          <w:color w:val="auto"/>
          <w:sz w:val="24"/>
          <w:szCs w:val="21"/>
          <w:highlight w:val="none"/>
        </w:rPr>
        <w:t>诺的投标有效期少于招标文件中载明的投标有效期的，投标无效。</w:t>
      </w:r>
    </w:p>
    <w:p w14:paraId="489FDE85">
      <w:pPr>
        <w:pStyle w:val="134"/>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17.2投标文件合格投递后，自投标截止日期起，在投标有效期内有效。</w:t>
      </w:r>
    </w:p>
    <w:p w14:paraId="114509E6">
      <w:pPr>
        <w:pStyle w:val="134"/>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22AF9F84">
      <w:pPr>
        <w:pStyle w:val="134"/>
        <w:spacing w:before="0"/>
        <w:ind w:firstLine="643"/>
        <w:rPr>
          <w:rFonts w:hint="eastAsia" w:ascii="宋体" w:hAnsi="宋体" w:eastAsia="宋体" w:cs="宋体"/>
          <w:b/>
          <w:color w:val="auto"/>
          <w:sz w:val="32"/>
          <w:highlight w:val="none"/>
        </w:rPr>
      </w:pPr>
    </w:p>
    <w:p w14:paraId="110CA383">
      <w:pPr>
        <w:pStyle w:val="134"/>
        <w:spacing w:before="0"/>
        <w:ind w:firstLine="1928" w:firstLineChars="600"/>
        <w:outlineLvl w:val="1"/>
        <w:rPr>
          <w:rFonts w:hint="eastAsia" w:ascii="宋体" w:hAnsi="宋体" w:eastAsia="宋体" w:cs="宋体"/>
          <w:b/>
          <w:color w:val="auto"/>
          <w:sz w:val="32"/>
          <w:highlight w:val="none"/>
        </w:rPr>
      </w:pPr>
      <w:bookmarkStart w:id="39" w:name="_Toc24357"/>
      <w:r>
        <w:rPr>
          <w:rFonts w:hint="eastAsia" w:ascii="宋体" w:hAnsi="宋体" w:eastAsia="宋体" w:cs="宋体"/>
          <w:b/>
          <w:color w:val="auto"/>
          <w:sz w:val="32"/>
          <w:highlight w:val="none"/>
        </w:rPr>
        <w:t>四、开标、资格审查与信用信息查询</w:t>
      </w:r>
      <w:bookmarkEnd w:id="39"/>
    </w:p>
    <w:p w14:paraId="5ED9E1E0">
      <w:pPr>
        <w:pStyle w:val="557"/>
        <w:spacing w:before="0" w:line="360" w:lineRule="auto"/>
        <w:ind w:left="0" w:firstLine="241" w:firstLineChars="10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r>
        <w:rPr>
          <w:rFonts w:hint="eastAsia" w:ascii="宋体" w:hAnsi="宋体" w:eastAsia="宋体" w:cs="宋体"/>
          <w:color w:val="auto"/>
          <w:sz w:val="24"/>
          <w:highlight w:val="none"/>
        </w:rPr>
        <w:t xml:space="preserve"> </w:t>
      </w:r>
    </w:p>
    <w:p w14:paraId="660DE763">
      <w:pPr>
        <w:pStyle w:val="557"/>
        <w:spacing w:before="0" w:line="360" w:lineRule="auto"/>
        <w:ind w:left="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18.1采购代理机构按照招标文件规定的时间通过电子交易平台组织开标，所有投标人均应当准时在线参加。投标人不足3家的，不得开标。</w:t>
      </w:r>
    </w:p>
    <w:p w14:paraId="59B04251">
      <w:pPr>
        <w:pStyle w:val="557"/>
        <w:spacing w:before="0" w:line="360" w:lineRule="auto"/>
        <w:ind w:left="0"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650FC1F6">
      <w:pPr>
        <w:pStyle w:val="557"/>
        <w:spacing w:before="0" w:line="360" w:lineRule="auto"/>
        <w:ind w:left="0" w:firstLine="240" w:firstLineChars="1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　18.3</w:t>
      </w:r>
      <w:r>
        <w:rPr>
          <w:rFonts w:hint="eastAsia" w:ascii="宋体" w:hAnsi="宋体" w:eastAsia="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C5BF487">
      <w:pPr>
        <w:widowControl/>
        <w:spacing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19、资格审查</w:t>
      </w:r>
    </w:p>
    <w:p w14:paraId="7FBDD10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19.1</w:t>
      </w:r>
      <w:r>
        <w:rPr>
          <w:rFonts w:hint="eastAsia" w:ascii="宋体" w:hAnsi="宋体" w:eastAsia="宋体" w:cs="宋体"/>
          <w:color w:val="auto"/>
          <w:sz w:val="24"/>
          <w:highlight w:val="none"/>
        </w:rPr>
        <w:t>采购人或采购代理机构依据法律法规和招标文件的规定，对投标人的资格进行审查。</w:t>
      </w:r>
    </w:p>
    <w:p w14:paraId="34671C21">
      <w:pPr>
        <w:pStyle w:val="134"/>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19.2投标人未按照招标文件要求提供与</w:t>
      </w:r>
      <w:r>
        <w:rPr>
          <w:rFonts w:hint="eastAsia" w:ascii="宋体" w:hAnsi="宋体" w:eastAsia="宋体" w:cs="宋体"/>
          <w:color w:val="auto"/>
          <w:highlight w:val="none"/>
        </w:rPr>
        <w:t>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投标人不具备招标文件中规定的资格要求，其投标无效。</w:t>
      </w:r>
    </w:p>
    <w:p w14:paraId="08FFC36D">
      <w:pPr>
        <w:pStyle w:val="134"/>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3对未通过资格审查的投标人，采购人或采购代理机构告知其未通过的原因。</w:t>
      </w:r>
    </w:p>
    <w:p w14:paraId="2ACCF587">
      <w:pPr>
        <w:pStyle w:val="134"/>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4合格投标人不足3家的，不再评标。</w:t>
      </w:r>
    </w:p>
    <w:p w14:paraId="70ABEC2B">
      <w:pPr>
        <w:pStyle w:val="134"/>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20、信用信息查询</w:t>
      </w:r>
    </w:p>
    <w:p w14:paraId="3415A1F2">
      <w:pPr>
        <w:pStyle w:val="134"/>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20.1信用信息查询渠道及截止时间：采购代理机构将在资格审查时通过“信用中国”网站(www.creditchina.gov.cn)、中国政府采购网(www.ccgp.gov.cn)渠道查询投标人接受资格审查时的信用记录。</w:t>
      </w:r>
    </w:p>
    <w:p w14:paraId="049DD6DA">
      <w:pPr>
        <w:pStyle w:val="134"/>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67E4E89C">
      <w:pPr>
        <w:pStyle w:val="134"/>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3028AF72">
      <w:pPr>
        <w:pStyle w:val="134"/>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23958EB7">
      <w:pPr>
        <w:pStyle w:val="134"/>
        <w:spacing w:before="0"/>
        <w:ind w:firstLine="0" w:firstLineChars="0"/>
        <w:rPr>
          <w:rFonts w:hint="eastAsia" w:ascii="宋体" w:hAnsi="宋体" w:eastAsia="宋体" w:cs="宋体"/>
          <w:color w:val="auto"/>
          <w:kern w:val="0"/>
          <w:szCs w:val="24"/>
          <w:highlight w:val="none"/>
        </w:rPr>
      </w:pPr>
    </w:p>
    <w:p w14:paraId="1B314831">
      <w:pPr>
        <w:snapToGrid w:val="0"/>
        <w:spacing w:line="360" w:lineRule="auto"/>
        <w:jc w:val="center"/>
        <w:outlineLvl w:val="1"/>
        <w:rPr>
          <w:rFonts w:hint="eastAsia" w:ascii="宋体" w:hAnsi="宋体" w:eastAsia="宋体" w:cs="宋体"/>
          <w:b/>
          <w:color w:val="auto"/>
          <w:sz w:val="36"/>
          <w:szCs w:val="36"/>
          <w:highlight w:val="none"/>
        </w:rPr>
      </w:pPr>
      <w:bookmarkStart w:id="40" w:name="_Toc23139"/>
      <w:r>
        <w:rPr>
          <w:rFonts w:hint="eastAsia" w:ascii="宋体" w:hAnsi="宋体" w:eastAsia="宋体" w:cs="宋体"/>
          <w:b/>
          <w:color w:val="auto"/>
          <w:sz w:val="36"/>
          <w:szCs w:val="36"/>
          <w:highlight w:val="none"/>
        </w:rPr>
        <w:t>五、评标</w:t>
      </w:r>
      <w:bookmarkEnd w:id="40"/>
    </w:p>
    <w:p w14:paraId="7AC3AF15">
      <w:pPr>
        <w:spacing w:line="360" w:lineRule="auto"/>
        <w:rPr>
          <w:rFonts w:hint="eastAsia" w:ascii="宋体" w:hAnsi="宋体" w:eastAsia="宋体" w:cs="宋体"/>
          <w:b/>
          <w:color w:val="auto"/>
          <w:sz w:val="24"/>
          <w:highlight w:val="none"/>
        </w:rPr>
      </w:pPr>
      <w:bookmarkStart w:id="41" w:name="_Toc91899903"/>
      <w:r>
        <w:rPr>
          <w:rFonts w:hint="eastAsia" w:ascii="宋体" w:hAnsi="宋体" w:eastAsia="宋体" w:cs="宋体"/>
          <w:b/>
          <w:color w:val="auto"/>
          <w:sz w:val="24"/>
          <w:highlight w:val="none"/>
        </w:rPr>
        <w:t>21.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highlight w:val="none"/>
        </w:rPr>
        <w:t>详见招标文件第四部分评标办法。</w:t>
      </w:r>
    </w:p>
    <w:p w14:paraId="0CCAB7FE">
      <w:pPr>
        <w:spacing w:line="360" w:lineRule="auto"/>
        <w:rPr>
          <w:rFonts w:hint="eastAsia" w:ascii="宋体" w:hAnsi="宋体" w:eastAsia="宋体" w:cs="宋体"/>
          <w:b/>
          <w:color w:val="auto"/>
          <w:sz w:val="24"/>
          <w:highlight w:val="none"/>
        </w:rPr>
      </w:pPr>
    </w:p>
    <w:p w14:paraId="19AD0E7B">
      <w:pPr>
        <w:snapToGrid w:val="0"/>
        <w:spacing w:line="360" w:lineRule="auto"/>
        <w:jc w:val="center"/>
        <w:outlineLvl w:val="1"/>
        <w:rPr>
          <w:rFonts w:hint="eastAsia" w:ascii="宋体" w:hAnsi="宋体" w:eastAsia="宋体" w:cs="宋体"/>
          <w:b/>
          <w:color w:val="auto"/>
          <w:sz w:val="36"/>
          <w:szCs w:val="36"/>
          <w:highlight w:val="none"/>
        </w:rPr>
      </w:pPr>
      <w:bookmarkStart w:id="42" w:name="_Toc32708"/>
      <w:r>
        <w:rPr>
          <w:rFonts w:hint="eastAsia" w:ascii="宋体" w:hAnsi="宋体" w:eastAsia="宋体" w:cs="宋体"/>
          <w:b/>
          <w:color w:val="auto"/>
          <w:sz w:val="36"/>
          <w:szCs w:val="36"/>
          <w:highlight w:val="none"/>
        </w:rPr>
        <w:t>六、定 标</w:t>
      </w:r>
      <w:bookmarkEnd w:id="42"/>
    </w:p>
    <w:p w14:paraId="69CE8A1D">
      <w:pPr>
        <w:pStyle w:val="25"/>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22. 确定中标供应商</w:t>
      </w:r>
    </w:p>
    <w:p w14:paraId="14A4B2D8">
      <w:pPr>
        <w:pStyle w:val="134"/>
        <w:snapToGrid w:val="0"/>
        <w:spacing w:before="0"/>
        <w:ind w:firstLine="48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个工作日内在线确定中标或者成交供应商。中标、成交通知书和中标、成交结果公告应当在规定时间内同时发出。</w:t>
      </w:r>
    </w:p>
    <w:p w14:paraId="7F644966">
      <w:pPr>
        <w:pStyle w:val="134"/>
        <w:numPr>
          <w:ilvl w:val="0"/>
          <w:numId w:val="1"/>
        </w:numPr>
        <w:snapToGrid w:val="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中标通知与中标结果公告</w:t>
      </w:r>
    </w:p>
    <w:p w14:paraId="76BBA3A1">
      <w:pPr>
        <w:pStyle w:val="134"/>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.1自中标人确定之日起2个工作日内，采购代理机构向中标人发出中标通知书，同时编制发布采购结果公告。采购代理机构也可以以纸质形式进行中标通知。</w:t>
      </w:r>
    </w:p>
    <w:p w14:paraId="0DEF3237">
      <w:pPr>
        <w:pStyle w:val="134"/>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w:t>
      </w:r>
      <w:r>
        <w:rPr>
          <w:rFonts w:hint="eastAsia" w:ascii="宋体" w:hAnsi="宋体" w:cs="宋体"/>
          <w:color w:val="auto"/>
          <w:szCs w:val="24"/>
          <w:highlight w:val="none"/>
        </w:rPr>
        <w:t>中标结果公告内容包括采购人及其委托的采购代理机构的名称、地址、联系方式，项目名称和项目编号，中标人名称、地址和中标金额，主要中标标的的名称</w:t>
      </w:r>
      <w:r>
        <w:rPr>
          <w:rFonts w:hint="eastAsia" w:ascii="宋体" w:hAnsi="宋体" w:cs="宋体"/>
          <w:color w:val="auto"/>
          <w:szCs w:val="24"/>
          <w:highlight w:val="none"/>
          <w:lang w:eastAsia="zh-CN"/>
        </w:rPr>
        <w:t>、</w:t>
      </w:r>
      <w:r>
        <w:rPr>
          <w:rFonts w:hint="eastAsia" w:ascii="宋体" w:hAnsi="宋体" w:cs="宋体"/>
          <w:color w:val="auto"/>
          <w:szCs w:val="24"/>
          <w:highlight w:val="none"/>
        </w:rPr>
        <w:t>中标公告期限以及评审专家名单</w:t>
      </w:r>
      <w:r>
        <w:rPr>
          <w:rFonts w:hint="eastAsia" w:ascii="宋体" w:hAnsi="宋体" w:cs="宋体"/>
          <w:color w:val="auto"/>
          <w:szCs w:val="24"/>
          <w:highlight w:val="none"/>
          <w:lang w:val="en-US" w:eastAsia="zh-CN"/>
        </w:rPr>
        <w:t>等</w:t>
      </w:r>
      <w:r>
        <w:rPr>
          <w:rFonts w:hint="eastAsia" w:ascii="宋体" w:hAnsi="宋体" w:eastAsia="宋体" w:cs="宋体"/>
          <w:color w:val="auto"/>
          <w:szCs w:val="24"/>
          <w:highlight w:val="none"/>
        </w:rPr>
        <w:t>。</w:t>
      </w:r>
    </w:p>
    <w:p w14:paraId="6F6C1C8C">
      <w:pPr>
        <w:pStyle w:val="134"/>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.3公告期限为1个工作日。</w:t>
      </w:r>
    </w:p>
    <w:p w14:paraId="49127391">
      <w:pPr>
        <w:snapToGrid w:val="0"/>
        <w:spacing w:line="360" w:lineRule="auto"/>
        <w:ind w:left="120" w:leftChars="57" w:firstLine="482" w:firstLineChars="150"/>
        <w:jc w:val="center"/>
        <w:rPr>
          <w:rFonts w:hint="eastAsia" w:ascii="宋体" w:hAnsi="宋体" w:eastAsia="宋体" w:cs="宋体"/>
          <w:b/>
          <w:color w:val="auto"/>
          <w:sz w:val="32"/>
          <w:highlight w:val="none"/>
        </w:rPr>
      </w:pPr>
    </w:p>
    <w:p w14:paraId="54DF7855">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bookmarkStart w:id="43" w:name="_Toc22272"/>
      <w:r>
        <w:rPr>
          <w:rFonts w:hint="eastAsia" w:ascii="宋体" w:hAnsi="宋体" w:eastAsia="宋体" w:cs="宋体"/>
          <w:b/>
          <w:color w:val="auto"/>
          <w:sz w:val="32"/>
          <w:highlight w:val="none"/>
        </w:rPr>
        <w:t>七、合同授予</w:t>
      </w:r>
      <w:bookmarkEnd w:id="43"/>
    </w:p>
    <w:p w14:paraId="4A57D1CD">
      <w:pPr>
        <w:pStyle w:val="25"/>
        <w:spacing w:line="360" w:lineRule="auto"/>
        <w:ind w:left="479" w:hanging="479" w:hangingChars="199"/>
        <w:rPr>
          <w:rFonts w:hint="eastAsia" w:ascii="宋体" w:hAnsi="宋体" w:eastAsia="宋体" w:cs="宋体"/>
          <w:b/>
          <w:bCs/>
          <w:color w:val="auto"/>
          <w:highlight w:val="none"/>
        </w:rPr>
      </w:pPr>
      <w:r>
        <w:rPr>
          <w:rFonts w:hint="eastAsia" w:ascii="宋体" w:hAnsi="宋体" w:eastAsia="宋体" w:cs="宋体"/>
          <w:b/>
          <w:color w:val="auto"/>
          <w:highlight w:val="none"/>
        </w:rPr>
        <w:t xml:space="preserve">24. </w:t>
      </w:r>
      <w:r>
        <w:rPr>
          <w:rFonts w:hint="eastAsia" w:ascii="宋体" w:hAnsi="宋体" w:eastAsia="宋体" w:cs="宋体"/>
          <w:b/>
          <w:bCs/>
          <w:color w:val="auto"/>
          <w:highlight w:val="none"/>
        </w:rPr>
        <w:t>合同主要条款详见第五部分拟签订的合同文本。</w:t>
      </w:r>
    </w:p>
    <w:p w14:paraId="1D81DDC8">
      <w:pPr>
        <w:pStyle w:val="25"/>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25. 合同的签订</w:t>
      </w:r>
    </w:p>
    <w:p w14:paraId="34262ABC">
      <w:pPr>
        <w:pStyle w:val="13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采购人与中标供应商应当在中标通知书发出之日起三十日内，按照招标文件及中标供应商的投标文件确定的事项签订政府采购合同，并在合同签订之日起2个工作日内依法发布合同公告。</w:t>
      </w:r>
    </w:p>
    <w:p w14:paraId="50ECA815">
      <w:pPr>
        <w:pStyle w:val="134"/>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5073C2E5">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25.3如签订合同并生效后，供应商无故拒绝或延期，除按照合同条款处理外，列入不良行为记录一次，并给予通报。</w:t>
      </w:r>
    </w:p>
    <w:p w14:paraId="38F75FF6">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132E5CC">
      <w:pPr>
        <w:pStyle w:val="134"/>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25.5采购合同由采购人与中标供应商根据招标文件、投标文件等内容通过政府采购电子交易平台备案。</w:t>
      </w:r>
    </w:p>
    <w:p w14:paraId="042D0543">
      <w:pPr>
        <w:pStyle w:val="25"/>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26. 履约保证金</w:t>
      </w:r>
    </w:p>
    <w:p w14:paraId="01602E9C">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eastAsia="宋体" w:cs="宋体"/>
          <w:color w:val="auto"/>
          <w:sz w:val="24"/>
          <w:highlight w:val="none"/>
        </w:rPr>
        <w:t>。履约保证金的数额不得超过政府采购合同金额的1%。</w:t>
      </w:r>
    </w:p>
    <w:p w14:paraId="3AF62A2F">
      <w:pPr>
        <w:pStyle w:val="5"/>
        <w:ind w:left="0" w:firstLine="480" w:firstLineChars="200"/>
        <w:rPr>
          <w:rFonts w:hint="eastAsia" w:ascii="宋体" w:hAnsi="宋体" w:eastAsia="宋体" w:cs="宋体"/>
          <w:b w:val="0"/>
          <w:bCs w:val="0"/>
          <w:snapToGrid w:val="0"/>
          <w:color w:val="auto"/>
          <w:kern w:val="28"/>
          <w:sz w:val="24"/>
          <w:highlight w:val="none"/>
        </w:rPr>
      </w:pPr>
      <w:bookmarkStart w:id="44" w:name="_Toc5410"/>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bookmarkEnd w:id="44"/>
    </w:p>
    <w:p w14:paraId="7365A7B5">
      <w:pPr>
        <w:rPr>
          <w:rFonts w:hint="eastAsia" w:ascii="宋体" w:hAnsi="宋体" w:eastAsia="宋体" w:cs="宋体"/>
          <w:color w:val="auto"/>
          <w:highlight w:val="none"/>
        </w:rPr>
      </w:pPr>
    </w:p>
    <w:p w14:paraId="2F484221">
      <w:pPr>
        <w:snapToGrid w:val="0"/>
        <w:spacing w:line="360" w:lineRule="auto"/>
        <w:ind w:firstLine="3357" w:firstLineChars="1045"/>
        <w:rPr>
          <w:rFonts w:hint="eastAsia" w:ascii="宋体" w:hAnsi="宋体" w:eastAsia="宋体" w:cs="宋体"/>
          <w:b/>
          <w:color w:val="auto"/>
          <w:sz w:val="32"/>
          <w:highlight w:val="none"/>
        </w:rPr>
      </w:pPr>
    </w:p>
    <w:p w14:paraId="5D36E04E">
      <w:pPr>
        <w:snapToGrid w:val="0"/>
        <w:spacing w:line="360" w:lineRule="auto"/>
        <w:ind w:firstLine="3357" w:firstLineChars="1045"/>
        <w:outlineLvl w:val="1"/>
        <w:rPr>
          <w:rFonts w:hint="eastAsia" w:ascii="宋体" w:hAnsi="宋体" w:eastAsia="宋体" w:cs="宋体"/>
          <w:b/>
          <w:color w:val="auto"/>
          <w:sz w:val="24"/>
          <w:highlight w:val="none"/>
        </w:rPr>
      </w:pPr>
      <w:bookmarkStart w:id="45" w:name="_Toc362"/>
      <w:r>
        <w:rPr>
          <w:rFonts w:hint="eastAsia" w:ascii="宋体" w:hAnsi="宋体" w:eastAsia="宋体" w:cs="宋体"/>
          <w:b/>
          <w:color w:val="auto"/>
          <w:sz w:val="32"/>
          <w:highlight w:val="none"/>
        </w:rPr>
        <w:t>八、电子交易活动的中止</w:t>
      </w:r>
      <w:bookmarkEnd w:id="45"/>
    </w:p>
    <w:p w14:paraId="3FC25B1D">
      <w:pPr>
        <w:pStyle w:val="134"/>
        <w:snapToGrid w:val="0"/>
        <w:spacing w:before="0"/>
        <w:ind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27</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76B85BFC">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27.1电子交易平台发生故障而无法登录访问的； </w:t>
      </w:r>
    </w:p>
    <w:p w14:paraId="6DC56FD0">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27.2电子交易平台应用或数据库出现错误，不能进行正常操作的；</w:t>
      </w:r>
    </w:p>
    <w:p w14:paraId="00A7BF90">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27.3电子交易平台发现严重安全漏洞，有潜在泄密危险的；</w:t>
      </w:r>
    </w:p>
    <w:p w14:paraId="1722D181">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27.4病毒发作导致不能进行正常操作的； </w:t>
      </w:r>
    </w:p>
    <w:p w14:paraId="652A1AB0">
      <w:pPr>
        <w:pStyle w:val="134"/>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27.5其他无法保证电子交易的公平、公正和安全的情况。</w:t>
      </w:r>
    </w:p>
    <w:p w14:paraId="7FCF1FFE">
      <w:pPr>
        <w:pStyle w:val="134"/>
        <w:snapToGrid w:val="0"/>
        <w:spacing w:before="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7B97409C">
      <w:pPr>
        <w:tabs>
          <w:tab w:val="left" w:pos="0"/>
        </w:tabs>
        <w:spacing w:line="360" w:lineRule="auto"/>
        <w:ind w:firstLine="480"/>
        <w:rPr>
          <w:rFonts w:hint="eastAsia" w:ascii="宋体" w:hAnsi="宋体" w:eastAsia="宋体" w:cs="宋体"/>
          <w:color w:val="auto"/>
          <w:sz w:val="24"/>
          <w:highlight w:val="none"/>
        </w:rPr>
      </w:pPr>
    </w:p>
    <w:p w14:paraId="0914DF6B">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bookmarkStart w:id="46" w:name="_Toc12798"/>
      <w:r>
        <w:rPr>
          <w:rFonts w:hint="eastAsia" w:ascii="宋体" w:hAnsi="宋体" w:eastAsia="宋体" w:cs="宋体"/>
          <w:b/>
          <w:color w:val="auto"/>
          <w:sz w:val="32"/>
          <w:highlight w:val="none"/>
        </w:rPr>
        <w:t>九、验收</w:t>
      </w:r>
      <w:bookmarkEnd w:id="46"/>
    </w:p>
    <w:p w14:paraId="51975B6D">
      <w:pPr>
        <w:pStyle w:val="25"/>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29.验收</w:t>
      </w:r>
    </w:p>
    <w:p w14:paraId="1583321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CB3898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29.2采购人可以邀请参加本项目的其他投标人或者第三方机构参与验收。参与验收的投标人或者第三方机构的意见作为验收书的参考资料一并存档。</w:t>
      </w:r>
    </w:p>
    <w:p w14:paraId="5727AB2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FE3100A">
      <w:pPr>
        <w:tabs>
          <w:tab w:val="left" w:pos="0"/>
        </w:tabs>
        <w:spacing w:line="360" w:lineRule="auto"/>
        <w:ind w:firstLine="480"/>
        <w:rPr>
          <w:rFonts w:hint="eastAsia" w:ascii="宋体" w:hAnsi="宋体" w:eastAsia="宋体" w:cs="宋体"/>
          <w:color w:val="auto"/>
          <w:kern w:val="0"/>
          <w:sz w:val="24"/>
          <w:highlight w:val="none"/>
        </w:rPr>
        <w:sectPr>
          <w:headerReference r:id="rId4" w:type="first"/>
          <w:footerReference r:id="rId6" w:type="first"/>
          <w:headerReference r:id="rId3" w:type="default"/>
          <w:footerReference r:id="rId5" w:type="default"/>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color w:val="auto"/>
          <w:kern w:val="0"/>
          <w:sz w:val="24"/>
          <w:highlight w:val="none"/>
        </w:rPr>
        <w:t>29.4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41"/>
      <w:bookmarkStart w:id="47" w:name="_Hlt74707468"/>
      <w:bookmarkEnd w:id="47"/>
      <w:bookmarkStart w:id="48" w:name="_Hlt68403820"/>
      <w:bookmarkEnd w:id="48"/>
      <w:bookmarkStart w:id="49" w:name="_Hlt75236101"/>
      <w:bookmarkEnd w:id="49"/>
      <w:bookmarkStart w:id="50" w:name="_Hlt68072990"/>
      <w:bookmarkEnd w:id="50"/>
      <w:bookmarkStart w:id="51" w:name="_Hlt74714665"/>
      <w:bookmarkEnd w:id="51"/>
      <w:bookmarkStart w:id="52" w:name="_Hlt75236290"/>
      <w:bookmarkEnd w:id="52"/>
      <w:bookmarkStart w:id="53" w:name="_Hlt74730295"/>
      <w:bookmarkEnd w:id="53"/>
      <w:bookmarkStart w:id="54" w:name="_Hlt74729768"/>
      <w:bookmarkEnd w:id="54"/>
      <w:bookmarkStart w:id="55" w:name="_Hlt68072998"/>
      <w:bookmarkEnd w:id="55"/>
      <w:bookmarkStart w:id="56" w:name="_Hlt75236011"/>
      <w:bookmarkEnd w:id="56"/>
      <w:bookmarkStart w:id="57" w:name="_Hlt68073093"/>
      <w:bookmarkEnd w:id="57"/>
      <w:bookmarkStart w:id="58" w:name="_Hlt68057669"/>
      <w:bookmarkEnd w:id="58"/>
    </w:p>
    <w:bookmarkEnd w:id="28"/>
    <w:bookmarkEnd w:id="29"/>
    <w:p w14:paraId="50962018">
      <w:pPr>
        <w:spacing w:line="360" w:lineRule="auto"/>
        <w:jc w:val="center"/>
        <w:outlineLvl w:val="0"/>
        <w:rPr>
          <w:rFonts w:hint="eastAsia" w:ascii="宋体" w:hAnsi="宋体" w:eastAsia="宋体" w:cs="宋体"/>
          <w:b/>
          <w:color w:val="auto"/>
          <w:sz w:val="36"/>
          <w:szCs w:val="36"/>
          <w:highlight w:val="none"/>
        </w:rPr>
      </w:pPr>
      <w:bookmarkStart w:id="59" w:name="_Toc9424"/>
      <w:bookmarkStart w:id="60" w:name="_Toc17321"/>
      <w:bookmarkStart w:id="61" w:name="第四部分"/>
      <w:r>
        <w:rPr>
          <w:rFonts w:hint="eastAsia" w:ascii="宋体" w:hAnsi="宋体" w:eastAsia="宋体" w:cs="宋体"/>
          <w:b/>
          <w:color w:val="auto"/>
          <w:sz w:val="36"/>
          <w:szCs w:val="36"/>
          <w:highlight w:val="none"/>
        </w:rPr>
        <w:t>第三部分   采购需求</w:t>
      </w:r>
      <w:bookmarkEnd w:id="59"/>
      <w:bookmarkEnd w:id="60"/>
    </w:p>
    <w:p w14:paraId="7C87B655">
      <w:pPr>
        <w:pStyle w:val="33"/>
        <w:snapToGrid w:val="0"/>
        <w:spacing w:before="120" w:after="120"/>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一、商务要求表</w:t>
      </w:r>
    </w:p>
    <w:tbl>
      <w:tblPr>
        <w:tblStyle w:val="64"/>
        <w:tblW w:w="8831"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6948"/>
      </w:tblGrid>
      <w:tr w14:paraId="510BA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883" w:type="dxa"/>
            <w:vAlign w:val="center"/>
          </w:tcPr>
          <w:p w14:paraId="71126527">
            <w:pPr>
              <w:widowControl/>
              <w:adjustRightInd/>
              <w:spacing w:line="336" w:lineRule="auto"/>
              <w:jc w:val="center"/>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项目</w:t>
            </w:r>
          </w:p>
        </w:tc>
        <w:tc>
          <w:tcPr>
            <w:tcW w:w="6948" w:type="dxa"/>
            <w:vAlign w:val="center"/>
          </w:tcPr>
          <w:p w14:paraId="3978AADA">
            <w:pPr>
              <w:widowControl/>
              <w:adjustRightInd/>
              <w:spacing w:line="336" w:lineRule="auto"/>
              <w:jc w:val="center"/>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具体要求</w:t>
            </w:r>
          </w:p>
        </w:tc>
      </w:tr>
      <w:tr w14:paraId="740CE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46" w:hRule="atLeast"/>
        </w:trPr>
        <w:tc>
          <w:tcPr>
            <w:tcW w:w="1883" w:type="dxa"/>
            <w:vAlign w:val="center"/>
          </w:tcPr>
          <w:p w14:paraId="12F65F03">
            <w:pPr>
              <w:widowControl/>
              <w:adjustRightInd/>
              <w:spacing w:line="336"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服务期限</w:t>
            </w:r>
            <w:r>
              <w:rPr>
                <w:rFonts w:hint="eastAsia" w:ascii="宋体" w:hAnsi="宋体" w:cs="宋体"/>
                <w:color w:val="auto"/>
                <w:kern w:val="0"/>
                <w:sz w:val="24"/>
                <w:highlight w:val="none"/>
              </w:rPr>
              <w:t>及</w:t>
            </w:r>
            <w:r>
              <w:rPr>
                <w:rFonts w:hint="eastAsia" w:ascii="宋体" w:hAnsi="宋体" w:cs="宋体"/>
                <w:color w:val="auto"/>
                <w:kern w:val="0"/>
                <w:sz w:val="24"/>
                <w:highlight w:val="none"/>
                <w:lang w:val="en-US" w:eastAsia="zh-CN"/>
              </w:rPr>
              <w:t>实施</w:t>
            </w:r>
            <w:r>
              <w:rPr>
                <w:rFonts w:hint="eastAsia" w:ascii="宋体" w:hAnsi="宋体" w:cs="宋体"/>
                <w:color w:val="auto"/>
                <w:kern w:val="0"/>
                <w:sz w:val="24"/>
                <w:highlight w:val="none"/>
              </w:rPr>
              <w:t>地点</w:t>
            </w:r>
          </w:p>
        </w:tc>
        <w:tc>
          <w:tcPr>
            <w:tcW w:w="6948" w:type="dxa"/>
            <w:vAlign w:val="center"/>
          </w:tcPr>
          <w:p w14:paraId="4B1E31D5">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服务期限</w:t>
            </w:r>
            <w:r>
              <w:rPr>
                <w:rFonts w:hint="eastAsia" w:ascii="宋体" w:hAnsi="宋体" w:cs="宋体"/>
                <w:color w:val="auto"/>
                <w:kern w:val="0"/>
                <w:sz w:val="24"/>
                <w:highlight w:val="none"/>
              </w:rPr>
              <w:t>：自合同生效之日起一年；根据中标人在合同履约期内履约、考核等情况决定是否续签，最多续签一次。</w:t>
            </w:r>
          </w:p>
          <w:p w14:paraId="1C2E3F15">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（2）实施地点：采购人指定地点。</w:t>
            </w:r>
          </w:p>
        </w:tc>
      </w:tr>
      <w:tr w14:paraId="16D12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46" w:hRule="atLeast"/>
        </w:trPr>
        <w:tc>
          <w:tcPr>
            <w:tcW w:w="1883" w:type="dxa"/>
            <w:vAlign w:val="center"/>
          </w:tcPr>
          <w:p w14:paraId="198ADF39">
            <w:pPr>
              <w:widowControl/>
              <w:adjustRightInd/>
              <w:spacing w:line="336" w:lineRule="auto"/>
              <w:jc w:val="center"/>
              <w:rPr>
                <w:rFonts w:ascii="宋体" w:hAnsi="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cs="宋体"/>
                <w:color w:val="auto"/>
                <w:kern w:val="0"/>
                <w:sz w:val="24"/>
                <w:highlight w:val="none"/>
              </w:rPr>
              <w:t>付款方式</w:t>
            </w:r>
          </w:p>
        </w:tc>
        <w:tc>
          <w:tcPr>
            <w:tcW w:w="6948" w:type="dxa"/>
            <w:shd w:val="clear" w:color="auto" w:fill="auto"/>
            <w:vAlign w:val="center"/>
          </w:tcPr>
          <w:p w14:paraId="431AE4A1">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服务费用按月结算。中标人应于每月</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日前，根据上一自然月经采购人书面确认的考核结果，向采购人提交请款报告及符合国家规定的</w:t>
            </w:r>
            <w:r>
              <w:rPr>
                <w:rFonts w:hint="eastAsia" w:ascii="宋体" w:hAnsi="宋体" w:cs="宋体"/>
                <w:color w:val="auto"/>
                <w:kern w:val="0"/>
                <w:sz w:val="24"/>
                <w:highlight w:val="none"/>
                <w:lang w:eastAsia="zh-CN"/>
              </w:rPr>
              <w:t>有效</w:t>
            </w:r>
            <w:r>
              <w:rPr>
                <w:rFonts w:hint="eastAsia" w:ascii="宋体" w:hAnsi="宋体" w:cs="宋体"/>
                <w:color w:val="auto"/>
                <w:kern w:val="0"/>
                <w:sz w:val="24"/>
                <w:highlight w:val="none"/>
              </w:rPr>
              <w:t>发票。</w:t>
            </w:r>
          </w:p>
          <w:p w14:paraId="74486B7C">
            <w:pPr>
              <w:widowControl/>
              <w:adjustRightInd/>
              <w:spacing w:line="336"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采购人应在收到请款报告及</w:t>
            </w:r>
            <w:r>
              <w:rPr>
                <w:rFonts w:hint="eastAsia" w:ascii="宋体" w:hAnsi="宋体" w:cs="宋体"/>
                <w:color w:val="auto"/>
                <w:kern w:val="0"/>
                <w:sz w:val="24"/>
                <w:highlight w:val="none"/>
                <w:lang w:eastAsia="zh-CN"/>
              </w:rPr>
              <w:t>有效</w:t>
            </w:r>
            <w:r>
              <w:rPr>
                <w:rFonts w:hint="eastAsia" w:ascii="宋体" w:hAnsi="宋体" w:cs="宋体"/>
                <w:color w:val="auto"/>
                <w:kern w:val="0"/>
                <w:sz w:val="24"/>
                <w:highlight w:val="none"/>
              </w:rPr>
              <w:t>发票后的</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个工作日内，将上一自然月的服务人员成本费及管理费支付至中标人指定账户。</w:t>
            </w:r>
          </w:p>
        </w:tc>
      </w:tr>
      <w:tr w14:paraId="3F573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83" w:type="dxa"/>
            <w:vAlign w:val="center"/>
          </w:tcPr>
          <w:p w14:paraId="5E72192C">
            <w:pPr>
              <w:widowControl/>
              <w:adjustRightInd/>
              <w:spacing w:line="33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履约保证金</w:t>
            </w:r>
          </w:p>
        </w:tc>
        <w:tc>
          <w:tcPr>
            <w:tcW w:w="6948" w:type="dxa"/>
            <w:vAlign w:val="center"/>
          </w:tcPr>
          <w:p w14:paraId="6E13A83B">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不适用</w:t>
            </w:r>
          </w:p>
        </w:tc>
      </w:tr>
      <w:tr w14:paraId="5B846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83" w:type="dxa"/>
            <w:vAlign w:val="center"/>
          </w:tcPr>
          <w:p w14:paraId="486E26E6">
            <w:pPr>
              <w:widowControl/>
              <w:adjustRightInd/>
              <w:spacing w:line="33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合同</w:t>
            </w:r>
            <w:r>
              <w:rPr>
                <w:rFonts w:hint="eastAsia" w:ascii="宋体" w:hAnsi="宋体" w:cs="宋体"/>
                <w:color w:val="auto"/>
                <w:kern w:val="0"/>
                <w:sz w:val="24"/>
                <w:highlight w:val="none"/>
                <w:lang w:val="en-US" w:eastAsia="zh-CN"/>
              </w:rPr>
              <w:t>解除与</w:t>
            </w:r>
            <w:r>
              <w:rPr>
                <w:rFonts w:hint="eastAsia" w:ascii="宋体" w:hAnsi="宋体" w:cs="宋体"/>
                <w:color w:val="auto"/>
                <w:kern w:val="0"/>
                <w:sz w:val="24"/>
                <w:highlight w:val="none"/>
              </w:rPr>
              <w:t>终止</w:t>
            </w:r>
          </w:p>
        </w:tc>
        <w:tc>
          <w:tcPr>
            <w:tcW w:w="6948" w:type="dxa"/>
            <w:vAlign w:val="center"/>
          </w:tcPr>
          <w:p w14:paraId="712BB14A">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在本合同履行期间</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除合同另有约定外，任何一方不得擅自解除合同。</w:t>
            </w:r>
          </w:p>
          <w:p w14:paraId="561AFCBF">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在本合同履行期间，如发生以下情形，采购人有权书面通知中标人解除本合同，且不承担任何违约责任：</w:t>
            </w:r>
          </w:p>
          <w:p w14:paraId="07CB9EEE">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 xml:space="preserve"> 中标人存在转包、分包行为的；</w:t>
            </w:r>
          </w:p>
          <w:p w14:paraId="1C6939A0">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中标人提供的服务存在严重质量问题，经采购人书面通知后15日内仍未整改完毕或再次发生同类问题的；</w:t>
            </w:r>
          </w:p>
          <w:p w14:paraId="7924B50B">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 xml:space="preserve"> 中标人违反劳动法律法规，导致发生群体性事件或重大劳动仲裁、诉讼，严重影响采购人正常工作秩序的；</w:t>
            </w:r>
          </w:p>
          <w:p w14:paraId="478B633D">
            <w:pPr>
              <w:widowControl/>
              <w:adjustRightInd/>
              <w:spacing w:line="336" w:lineRule="auto"/>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中标人违反保密义务，泄露保密信息的</w:t>
            </w:r>
            <w:r>
              <w:rPr>
                <w:rFonts w:hint="eastAsia" w:ascii="宋体" w:hAnsi="宋体" w:cs="宋体"/>
                <w:color w:val="auto"/>
                <w:kern w:val="0"/>
                <w:sz w:val="24"/>
                <w:highlight w:val="none"/>
                <w:lang w:eastAsia="zh-CN"/>
              </w:rPr>
              <w:t>；</w:t>
            </w:r>
          </w:p>
          <w:p w14:paraId="37F1A6D7">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中标人进入破产、清算程序的。</w:t>
            </w:r>
          </w:p>
          <w:p w14:paraId="379828EA">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如采购人无正当理由逾期支付服务费用超过30日的，中标人有权书面通知采购人解除合同。</w:t>
            </w:r>
          </w:p>
          <w:p w14:paraId="335E9499">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中标人确因特殊情况需提前终止合同的，应至少提前两个月向采购人提交书面申请，阐明充分理由，并经采购人书面同意后，方可终止。在此情况下，中标人应积极配合采购人完成人员、档案、物资等全部移交手续，并承担因提前终止给采购人造成的实际损失（包括但不限于为保障服务连续性而产生的过渡期费用、人员招聘成本等）。</w:t>
            </w:r>
          </w:p>
          <w:p w14:paraId="63CC973E">
            <w:pPr>
              <w:widowControl/>
              <w:adjustRightInd/>
              <w:spacing w:line="33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5. 合同终止（无论基于何种原因）后，中标人应在15日内与采购人完成人员、档案、物资等全部移交手续。逾期未完成的，每逾期一日，中标人应向采购人支付相当于合同总价千分之一的违约金。</w:t>
            </w:r>
          </w:p>
        </w:tc>
      </w:tr>
      <w:tr w14:paraId="7C446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883" w:type="dxa"/>
            <w:vAlign w:val="center"/>
          </w:tcPr>
          <w:p w14:paraId="0B270B11">
            <w:pPr>
              <w:widowControl/>
              <w:adjustRightInd/>
              <w:spacing w:line="33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对采购内容进行变更的处理</w:t>
            </w:r>
          </w:p>
        </w:tc>
        <w:tc>
          <w:tcPr>
            <w:tcW w:w="6948" w:type="dxa"/>
            <w:vAlign w:val="center"/>
          </w:tcPr>
          <w:p w14:paraId="49722D56">
            <w:pPr>
              <w:widowControl/>
              <w:adjustRightInd/>
              <w:spacing w:line="336" w:lineRule="auto"/>
              <w:jc w:val="left"/>
              <w:rPr>
                <w:rFonts w:ascii="宋体" w:hAnsi="宋体" w:cs="宋体"/>
                <w:color w:val="auto"/>
                <w:kern w:val="0"/>
                <w:sz w:val="24"/>
                <w:highlight w:val="none"/>
              </w:rPr>
            </w:pPr>
            <w:r>
              <w:rPr>
                <w:rFonts w:hint="eastAsia" w:ascii="宋体" w:hAnsi="宋体" w:cs="宋体"/>
                <w:color w:val="auto"/>
                <w:kern w:val="0"/>
                <w:sz w:val="24"/>
                <w:highlight w:val="none"/>
              </w:rPr>
              <w:t>在服务期限内，因国家或地方政策调整，引起社保、公积金等人工成本的增加，或最低工资标准上调的，双方应根据政策文件，对因此增加的成本进行核算并相应调整服务费。</w:t>
            </w:r>
          </w:p>
        </w:tc>
      </w:tr>
    </w:tbl>
    <w:p w14:paraId="47B179C5">
      <w:pPr>
        <w:pStyle w:val="63"/>
        <w:ind w:firstLine="420"/>
        <w:rPr>
          <w:rFonts w:hint="eastAsia" w:ascii="宋体" w:hAnsi="宋体" w:eastAsia="宋体" w:cs="宋体"/>
          <w:color w:val="auto"/>
          <w:highlight w:val="none"/>
        </w:rPr>
      </w:pPr>
    </w:p>
    <w:p w14:paraId="49CF4400">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二、采购要求</w:t>
      </w:r>
    </w:p>
    <w:p w14:paraId="55FEE614">
      <w:pPr>
        <w:widowControl/>
        <w:tabs>
          <w:tab w:val="left" w:pos="851"/>
        </w:tabs>
        <w:adjustRightInd/>
        <w:spacing w:line="360" w:lineRule="auto"/>
        <w:ind w:firstLine="482" w:firstLineChars="200"/>
        <w:rPr>
          <w:rFonts w:ascii="宋体" w:hAnsi="宋体" w:cs="宋体"/>
          <w:b/>
          <w:color w:val="auto"/>
          <w:kern w:val="0"/>
          <w:sz w:val="24"/>
          <w:highlight w:val="none"/>
        </w:rPr>
      </w:pPr>
      <w:bookmarkStart w:id="62" w:name="_Toc22878"/>
      <w:bookmarkStart w:id="63" w:name="_Toc22578"/>
      <w:r>
        <w:rPr>
          <w:rFonts w:hint="eastAsia" w:ascii="宋体" w:hAnsi="宋体" w:cs="宋体"/>
          <w:b/>
          <w:color w:val="auto"/>
          <w:kern w:val="0"/>
          <w:sz w:val="24"/>
          <w:highlight w:val="none"/>
        </w:rPr>
        <w:t>1.人员要求：</w:t>
      </w:r>
    </w:p>
    <w:p w14:paraId="2D2A8905">
      <w:pPr>
        <w:widowControl/>
        <w:tabs>
          <w:tab w:val="left" w:pos="851"/>
        </w:tabs>
        <w:adjustRightInd/>
        <w:spacing w:line="360" w:lineRule="auto"/>
        <w:ind w:firstLine="482" w:firstLineChars="200"/>
        <w:rPr>
          <w:rFonts w:ascii="宋体" w:hAnsi="宋体" w:cs="宋体"/>
          <w:bCs/>
          <w:color w:val="auto"/>
          <w:kern w:val="0"/>
          <w:sz w:val="24"/>
          <w:highlight w:val="none"/>
        </w:rPr>
      </w:pPr>
      <w:r>
        <w:rPr>
          <w:rFonts w:hint="eastAsia" w:ascii="宋体" w:hAnsi="宋体" w:cs="宋体"/>
          <w:b/>
          <w:color w:val="auto"/>
          <w:kern w:val="0"/>
          <w:sz w:val="24"/>
          <w:highlight w:val="none"/>
        </w:rPr>
        <w:t>1.1人员配置及要求：</w:t>
      </w:r>
      <w:r>
        <w:rPr>
          <w:rFonts w:hint="eastAsia" w:ascii="宋体" w:hAnsi="宋体" w:cs="宋体"/>
          <w:bCs/>
          <w:color w:val="auto"/>
          <w:kern w:val="0"/>
          <w:sz w:val="24"/>
          <w:highlight w:val="none"/>
        </w:rPr>
        <w:t>包括行政文秘、设备维护、驾驶员和业务文员等岗位共计</w:t>
      </w:r>
      <w:r>
        <w:rPr>
          <w:rFonts w:hint="eastAsia" w:ascii="宋体" w:hAnsi="宋体" w:cs="宋体"/>
          <w:bCs/>
          <w:color w:val="FF0000"/>
          <w:kern w:val="0"/>
          <w:sz w:val="24"/>
          <w:highlight w:val="none"/>
          <w:lang w:val="en-US" w:eastAsia="zh-CN"/>
        </w:rPr>
        <w:t>65</w:t>
      </w:r>
      <w:r>
        <w:rPr>
          <w:rFonts w:hint="eastAsia" w:ascii="宋体" w:hAnsi="宋体" w:cs="宋体"/>
          <w:bCs/>
          <w:color w:val="auto"/>
          <w:kern w:val="0"/>
          <w:sz w:val="24"/>
          <w:highlight w:val="none"/>
        </w:rPr>
        <w:t>人。</w:t>
      </w:r>
    </w:p>
    <w:p w14:paraId="2871DC65">
      <w:pPr>
        <w:pStyle w:val="2"/>
        <w:jc w:val="left"/>
        <w:rPr>
          <w:rFonts w:hAnsi="宋体" w:cs="宋体"/>
          <w:b/>
          <w:color w:val="auto"/>
          <w:kern w:val="0"/>
          <w:szCs w:val="24"/>
          <w:highlight w:val="none"/>
          <w:lang w:val="en-US"/>
        </w:rPr>
      </w:pPr>
      <w:r>
        <w:rPr>
          <w:rFonts w:hint="eastAsia" w:ascii="宋体" w:hAnsi="宋体" w:eastAsia="宋体" w:cs="宋体"/>
          <w:color w:val="auto"/>
          <w:sz w:val="24"/>
          <w:highlight w:val="none"/>
        </w:rPr>
        <w:t>▲</w:t>
      </w:r>
      <w:r>
        <w:rPr>
          <w:rFonts w:hint="eastAsia" w:hAnsi="宋体" w:cs="宋体"/>
          <w:b/>
          <w:color w:val="auto"/>
          <w:kern w:val="0"/>
          <w:szCs w:val="24"/>
          <w:highlight w:val="none"/>
          <w:lang w:val="en-US"/>
        </w:rPr>
        <w:t>1.2人员配置及岗位职责</w:t>
      </w:r>
    </w:p>
    <w:tbl>
      <w:tblPr>
        <w:tblStyle w:val="64"/>
        <w:tblW w:w="46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18"/>
        <w:gridCol w:w="2509"/>
        <w:gridCol w:w="4287"/>
      </w:tblGrid>
      <w:tr w14:paraId="35BA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23" w:type="pct"/>
            <w:noWrap/>
            <w:vAlign w:val="center"/>
          </w:tcPr>
          <w:p w14:paraId="7E684C50">
            <w:pPr>
              <w:adjustRightInd/>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岗位</w:t>
            </w:r>
          </w:p>
        </w:tc>
        <w:tc>
          <w:tcPr>
            <w:tcW w:w="470" w:type="pct"/>
            <w:noWrap/>
            <w:vAlign w:val="center"/>
          </w:tcPr>
          <w:p w14:paraId="2BF529D5">
            <w:pPr>
              <w:adjustRightInd/>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人数</w:t>
            </w:r>
          </w:p>
        </w:tc>
        <w:tc>
          <w:tcPr>
            <w:tcW w:w="1442" w:type="pct"/>
            <w:noWrap/>
            <w:vAlign w:val="center"/>
          </w:tcPr>
          <w:p w14:paraId="44C34489">
            <w:pPr>
              <w:adjustRightInd/>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岗位职责</w:t>
            </w:r>
          </w:p>
        </w:tc>
        <w:tc>
          <w:tcPr>
            <w:tcW w:w="2464" w:type="pct"/>
            <w:noWrap/>
            <w:vAlign w:val="center"/>
          </w:tcPr>
          <w:p w14:paraId="0462F9A4">
            <w:pPr>
              <w:adjustRightInd/>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其他</w:t>
            </w:r>
          </w:p>
        </w:tc>
      </w:tr>
      <w:tr w14:paraId="50FF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23" w:type="pct"/>
            <w:noWrap/>
            <w:vAlign w:val="center"/>
          </w:tcPr>
          <w:p w14:paraId="5D957E1E">
            <w:pPr>
              <w:adjustRightInd/>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行政文秘</w:t>
            </w:r>
          </w:p>
        </w:tc>
        <w:tc>
          <w:tcPr>
            <w:tcW w:w="470" w:type="pct"/>
            <w:noWrap/>
            <w:vAlign w:val="center"/>
          </w:tcPr>
          <w:p w14:paraId="5B9759E0">
            <w:pPr>
              <w:adjustRightInd/>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人</w:t>
            </w:r>
          </w:p>
        </w:tc>
        <w:tc>
          <w:tcPr>
            <w:tcW w:w="1442" w:type="pct"/>
            <w:noWrap/>
            <w:vAlign w:val="center"/>
          </w:tcPr>
          <w:p w14:paraId="1EF2E2A1">
            <w:pPr>
              <w:adjustRightInd/>
              <w:spacing w:line="560" w:lineRule="exact"/>
              <w:jc w:val="left"/>
              <w:rPr>
                <w:rFonts w:ascii="宋体" w:hAnsi="宋体" w:cs="宋体"/>
                <w:color w:val="auto"/>
                <w:szCs w:val="21"/>
                <w:highlight w:val="none"/>
              </w:rPr>
            </w:pPr>
            <w:r>
              <w:rPr>
                <w:rFonts w:hint="eastAsia" w:ascii="宋体" w:hAnsi="宋体" w:cs="宋体"/>
                <w:color w:val="auto"/>
                <w:szCs w:val="21"/>
                <w:highlight w:val="none"/>
              </w:rPr>
              <w:t>负责中心财务工作，计算机维护，安全生产，仓库物资整理及分发，台</w:t>
            </w:r>
            <w:r>
              <w:rPr>
                <w:rFonts w:hint="eastAsia" w:ascii="宋体" w:hAnsi="宋体" w:cs="宋体"/>
                <w:color w:val="auto"/>
                <w:szCs w:val="21"/>
                <w:highlight w:val="none"/>
                <w:lang w:val="en-US" w:eastAsia="zh-CN"/>
              </w:rPr>
              <w:t>账</w:t>
            </w:r>
            <w:r>
              <w:rPr>
                <w:rFonts w:hint="eastAsia" w:ascii="宋体" w:hAnsi="宋体" w:cs="宋体"/>
                <w:color w:val="auto"/>
                <w:szCs w:val="21"/>
                <w:highlight w:val="none"/>
              </w:rPr>
              <w:t>资料整理汇总以及通讯稿撰写等工作。</w:t>
            </w:r>
          </w:p>
        </w:tc>
        <w:tc>
          <w:tcPr>
            <w:tcW w:w="2464" w:type="pct"/>
            <w:noWrap/>
            <w:vAlign w:val="center"/>
          </w:tcPr>
          <w:p w14:paraId="1805BBE1">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1.要求本科及以上学历，要求会计类、计算机类、医学类、行政类、文秘类等与岗位相匹配的相关专业。</w:t>
            </w:r>
          </w:p>
          <w:p w14:paraId="1481E684">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2.具备一定的文字撰写能力，并熟练掌握Office等办公软件的运用。</w:t>
            </w:r>
          </w:p>
          <w:p w14:paraId="2F427EA7">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Hans"/>
              </w:rPr>
              <w:t>.</w:t>
            </w:r>
            <w:r>
              <w:rPr>
                <w:rFonts w:hint="eastAsia" w:ascii="宋体" w:hAnsi="宋体" w:cs="宋体"/>
                <w:color w:val="auto"/>
                <w:szCs w:val="21"/>
                <w:highlight w:val="none"/>
              </w:rPr>
              <w:t>具有3年及以上相关工作经验。</w:t>
            </w:r>
          </w:p>
          <w:p w14:paraId="68DB2DC5">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Hans"/>
              </w:rPr>
              <w:t>.</w:t>
            </w:r>
            <w:r>
              <w:rPr>
                <w:rFonts w:hint="eastAsia" w:ascii="宋体" w:hAnsi="宋体" w:cs="宋体"/>
                <w:color w:val="auto"/>
                <w:szCs w:val="21"/>
                <w:highlight w:val="none"/>
              </w:rPr>
              <w:t>良好的人际沟通协调能力，较强的组织协调能力。</w:t>
            </w:r>
          </w:p>
        </w:tc>
      </w:tr>
      <w:tr w14:paraId="4887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23" w:type="pct"/>
            <w:noWrap/>
            <w:vAlign w:val="center"/>
          </w:tcPr>
          <w:p w14:paraId="526D8324">
            <w:pPr>
              <w:adjustRightInd/>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设备管理</w:t>
            </w:r>
          </w:p>
        </w:tc>
        <w:tc>
          <w:tcPr>
            <w:tcW w:w="470" w:type="pct"/>
            <w:noWrap/>
            <w:vAlign w:val="center"/>
          </w:tcPr>
          <w:p w14:paraId="2375CFA1">
            <w:pPr>
              <w:adjustRightInd/>
              <w:spacing w:line="560" w:lineRule="exact"/>
              <w:jc w:val="center"/>
              <w:rPr>
                <w:rFonts w:ascii="宋体" w:hAnsi="宋体" w:cs="宋体"/>
                <w:color w:val="auto"/>
                <w:szCs w:val="21"/>
                <w:highlight w:val="none"/>
              </w:rPr>
            </w:pPr>
            <w:r>
              <w:rPr>
                <w:rFonts w:hint="default" w:ascii="宋体" w:hAnsi="宋体" w:cs="宋体"/>
                <w:color w:val="auto"/>
                <w:szCs w:val="21"/>
                <w:highlight w:val="none"/>
                <w:lang w:val="en-US" w:eastAsia="zh-CN"/>
              </w:rPr>
              <w:t>4</w:t>
            </w:r>
            <w:r>
              <w:rPr>
                <w:rFonts w:hint="eastAsia" w:ascii="宋体" w:hAnsi="宋体" w:cs="宋体"/>
                <w:color w:val="auto"/>
                <w:szCs w:val="21"/>
                <w:highlight w:val="none"/>
              </w:rPr>
              <w:t>人</w:t>
            </w:r>
          </w:p>
        </w:tc>
        <w:tc>
          <w:tcPr>
            <w:tcW w:w="1442" w:type="pct"/>
            <w:noWrap/>
            <w:vAlign w:val="center"/>
          </w:tcPr>
          <w:p w14:paraId="3D4A2A7A">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专业设备的日常巡检、维护，安全生产等工作。</w:t>
            </w:r>
          </w:p>
        </w:tc>
        <w:tc>
          <w:tcPr>
            <w:tcW w:w="2464" w:type="pct"/>
            <w:noWrap/>
            <w:vAlign w:val="center"/>
          </w:tcPr>
          <w:p w14:paraId="3FD9F5BB">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1.要求大专及以上学历。</w:t>
            </w:r>
          </w:p>
          <w:p w14:paraId="5A7B654D">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2.有相关岗位三年及以上工作经验。</w:t>
            </w:r>
          </w:p>
          <w:p w14:paraId="47C2C27E">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3.具备良好的机械知识，能熟练使用常见的维修工具。</w:t>
            </w:r>
          </w:p>
          <w:p w14:paraId="72D05400">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4.具备良好的沟通能力和团队合作精神，能有效与医护人员和其他部门进行协调和沟通。</w:t>
            </w:r>
          </w:p>
          <w:p w14:paraId="60AB8BFD">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5.具备责任心和细心，能认真记录维修和保养情况，并及时向上级汇报。</w:t>
            </w:r>
          </w:p>
        </w:tc>
      </w:tr>
      <w:tr w14:paraId="097B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23" w:type="pct"/>
            <w:noWrap/>
            <w:vAlign w:val="center"/>
          </w:tcPr>
          <w:p w14:paraId="4221685A">
            <w:pPr>
              <w:adjustRightInd/>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司机</w:t>
            </w:r>
          </w:p>
        </w:tc>
        <w:tc>
          <w:tcPr>
            <w:tcW w:w="470" w:type="pct"/>
            <w:noWrap/>
            <w:vAlign w:val="center"/>
          </w:tcPr>
          <w:p w14:paraId="3A7DB320">
            <w:pPr>
              <w:adjustRightInd/>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w:t>
            </w:r>
          </w:p>
        </w:tc>
        <w:tc>
          <w:tcPr>
            <w:tcW w:w="1442" w:type="pct"/>
            <w:noWrap/>
            <w:vAlign w:val="center"/>
          </w:tcPr>
          <w:p w14:paraId="7C32F8F0">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负责中心司机的工作职工。</w:t>
            </w:r>
          </w:p>
        </w:tc>
        <w:tc>
          <w:tcPr>
            <w:tcW w:w="2464" w:type="pct"/>
            <w:noWrap/>
            <w:vAlign w:val="center"/>
          </w:tcPr>
          <w:p w14:paraId="63B7389F">
            <w:pPr>
              <w:adjustRightInd/>
              <w:spacing w:line="360" w:lineRule="exact"/>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Hans"/>
              </w:rPr>
              <w:t>.</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大专</w:t>
            </w:r>
            <w:r>
              <w:rPr>
                <w:rFonts w:hint="eastAsia" w:ascii="宋体" w:hAnsi="宋体" w:cs="宋体"/>
                <w:color w:val="auto"/>
                <w:szCs w:val="21"/>
                <w:highlight w:val="none"/>
              </w:rPr>
              <w:t>及以上学历。</w:t>
            </w:r>
          </w:p>
          <w:p w14:paraId="7B5AC37F">
            <w:pPr>
              <w:adjustRightInd/>
              <w:spacing w:line="360" w:lineRule="exact"/>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Hans"/>
              </w:rPr>
              <w:t>.</w:t>
            </w:r>
            <w:r>
              <w:rPr>
                <w:rFonts w:hint="eastAsia" w:ascii="宋体" w:hAnsi="宋体" w:cs="宋体"/>
                <w:color w:val="auto"/>
                <w:szCs w:val="21"/>
                <w:highlight w:val="none"/>
              </w:rPr>
              <w:t>掌握熟练的驾驶技术，持有</w:t>
            </w:r>
            <w:r>
              <w:rPr>
                <w:rFonts w:hint="eastAsia" w:ascii="宋体" w:hAnsi="宋体" w:cs="宋体"/>
                <w:color w:val="auto"/>
                <w:szCs w:val="21"/>
                <w:highlight w:val="none"/>
                <w:lang w:val="en-US" w:eastAsia="zh-CN"/>
              </w:rPr>
              <w:t>C1及以上</w:t>
            </w:r>
            <w:r>
              <w:rPr>
                <w:rFonts w:hint="eastAsia" w:ascii="宋体" w:hAnsi="宋体" w:cs="宋体"/>
                <w:color w:val="auto"/>
                <w:szCs w:val="21"/>
                <w:highlight w:val="none"/>
              </w:rPr>
              <w:t>驾驶证。</w:t>
            </w:r>
          </w:p>
          <w:p w14:paraId="037CA409">
            <w:pPr>
              <w:adjustRightInd/>
              <w:spacing w:line="360" w:lineRule="exact"/>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Hans"/>
              </w:rPr>
              <w:t>.</w:t>
            </w:r>
            <w:r>
              <w:rPr>
                <w:rFonts w:hint="eastAsia" w:ascii="宋体" w:hAnsi="宋体" w:cs="宋体"/>
                <w:color w:val="auto"/>
                <w:szCs w:val="21"/>
                <w:highlight w:val="none"/>
              </w:rPr>
              <w:t>熟悉宁波当地地形及交通管理相关法规条例。</w:t>
            </w:r>
          </w:p>
          <w:p w14:paraId="3DDBCAFB">
            <w:pPr>
              <w:adjustRightInd/>
              <w:spacing w:line="360" w:lineRule="exact"/>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Hans"/>
              </w:rPr>
              <w:t>.</w:t>
            </w:r>
            <w:r>
              <w:rPr>
                <w:rFonts w:hint="eastAsia" w:ascii="宋体" w:hAnsi="宋体" w:cs="宋体"/>
                <w:color w:val="auto"/>
                <w:szCs w:val="21"/>
                <w:highlight w:val="none"/>
              </w:rPr>
              <w:t>具有5年及以上相关驾驶经验。</w:t>
            </w:r>
          </w:p>
          <w:p w14:paraId="086CDEA1">
            <w:pPr>
              <w:adjustRightInd/>
              <w:spacing w:line="360" w:lineRule="exact"/>
              <w:jc w:val="left"/>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eastAsia="zh-Hans"/>
              </w:rPr>
              <w:t>.</w:t>
            </w:r>
            <w:r>
              <w:rPr>
                <w:rFonts w:hint="eastAsia" w:ascii="宋体" w:hAnsi="宋体" w:cs="宋体"/>
                <w:color w:val="auto"/>
                <w:szCs w:val="21"/>
                <w:highlight w:val="none"/>
              </w:rPr>
              <w:t>具备解决车辆方面突发事件的能力。</w:t>
            </w:r>
          </w:p>
        </w:tc>
      </w:tr>
      <w:tr w14:paraId="4E94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pct"/>
            <w:noWrap/>
            <w:vAlign w:val="center"/>
          </w:tcPr>
          <w:p w14:paraId="4C3B98A3">
            <w:pPr>
              <w:adjustRightInd/>
              <w:spacing w:line="560" w:lineRule="exact"/>
              <w:jc w:val="center"/>
              <w:rPr>
                <w:rFonts w:ascii="宋体" w:hAnsi="宋体" w:cs="宋体"/>
                <w:color w:val="auto"/>
                <w:szCs w:val="21"/>
                <w:highlight w:val="none"/>
              </w:rPr>
            </w:pPr>
            <w:r>
              <w:rPr>
                <w:rFonts w:hint="eastAsia" w:ascii="宋体" w:hAnsi="宋体" w:cs="宋体"/>
                <w:color w:val="auto"/>
                <w:szCs w:val="21"/>
                <w:highlight w:val="none"/>
              </w:rPr>
              <w:t>业务文员</w:t>
            </w:r>
          </w:p>
        </w:tc>
        <w:tc>
          <w:tcPr>
            <w:tcW w:w="470" w:type="pct"/>
            <w:noWrap/>
            <w:vAlign w:val="center"/>
          </w:tcPr>
          <w:p w14:paraId="05E3A9FD">
            <w:pPr>
              <w:adjustRightInd/>
              <w:spacing w:line="560" w:lineRule="exact"/>
              <w:jc w:val="center"/>
              <w:rPr>
                <w:rFonts w:ascii="宋体" w:hAnsi="宋体" w:cs="宋体"/>
                <w:color w:val="auto"/>
                <w:szCs w:val="21"/>
                <w:highlight w:val="none"/>
              </w:rPr>
            </w:pPr>
            <w:r>
              <w:rPr>
                <w:rFonts w:hint="default" w:ascii="宋体" w:hAnsi="宋体" w:cs="宋体"/>
                <w:color w:val="auto"/>
                <w:szCs w:val="21"/>
                <w:highlight w:val="none"/>
                <w:lang w:val="en-US" w:eastAsia="zh-CN"/>
              </w:rPr>
              <w:t>49</w:t>
            </w:r>
            <w:r>
              <w:rPr>
                <w:rFonts w:hint="eastAsia" w:ascii="宋体" w:hAnsi="宋体" w:cs="宋体"/>
                <w:color w:val="auto"/>
                <w:szCs w:val="21"/>
                <w:highlight w:val="none"/>
              </w:rPr>
              <w:t>人</w:t>
            </w:r>
          </w:p>
        </w:tc>
        <w:tc>
          <w:tcPr>
            <w:tcW w:w="1442" w:type="pct"/>
            <w:noWrap/>
            <w:vAlign w:val="center"/>
          </w:tcPr>
          <w:p w14:paraId="4F90F7A1">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负责标本接收、登记、录入及交接，问题标本沟通处理，取材记录工作，仓库物资整理及分中心耗材物资发放，病理资料的归档管理、数字病理档案资料录入、病理资料借阅办理、病理会诊业务办理及电话咨询接待服务等工作。</w:t>
            </w:r>
          </w:p>
        </w:tc>
        <w:tc>
          <w:tcPr>
            <w:tcW w:w="2464" w:type="pct"/>
            <w:noWrap/>
            <w:vAlign w:val="center"/>
          </w:tcPr>
          <w:p w14:paraId="004104E9">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1.要求大专及以上学历，医学类、行政类、文秘类等相关专业。</w:t>
            </w:r>
          </w:p>
          <w:p w14:paraId="04CAE63F">
            <w:pPr>
              <w:adjustRightInd/>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2.有相关岗位三年及以上工作经验，熟练掌握</w:t>
            </w:r>
            <w:r>
              <w:rPr>
                <w:rFonts w:ascii="宋体" w:hAnsi="宋体" w:cs="宋体"/>
                <w:color w:val="auto"/>
                <w:szCs w:val="21"/>
                <w:highlight w:val="none"/>
              </w:rPr>
              <w:t>、</w:t>
            </w:r>
            <w:r>
              <w:rPr>
                <w:rFonts w:hint="eastAsia" w:ascii="宋体" w:hAnsi="宋体" w:cs="宋体"/>
                <w:color w:val="auto"/>
                <w:szCs w:val="21"/>
                <w:highlight w:val="none"/>
                <w:lang w:eastAsia="zh-Hans"/>
              </w:rPr>
              <w:t>使用</w:t>
            </w:r>
            <w:r>
              <w:rPr>
                <w:rFonts w:hint="eastAsia" w:ascii="宋体" w:hAnsi="宋体" w:cs="宋体"/>
                <w:color w:val="auto"/>
                <w:szCs w:val="21"/>
                <w:highlight w:val="none"/>
              </w:rPr>
              <w:t>电脑办公软件。</w:t>
            </w:r>
          </w:p>
          <w:p w14:paraId="64124699">
            <w:pPr>
              <w:adjustRightInd/>
              <w:spacing w:line="360" w:lineRule="exact"/>
              <w:jc w:val="left"/>
              <w:rPr>
                <w:color w:val="auto"/>
                <w:szCs w:val="21"/>
                <w:highlight w:val="none"/>
              </w:rPr>
            </w:pPr>
            <w:r>
              <w:rPr>
                <w:rFonts w:hint="eastAsia" w:ascii="宋体" w:hAnsi="宋体" w:cs="宋体"/>
                <w:color w:val="auto"/>
                <w:szCs w:val="21"/>
                <w:highlight w:val="none"/>
              </w:rPr>
              <w:t>3.工作认真、严谨、有耐心，服从上级安排，遵守中心的各项规章制度。</w:t>
            </w:r>
          </w:p>
        </w:tc>
      </w:tr>
      <w:tr w14:paraId="1316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23" w:type="pct"/>
            <w:noWrap/>
            <w:vAlign w:val="center"/>
          </w:tcPr>
          <w:p w14:paraId="1194BCFF">
            <w:pPr>
              <w:adjustRightInd/>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470" w:type="pct"/>
            <w:noWrap/>
            <w:vAlign w:val="center"/>
          </w:tcPr>
          <w:p w14:paraId="4EF31989">
            <w:pPr>
              <w:adjustRightInd/>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default" w:ascii="宋体" w:hAnsi="宋体" w:cs="宋体"/>
                <w:color w:val="auto"/>
                <w:szCs w:val="21"/>
                <w:highlight w:val="none"/>
                <w:lang w:val="en-US" w:eastAsia="zh-CN"/>
              </w:rPr>
              <w:t>5</w:t>
            </w:r>
            <w:r>
              <w:rPr>
                <w:rFonts w:hint="eastAsia" w:ascii="宋体" w:hAnsi="宋体" w:cs="宋体"/>
                <w:color w:val="auto"/>
                <w:szCs w:val="21"/>
                <w:highlight w:val="none"/>
              </w:rPr>
              <w:t>人</w:t>
            </w:r>
          </w:p>
        </w:tc>
        <w:tc>
          <w:tcPr>
            <w:tcW w:w="1442" w:type="pct"/>
            <w:noWrap/>
            <w:vAlign w:val="center"/>
          </w:tcPr>
          <w:p w14:paraId="714C42AC">
            <w:pPr>
              <w:adjustRightInd/>
              <w:spacing w:line="36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464" w:type="pct"/>
            <w:noWrap/>
            <w:vAlign w:val="center"/>
          </w:tcPr>
          <w:p w14:paraId="6B085E2A">
            <w:pPr>
              <w:adjustRightInd/>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bl>
    <w:p w14:paraId="03BDAF35">
      <w:pPr>
        <w:rPr>
          <w:rFonts w:hAnsi="宋体" w:cs="宋体"/>
          <w:bCs/>
          <w:color w:val="auto"/>
          <w:kern w:val="0"/>
          <w:sz w:val="24"/>
          <w:highlight w:val="none"/>
        </w:rPr>
      </w:pPr>
    </w:p>
    <w:p w14:paraId="30FAEA33">
      <w:pPr>
        <w:widowControl/>
        <w:tabs>
          <w:tab w:val="left" w:pos="851"/>
        </w:tabs>
        <w:adjustRightInd/>
        <w:spacing w:line="360" w:lineRule="auto"/>
        <w:ind w:firstLine="480" w:firstLineChars="200"/>
        <w:rPr>
          <w:rFonts w:hint="eastAsia" w:ascii="宋体" w:hAnsi="Calibri"/>
          <w:sz w:val="24"/>
          <w:szCs w:val="20"/>
          <w:lang w:val="zh-CN"/>
        </w:rPr>
      </w:pPr>
      <w:r>
        <w:rPr>
          <w:rFonts w:hint="eastAsia" w:ascii="宋体" w:hAnsi="宋体" w:cs="宋体"/>
          <w:bCs/>
          <w:color w:val="auto"/>
          <w:kern w:val="0"/>
          <w:sz w:val="24"/>
          <w:highlight w:val="none"/>
        </w:rPr>
        <w:t>1.3</w:t>
      </w:r>
      <w:r>
        <w:rPr>
          <w:rFonts w:hint="eastAsia" w:ascii="宋体" w:hAnsi="Calibri"/>
          <w:sz w:val="24"/>
          <w:szCs w:val="20"/>
          <w:lang w:val="zh-CN"/>
        </w:rPr>
        <w:t>在合同期内，采购人有权根据实际工作需要，书面通知中标人增加或减少服务人员。中标人应在收到通知后30日内完成人员调整。合同期内，因人员增加导致的年度合同总金额增加部分，不得超过原合同金额的10%。</w:t>
      </w:r>
    </w:p>
    <w:p w14:paraId="65BBFC36">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1.4为确保招聘的服务人员能胜任采购人的工作岗位，中标人提供的服务人员需符合采购人标准录用，采购人提供服务岗位具体要求，中标人负责提供相关岗位服务人员。中标人应有岗前培训，外包人员100%经过岗前培训，并经采购人考核合格后方可上岗。未经采购人审核确认的人员，采购人不接受其服务，中标人与其签订劳动合同而承担的法律责任和因此造成的一切损失与采购人无关。</w:t>
      </w:r>
    </w:p>
    <w:p w14:paraId="5FD8C628">
      <w:pPr>
        <w:widowControl/>
        <w:tabs>
          <w:tab w:val="left" w:pos="851"/>
        </w:tabs>
        <w:adjustRightInd/>
        <w:spacing w:line="360" w:lineRule="auto"/>
        <w:ind w:firstLine="480" w:firstLineChars="200"/>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rPr>
        <w:t>1.5为保障服务的稳定性和延续性，中标人应优先聘用并经采购人审核确认</w:t>
      </w:r>
      <w:r>
        <w:rPr>
          <w:rFonts w:hint="eastAsia" w:ascii="宋体" w:hAnsi="宋体" w:cs="宋体"/>
          <w:bCs/>
          <w:color w:val="auto"/>
          <w:kern w:val="0"/>
          <w:sz w:val="24"/>
          <w:highlight w:val="none"/>
          <w:lang w:eastAsia="zh-CN"/>
        </w:rPr>
        <w:t>的</w:t>
      </w:r>
      <w:r>
        <w:rPr>
          <w:rFonts w:hint="eastAsia" w:ascii="宋体" w:hAnsi="宋体" w:cs="宋体"/>
          <w:bCs/>
          <w:color w:val="auto"/>
          <w:kern w:val="0"/>
          <w:sz w:val="24"/>
          <w:highlight w:val="none"/>
        </w:rPr>
        <w:t>现有工作人员。对于被录用的</w:t>
      </w:r>
      <w:r>
        <w:rPr>
          <w:rFonts w:hint="eastAsia" w:ascii="宋体" w:hAnsi="宋体" w:cs="宋体"/>
          <w:bCs/>
          <w:color w:val="auto"/>
          <w:kern w:val="0"/>
          <w:sz w:val="24"/>
          <w:highlight w:val="none"/>
          <w:lang w:val="en-US" w:eastAsia="zh-CN"/>
        </w:rPr>
        <w:t>现有</w:t>
      </w:r>
      <w:r>
        <w:rPr>
          <w:rFonts w:hint="eastAsia" w:ascii="宋体" w:hAnsi="宋体" w:cs="宋体"/>
          <w:bCs/>
          <w:color w:val="auto"/>
          <w:kern w:val="0"/>
          <w:sz w:val="24"/>
          <w:highlight w:val="none"/>
        </w:rPr>
        <w:t>工作人员，中标人应保证其首年薪资及福利待遇不低于其现有水平（现有岗位人员平均薪资及福利为12.52万元/人/年，具体人员薪资清单由采购人另行提供）。该薪资标准为税前应发工资，包含个人承担的社保、公积金及个税。现有岗位部分员工的劳动合同未到期，具体岗位更替时间根据采购人通知进行部署，人员薪资按接岗后的时间进行具体计算。</w:t>
      </w:r>
    </w:p>
    <w:p w14:paraId="5A115893">
      <w:pPr>
        <w:rPr>
          <w:rFonts w:hint="eastAsia"/>
        </w:rPr>
      </w:pPr>
    </w:p>
    <w:p w14:paraId="6AE2EB24">
      <w:pPr>
        <w:widowControl/>
        <w:tabs>
          <w:tab w:val="left" w:pos="851"/>
        </w:tabs>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2.人员</w:t>
      </w:r>
      <w:r>
        <w:rPr>
          <w:rFonts w:hint="eastAsia" w:ascii="宋体" w:hAnsi="宋体" w:cs="宋体"/>
          <w:b/>
          <w:color w:val="auto"/>
          <w:kern w:val="0"/>
          <w:sz w:val="24"/>
          <w:highlight w:val="none"/>
          <w:lang w:eastAsia="zh-CN"/>
        </w:rPr>
        <w:t>素质</w:t>
      </w:r>
      <w:r>
        <w:rPr>
          <w:rFonts w:hint="eastAsia" w:ascii="宋体" w:hAnsi="宋体" w:cs="宋体"/>
          <w:b/>
          <w:color w:val="auto"/>
          <w:kern w:val="0"/>
          <w:sz w:val="24"/>
          <w:highlight w:val="none"/>
        </w:rPr>
        <w:t>要求：</w:t>
      </w:r>
    </w:p>
    <w:p w14:paraId="15976456">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eastAsia="宋体" w:cs="宋体"/>
          <w:color w:val="auto"/>
          <w:sz w:val="24"/>
          <w:highlight w:val="none"/>
        </w:rPr>
        <w:t>▲</w:t>
      </w:r>
      <w:r>
        <w:rPr>
          <w:rFonts w:hint="eastAsia" w:ascii="宋体" w:hAnsi="宋体" w:cs="宋体"/>
          <w:bCs/>
          <w:color w:val="auto"/>
          <w:kern w:val="0"/>
          <w:sz w:val="24"/>
          <w:highlight w:val="none"/>
        </w:rPr>
        <w:t>2.1外包人员的年龄、学历、专业、职称等必须符合</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岗位需求。</w:t>
      </w:r>
    </w:p>
    <w:p w14:paraId="7E4A0B1F">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2.2身体健康，每年需进行一次健康体检，若不能胜任相关岗位的，则该人员需进行更换，更换后的人员职称、学历等不能低于</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相应岗位需求。</w:t>
      </w:r>
    </w:p>
    <w:p w14:paraId="0C712495">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2.3工作敬业，严格遵守</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相关规章制度、操作流程。</w:t>
      </w:r>
    </w:p>
    <w:p w14:paraId="1FBB85C3">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2.4作风良好，服从安排，团结同事。</w:t>
      </w:r>
    </w:p>
    <w:p w14:paraId="64CC8BB2">
      <w:pPr>
        <w:widowControl/>
        <w:tabs>
          <w:tab w:val="left" w:pos="851"/>
        </w:tabs>
        <w:adjustRightInd/>
        <w:spacing w:line="360" w:lineRule="auto"/>
        <w:ind w:firstLine="480" w:firstLineChars="200"/>
        <w:rPr>
          <w:rFonts w:ascii="宋体" w:hAnsi="宋体" w:cs="宋体"/>
          <w:b/>
          <w:color w:val="auto"/>
          <w:kern w:val="0"/>
          <w:sz w:val="24"/>
          <w:highlight w:val="none"/>
        </w:rPr>
      </w:pPr>
      <w:r>
        <w:rPr>
          <w:rFonts w:hint="eastAsia" w:ascii="宋体" w:hAnsi="宋体" w:cs="宋体"/>
          <w:bCs/>
          <w:color w:val="auto"/>
          <w:kern w:val="0"/>
          <w:sz w:val="24"/>
          <w:highlight w:val="none"/>
        </w:rPr>
        <w:t>2.5</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定期对外包人员进行考核，考核结果作为薪酬奖励发放依据。</w:t>
      </w:r>
    </w:p>
    <w:p w14:paraId="3CC3DDD8">
      <w:pPr>
        <w:widowControl/>
        <w:tabs>
          <w:tab w:val="left" w:pos="851"/>
        </w:tabs>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3.服务质量要求：</w:t>
      </w:r>
    </w:p>
    <w:p w14:paraId="4F3E14BE">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3.1中标人与外包员工签订《劳动合同》，建立劳动关系。</w:t>
      </w:r>
    </w:p>
    <w:p w14:paraId="3D37EA70">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3.2由中标人负责外包员工的薪酬发放、社保和残保金等的办理缴纳。</w:t>
      </w:r>
    </w:p>
    <w:p w14:paraId="687AD8CD">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3.3中标人负责外包员工的招聘、体检（费用由应聘者自理）、入离职管理、生育、工伤等的申报申领、劳动仲裁、诉讼等事宜。</w:t>
      </w:r>
    </w:p>
    <w:p w14:paraId="52EACB77">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3.4由中标人负责外包员工的档案管理。</w:t>
      </w:r>
    </w:p>
    <w:p w14:paraId="7DD40CCD">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3.4.1</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确定外包员工的数量、名单后，中标人应确保</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0个工作日内办理完毕劳动合同签订等手续，增加或人员流失须及时补充。</w:t>
      </w:r>
    </w:p>
    <w:p w14:paraId="5C67BD9E">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3.4.2中标人应确保及时、准确、妥善的处理外包员工的工资、社保、残保金及个税代扣代缴等工作，避免发生劳动仲裁、诉讼事件。</w:t>
      </w:r>
    </w:p>
    <w:p w14:paraId="1AC5D1D9">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3.4.3中标人应确保及时、准确、妥善处理外包员工的档案管理。</w:t>
      </w:r>
    </w:p>
    <w:p w14:paraId="3D724524">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3.4.4中标人应确保和谐、稳妥处理外包员工的劳动纠纷、劳动仲裁、劳动诉讼，避免妨碍采购人的正常工作或给采购人带来不利的社会影响。</w:t>
      </w:r>
    </w:p>
    <w:p w14:paraId="0455F8F1">
      <w:pPr>
        <w:pStyle w:val="2"/>
        <w:rPr>
          <w:rFonts w:hint="eastAsia"/>
        </w:rPr>
      </w:pPr>
      <w:r>
        <w:rPr>
          <w:rFonts w:hint="eastAsia"/>
          <w:lang w:val="en-US" w:eastAsia="zh-CN"/>
        </w:rPr>
        <w:t>4.</w:t>
      </w:r>
      <w:r>
        <w:rPr>
          <w:rFonts w:hint="eastAsia"/>
        </w:rPr>
        <w:t>保密</w:t>
      </w:r>
    </w:p>
    <w:p w14:paraId="09E0430A">
      <w:pPr>
        <w:pStyle w:val="2"/>
        <w:rPr>
          <w:rFonts w:hint="eastAsia"/>
        </w:rPr>
      </w:pPr>
      <w:r>
        <w:rPr>
          <w:rFonts w:hint="eastAsia"/>
          <w:lang w:val="en-US" w:eastAsia="zh-CN"/>
        </w:rPr>
        <w:t>4.1</w:t>
      </w:r>
      <w:r>
        <w:rPr>
          <w:rFonts w:hint="eastAsia"/>
        </w:rPr>
        <w:t>保密信息的定义：本合同所称“保密信息”，是指</w:t>
      </w:r>
      <w:r>
        <w:rPr>
          <w:rFonts w:hint="eastAsia"/>
          <w:lang w:eastAsia="zh-CN"/>
        </w:rPr>
        <w:t>采购人</w:t>
      </w:r>
      <w:r>
        <w:rPr>
          <w:rFonts w:hint="eastAsia"/>
        </w:rPr>
        <w:t>（包括其关联方、工作人员）向</w:t>
      </w:r>
      <w:r>
        <w:rPr>
          <w:rFonts w:hint="eastAsia"/>
          <w:lang w:eastAsia="zh-CN"/>
        </w:rPr>
        <w:t>中标人</w:t>
      </w:r>
      <w:r>
        <w:rPr>
          <w:rFonts w:hint="eastAsia"/>
        </w:rPr>
        <w:t>或其外包人员披露的、或</w:t>
      </w:r>
      <w:r>
        <w:rPr>
          <w:rFonts w:hint="eastAsia"/>
          <w:lang w:eastAsia="zh-CN"/>
        </w:rPr>
        <w:t>中标人</w:t>
      </w:r>
      <w:r>
        <w:rPr>
          <w:rFonts w:hint="eastAsia"/>
        </w:rPr>
        <w:t>及其外包人员在履行本合同过程中接触、知悉的，一切与</w:t>
      </w:r>
      <w:r>
        <w:rPr>
          <w:rFonts w:hint="eastAsia"/>
          <w:lang w:eastAsia="zh-CN"/>
        </w:rPr>
        <w:t>采购人</w:t>
      </w:r>
      <w:r>
        <w:rPr>
          <w:rFonts w:hint="eastAsia"/>
        </w:rPr>
        <w:t>的业务、运营、管理、技术、财务、患者及研究相关的、非公开的信息。包括但不限于：患者个人信息（姓名、身份证号、病史、检查结果等）、病理标本信息、诊断报告、实验室数据、研究数据、技术资料、操作流程、内部规章制度、会议记录、客户名单、采购信息、合同文件以及</w:t>
      </w:r>
      <w:r>
        <w:rPr>
          <w:rFonts w:hint="eastAsia"/>
          <w:lang w:eastAsia="zh-CN"/>
        </w:rPr>
        <w:t>采购人</w:t>
      </w:r>
      <w:r>
        <w:rPr>
          <w:rFonts w:hint="eastAsia"/>
        </w:rPr>
        <w:t>明确要求保密的任何其他信息。</w:t>
      </w:r>
    </w:p>
    <w:p w14:paraId="026E90CF">
      <w:pPr>
        <w:pStyle w:val="2"/>
        <w:rPr>
          <w:rFonts w:hint="eastAsia"/>
        </w:rPr>
      </w:pPr>
      <w:r>
        <w:rPr>
          <w:rFonts w:hint="eastAsia"/>
          <w:lang w:val="en-US" w:eastAsia="zh-CN"/>
        </w:rPr>
        <w:t>4.2</w:t>
      </w:r>
      <w:r>
        <w:rPr>
          <w:rFonts w:hint="eastAsia"/>
        </w:rPr>
        <w:t>保密义务：</w:t>
      </w:r>
    </w:p>
    <w:p w14:paraId="25C51FF1">
      <w:pPr>
        <w:pStyle w:val="2"/>
        <w:rPr>
          <w:rFonts w:hint="eastAsia"/>
        </w:rPr>
      </w:pPr>
      <w:r>
        <w:rPr>
          <w:rFonts w:hint="eastAsia"/>
          <w:highlight w:val="none"/>
          <w:lang w:val="en-US" w:eastAsia="zh-CN"/>
        </w:rPr>
        <w:t>4.2.1</w:t>
      </w:r>
      <w:r>
        <w:rPr>
          <w:rFonts w:hint="eastAsia"/>
          <w:highlight w:val="none"/>
          <w:lang w:eastAsia="zh-CN"/>
        </w:rPr>
        <w:t>中标人</w:t>
      </w:r>
      <w:r>
        <w:rPr>
          <w:rFonts w:hint="eastAsia"/>
          <w:highlight w:val="none"/>
        </w:rPr>
        <w:t>应</w:t>
      </w:r>
      <w:r>
        <w:rPr>
          <w:rFonts w:hint="eastAsia"/>
        </w:rPr>
        <w:t>对保密信息承担严格的保密责任。未经</w:t>
      </w:r>
      <w:r>
        <w:rPr>
          <w:rFonts w:hint="eastAsia"/>
          <w:lang w:eastAsia="zh-CN"/>
        </w:rPr>
        <w:t>采购人</w:t>
      </w:r>
      <w:r>
        <w:rPr>
          <w:rFonts w:hint="eastAsia"/>
        </w:rPr>
        <w:t>事先书面同意，</w:t>
      </w:r>
      <w:r>
        <w:rPr>
          <w:rFonts w:hint="eastAsia"/>
          <w:lang w:eastAsia="zh-CN"/>
        </w:rPr>
        <w:t>中标人</w:t>
      </w:r>
      <w:r>
        <w:rPr>
          <w:rFonts w:hint="eastAsia"/>
        </w:rPr>
        <w:t>及其外包人员不得向任何第三方泄露、传播、公布、复制、使用或允许他人使用保密信息，但为履行本合同项下义务所必需的除外。</w:t>
      </w:r>
    </w:p>
    <w:p w14:paraId="42093145">
      <w:pPr>
        <w:pStyle w:val="2"/>
        <w:rPr>
          <w:rFonts w:hint="eastAsia"/>
        </w:rPr>
      </w:pPr>
      <w:r>
        <w:rPr>
          <w:rFonts w:hint="eastAsia"/>
          <w:lang w:val="en-US" w:eastAsia="zh-CN"/>
        </w:rPr>
        <w:t>4.2.2</w:t>
      </w:r>
      <w:r>
        <w:rPr>
          <w:rFonts w:hint="eastAsia"/>
          <w:lang w:eastAsia="zh-CN"/>
        </w:rPr>
        <w:t>中标人</w:t>
      </w:r>
      <w:r>
        <w:rPr>
          <w:rFonts w:hint="eastAsia"/>
        </w:rPr>
        <w:t>应采取一切必要的组织和管理措施（包括但不限于与外包人员签署保密协议、开展保密培训、建立信息访问权限控制机制等），确保其外包人员严格遵守本条保密义务。</w:t>
      </w:r>
      <w:r>
        <w:rPr>
          <w:rFonts w:hint="eastAsia"/>
          <w:lang w:eastAsia="zh-CN"/>
        </w:rPr>
        <w:t>中标人</w:t>
      </w:r>
      <w:r>
        <w:rPr>
          <w:rFonts w:hint="eastAsia"/>
        </w:rPr>
        <w:t>应对其外包人员的任何违反保密义务的行为承担连带责任。</w:t>
      </w:r>
    </w:p>
    <w:p w14:paraId="22636F55">
      <w:pPr>
        <w:pStyle w:val="2"/>
        <w:rPr>
          <w:rFonts w:hint="eastAsia"/>
        </w:rPr>
      </w:pPr>
      <w:r>
        <w:rPr>
          <w:rFonts w:hint="eastAsia"/>
          <w:lang w:val="en-US" w:eastAsia="zh-CN"/>
        </w:rPr>
        <w:t>4.2.3</w:t>
      </w:r>
      <w:r>
        <w:rPr>
          <w:rFonts w:hint="eastAsia"/>
        </w:rPr>
        <w:t>本保密义务不因本合同的变更、解除或终止而失效。合同终止后，</w:t>
      </w:r>
      <w:r>
        <w:rPr>
          <w:rFonts w:hint="eastAsia"/>
          <w:lang w:eastAsia="zh-CN"/>
        </w:rPr>
        <w:t>中标人</w:t>
      </w:r>
      <w:r>
        <w:rPr>
          <w:rFonts w:hint="eastAsia"/>
        </w:rPr>
        <w:t>及其外包人员仍应继续履行保密义务，直至该保密信息进入公有领域。</w:t>
      </w:r>
    </w:p>
    <w:p w14:paraId="4494BFE9">
      <w:pPr>
        <w:pStyle w:val="2"/>
        <w:rPr>
          <w:rFonts w:hint="eastAsia"/>
        </w:rPr>
      </w:pPr>
      <w:r>
        <w:rPr>
          <w:rFonts w:hint="eastAsia"/>
          <w:lang w:val="en-US" w:eastAsia="zh-CN"/>
        </w:rPr>
        <w:t>4.3</w:t>
      </w:r>
      <w:r>
        <w:rPr>
          <w:rFonts w:hint="eastAsia"/>
        </w:rPr>
        <w:t>例外情况：若保密信息系根据法律、法规、司法或行政程序的要求而必须披露的，</w:t>
      </w:r>
      <w:r>
        <w:rPr>
          <w:rFonts w:hint="eastAsia"/>
          <w:lang w:eastAsia="zh-CN"/>
        </w:rPr>
        <w:t>中标人</w:t>
      </w:r>
      <w:r>
        <w:rPr>
          <w:rFonts w:hint="eastAsia"/>
        </w:rPr>
        <w:t>应在披露前立即通知</w:t>
      </w:r>
      <w:r>
        <w:rPr>
          <w:rFonts w:hint="eastAsia"/>
          <w:lang w:eastAsia="zh-CN"/>
        </w:rPr>
        <w:t>采购人</w:t>
      </w:r>
      <w:r>
        <w:rPr>
          <w:rFonts w:hint="eastAsia"/>
        </w:rPr>
        <w:t>，并配合</w:t>
      </w:r>
      <w:r>
        <w:rPr>
          <w:rFonts w:hint="eastAsia"/>
          <w:lang w:eastAsia="zh-CN"/>
        </w:rPr>
        <w:t>采购人</w:t>
      </w:r>
      <w:r>
        <w:rPr>
          <w:rFonts w:hint="eastAsia"/>
        </w:rPr>
        <w:t>采取合法、合理的措施，最大限度地缩小披露范围，保护该信息的保密性。</w:t>
      </w:r>
    </w:p>
    <w:p w14:paraId="3692437B">
      <w:pPr>
        <w:pStyle w:val="2"/>
        <w:rPr>
          <w:rFonts w:hint="eastAsia"/>
        </w:rPr>
      </w:pPr>
      <w:r>
        <w:rPr>
          <w:rFonts w:hint="eastAsia"/>
          <w:lang w:val="en-US" w:eastAsia="zh-CN"/>
        </w:rPr>
        <w:t>4.4</w:t>
      </w:r>
      <w:r>
        <w:rPr>
          <w:rFonts w:hint="eastAsia"/>
        </w:rPr>
        <w:t>违约责任：任何一方（包括其工作人员）违反本条约定，泄露保密信息的，应承担违约责任，并赔偿由此给对方造成的全部损失（包括但不限于商誉损失、为调查和追究违约责任而支出的律师费、诉讼费、保全费等）。若该等行为给</w:t>
      </w:r>
      <w:r>
        <w:rPr>
          <w:rFonts w:hint="eastAsia"/>
          <w:lang w:eastAsia="zh-CN"/>
        </w:rPr>
        <w:t>采购人</w:t>
      </w:r>
      <w:r>
        <w:rPr>
          <w:rFonts w:hint="eastAsia"/>
        </w:rPr>
        <w:t>造成重大不利影响或损失的，</w:t>
      </w:r>
      <w:r>
        <w:rPr>
          <w:rFonts w:hint="eastAsia"/>
          <w:lang w:eastAsia="zh-CN"/>
        </w:rPr>
        <w:t>采购人</w:t>
      </w:r>
      <w:r>
        <w:rPr>
          <w:rFonts w:hint="eastAsia"/>
        </w:rPr>
        <w:t>有权单方解除本合同，并要求</w:t>
      </w:r>
      <w:r>
        <w:rPr>
          <w:rFonts w:hint="eastAsia"/>
          <w:lang w:eastAsia="zh-CN"/>
        </w:rPr>
        <w:t>中标人</w:t>
      </w:r>
      <w:r>
        <w:rPr>
          <w:rFonts w:hint="eastAsia"/>
        </w:rPr>
        <w:t>承担全部赔偿责任。</w:t>
      </w:r>
    </w:p>
    <w:p w14:paraId="38F5EBE5">
      <w:pPr>
        <w:widowControl/>
        <w:tabs>
          <w:tab w:val="left" w:pos="851"/>
        </w:tabs>
        <w:adjustRightInd/>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.其他要求：</w:t>
      </w:r>
    </w:p>
    <w:p w14:paraId="3DE66CBD">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eastAsia="宋体" w:cs="宋体"/>
          <w:color w:val="auto"/>
          <w:sz w:val="24"/>
          <w:highlight w:val="none"/>
        </w:rPr>
        <w:t>▲</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.1中标人须无条件配合</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接受上级领导、部门的监督、检查，做好各项工作并提供必须的资料。</w:t>
      </w:r>
    </w:p>
    <w:p w14:paraId="04F10238">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eastAsia="宋体" w:cs="宋体"/>
          <w:color w:val="auto"/>
          <w:sz w:val="24"/>
          <w:highlight w:val="none"/>
        </w:rPr>
        <w:t>▲</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2中标人须认真履行职责，严格按服务协议中的质量保证体系做好服务工作。确保在岗在位，各尽其职，保证符合各项服务的质量标准。如不能保证符合各项服务的质量标准及中标人各项服务承诺，</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有权要求其整改。</w:t>
      </w:r>
    </w:p>
    <w:p w14:paraId="78DAC432">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.3为保证</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的正常医疗活动的开展，中标人须提供详细的交接方案。</w:t>
      </w:r>
    </w:p>
    <w:p w14:paraId="502CF357">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rPr>
        <w:t>社会保险与商业保险</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中标人必须依法为所有外包服务人员（包括但不限于试用期人员）按时、足额缴纳社会保险（包括养老、医疗、工伤、生育险、失业保险等）。中标人应在与采购人签订合同后15日内，及此后每季度结束后10日内，向采购人提供加盖公章的社会保险缴纳凭证复印件，以供核查。如中标人未依法缴纳社会保险导致采购人被追究任何法律责任或遭受任何损失的，中标人应承担全部赔偿责任。对因年龄等原因无法缴纳社会保险的人员，中标人须在人员上岗前为其购买不低于人民币20万元赔付额度的雇主责任险或意外伤害险，并将保单复印件提交采购人备案。</w:t>
      </w:r>
    </w:p>
    <w:p w14:paraId="4DBF7DFC">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如</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要求更换外包人员时，中标人须在</w:t>
      </w:r>
      <w:r>
        <w:rPr>
          <w:rFonts w:hint="eastAsia" w:ascii="宋体" w:hAnsi="宋体" w:cs="宋体"/>
          <w:bCs/>
          <w:color w:val="auto"/>
          <w:kern w:val="0"/>
          <w:sz w:val="24"/>
          <w:highlight w:val="none"/>
          <w:lang w:val="en-US" w:eastAsia="zh-CN"/>
        </w:rPr>
        <w:t>30</w:t>
      </w:r>
      <w:r>
        <w:rPr>
          <w:rFonts w:hint="eastAsia" w:ascii="宋体" w:hAnsi="宋体" w:cs="宋体"/>
          <w:bCs/>
          <w:color w:val="auto"/>
          <w:kern w:val="0"/>
          <w:sz w:val="24"/>
          <w:highlight w:val="none"/>
        </w:rPr>
        <w:t>天内按岗位职责要求安排新人到岗，人员须经过相关科室负责人认可。</w:t>
      </w:r>
    </w:p>
    <w:p w14:paraId="7EDCCE5A">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对于外包人员的工作质量考核，奖勤罚懒，具体考核细则由</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制定，每月由科室考核打分，对发现问题，科室有权要求中标人进行整改、罚款甚至终止该名服务人员服务合同。</w:t>
      </w:r>
    </w:p>
    <w:p w14:paraId="1F77EBB2">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7采购人</w:t>
      </w:r>
      <w:r>
        <w:rPr>
          <w:rFonts w:hint="eastAsia" w:ascii="宋体" w:hAnsi="宋体" w:cs="宋体"/>
          <w:bCs/>
          <w:color w:val="auto"/>
          <w:kern w:val="0"/>
          <w:sz w:val="24"/>
          <w:highlight w:val="none"/>
        </w:rPr>
        <w:t>有权随时建议辞退违法乱纪或严重影响</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声誉的外包人员，情节特别严重的，由</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移交相关部门处理。</w:t>
      </w:r>
    </w:p>
    <w:p w14:paraId="7F60ECB6">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8</w:t>
      </w:r>
      <w:r>
        <w:rPr>
          <w:rFonts w:hint="eastAsia" w:ascii="宋体" w:hAnsi="宋体" w:cs="宋体"/>
          <w:bCs/>
          <w:color w:val="auto"/>
          <w:kern w:val="0"/>
          <w:sz w:val="24"/>
          <w:highlight w:val="none"/>
        </w:rPr>
        <w:t>中标人不得转包和分包，若发现转包和分包，</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有权立即终止合同。</w:t>
      </w:r>
    </w:p>
    <w:p w14:paraId="3CA58B69">
      <w:pPr>
        <w:widowControl/>
        <w:tabs>
          <w:tab w:val="left" w:pos="851"/>
        </w:tabs>
        <w:adjustRightInd/>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9</w:t>
      </w:r>
      <w:r>
        <w:rPr>
          <w:rFonts w:hint="eastAsia" w:ascii="宋体" w:hAnsi="宋体" w:cs="宋体"/>
          <w:bCs/>
          <w:color w:val="auto"/>
          <w:kern w:val="0"/>
          <w:sz w:val="24"/>
          <w:highlight w:val="none"/>
        </w:rPr>
        <w:t>中标人须遵守中华人民共和国劳动法、劳动合同法等法律法规和浙江省、宁波市的有关规定。</w:t>
      </w:r>
    </w:p>
    <w:p w14:paraId="4F4D9F7C">
      <w:pPr>
        <w:widowControl/>
        <w:tabs>
          <w:tab w:val="left" w:pos="851"/>
        </w:tabs>
        <w:adjustRightInd/>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val="en-US" w:eastAsia="zh-CN"/>
        </w:rPr>
        <w:t>0</w:t>
      </w:r>
      <w:r>
        <w:rPr>
          <w:rFonts w:hint="eastAsia" w:ascii="宋体" w:hAnsi="宋体" w:cs="宋体"/>
          <w:bCs/>
          <w:color w:val="auto"/>
          <w:kern w:val="0"/>
          <w:sz w:val="24"/>
          <w:highlight w:val="none"/>
        </w:rPr>
        <w:t xml:space="preserve"> 用工安全与责任承担</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中标人作为用人单位，应承担外包服务人员的用工管理主体责任，包括但不限于安全生产、劳动保护、工伤事故处理等。服务期间，若发生与履行岗位职责相关的工伤事故，由中标人负责按照《工伤保险条例》等法律法规的规定进行处理并承担相应责任。若因中标人未尽到管理职责，导致发生安全事故，给采购人或第三方造成人身或财产损失的，由中标人承担全部赔偿责任。</w:t>
      </w:r>
    </w:p>
    <w:p w14:paraId="43A22E26">
      <w:pPr>
        <w:pStyle w:val="2"/>
        <w:rPr>
          <w:color w:val="auto"/>
          <w:highlight w:val="none"/>
        </w:rPr>
      </w:pPr>
      <w:r>
        <w:rPr>
          <w:rFonts w:hint="eastAsia"/>
          <w:color w:val="auto"/>
          <w:highlight w:val="none"/>
          <w:lang w:val="en-US" w:eastAsia="zh-CN"/>
        </w:rPr>
        <w:t>5.11投标人</w:t>
      </w:r>
      <w:r>
        <w:rPr>
          <w:rFonts w:hint="eastAsia"/>
          <w:color w:val="auto"/>
          <w:highlight w:val="none"/>
        </w:rPr>
        <w:t>应就本项目提供管理团队</w:t>
      </w:r>
      <w:r>
        <w:rPr>
          <w:rFonts w:hint="eastAsia"/>
          <w:color w:val="auto"/>
          <w:highlight w:val="none"/>
          <w:lang w:eastAsia="zh-CN"/>
        </w:rPr>
        <w:t>，</w:t>
      </w:r>
      <w:r>
        <w:rPr>
          <w:rFonts w:hint="eastAsia"/>
          <w:color w:val="auto"/>
          <w:highlight w:val="none"/>
          <w:lang w:val="en-US" w:eastAsia="zh-CN"/>
        </w:rPr>
        <w:t>其中</w:t>
      </w:r>
      <w:r>
        <w:rPr>
          <w:rFonts w:hint="eastAsia"/>
          <w:color w:val="auto"/>
          <w:highlight w:val="none"/>
        </w:rPr>
        <w:t>拟派主要管理人员需具有中级及以上经济师职称证书，其他管理人员应具有人力资源相关知识储备及同类项目</w:t>
      </w:r>
      <w:r>
        <w:rPr>
          <w:rFonts w:hint="eastAsia"/>
          <w:color w:val="auto"/>
          <w:highlight w:val="none"/>
          <w:lang w:val="en-US" w:eastAsia="zh-CN"/>
        </w:rPr>
        <w:t>工作经验</w:t>
      </w:r>
      <w:r>
        <w:rPr>
          <w:rFonts w:hint="eastAsia"/>
          <w:color w:val="auto"/>
          <w:highlight w:val="none"/>
        </w:rPr>
        <w:t>。中标后，实际派驻的管理团队成员应与投标文件一致，未经采购人书面同意不得随意更换，否则视为违约。</w:t>
      </w:r>
    </w:p>
    <w:p w14:paraId="23D013B3">
      <w:pPr>
        <w:pStyle w:val="3"/>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rPr>
        <w:t>如遇政策性变故，或政府行为需终止合同，中标人需无条件服从。</w:t>
      </w:r>
    </w:p>
    <w:p w14:paraId="5BBD83DD">
      <w:pPr>
        <w:spacing w:line="360" w:lineRule="auto"/>
        <w:jc w:val="center"/>
        <w:outlineLvl w:val="0"/>
        <w:rPr>
          <w:rFonts w:hint="eastAsia" w:ascii="宋体" w:hAnsi="宋体" w:eastAsia="宋体" w:cs="宋体"/>
          <w:b/>
          <w:color w:val="auto"/>
          <w:sz w:val="36"/>
          <w:szCs w:val="36"/>
          <w:highlight w:val="none"/>
        </w:rPr>
      </w:pPr>
    </w:p>
    <w:p w14:paraId="7FE76B12">
      <w:pPr>
        <w:spacing w:line="360" w:lineRule="auto"/>
        <w:jc w:val="center"/>
        <w:outlineLvl w:val="0"/>
        <w:rPr>
          <w:rFonts w:hint="eastAsia" w:ascii="宋体" w:hAnsi="宋体" w:eastAsia="宋体" w:cs="宋体"/>
          <w:b/>
          <w:color w:val="auto"/>
          <w:sz w:val="36"/>
          <w:szCs w:val="36"/>
          <w:highlight w:val="none"/>
        </w:rPr>
      </w:pPr>
    </w:p>
    <w:p w14:paraId="59F9E632">
      <w:pPr>
        <w:spacing w:line="360" w:lineRule="auto"/>
        <w:jc w:val="center"/>
        <w:outlineLvl w:val="0"/>
        <w:rPr>
          <w:rFonts w:hint="eastAsia" w:ascii="宋体" w:hAnsi="宋体" w:eastAsia="宋体" w:cs="宋体"/>
          <w:b/>
          <w:color w:val="auto"/>
          <w:sz w:val="36"/>
          <w:szCs w:val="36"/>
          <w:highlight w:val="none"/>
        </w:rPr>
      </w:pPr>
    </w:p>
    <w:p w14:paraId="4A31AB30">
      <w:pPr>
        <w:spacing w:line="360" w:lineRule="auto"/>
        <w:jc w:val="center"/>
        <w:outlineLvl w:val="0"/>
        <w:rPr>
          <w:rFonts w:hint="eastAsia" w:ascii="宋体" w:hAnsi="宋体" w:eastAsia="宋体" w:cs="宋体"/>
          <w:b/>
          <w:color w:val="auto"/>
          <w:sz w:val="36"/>
          <w:szCs w:val="36"/>
          <w:highlight w:val="none"/>
        </w:rPr>
      </w:pPr>
    </w:p>
    <w:p w14:paraId="5520F3E2">
      <w:pPr>
        <w:spacing w:line="360" w:lineRule="auto"/>
        <w:jc w:val="center"/>
        <w:outlineLvl w:val="0"/>
        <w:rPr>
          <w:rFonts w:hint="eastAsia" w:ascii="宋体" w:hAnsi="宋体" w:eastAsia="宋体" w:cs="宋体"/>
          <w:b/>
          <w:color w:val="auto"/>
          <w:sz w:val="36"/>
          <w:szCs w:val="36"/>
          <w:highlight w:val="none"/>
        </w:rPr>
      </w:pPr>
    </w:p>
    <w:p w14:paraId="28002F38">
      <w:pPr>
        <w:spacing w:line="360" w:lineRule="auto"/>
        <w:jc w:val="center"/>
        <w:outlineLvl w:val="0"/>
        <w:rPr>
          <w:rFonts w:hint="eastAsia" w:ascii="宋体" w:hAnsi="宋体" w:eastAsia="宋体" w:cs="宋体"/>
          <w:b/>
          <w:color w:val="auto"/>
          <w:sz w:val="36"/>
          <w:szCs w:val="36"/>
          <w:highlight w:val="none"/>
        </w:rPr>
      </w:pPr>
    </w:p>
    <w:p w14:paraId="5F91B86C">
      <w:pPr>
        <w:spacing w:line="360" w:lineRule="auto"/>
        <w:jc w:val="center"/>
        <w:outlineLvl w:val="0"/>
        <w:rPr>
          <w:rFonts w:hint="eastAsia" w:ascii="宋体" w:hAnsi="宋体" w:eastAsia="宋体" w:cs="宋体"/>
          <w:b/>
          <w:color w:val="auto"/>
          <w:sz w:val="36"/>
          <w:szCs w:val="36"/>
          <w:highlight w:val="none"/>
        </w:rPr>
      </w:pPr>
    </w:p>
    <w:p w14:paraId="6A28FBDA">
      <w:pPr>
        <w:spacing w:line="360" w:lineRule="auto"/>
        <w:jc w:val="center"/>
        <w:outlineLvl w:val="0"/>
        <w:rPr>
          <w:rFonts w:hint="eastAsia" w:ascii="宋体" w:hAnsi="宋体" w:eastAsia="宋体" w:cs="宋体"/>
          <w:b/>
          <w:color w:val="auto"/>
          <w:sz w:val="36"/>
          <w:szCs w:val="36"/>
          <w:highlight w:val="none"/>
        </w:rPr>
      </w:pPr>
    </w:p>
    <w:p w14:paraId="03CF2D70">
      <w:pPr>
        <w:spacing w:line="360" w:lineRule="auto"/>
        <w:jc w:val="center"/>
        <w:outlineLvl w:val="0"/>
        <w:rPr>
          <w:rFonts w:hint="eastAsia" w:ascii="宋体" w:hAnsi="宋体" w:eastAsia="宋体" w:cs="宋体"/>
          <w:b/>
          <w:color w:val="auto"/>
          <w:sz w:val="36"/>
          <w:szCs w:val="36"/>
          <w:highlight w:val="none"/>
        </w:rPr>
      </w:pPr>
    </w:p>
    <w:p w14:paraId="5962CC5A">
      <w:pPr>
        <w:pStyle w:val="2"/>
        <w:rPr>
          <w:rFonts w:hint="eastAsia" w:ascii="宋体" w:hAnsi="宋体" w:eastAsia="宋体" w:cs="宋体"/>
          <w:b/>
          <w:color w:val="auto"/>
          <w:sz w:val="36"/>
          <w:szCs w:val="36"/>
          <w:highlight w:val="none"/>
        </w:rPr>
      </w:pPr>
    </w:p>
    <w:p w14:paraId="3F0E1D3A">
      <w:pPr>
        <w:rPr>
          <w:rFonts w:hint="eastAsia" w:ascii="宋体" w:hAnsi="宋体" w:eastAsia="宋体" w:cs="宋体"/>
          <w:b/>
          <w:color w:val="auto"/>
          <w:sz w:val="36"/>
          <w:szCs w:val="36"/>
          <w:highlight w:val="none"/>
        </w:rPr>
      </w:pPr>
    </w:p>
    <w:p w14:paraId="4212C5D1">
      <w:pPr>
        <w:pStyle w:val="2"/>
        <w:rPr>
          <w:rFonts w:hint="eastAsia" w:ascii="宋体" w:hAnsi="宋体" w:eastAsia="宋体" w:cs="宋体"/>
          <w:b/>
          <w:color w:val="auto"/>
          <w:sz w:val="36"/>
          <w:szCs w:val="36"/>
          <w:highlight w:val="none"/>
        </w:rPr>
      </w:pPr>
    </w:p>
    <w:p w14:paraId="44457577">
      <w:pPr>
        <w:rPr>
          <w:rFonts w:hint="eastAsia" w:ascii="宋体" w:hAnsi="宋体" w:eastAsia="宋体" w:cs="宋体"/>
          <w:b/>
          <w:color w:val="auto"/>
          <w:sz w:val="36"/>
          <w:szCs w:val="36"/>
          <w:highlight w:val="none"/>
        </w:rPr>
      </w:pPr>
    </w:p>
    <w:p w14:paraId="17DE4F89">
      <w:pPr>
        <w:pStyle w:val="2"/>
        <w:rPr>
          <w:rFonts w:hint="eastAsia" w:ascii="宋体" w:hAnsi="宋体" w:eastAsia="宋体" w:cs="宋体"/>
          <w:b/>
          <w:color w:val="auto"/>
          <w:sz w:val="36"/>
          <w:szCs w:val="36"/>
          <w:highlight w:val="none"/>
        </w:rPr>
      </w:pPr>
    </w:p>
    <w:p w14:paraId="2761012E">
      <w:pPr>
        <w:rPr>
          <w:rFonts w:hint="eastAsia" w:ascii="宋体" w:hAnsi="宋体" w:eastAsia="宋体" w:cs="宋体"/>
          <w:b/>
          <w:color w:val="auto"/>
          <w:sz w:val="36"/>
          <w:szCs w:val="36"/>
          <w:highlight w:val="none"/>
        </w:rPr>
      </w:pPr>
    </w:p>
    <w:p w14:paraId="54FEE304">
      <w:pPr>
        <w:pStyle w:val="2"/>
        <w:rPr>
          <w:rFonts w:hint="eastAsia" w:ascii="宋体" w:hAnsi="宋体" w:eastAsia="宋体" w:cs="宋体"/>
          <w:b/>
          <w:color w:val="auto"/>
          <w:sz w:val="36"/>
          <w:szCs w:val="36"/>
          <w:highlight w:val="none"/>
        </w:rPr>
      </w:pPr>
    </w:p>
    <w:p w14:paraId="2F611ABC">
      <w:pPr>
        <w:rPr>
          <w:rFonts w:hint="eastAsia" w:ascii="宋体" w:hAnsi="宋体" w:eastAsia="宋体" w:cs="宋体"/>
          <w:b/>
          <w:color w:val="auto"/>
          <w:sz w:val="36"/>
          <w:szCs w:val="36"/>
          <w:highlight w:val="none"/>
        </w:rPr>
      </w:pPr>
    </w:p>
    <w:p w14:paraId="159DFC0C">
      <w:pPr>
        <w:pStyle w:val="2"/>
        <w:rPr>
          <w:rFonts w:hint="eastAsia" w:ascii="宋体" w:hAnsi="宋体" w:eastAsia="宋体" w:cs="宋体"/>
          <w:b/>
          <w:color w:val="auto"/>
          <w:sz w:val="36"/>
          <w:szCs w:val="36"/>
          <w:highlight w:val="none"/>
        </w:rPr>
      </w:pPr>
    </w:p>
    <w:p w14:paraId="758E8E30">
      <w:pPr>
        <w:rPr>
          <w:rFonts w:hint="eastAsia"/>
        </w:rPr>
      </w:pPr>
    </w:p>
    <w:p w14:paraId="35E6F1CE">
      <w:pPr>
        <w:spacing w:line="360" w:lineRule="auto"/>
        <w:jc w:val="center"/>
        <w:outlineLvl w:val="0"/>
        <w:rPr>
          <w:rFonts w:hint="eastAsia" w:ascii="宋体" w:hAnsi="宋体" w:eastAsia="宋体" w:cs="宋体"/>
          <w:b/>
          <w:color w:val="auto"/>
          <w:sz w:val="36"/>
          <w:szCs w:val="36"/>
          <w:highlight w:val="none"/>
        </w:rPr>
      </w:pPr>
    </w:p>
    <w:p w14:paraId="25EB2C15">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第四部分   </w:t>
      </w:r>
      <w:bookmarkStart w:id="64" w:name="_Toc184313297"/>
      <w:bookmarkEnd w:id="64"/>
      <w:bookmarkStart w:id="65" w:name="_Toc184313290"/>
      <w:bookmarkEnd w:id="65"/>
      <w:bookmarkStart w:id="66" w:name="_Toc184313300"/>
      <w:bookmarkEnd w:id="66"/>
      <w:bookmarkStart w:id="67" w:name="_Toc184312132"/>
      <w:bookmarkEnd w:id="67"/>
      <w:bookmarkStart w:id="68" w:name="_Toc184310301"/>
      <w:bookmarkEnd w:id="68"/>
      <w:bookmarkStart w:id="69" w:name="_Toc184314445"/>
      <w:bookmarkEnd w:id="69"/>
      <w:bookmarkStart w:id="70" w:name="_Toc184312085"/>
      <w:bookmarkEnd w:id="70"/>
      <w:bookmarkStart w:id="71" w:name="_Toc184314457"/>
      <w:bookmarkEnd w:id="71"/>
      <w:bookmarkStart w:id="72" w:name="_Toc184312081"/>
      <w:bookmarkEnd w:id="72"/>
      <w:bookmarkStart w:id="73" w:name="_Toc184310337"/>
      <w:bookmarkEnd w:id="73"/>
      <w:bookmarkStart w:id="74" w:name="_Toc184312091"/>
      <w:bookmarkEnd w:id="74"/>
      <w:bookmarkStart w:id="75" w:name="_Toc184312139"/>
      <w:bookmarkEnd w:id="75"/>
      <w:bookmarkStart w:id="76" w:name="_Toc184314437"/>
      <w:bookmarkEnd w:id="76"/>
      <w:bookmarkStart w:id="77" w:name="_Toc184313260"/>
      <w:bookmarkEnd w:id="77"/>
      <w:bookmarkStart w:id="78" w:name="_Toc184310324"/>
      <w:bookmarkEnd w:id="78"/>
      <w:bookmarkStart w:id="79" w:name="_Toc184310314"/>
      <w:bookmarkEnd w:id="79"/>
      <w:bookmarkStart w:id="80" w:name="_Toc184310283"/>
      <w:bookmarkEnd w:id="80"/>
      <w:bookmarkStart w:id="81" w:name="_Toc184313263"/>
      <w:bookmarkEnd w:id="81"/>
      <w:bookmarkStart w:id="82" w:name="_Toc184310300"/>
      <w:bookmarkEnd w:id="82"/>
      <w:bookmarkStart w:id="83" w:name="_Toc184310292"/>
      <w:bookmarkEnd w:id="83"/>
      <w:bookmarkStart w:id="84" w:name="_Toc184312095"/>
      <w:bookmarkEnd w:id="84"/>
      <w:bookmarkStart w:id="85" w:name="_Toc184312126"/>
      <w:bookmarkEnd w:id="85"/>
      <w:bookmarkStart w:id="86" w:name="_Toc184308087"/>
      <w:bookmarkEnd w:id="86"/>
      <w:bookmarkStart w:id="87" w:name="_Toc184313278"/>
      <w:bookmarkEnd w:id="87"/>
      <w:bookmarkStart w:id="88" w:name="_Toc184310320"/>
      <w:bookmarkEnd w:id="88"/>
      <w:bookmarkStart w:id="89" w:name="_Toc184312111"/>
      <w:bookmarkEnd w:id="89"/>
      <w:bookmarkStart w:id="90" w:name="_Toc184310286"/>
      <w:bookmarkEnd w:id="90"/>
      <w:bookmarkStart w:id="91" w:name="_Toc184310306"/>
      <w:bookmarkEnd w:id="91"/>
      <w:bookmarkStart w:id="92" w:name="_Toc184312100"/>
      <w:bookmarkEnd w:id="92"/>
      <w:bookmarkStart w:id="93" w:name="_Toc184308078"/>
      <w:bookmarkEnd w:id="93"/>
      <w:bookmarkStart w:id="94" w:name="_Toc184308047"/>
      <w:bookmarkEnd w:id="94"/>
      <w:bookmarkStart w:id="95" w:name="_Toc184308043"/>
      <w:bookmarkEnd w:id="95"/>
      <w:bookmarkStart w:id="96" w:name="_Toc184310343"/>
      <w:bookmarkEnd w:id="96"/>
      <w:bookmarkStart w:id="97" w:name="_Toc184308038"/>
      <w:bookmarkEnd w:id="97"/>
      <w:bookmarkStart w:id="98" w:name="_Toc184314442"/>
      <w:bookmarkEnd w:id="98"/>
      <w:bookmarkStart w:id="99" w:name="_Toc184312077"/>
      <w:bookmarkEnd w:id="99"/>
      <w:bookmarkStart w:id="100" w:name="_Toc184313251"/>
      <w:bookmarkEnd w:id="100"/>
      <w:bookmarkStart w:id="101" w:name="_Toc184310280"/>
      <w:bookmarkEnd w:id="101"/>
      <w:bookmarkStart w:id="102" w:name="_Toc184314426"/>
      <w:bookmarkEnd w:id="102"/>
      <w:bookmarkStart w:id="103" w:name="_Toc184310326"/>
      <w:bookmarkEnd w:id="103"/>
      <w:bookmarkStart w:id="104" w:name="_Toc184310294"/>
      <w:bookmarkEnd w:id="104"/>
      <w:bookmarkStart w:id="105" w:name="_Toc184308046"/>
      <w:bookmarkEnd w:id="105"/>
      <w:bookmarkStart w:id="106" w:name="_Toc184312069"/>
      <w:bookmarkEnd w:id="106"/>
      <w:bookmarkStart w:id="107" w:name="_Toc184310295"/>
      <w:bookmarkEnd w:id="107"/>
      <w:bookmarkStart w:id="108" w:name="_Toc184314461"/>
      <w:bookmarkEnd w:id="108"/>
      <w:bookmarkStart w:id="109" w:name="_Toc184310279"/>
      <w:bookmarkEnd w:id="109"/>
      <w:bookmarkStart w:id="110" w:name="_Toc184313248"/>
      <w:bookmarkEnd w:id="110"/>
      <w:bookmarkStart w:id="111" w:name="_Toc184308041"/>
      <w:bookmarkEnd w:id="111"/>
      <w:bookmarkStart w:id="112" w:name="_Toc184312136"/>
      <w:bookmarkEnd w:id="112"/>
      <w:bookmarkStart w:id="113" w:name="_Toc184314421"/>
      <w:bookmarkEnd w:id="113"/>
      <w:bookmarkStart w:id="114" w:name="_Toc184308071"/>
      <w:bookmarkEnd w:id="114"/>
      <w:bookmarkStart w:id="115" w:name="_Toc184314413"/>
      <w:bookmarkEnd w:id="115"/>
      <w:bookmarkStart w:id="116" w:name="_Toc184314412"/>
      <w:bookmarkEnd w:id="116"/>
      <w:bookmarkStart w:id="117" w:name="_Toc184313288"/>
      <w:bookmarkEnd w:id="117"/>
      <w:bookmarkStart w:id="118" w:name="_Toc184310275"/>
      <w:bookmarkEnd w:id="118"/>
      <w:bookmarkStart w:id="119" w:name="_Toc184310288"/>
      <w:bookmarkEnd w:id="119"/>
      <w:bookmarkStart w:id="120" w:name="_Toc184314481"/>
      <w:bookmarkEnd w:id="120"/>
      <w:bookmarkStart w:id="121" w:name="_Toc184310323"/>
      <w:bookmarkEnd w:id="121"/>
      <w:bookmarkStart w:id="122" w:name="_Toc184308105"/>
      <w:bookmarkEnd w:id="122"/>
      <w:bookmarkStart w:id="123" w:name="_Toc184308085"/>
      <w:bookmarkEnd w:id="123"/>
      <w:bookmarkStart w:id="124" w:name="_Toc184310289"/>
      <w:bookmarkEnd w:id="124"/>
      <w:bookmarkStart w:id="125" w:name="_Toc184312080"/>
      <w:bookmarkEnd w:id="125"/>
      <w:bookmarkStart w:id="126" w:name="_Toc184314472"/>
      <w:bookmarkEnd w:id="126"/>
      <w:bookmarkStart w:id="127" w:name="_Toc184312109"/>
      <w:bookmarkEnd w:id="127"/>
      <w:bookmarkStart w:id="128" w:name="_Toc184312071"/>
      <w:bookmarkEnd w:id="128"/>
      <w:bookmarkStart w:id="129" w:name="_Toc184313284"/>
      <w:bookmarkEnd w:id="129"/>
      <w:bookmarkStart w:id="130" w:name="_Toc184313274"/>
      <w:bookmarkEnd w:id="130"/>
      <w:bookmarkStart w:id="131" w:name="_Toc184312121"/>
      <w:bookmarkEnd w:id="131"/>
      <w:bookmarkStart w:id="132" w:name="_Toc184308104"/>
      <w:bookmarkEnd w:id="132"/>
      <w:bookmarkStart w:id="133" w:name="_Toc184312076"/>
      <w:bookmarkEnd w:id="133"/>
      <w:bookmarkStart w:id="134" w:name="_Toc184313295"/>
      <w:bookmarkEnd w:id="134"/>
      <w:bookmarkStart w:id="135" w:name="_Toc184313245"/>
      <w:bookmarkEnd w:id="135"/>
      <w:bookmarkStart w:id="136" w:name="_Toc184310281"/>
      <w:bookmarkEnd w:id="136"/>
      <w:bookmarkStart w:id="137" w:name="_Toc184308073"/>
      <w:bookmarkEnd w:id="137"/>
      <w:bookmarkStart w:id="138" w:name="_Toc184312115"/>
      <w:bookmarkEnd w:id="138"/>
      <w:bookmarkStart w:id="139" w:name="_Toc184313309"/>
      <w:bookmarkEnd w:id="139"/>
      <w:bookmarkStart w:id="140" w:name="_Toc184308062"/>
      <w:bookmarkEnd w:id="140"/>
      <w:bookmarkStart w:id="141" w:name="_Toc184308039"/>
      <w:bookmarkEnd w:id="141"/>
      <w:bookmarkStart w:id="142" w:name="_Toc184310282"/>
      <w:bookmarkEnd w:id="142"/>
      <w:bookmarkStart w:id="143" w:name="_Toc184312068"/>
      <w:bookmarkEnd w:id="143"/>
      <w:bookmarkStart w:id="144" w:name="_Toc184312075"/>
      <w:bookmarkEnd w:id="144"/>
      <w:bookmarkStart w:id="145" w:name="_Toc184308064"/>
      <w:bookmarkEnd w:id="145"/>
      <w:bookmarkStart w:id="146" w:name="_Toc184313270"/>
      <w:bookmarkEnd w:id="146"/>
      <w:bookmarkStart w:id="147" w:name="_Toc184312123"/>
      <w:bookmarkEnd w:id="147"/>
      <w:bookmarkStart w:id="148" w:name="_Toc184310285"/>
      <w:bookmarkEnd w:id="148"/>
      <w:bookmarkStart w:id="149" w:name="_Toc184314467"/>
      <w:bookmarkEnd w:id="149"/>
      <w:bookmarkStart w:id="150" w:name="_Toc184310305"/>
      <w:bookmarkEnd w:id="150"/>
      <w:bookmarkStart w:id="151" w:name="_Toc184308107"/>
      <w:bookmarkEnd w:id="151"/>
      <w:bookmarkStart w:id="152" w:name="_Toc184312134"/>
      <w:bookmarkEnd w:id="152"/>
      <w:bookmarkStart w:id="153" w:name="_Toc184312093"/>
      <w:bookmarkEnd w:id="153"/>
      <w:bookmarkStart w:id="154" w:name="_Toc184310328"/>
      <w:bookmarkEnd w:id="154"/>
      <w:bookmarkStart w:id="155" w:name="_Toc184308066"/>
      <w:bookmarkEnd w:id="155"/>
      <w:bookmarkStart w:id="156" w:name="_Toc184310273"/>
      <w:bookmarkEnd w:id="156"/>
      <w:bookmarkStart w:id="157" w:name="_Toc184308036"/>
      <w:bookmarkEnd w:id="157"/>
      <w:bookmarkStart w:id="158" w:name="_Toc184314440"/>
      <w:bookmarkEnd w:id="158"/>
      <w:bookmarkStart w:id="159" w:name="_Toc184308056"/>
      <w:bookmarkEnd w:id="159"/>
      <w:bookmarkStart w:id="160" w:name="_Toc184310341"/>
      <w:bookmarkEnd w:id="160"/>
      <w:bookmarkStart w:id="161" w:name="_Toc184314480"/>
      <w:bookmarkEnd w:id="161"/>
      <w:bookmarkStart w:id="162" w:name="_Toc184313240"/>
      <w:bookmarkEnd w:id="162"/>
      <w:bookmarkStart w:id="163" w:name="_Toc184310299"/>
      <w:bookmarkEnd w:id="163"/>
      <w:bookmarkStart w:id="164" w:name="_Toc184312137"/>
      <w:bookmarkEnd w:id="164"/>
      <w:bookmarkStart w:id="165" w:name="_Toc184314470"/>
      <w:bookmarkEnd w:id="165"/>
      <w:bookmarkStart w:id="166" w:name="_Toc184308065"/>
      <w:bookmarkEnd w:id="166"/>
      <w:bookmarkStart w:id="167" w:name="_Toc184310335"/>
      <w:bookmarkEnd w:id="167"/>
      <w:bookmarkStart w:id="168" w:name="_Toc184313249"/>
      <w:bookmarkEnd w:id="168"/>
      <w:bookmarkStart w:id="169" w:name="_Toc184310293"/>
      <w:bookmarkEnd w:id="169"/>
      <w:bookmarkStart w:id="170" w:name="_Toc184314424"/>
      <w:bookmarkEnd w:id="170"/>
      <w:bookmarkStart w:id="171" w:name="_Toc184313273"/>
      <w:bookmarkEnd w:id="171"/>
      <w:bookmarkStart w:id="172" w:name="_Toc184310317"/>
      <w:bookmarkEnd w:id="172"/>
      <w:bookmarkStart w:id="173" w:name="_Toc184313296"/>
      <w:bookmarkEnd w:id="173"/>
      <w:bookmarkStart w:id="174" w:name="_Toc184312088"/>
      <w:bookmarkEnd w:id="174"/>
      <w:bookmarkStart w:id="175" w:name="_Toc184313293"/>
      <w:bookmarkEnd w:id="175"/>
      <w:bookmarkStart w:id="176" w:name="_Toc184308080"/>
      <w:bookmarkEnd w:id="176"/>
      <w:bookmarkStart w:id="177" w:name="_Toc184314415"/>
      <w:bookmarkEnd w:id="177"/>
      <w:bookmarkStart w:id="178" w:name="_Toc184308083"/>
      <w:bookmarkEnd w:id="178"/>
      <w:bookmarkStart w:id="179" w:name="_Toc184310274"/>
      <w:bookmarkEnd w:id="179"/>
      <w:bookmarkStart w:id="180" w:name="_Toc184308099"/>
      <w:bookmarkEnd w:id="180"/>
      <w:bookmarkStart w:id="181" w:name="_Toc184314423"/>
      <w:bookmarkEnd w:id="181"/>
      <w:bookmarkStart w:id="182" w:name="_Toc184310277"/>
      <w:bookmarkEnd w:id="182"/>
      <w:bookmarkStart w:id="183" w:name="_Toc184314456"/>
      <w:bookmarkEnd w:id="183"/>
      <w:bookmarkStart w:id="184" w:name="_Toc184312098"/>
      <w:bookmarkEnd w:id="184"/>
      <w:bookmarkStart w:id="185" w:name="_Toc184314460"/>
      <w:bookmarkEnd w:id="185"/>
      <w:bookmarkStart w:id="186" w:name="_Toc184313310"/>
      <w:bookmarkEnd w:id="186"/>
      <w:bookmarkStart w:id="187" w:name="_Toc184314458"/>
      <w:bookmarkEnd w:id="187"/>
      <w:bookmarkStart w:id="188" w:name="_Toc184313298"/>
      <w:bookmarkEnd w:id="188"/>
      <w:bookmarkStart w:id="189" w:name="_Toc184314448"/>
      <w:bookmarkEnd w:id="189"/>
      <w:bookmarkStart w:id="190" w:name="_Toc184308094"/>
      <w:bookmarkEnd w:id="190"/>
      <w:bookmarkStart w:id="191" w:name="_Toc184313259"/>
      <w:bookmarkEnd w:id="191"/>
      <w:bookmarkStart w:id="192" w:name="_Toc184308055"/>
      <w:bookmarkEnd w:id="192"/>
      <w:bookmarkStart w:id="193" w:name="_Toc184313277"/>
      <w:bookmarkEnd w:id="193"/>
      <w:bookmarkStart w:id="194" w:name="_Toc184313247"/>
      <w:bookmarkEnd w:id="194"/>
      <w:bookmarkStart w:id="195" w:name="_Toc184310327"/>
      <w:bookmarkEnd w:id="195"/>
      <w:bookmarkStart w:id="196" w:name="_Toc184314459"/>
      <w:bookmarkEnd w:id="196"/>
      <w:bookmarkStart w:id="197" w:name="_Toc184312072"/>
      <w:bookmarkEnd w:id="197"/>
      <w:bookmarkStart w:id="198" w:name="_Toc184310296"/>
      <w:bookmarkEnd w:id="198"/>
      <w:bookmarkStart w:id="199" w:name="_Toc184308051"/>
      <w:bookmarkEnd w:id="199"/>
      <w:bookmarkStart w:id="200" w:name="_Toc184313281"/>
      <w:bookmarkEnd w:id="200"/>
      <w:bookmarkStart w:id="201" w:name="_Toc184314468"/>
      <w:bookmarkEnd w:id="201"/>
      <w:bookmarkStart w:id="202" w:name="_Toc184310310"/>
      <w:bookmarkEnd w:id="202"/>
      <w:bookmarkStart w:id="203" w:name="_Toc184308040"/>
      <w:bookmarkEnd w:id="203"/>
      <w:bookmarkStart w:id="204" w:name="_Toc184313275"/>
      <w:bookmarkEnd w:id="204"/>
      <w:bookmarkStart w:id="205" w:name="_Toc184314416"/>
      <w:bookmarkEnd w:id="205"/>
      <w:bookmarkStart w:id="206" w:name="_Toc184313269"/>
      <w:bookmarkEnd w:id="206"/>
      <w:bookmarkStart w:id="207" w:name="_Toc184308108"/>
      <w:bookmarkEnd w:id="207"/>
      <w:bookmarkStart w:id="208" w:name="_Toc184308067"/>
      <w:bookmarkEnd w:id="208"/>
      <w:bookmarkStart w:id="209" w:name="_Toc184312113"/>
      <w:bookmarkEnd w:id="209"/>
      <w:bookmarkStart w:id="210" w:name="_Toc184313294"/>
      <w:bookmarkEnd w:id="210"/>
      <w:bookmarkStart w:id="211" w:name="_Toc184312110"/>
      <w:bookmarkEnd w:id="211"/>
      <w:bookmarkStart w:id="212" w:name="_Toc184314418"/>
      <w:bookmarkEnd w:id="212"/>
      <w:bookmarkStart w:id="213" w:name="_Toc184313244"/>
      <w:bookmarkEnd w:id="213"/>
      <w:bookmarkStart w:id="214" w:name="_Toc184314428"/>
      <w:bookmarkEnd w:id="214"/>
      <w:bookmarkStart w:id="215" w:name="_Toc184308089"/>
      <w:bookmarkEnd w:id="215"/>
      <w:bookmarkStart w:id="216" w:name="_Toc184310313"/>
      <w:bookmarkEnd w:id="216"/>
      <w:bookmarkStart w:id="217" w:name="_Toc184310302"/>
      <w:bookmarkEnd w:id="217"/>
      <w:bookmarkStart w:id="218" w:name="_Toc184308088"/>
      <w:bookmarkEnd w:id="218"/>
      <w:bookmarkStart w:id="219" w:name="_Toc184313291"/>
      <w:bookmarkEnd w:id="219"/>
      <w:bookmarkStart w:id="220" w:name="_Toc184314443"/>
      <w:bookmarkEnd w:id="220"/>
      <w:bookmarkStart w:id="221" w:name="_Toc184308053"/>
      <w:bookmarkEnd w:id="221"/>
      <w:bookmarkStart w:id="222" w:name="_Toc184310325"/>
      <w:bookmarkEnd w:id="222"/>
      <w:bookmarkStart w:id="223" w:name="_Toc184314453"/>
      <w:bookmarkEnd w:id="223"/>
      <w:bookmarkStart w:id="224" w:name="_Toc184308100"/>
      <w:bookmarkEnd w:id="224"/>
      <w:bookmarkStart w:id="225" w:name="_Toc184310298"/>
      <w:bookmarkEnd w:id="225"/>
      <w:bookmarkStart w:id="226" w:name="_Toc184314476"/>
      <w:bookmarkEnd w:id="226"/>
      <w:bookmarkStart w:id="227" w:name="_Toc184313262"/>
      <w:bookmarkEnd w:id="227"/>
      <w:bookmarkStart w:id="228" w:name="_Toc184308052"/>
      <w:bookmarkEnd w:id="228"/>
      <w:bookmarkStart w:id="229" w:name="_Toc184312084"/>
      <w:bookmarkEnd w:id="229"/>
      <w:bookmarkStart w:id="230" w:name="_Toc184308103"/>
      <w:bookmarkEnd w:id="230"/>
      <w:bookmarkStart w:id="231" w:name="_Toc184313252"/>
      <w:bookmarkEnd w:id="231"/>
      <w:bookmarkStart w:id="232" w:name="_Toc184310303"/>
      <w:bookmarkEnd w:id="232"/>
      <w:bookmarkStart w:id="233" w:name="_Toc184312122"/>
      <w:bookmarkEnd w:id="233"/>
      <w:bookmarkStart w:id="234" w:name="_Toc184313261"/>
      <w:bookmarkEnd w:id="234"/>
      <w:bookmarkStart w:id="235" w:name="_Toc184314444"/>
      <w:bookmarkEnd w:id="235"/>
      <w:bookmarkStart w:id="236" w:name="_Toc184314425"/>
      <w:bookmarkEnd w:id="236"/>
      <w:bookmarkStart w:id="237" w:name="_Toc184314439"/>
      <w:bookmarkEnd w:id="237"/>
      <w:bookmarkStart w:id="238" w:name="_Toc184313282"/>
      <w:bookmarkEnd w:id="238"/>
      <w:bookmarkStart w:id="239" w:name="_Toc184314482"/>
      <w:bookmarkEnd w:id="239"/>
      <w:bookmarkStart w:id="240" w:name="_Toc184314454"/>
      <w:bookmarkEnd w:id="240"/>
      <w:bookmarkStart w:id="241" w:name="_Toc184310334"/>
      <w:bookmarkEnd w:id="241"/>
      <w:bookmarkStart w:id="242" w:name="_Toc184312086"/>
      <w:bookmarkEnd w:id="242"/>
      <w:bookmarkStart w:id="243" w:name="_Toc184313299"/>
      <w:bookmarkEnd w:id="243"/>
      <w:bookmarkStart w:id="244" w:name="_Toc184314420"/>
      <w:bookmarkEnd w:id="244"/>
      <w:bookmarkStart w:id="245" w:name="_Toc184312104"/>
      <w:bookmarkEnd w:id="245"/>
      <w:bookmarkStart w:id="246" w:name="_Toc184314474"/>
      <w:bookmarkEnd w:id="246"/>
      <w:bookmarkStart w:id="247" w:name="_Toc184308090"/>
      <w:bookmarkEnd w:id="247"/>
      <w:bookmarkStart w:id="248" w:name="_Toc184314417"/>
      <w:bookmarkEnd w:id="248"/>
      <w:bookmarkStart w:id="249" w:name="_Toc184310316"/>
      <w:bookmarkEnd w:id="249"/>
      <w:bookmarkStart w:id="250" w:name="_Toc184308049"/>
      <w:bookmarkEnd w:id="250"/>
      <w:bookmarkStart w:id="251" w:name="_Toc184313289"/>
      <w:bookmarkEnd w:id="251"/>
      <w:bookmarkStart w:id="252" w:name="_Toc184308081"/>
      <w:bookmarkEnd w:id="252"/>
      <w:bookmarkStart w:id="253" w:name="_Toc184313264"/>
      <w:bookmarkEnd w:id="253"/>
      <w:bookmarkStart w:id="254" w:name="_Toc184312067"/>
      <w:bookmarkEnd w:id="254"/>
      <w:bookmarkStart w:id="255" w:name="_Toc184310276"/>
      <w:bookmarkEnd w:id="255"/>
      <w:bookmarkStart w:id="256" w:name="_Toc184313272"/>
      <w:bookmarkEnd w:id="256"/>
      <w:bookmarkStart w:id="257" w:name="_Toc184310344"/>
      <w:bookmarkEnd w:id="257"/>
      <w:bookmarkStart w:id="258" w:name="_Toc184313276"/>
      <w:bookmarkEnd w:id="258"/>
      <w:bookmarkStart w:id="259" w:name="_Toc184313302"/>
      <w:bookmarkEnd w:id="259"/>
      <w:bookmarkStart w:id="260" w:name="_Toc184312114"/>
      <w:bookmarkEnd w:id="260"/>
      <w:bookmarkStart w:id="261" w:name="_Toc184313254"/>
      <w:bookmarkEnd w:id="261"/>
      <w:bookmarkStart w:id="262" w:name="_Toc184308069"/>
      <w:bookmarkEnd w:id="262"/>
      <w:bookmarkStart w:id="263" w:name="_Toc184312099"/>
      <w:bookmarkEnd w:id="263"/>
      <w:bookmarkStart w:id="264" w:name="_Toc184312138"/>
      <w:bookmarkEnd w:id="264"/>
      <w:bookmarkStart w:id="265" w:name="_Toc184313257"/>
      <w:bookmarkEnd w:id="265"/>
      <w:bookmarkStart w:id="266" w:name="_Toc184314464"/>
      <w:bookmarkEnd w:id="266"/>
      <w:bookmarkStart w:id="267" w:name="_Toc184310287"/>
      <w:bookmarkEnd w:id="267"/>
      <w:bookmarkStart w:id="268" w:name="_Toc184313304"/>
      <w:bookmarkEnd w:id="268"/>
      <w:bookmarkStart w:id="269" w:name="_Toc184314465"/>
      <w:bookmarkEnd w:id="269"/>
      <w:bookmarkStart w:id="270" w:name="_Toc184310308"/>
      <w:bookmarkEnd w:id="270"/>
      <w:bookmarkStart w:id="271" w:name="_Toc184313255"/>
      <w:bookmarkEnd w:id="271"/>
      <w:bookmarkStart w:id="272" w:name="_Toc184314452"/>
      <w:bookmarkEnd w:id="272"/>
      <w:bookmarkStart w:id="273" w:name="_Toc184314422"/>
      <w:bookmarkEnd w:id="273"/>
      <w:bookmarkStart w:id="274" w:name="_Toc184308059"/>
      <w:bookmarkEnd w:id="274"/>
      <w:bookmarkStart w:id="275" w:name="_Toc184312131"/>
      <w:bookmarkEnd w:id="275"/>
      <w:bookmarkStart w:id="276" w:name="_Toc184310330"/>
      <w:bookmarkEnd w:id="276"/>
      <w:bookmarkStart w:id="277" w:name="_Toc184310318"/>
      <w:bookmarkEnd w:id="277"/>
      <w:bookmarkStart w:id="278" w:name="_Toc184312096"/>
      <w:bookmarkEnd w:id="278"/>
      <w:bookmarkStart w:id="279" w:name="_Toc184313256"/>
      <w:bookmarkEnd w:id="279"/>
      <w:bookmarkStart w:id="280" w:name="_Toc184310340"/>
      <w:bookmarkEnd w:id="280"/>
      <w:bookmarkStart w:id="281" w:name="_Toc184312105"/>
      <w:bookmarkEnd w:id="281"/>
      <w:bookmarkStart w:id="282" w:name="_Toc184308074"/>
      <w:bookmarkEnd w:id="282"/>
      <w:bookmarkStart w:id="283" w:name="_Toc184308076"/>
      <w:bookmarkEnd w:id="283"/>
      <w:bookmarkStart w:id="284" w:name="_Toc184310297"/>
      <w:bookmarkEnd w:id="284"/>
      <w:bookmarkStart w:id="285" w:name="_Toc184313268"/>
      <w:bookmarkEnd w:id="285"/>
      <w:bookmarkStart w:id="286" w:name="_Toc184314446"/>
      <w:bookmarkEnd w:id="286"/>
      <w:bookmarkStart w:id="287" w:name="_Toc184308096"/>
      <w:bookmarkEnd w:id="287"/>
      <w:bookmarkStart w:id="288" w:name="_Toc184310309"/>
      <w:bookmarkEnd w:id="288"/>
      <w:bookmarkStart w:id="289" w:name="_Toc184313305"/>
      <w:bookmarkEnd w:id="289"/>
      <w:bookmarkStart w:id="290" w:name="_Toc184314434"/>
      <w:bookmarkEnd w:id="290"/>
      <w:bookmarkStart w:id="291" w:name="_Toc184314475"/>
      <w:bookmarkEnd w:id="291"/>
      <w:bookmarkStart w:id="292" w:name="_Toc184312094"/>
      <w:bookmarkEnd w:id="292"/>
      <w:bookmarkStart w:id="293" w:name="_Toc184310321"/>
      <w:bookmarkEnd w:id="293"/>
      <w:bookmarkStart w:id="294" w:name="_Toc184312079"/>
      <w:bookmarkEnd w:id="294"/>
      <w:bookmarkStart w:id="295" w:name="_Toc184310322"/>
      <w:bookmarkEnd w:id="295"/>
      <w:bookmarkStart w:id="296" w:name="_Toc184313266"/>
      <w:bookmarkEnd w:id="296"/>
      <w:bookmarkStart w:id="297" w:name="_Toc184310342"/>
      <w:bookmarkEnd w:id="297"/>
      <w:bookmarkStart w:id="298" w:name="_Toc184314469"/>
      <w:bookmarkEnd w:id="298"/>
      <w:bookmarkStart w:id="299" w:name="_Toc184312117"/>
      <w:bookmarkEnd w:id="299"/>
      <w:bookmarkStart w:id="300" w:name="_Toc184308070"/>
      <w:bookmarkEnd w:id="300"/>
      <w:bookmarkStart w:id="301" w:name="_Toc184313285"/>
      <w:bookmarkEnd w:id="301"/>
      <w:bookmarkStart w:id="302" w:name="_Toc184313279"/>
      <w:bookmarkEnd w:id="302"/>
      <w:bookmarkStart w:id="303" w:name="_Toc184308101"/>
      <w:bookmarkEnd w:id="303"/>
      <w:bookmarkStart w:id="304" w:name="_Toc184314473"/>
      <w:bookmarkEnd w:id="304"/>
      <w:bookmarkStart w:id="305" w:name="_Toc184308097"/>
      <w:bookmarkEnd w:id="305"/>
      <w:bookmarkStart w:id="306" w:name="_Toc184312103"/>
      <w:bookmarkEnd w:id="306"/>
      <w:bookmarkStart w:id="307" w:name="_Toc184312127"/>
      <w:bookmarkEnd w:id="307"/>
      <w:bookmarkStart w:id="308" w:name="_Toc184314466"/>
      <w:bookmarkEnd w:id="308"/>
      <w:bookmarkStart w:id="309" w:name="_Toc184308084"/>
      <w:bookmarkEnd w:id="309"/>
      <w:bookmarkStart w:id="310" w:name="_Toc184313292"/>
      <w:bookmarkEnd w:id="310"/>
      <w:bookmarkStart w:id="311" w:name="_Toc184314438"/>
      <w:bookmarkEnd w:id="311"/>
      <w:bookmarkStart w:id="312" w:name="_Toc184308061"/>
      <w:bookmarkEnd w:id="312"/>
      <w:bookmarkStart w:id="313" w:name="_Toc184310336"/>
      <w:bookmarkEnd w:id="313"/>
      <w:bookmarkStart w:id="314" w:name="_Toc184308077"/>
      <w:bookmarkEnd w:id="314"/>
      <w:bookmarkStart w:id="315" w:name="_Toc184308037"/>
      <w:bookmarkEnd w:id="315"/>
      <w:bookmarkStart w:id="316" w:name="_Toc184312106"/>
      <w:bookmarkEnd w:id="316"/>
      <w:bookmarkStart w:id="317" w:name="_Toc184308042"/>
      <w:bookmarkEnd w:id="317"/>
      <w:bookmarkStart w:id="318" w:name="_Toc184313265"/>
      <w:bookmarkEnd w:id="318"/>
      <w:bookmarkStart w:id="319" w:name="_Toc184308072"/>
      <w:bookmarkEnd w:id="319"/>
      <w:bookmarkStart w:id="320" w:name="_Toc184313267"/>
      <w:bookmarkEnd w:id="320"/>
      <w:bookmarkStart w:id="321" w:name="_Toc184312078"/>
      <w:bookmarkEnd w:id="321"/>
      <w:bookmarkStart w:id="322" w:name="_Toc184314432"/>
      <w:bookmarkEnd w:id="322"/>
      <w:bookmarkStart w:id="323" w:name="_Toc184308057"/>
      <w:bookmarkEnd w:id="323"/>
      <w:bookmarkStart w:id="324" w:name="_Toc184312120"/>
      <w:bookmarkEnd w:id="324"/>
      <w:bookmarkStart w:id="325" w:name="_Toc184312070"/>
      <w:bookmarkEnd w:id="325"/>
      <w:bookmarkStart w:id="326" w:name="_Toc184314429"/>
      <w:bookmarkEnd w:id="326"/>
      <w:bookmarkStart w:id="327" w:name="_Toc184314435"/>
      <w:bookmarkEnd w:id="327"/>
      <w:bookmarkStart w:id="328" w:name="_Toc184312112"/>
      <w:bookmarkEnd w:id="328"/>
      <w:bookmarkStart w:id="329" w:name="_Toc184314463"/>
      <w:bookmarkEnd w:id="329"/>
      <w:bookmarkStart w:id="330" w:name="_Toc184314471"/>
      <w:bookmarkEnd w:id="330"/>
      <w:bookmarkStart w:id="331" w:name="_Toc184312089"/>
      <w:bookmarkEnd w:id="331"/>
      <w:bookmarkStart w:id="332" w:name="_Toc184312118"/>
      <w:bookmarkEnd w:id="332"/>
      <w:bookmarkStart w:id="333" w:name="_Toc184308075"/>
      <w:bookmarkEnd w:id="333"/>
      <w:bookmarkStart w:id="334" w:name="_Toc184313239"/>
      <w:bookmarkEnd w:id="334"/>
      <w:bookmarkStart w:id="335" w:name="_Toc184308054"/>
      <w:bookmarkEnd w:id="335"/>
      <w:bookmarkStart w:id="336" w:name="_Toc184312128"/>
      <w:bookmarkEnd w:id="336"/>
      <w:bookmarkStart w:id="337" w:name="_Toc184312092"/>
      <w:bookmarkEnd w:id="337"/>
      <w:bookmarkStart w:id="338" w:name="_Toc184314447"/>
      <w:bookmarkEnd w:id="338"/>
      <w:bookmarkStart w:id="339" w:name="_Toc184314478"/>
      <w:bookmarkEnd w:id="339"/>
      <w:bookmarkStart w:id="340" w:name="_Toc184308086"/>
      <w:bookmarkEnd w:id="340"/>
      <w:bookmarkStart w:id="341" w:name="_Toc184312116"/>
      <w:bookmarkEnd w:id="341"/>
      <w:bookmarkStart w:id="342" w:name="_Toc184313241"/>
      <w:bookmarkEnd w:id="342"/>
      <w:bookmarkStart w:id="343" w:name="_Toc184313303"/>
      <w:bookmarkEnd w:id="343"/>
      <w:bookmarkStart w:id="344" w:name="_Toc184312135"/>
      <w:bookmarkEnd w:id="344"/>
      <w:bookmarkStart w:id="345" w:name="_Toc184308050"/>
      <w:bookmarkEnd w:id="345"/>
      <w:bookmarkStart w:id="346" w:name="_Toc184310333"/>
      <w:bookmarkEnd w:id="346"/>
      <w:bookmarkStart w:id="347" w:name="_Toc184310290"/>
      <w:bookmarkEnd w:id="347"/>
      <w:bookmarkStart w:id="348" w:name="_Toc184308063"/>
      <w:bookmarkEnd w:id="348"/>
      <w:bookmarkStart w:id="349" w:name="_Toc184308082"/>
      <w:bookmarkEnd w:id="349"/>
      <w:bookmarkStart w:id="350" w:name="_Toc184308058"/>
      <w:bookmarkEnd w:id="350"/>
      <w:bookmarkStart w:id="351" w:name="_Toc184310307"/>
      <w:bookmarkEnd w:id="351"/>
      <w:bookmarkStart w:id="352" w:name="_Toc184314430"/>
      <w:bookmarkEnd w:id="352"/>
      <w:bookmarkStart w:id="353" w:name="_Toc184310332"/>
      <w:bookmarkEnd w:id="353"/>
      <w:bookmarkStart w:id="354" w:name="_Toc184310291"/>
      <w:bookmarkEnd w:id="354"/>
      <w:bookmarkStart w:id="355" w:name="_Toc184313283"/>
      <w:bookmarkEnd w:id="355"/>
      <w:bookmarkStart w:id="356" w:name="_Toc184313306"/>
      <w:bookmarkEnd w:id="356"/>
      <w:bookmarkStart w:id="357" w:name="_Toc184314431"/>
      <w:bookmarkEnd w:id="357"/>
      <w:bookmarkStart w:id="358" w:name="_Toc184312133"/>
      <w:bookmarkEnd w:id="358"/>
      <w:bookmarkStart w:id="359" w:name="_Toc184308093"/>
      <w:bookmarkEnd w:id="359"/>
      <w:bookmarkStart w:id="360" w:name="_Toc184312090"/>
      <w:bookmarkEnd w:id="360"/>
      <w:bookmarkStart w:id="361" w:name="_Toc184310319"/>
      <w:bookmarkEnd w:id="361"/>
      <w:bookmarkStart w:id="362" w:name="_Toc184313238"/>
      <w:bookmarkEnd w:id="362"/>
      <w:bookmarkStart w:id="363" w:name="_Toc184312073"/>
      <w:bookmarkEnd w:id="363"/>
      <w:bookmarkStart w:id="364" w:name="_Toc184310272"/>
      <w:bookmarkEnd w:id="364"/>
      <w:bookmarkStart w:id="365" w:name="_Toc184312083"/>
      <w:bookmarkEnd w:id="365"/>
      <w:bookmarkStart w:id="366" w:name="_Toc184313308"/>
      <w:bookmarkEnd w:id="366"/>
      <w:bookmarkStart w:id="367" w:name="_Toc184308106"/>
      <w:bookmarkEnd w:id="367"/>
      <w:bookmarkStart w:id="368" w:name="_Toc184310304"/>
      <w:bookmarkEnd w:id="368"/>
      <w:bookmarkStart w:id="369" w:name="_Toc184308092"/>
      <w:bookmarkEnd w:id="369"/>
      <w:bookmarkStart w:id="370" w:name="_Toc184314451"/>
      <w:bookmarkEnd w:id="370"/>
      <w:bookmarkStart w:id="371" w:name="_Toc184314433"/>
      <w:bookmarkEnd w:id="371"/>
      <w:bookmarkStart w:id="372" w:name="_Toc184312074"/>
      <w:bookmarkEnd w:id="372"/>
      <w:bookmarkStart w:id="373" w:name="_Toc184312107"/>
      <w:bookmarkEnd w:id="373"/>
      <w:bookmarkStart w:id="374" w:name="_Toc184313242"/>
      <w:bookmarkEnd w:id="374"/>
      <w:bookmarkStart w:id="375" w:name="_Toc184312082"/>
      <w:bookmarkEnd w:id="375"/>
      <w:bookmarkStart w:id="376" w:name="_Toc184312108"/>
      <w:bookmarkEnd w:id="376"/>
      <w:bookmarkStart w:id="377" w:name="_Toc184312102"/>
      <w:bookmarkEnd w:id="377"/>
      <w:bookmarkStart w:id="378" w:name="_Toc184313301"/>
      <w:bookmarkEnd w:id="378"/>
      <w:bookmarkStart w:id="379" w:name="_Toc184312119"/>
      <w:bookmarkEnd w:id="379"/>
      <w:bookmarkStart w:id="380" w:name="_Toc184308102"/>
      <w:bookmarkEnd w:id="380"/>
      <w:bookmarkStart w:id="381" w:name="_Toc184308095"/>
      <w:bookmarkEnd w:id="381"/>
      <w:bookmarkStart w:id="382" w:name="_Toc184310284"/>
      <w:bookmarkEnd w:id="382"/>
      <w:bookmarkStart w:id="383" w:name="_Toc184314411"/>
      <w:bookmarkEnd w:id="383"/>
      <w:bookmarkStart w:id="384" w:name="_Toc184314449"/>
      <w:bookmarkEnd w:id="384"/>
      <w:bookmarkStart w:id="385" w:name="_Toc184313246"/>
      <w:bookmarkEnd w:id="385"/>
      <w:bookmarkStart w:id="386" w:name="_Toc184308091"/>
      <w:bookmarkEnd w:id="386"/>
      <w:bookmarkStart w:id="387" w:name="_Toc184314455"/>
      <w:bookmarkEnd w:id="387"/>
      <w:bookmarkStart w:id="388" w:name="_Toc184310339"/>
      <w:bookmarkEnd w:id="388"/>
      <w:bookmarkStart w:id="389" w:name="_Toc184313280"/>
      <w:bookmarkEnd w:id="389"/>
      <w:bookmarkStart w:id="390" w:name="_Toc184314410"/>
      <w:bookmarkEnd w:id="390"/>
      <w:bookmarkStart w:id="391" w:name="_Toc184312097"/>
      <w:bookmarkEnd w:id="391"/>
      <w:bookmarkStart w:id="392" w:name="_Toc184308068"/>
      <w:bookmarkEnd w:id="392"/>
      <w:bookmarkStart w:id="393" w:name="_Toc184308045"/>
      <w:bookmarkEnd w:id="393"/>
      <w:bookmarkStart w:id="394" w:name="_Toc184308079"/>
      <w:bookmarkEnd w:id="394"/>
      <w:bookmarkStart w:id="395" w:name="_Toc184308060"/>
      <w:bookmarkEnd w:id="395"/>
      <w:bookmarkStart w:id="396" w:name="_Toc184308048"/>
      <w:bookmarkEnd w:id="396"/>
      <w:bookmarkStart w:id="397" w:name="_Toc184314414"/>
      <w:bookmarkEnd w:id="397"/>
      <w:bookmarkStart w:id="398" w:name="_Toc184314462"/>
      <w:bookmarkEnd w:id="398"/>
      <w:bookmarkStart w:id="399" w:name="_Toc184313250"/>
      <w:bookmarkEnd w:id="399"/>
      <w:bookmarkStart w:id="400" w:name="_Toc184314441"/>
      <w:bookmarkEnd w:id="400"/>
      <w:bookmarkStart w:id="401" w:name="_Toc184314450"/>
      <w:bookmarkEnd w:id="401"/>
      <w:bookmarkStart w:id="402" w:name="_Toc184314419"/>
      <w:bookmarkEnd w:id="402"/>
      <w:bookmarkStart w:id="403" w:name="_Toc184312124"/>
      <w:bookmarkEnd w:id="403"/>
      <w:bookmarkStart w:id="404" w:name="_Toc184313307"/>
      <w:bookmarkEnd w:id="404"/>
      <w:bookmarkStart w:id="405" w:name="_Toc184308098"/>
      <w:bookmarkEnd w:id="405"/>
      <w:bookmarkStart w:id="406" w:name="_Toc184312101"/>
      <w:bookmarkEnd w:id="406"/>
      <w:bookmarkStart w:id="407" w:name="_Toc184313258"/>
      <w:bookmarkEnd w:id="407"/>
      <w:bookmarkStart w:id="408" w:name="_Toc184310278"/>
      <w:bookmarkEnd w:id="408"/>
      <w:bookmarkStart w:id="409" w:name="_Toc184314436"/>
      <w:bookmarkEnd w:id="409"/>
      <w:bookmarkStart w:id="410" w:name="_Toc184310331"/>
      <w:bookmarkEnd w:id="410"/>
      <w:bookmarkStart w:id="411" w:name="_Toc184312087"/>
      <w:bookmarkEnd w:id="411"/>
      <w:bookmarkStart w:id="412" w:name="_Toc184313271"/>
      <w:bookmarkEnd w:id="412"/>
      <w:bookmarkStart w:id="413" w:name="_Toc184313243"/>
      <w:bookmarkEnd w:id="413"/>
      <w:bookmarkStart w:id="414" w:name="_Toc184313286"/>
      <w:bookmarkEnd w:id="414"/>
      <w:bookmarkStart w:id="415" w:name="_Toc184310311"/>
      <w:bookmarkEnd w:id="415"/>
      <w:bookmarkStart w:id="416" w:name="_Toc184310329"/>
      <w:bookmarkEnd w:id="416"/>
      <w:bookmarkStart w:id="417" w:name="_Toc184314477"/>
      <w:bookmarkEnd w:id="417"/>
      <w:bookmarkStart w:id="418" w:name="_Toc184313253"/>
      <w:bookmarkEnd w:id="418"/>
      <w:bookmarkStart w:id="419" w:name="_Toc184310312"/>
      <w:bookmarkEnd w:id="419"/>
      <w:bookmarkStart w:id="420" w:name="_Toc184312125"/>
      <w:bookmarkEnd w:id="420"/>
      <w:bookmarkStart w:id="421" w:name="_Toc184308044"/>
      <w:bookmarkEnd w:id="421"/>
      <w:bookmarkStart w:id="422" w:name="_Toc184313287"/>
      <w:bookmarkEnd w:id="422"/>
      <w:bookmarkStart w:id="423" w:name="_Toc184310315"/>
      <w:bookmarkEnd w:id="423"/>
      <w:bookmarkStart w:id="424" w:name="_Toc184310338"/>
      <w:bookmarkEnd w:id="424"/>
      <w:bookmarkStart w:id="425" w:name="_Toc184314479"/>
      <w:bookmarkEnd w:id="425"/>
      <w:bookmarkStart w:id="426" w:name="_Toc184312129"/>
      <w:bookmarkEnd w:id="426"/>
      <w:bookmarkStart w:id="427" w:name="_Toc184314427"/>
      <w:bookmarkEnd w:id="427"/>
      <w:bookmarkStart w:id="428" w:name="_Toc184312130"/>
      <w:bookmarkEnd w:id="428"/>
      <w:r>
        <w:rPr>
          <w:rFonts w:hint="eastAsia" w:ascii="宋体" w:hAnsi="宋体" w:eastAsia="宋体" w:cs="宋体"/>
          <w:b/>
          <w:color w:val="auto"/>
          <w:sz w:val="36"/>
          <w:szCs w:val="36"/>
          <w:highlight w:val="none"/>
        </w:rPr>
        <w:t>评标办法</w:t>
      </w:r>
      <w:bookmarkEnd w:id="62"/>
      <w:bookmarkEnd w:id="63"/>
    </w:p>
    <w:p w14:paraId="78D3BC9E">
      <w:pPr>
        <w:snapToGrid w:val="0"/>
        <w:spacing w:line="360" w:lineRule="auto"/>
        <w:jc w:val="center"/>
        <w:rPr>
          <w:rFonts w:hint="default" w:eastAsia="宋体"/>
          <w:color w:val="auto"/>
          <w:sz w:val="24"/>
          <w:szCs w:val="24"/>
          <w:highlight w:val="none"/>
          <w:lang w:val="en-US" w:eastAsia="zh-CN"/>
        </w:rPr>
      </w:pPr>
      <w:r>
        <w:rPr>
          <w:rFonts w:hint="eastAsia" w:ascii="宋体" w:hAnsi="宋体" w:eastAsia="宋体" w:cs="宋体"/>
          <w:b/>
          <w:color w:val="auto"/>
          <w:sz w:val="32"/>
          <w:szCs w:val="20"/>
          <w:highlight w:val="none"/>
        </w:rPr>
        <w:t>评标办法前附表</w:t>
      </w:r>
    </w:p>
    <w:tbl>
      <w:tblPr>
        <w:tblStyle w:val="6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220"/>
        <w:gridCol w:w="5700"/>
        <w:gridCol w:w="581"/>
        <w:gridCol w:w="661"/>
      </w:tblGrid>
      <w:tr w14:paraId="700B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02" w:type="pct"/>
            <w:vAlign w:val="center"/>
          </w:tcPr>
          <w:p w14:paraId="70ED741E">
            <w:pPr>
              <w:adjustRightInd/>
              <w:jc w:val="center"/>
              <w:rPr>
                <w:rFonts w:ascii="Calibri" w:hAnsi="Calibri"/>
                <w:b/>
                <w:bCs/>
                <w:color w:val="auto"/>
                <w:szCs w:val="21"/>
                <w:highlight w:val="none"/>
              </w:rPr>
            </w:pPr>
            <w:r>
              <w:rPr>
                <w:rFonts w:hint="eastAsia" w:ascii="Calibri" w:hAnsi="Calibri"/>
                <w:b/>
                <w:bCs/>
                <w:color w:val="auto"/>
                <w:szCs w:val="21"/>
                <w:highlight w:val="none"/>
              </w:rPr>
              <w:t>评分项目</w:t>
            </w:r>
          </w:p>
        </w:tc>
        <w:tc>
          <w:tcPr>
            <w:tcW w:w="3728" w:type="pct"/>
            <w:gridSpan w:val="2"/>
            <w:vAlign w:val="center"/>
          </w:tcPr>
          <w:p w14:paraId="54537CDB">
            <w:pPr>
              <w:adjustRightInd/>
              <w:jc w:val="center"/>
              <w:rPr>
                <w:rFonts w:ascii="Calibri" w:hAnsi="Calibri"/>
                <w:b/>
                <w:bCs/>
                <w:color w:val="auto"/>
                <w:szCs w:val="21"/>
                <w:highlight w:val="none"/>
              </w:rPr>
            </w:pPr>
            <w:r>
              <w:rPr>
                <w:rFonts w:hint="eastAsia" w:ascii="Calibri" w:hAnsi="Calibri"/>
                <w:b/>
                <w:bCs/>
                <w:color w:val="auto"/>
                <w:szCs w:val="21"/>
                <w:highlight w:val="none"/>
              </w:rPr>
              <w:t>评标要点及说明</w:t>
            </w:r>
          </w:p>
        </w:tc>
        <w:tc>
          <w:tcPr>
            <w:tcW w:w="313" w:type="pct"/>
            <w:vAlign w:val="center"/>
          </w:tcPr>
          <w:p w14:paraId="4AC4BEF3">
            <w:pPr>
              <w:widowControl/>
              <w:tabs>
                <w:tab w:val="left" w:pos="0"/>
              </w:tabs>
              <w:autoSpaceDE w:val="0"/>
              <w:autoSpaceDN w:val="0"/>
              <w:adjustRightInd/>
              <w:jc w:val="center"/>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分值</w:t>
            </w:r>
          </w:p>
        </w:tc>
        <w:tc>
          <w:tcPr>
            <w:tcW w:w="356" w:type="pct"/>
            <w:vAlign w:val="center"/>
          </w:tcPr>
          <w:p w14:paraId="46A9864E">
            <w:pPr>
              <w:widowControl/>
              <w:tabs>
                <w:tab w:val="left" w:pos="0"/>
              </w:tabs>
              <w:autoSpaceDE w:val="0"/>
              <w:autoSpaceDN w:val="0"/>
              <w:adjustRightInd/>
              <w:jc w:val="center"/>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备注</w:t>
            </w:r>
          </w:p>
        </w:tc>
      </w:tr>
      <w:tr w14:paraId="606F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Align w:val="center"/>
          </w:tcPr>
          <w:p w14:paraId="6698965E">
            <w:pPr>
              <w:adjustRightInd/>
              <w:jc w:val="center"/>
              <w:rPr>
                <w:rFonts w:ascii="宋体" w:hAnsi="宋体" w:cs="宋体"/>
                <w:color w:val="auto"/>
                <w:szCs w:val="21"/>
                <w:highlight w:val="none"/>
              </w:rPr>
            </w:pPr>
            <w:r>
              <w:rPr>
                <w:rFonts w:hint="eastAsia" w:ascii="宋体" w:hAnsi="宋体" w:cs="宋体"/>
                <w:color w:val="auto"/>
                <w:szCs w:val="21"/>
                <w:highlight w:val="none"/>
              </w:rPr>
              <w:t>价格分</w:t>
            </w:r>
          </w:p>
          <w:p w14:paraId="2CB89810">
            <w:pPr>
              <w:adjustRightInd/>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3728" w:type="pct"/>
            <w:gridSpan w:val="2"/>
            <w:vAlign w:val="center"/>
          </w:tcPr>
          <w:p w14:paraId="55FEB060">
            <w:pPr>
              <w:spacing w:line="360" w:lineRule="auto"/>
              <w:rPr>
                <w:rFonts w:ascii="宋体" w:hAnsi="宋体" w:cs="宋体"/>
                <w:color w:val="auto"/>
                <w:szCs w:val="21"/>
                <w:highlight w:val="none"/>
              </w:rPr>
            </w:pPr>
            <w:r>
              <w:rPr>
                <w:rFonts w:hint="eastAsia" w:ascii="宋体" w:hAnsi="宋体" w:cs="宋体"/>
                <w:color w:val="auto"/>
                <w:szCs w:val="21"/>
                <w:highlight w:val="none"/>
              </w:rPr>
              <w:t>评标基准价指的是满足招标文件要求且最低的参与评审的价格。</w:t>
            </w:r>
          </w:p>
          <w:p w14:paraId="0D7BC784">
            <w:pPr>
              <w:spacing w:line="360" w:lineRule="auto"/>
              <w:rPr>
                <w:rFonts w:ascii="宋体" w:hAnsi="宋体" w:cs="宋体"/>
                <w:color w:val="auto"/>
                <w:szCs w:val="21"/>
                <w:highlight w:val="none"/>
              </w:rPr>
            </w:pPr>
            <w:r>
              <w:rPr>
                <w:rFonts w:hint="eastAsia" w:ascii="宋体" w:hAnsi="宋体" w:cs="宋体"/>
                <w:color w:val="auto"/>
                <w:szCs w:val="21"/>
                <w:highlight w:val="none"/>
              </w:rPr>
              <w:t>参与评审的价格=投标报价。</w:t>
            </w:r>
          </w:p>
          <w:p w14:paraId="76FC146D">
            <w:pPr>
              <w:spacing w:line="360" w:lineRule="auto"/>
              <w:rPr>
                <w:rFonts w:ascii="宋体" w:hAnsi="宋体" w:cs="宋体"/>
                <w:color w:val="auto"/>
                <w:szCs w:val="21"/>
                <w:highlight w:val="none"/>
              </w:rPr>
            </w:pPr>
            <w:r>
              <w:rPr>
                <w:rFonts w:hint="eastAsia" w:ascii="宋体" w:hAnsi="宋体" w:cs="宋体"/>
                <w:color w:val="auto"/>
                <w:szCs w:val="21"/>
                <w:highlight w:val="none"/>
              </w:rPr>
              <w:t>参与评审的价格为评标基准价的其价格得分得满分1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2EA90732">
            <w:pPr>
              <w:spacing w:line="360" w:lineRule="auto"/>
              <w:rPr>
                <w:rFonts w:ascii="宋体" w:hAnsi="宋体" w:cs="宋体"/>
                <w:color w:val="auto"/>
                <w:szCs w:val="21"/>
                <w:highlight w:val="none"/>
              </w:rPr>
            </w:pPr>
            <w:r>
              <w:rPr>
                <w:rFonts w:hint="eastAsia" w:ascii="宋体" w:hAnsi="宋体" w:cs="宋体"/>
                <w:color w:val="auto"/>
                <w:szCs w:val="21"/>
                <w:highlight w:val="none"/>
              </w:rPr>
              <w:t>其他供应商价格得分按照下列公式计算：</w:t>
            </w:r>
          </w:p>
          <w:p w14:paraId="07408759">
            <w:pPr>
              <w:spacing w:line="360" w:lineRule="auto"/>
              <w:rPr>
                <w:rFonts w:ascii="Calibri" w:hAnsi="Calibri"/>
                <w:color w:val="auto"/>
                <w:szCs w:val="21"/>
                <w:highlight w:val="none"/>
              </w:rPr>
            </w:pPr>
            <w:r>
              <w:rPr>
                <w:rFonts w:hint="eastAsia" w:ascii="宋体" w:hAnsi="宋体" w:cs="宋体"/>
                <w:color w:val="auto"/>
                <w:szCs w:val="21"/>
                <w:highlight w:val="none"/>
              </w:rPr>
              <w:t>价格得分=（评标基准价/参与评审的价格）×1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%×100。</w:t>
            </w:r>
          </w:p>
        </w:tc>
        <w:tc>
          <w:tcPr>
            <w:tcW w:w="313" w:type="pct"/>
            <w:vAlign w:val="center"/>
          </w:tcPr>
          <w:p w14:paraId="41D78E6B">
            <w:pPr>
              <w:adjustRightInd/>
              <w:jc w:val="center"/>
              <w:rPr>
                <w:rFonts w:hint="eastAsia" w:ascii="Calibri" w:hAnsi="Calibri" w:eastAsia="宋体"/>
                <w:color w:val="auto"/>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356" w:type="pct"/>
            <w:vAlign w:val="center"/>
          </w:tcPr>
          <w:p w14:paraId="7295D58B">
            <w:pPr>
              <w:adjustRightInd/>
              <w:jc w:val="center"/>
              <w:rPr>
                <w:rFonts w:ascii="Calibri" w:hAnsi="Calibri"/>
                <w:color w:val="auto"/>
                <w:szCs w:val="21"/>
                <w:highlight w:val="none"/>
                <w:lang w:val="zh-CN"/>
              </w:rPr>
            </w:pPr>
            <w:r>
              <w:rPr>
                <w:rFonts w:hint="eastAsia" w:ascii="Calibri" w:hAnsi="Calibri"/>
                <w:color w:val="auto"/>
                <w:szCs w:val="21"/>
                <w:highlight w:val="none"/>
                <w:lang w:val="zh-CN"/>
              </w:rPr>
              <w:t>客观评审</w:t>
            </w:r>
          </w:p>
        </w:tc>
      </w:tr>
      <w:tr w14:paraId="79C6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restart"/>
            <w:vAlign w:val="center"/>
          </w:tcPr>
          <w:p w14:paraId="6105DA98">
            <w:pPr>
              <w:adjustRightInd/>
              <w:jc w:val="center"/>
              <w:rPr>
                <w:rFonts w:ascii="宋体" w:hAnsi="宋体" w:cs="宋体"/>
                <w:color w:val="auto"/>
                <w:szCs w:val="21"/>
                <w:highlight w:val="none"/>
                <w:lang w:bidi="ar"/>
              </w:rPr>
            </w:pPr>
            <w:r>
              <w:rPr>
                <w:rFonts w:hint="eastAsia" w:ascii="宋体" w:hAnsi="宋体" w:cs="宋体"/>
                <w:color w:val="auto"/>
                <w:szCs w:val="21"/>
                <w:highlight w:val="none"/>
                <w:lang w:bidi="ar"/>
              </w:rPr>
              <w:t>商务</w:t>
            </w:r>
          </w:p>
          <w:p w14:paraId="7BBD55B4">
            <w:pPr>
              <w:adjustRightInd/>
              <w:jc w:val="center"/>
              <w:rPr>
                <w:rFonts w:ascii="宋体" w:hAnsi="宋体" w:cs="宋体"/>
                <w:color w:val="auto"/>
                <w:szCs w:val="21"/>
                <w:highlight w:val="none"/>
                <w:lang w:bidi="ar"/>
              </w:rPr>
            </w:pPr>
            <w:r>
              <w:rPr>
                <w:rFonts w:hint="eastAsia" w:ascii="宋体" w:hAnsi="宋体" w:cs="宋体"/>
                <w:color w:val="auto"/>
                <w:szCs w:val="21"/>
                <w:highlight w:val="none"/>
                <w:lang w:bidi="ar"/>
              </w:rPr>
              <w:t>技术分</w:t>
            </w:r>
          </w:p>
          <w:p w14:paraId="58C068D7">
            <w:pPr>
              <w:adjustRightInd/>
              <w:jc w:val="center"/>
              <w:rPr>
                <w:rFonts w:ascii="Calibri" w:hAnsi="Calibri"/>
                <w:color w:val="auto"/>
                <w:szCs w:val="21"/>
                <w:highlight w:val="none"/>
              </w:rPr>
            </w:pPr>
            <w:r>
              <w:rPr>
                <w:rFonts w:hint="eastAsia" w:ascii="宋体" w:hAnsi="宋体" w:cs="宋体"/>
                <w:color w:val="auto"/>
                <w:szCs w:val="21"/>
                <w:highlight w:val="none"/>
                <w:lang w:bidi="ar"/>
              </w:rPr>
              <w:t>（8</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分）</w:t>
            </w:r>
          </w:p>
        </w:tc>
        <w:tc>
          <w:tcPr>
            <w:tcW w:w="657" w:type="pct"/>
            <w:vAlign w:val="center"/>
          </w:tcPr>
          <w:p w14:paraId="098A668F">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项目了解情况（5分）</w:t>
            </w:r>
          </w:p>
        </w:tc>
        <w:tc>
          <w:tcPr>
            <w:tcW w:w="3070" w:type="pct"/>
            <w:vAlign w:val="center"/>
          </w:tcPr>
          <w:p w14:paraId="5A3756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提供的针对</w:t>
            </w:r>
            <w:r>
              <w:rPr>
                <w:rFonts w:hint="eastAsia" w:ascii="宋体" w:hAnsi="宋体" w:cs="宋体"/>
                <w:color w:val="auto"/>
                <w:szCs w:val="21"/>
                <w:highlight w:val="none"/>
                <w:lang w:val="en-US" w:eastAsia="zh-CN"/>
              </w:rPr>
              <w:t>本次人力资源</w:t>
            </w:r>
            <w:r>
              <w:rPr>
                <w:rFonts w:hint="eastAsia" w:ascii="宋体" w:hAnsi="宋体" w:cs="宋体"/>
                <w:color w:val="auto"/>
                <w:szCs w:val="21"/>
                <w:highlight w:val="none"/>
              </w:rPr>
              <w:t>外包用工模式的了解，对</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调研后的现状描述分析情况等</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进行评议：</w:t>
            </w:r>
          </w:p>
          <w:p w14:paraId="2CE09F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①项目调研及了解情况充分、详实、符合项目实际情况、分析合理、有利于项目后期实施的，得5分；</w:t>
            </w:r>
          </w:p>
          <w:p w14:paraId="534EF7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②项目调研及了解情况基本符合项目现状、基本能满足项目后期实施的得3分；</w:t>
            </w:r>
          </w:p>
          <w:p w14:paraId="6F192A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③项目调研及了解情况不充分、不符合项目现状、分析不合理、不能保证项目后期开展的得1分；</w:t>
            </w:r>
          </w:p>
          <w:p w14:paraId="45A6370C">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未提供任何内容的本项不得分。</w:t>
            </w:r>
          </w:p>
        </w:tc>
        <w:tc>
          <w:tcPr>
            <w:tcW w:w="313" w:type="pct"/>
            <w:vAlign w:val="center"/>
          </w:tcPr>
          <w:p w14:paraId="2EC3062A">
            <w:pPr>
              <w:widowControl/>
              <w:adjustRightInd/>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56" w:type="pct"/>
            <w:vAlign w:val="center"/>
          </w:tcPr>
          <w:p w14:paraId="6BBB1602">
            <w:pPr>
              <w:widowControl/>
              <w:adjustRightInd/>
              <w:jc w:val="center"/>
              <w:rPr>
                <w:rFonts w:ascii="宋体" w:hAnsi="宋体" w:cs="宋体"/>
                <w:snapToGrid w:val="0"/>
                <w:color w:val="auto"/>
                <w:spacing w:val="-4"/>
                <w:szCs w:val="21"/>
                <w:highlight w:val="none"/>
              </w:rPr>
            </w:pPr>
            <w:r>
              <w:rPr>
                <w:rFonts w:hint="eastAsia" w:ascii="Calibri" w:hAnsi="Calibri"/>
                <w:color w:val="auto"/>
                <w:szCs w:val="21"/>
                <w:highlight w:val="none"/>
                <w:lang w:val="en-US" w:eastAsia="zh-CN"/>
              </w:rPr>
              <w:t>主</w:t>
            </w:r>
            <w:r>
              <w:rPr>
                <w:rFonts w:hint="eastAsia" w:ascii="Calibri" w:hAnsi="Calibri"/>
                <w:color w:val="auto"/>
                <w:szCs w:val="21"/>
                <w:highlight w:val="none"/>
                <w:lang w:val="zh-CN"/>
              </w:rPr>
              <w:t>观评审</w:t>
            </w:r>
          </w:p>
        </w:tc>
      </w:tr>
      <w:tr w14:paraId="0525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continue"/>
          </w:tcPr>
          <w:p w14:paraId="774036FF">
            <w:pPr>
              <w:adjustRightInd/>
              <w:jc w:val="left"/>
              <w:rPr>
                <w:rFonts w:ascii="Calibri" w:hAnsi="Calibri"/>
                <w:color w:val="auto"/>
                <w:szCs w:val="21"/>
                <w:highlight w:val="none"/>
              </w:rPr>
            </w:pPr>
          </w:p>
        </w:tc>
        <w:tc>
          <w:tcPr>
            <w:tcW w:w="657" w:type="pct"/>
            <w:vAlign w:val="center"/>
          </w:tcPr>
          <w:p w14:paraId="6550C74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总体服务方案（5分）</w:t>
            </w:r>
          </w:p>
        </w:tc>
        <w:tc>
          <w:tcPr>
            <w:tcW w:w="3070" w:type="pct"/>
            <w:vAlign w:val="center"/>
          </w:tcPr>
          <w:p w14:paraId="31CECD15">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根据投标人提供的</w:t>
            </w:r>
            <w:r>
              <w:rPr>
                <w:rFonts w:hint="eastAsia" w:ascii="宋体" w:hAnsi="宋体" w:cs="宋体"/>
                <w:color w:val="auto"/>
                <w:szCs w:val="21"/>
                <w:highlight w:val="none"/>
                <w:lang w:val="en-US" w:eastAsia="zh-CN"/>
              </w:rPr>
              <w:t>总体</w:t>
            </w:r>
            <w:r>
              <w:rPr>
                <w:rFonts w:hint="eastAsia" w:ascii="宋体" w:hAnsi="宋体" w:cs="宋体"/>
                <w:color w:val="auto"/>
                <w:szCs w:val="21"/>
                <w:highlight w:val="none"/>
              </w:rPr>
              <w:t>服务方案（包括管理措施、日常服务标准、管理目标等）进行评议：</w:t>
            </w:r>
          </w:p>
          <w:p w14:paraId="581782A4">
            <w:p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方案针对性强，贴合本项目实际工作场景，完全响应采购人各项服务要求，内容具备可落地性、可执行性，能够充分满足项目履约需求</w:t>
            </w:r>
            <w:r>
              <w:rPr>
                <w:rFonts w:hint="eastAsia" w:ascii="宋体" w:hAnsi="宋体" w:cs="宋体"/>
                <w:color w:val="auto"/>
                <w:szCs w:val="21"/>
                <w:highlight w:val="none"/>
              </w:rPr>
              <w:t>的得5分；</w:t>
            </w:r>
          </w:p>
          <w:p w14:paraId="4C7AA92C">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方案基本贴合本项目实际情况，整体响应采购人服务要求，仅存在细节细化不足、针对性一般等轻微瑕疵，无原则性偏差，可满足项目基本履约需要</w:t>
            </w:r>
            <w:r>
              <w:rPr>
                <w:rFonts w:hint="eastAsia" w:ascii="宋体" w:hAnsi="宋体" w:cs="宋体"/>
                <w:color w:val="auto"/>
                <w:szCs w:val="21"/>
                <w:highlight w:val="none"/>
              </w:rPr>
              <w:t>的得3分；</w:t>
            </w:r>
          </w:p>
          <w:p w14:paraId="7BE14B9B">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方案编制简略、内容单薄，与项目实际情况存在偏差，未全面响应采购人服务要求，适配性、落地性较差，存在明显瑕疵</w:t>
            </w:r>
            <w:r>
              <w:rPr>
                <w:rFonts w:hint="eastAsia" w:ascii="宋体" w:hAnsi="宋体" w:cs="宋体"/>
                <w:color w:val="auto"/>
                <w:szCs w:val="21"/>
                <w:highlight w:val="none"/>
              </w:rPr>
              <w:t>的得1分；</w:t>
            </w:r>
          </w:p>
          <w:p w14:paraId="0375CB04">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15BDF81C">
            <w:pPr>
              <w:widowControl/>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3AA8CF28">
            <w:pPr>
              <w:widowControl/>
              <w:adjustRightInd/>
              <w:jc w:val="center"/>
              <w:rPr>
                <w:rFonts w:ascii="宋体" w:hAnsi="宋体" w:cs="宋体"/>
                <w:snapToGrid w:val="0"/>
                <w:color w:val="auto"/>
                <w:spacing w:val="-4"/>
                <w:szCs w:val="21"/>
                <w:highlight w:val="none"/>
              </w:rPr>
            </w:pPr>
            <w:r>
              <w:rPr>
                <w:rFonts w:hint="eastAsia" w:ascii="宋体" w:hAnsi="宋体" w:cs="宋体"/>
                <w:snapToGrid w:val="0"/>
                <w:color w:val="auto"/>
                <w:spacing w:val="-4"/>
                <w:szCs w:val="21"/>
                <w:highlight w:val="none"/>
              </w:rPr>
              <w:t>主观</w:t>
            </w:r>
            <w:r>
              <w:rPr>
                <w:rFonts w:hint="eastAsia" w:ascii="宋体" w:hAnsi="宋体" w:cs="宋体"/>
                <w:color w:val="auto"/>
                <w:szCs w:val="21"/>
                <w:highlight w:val="none"/>
              </w:rPr>
              <w:t>评审</w:t>
            </w:r>
          </w:p>
        </w:tc>
      </w:tr>
      <w:tr w14:paraId="6E38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continue"/>
          </w:tcPr>
          <w:p w14:paraId="0C8DB15E">
            <w:pPr>
              <w:adjustRightInd/>
              <w:jc w:val="left"/>
              <w:rPr>
                <w:rFonts w:ascii="Calibri" w:hAnsi="Calibri"/>
                <w:color w:val="auto"/>
                <w:szCs w:val="21"/>
                <w:highlight w:val="none"/>
              </w:rPr>
            </w:pPr>
          </w:p>
        </w:tc>
        <w:tc>
          <w:tcPr>
            <w:tcW w:w="657" w:type="pct"/>
            <w:vAlign w:val="center"/>
          </w:tcPr>
          <w:p w14:paraId="222C4D48">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总体实施方案</w:t>
            </w:r>
          </w:p>
          <w:p w14:paraId="187A9F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3070" w:type="pct"/>
            <w:vAlign w:val="center"/>
          </w:tcPr>
          <w:p w14:paraId="4B2191CE">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根据投标人针对本项目制定的实施方案（包括具体的项目实施及操作方案、服务时效方案等）进行评议：</w:t>
            </w:r>
          </w:p>
          <w:p w14:paraId="56C1C5EC">
            <w:p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方案充分结合项目服务特点制定，内容全面、可行，能够有效保障项目高质量履约</w:t>
            </w:r>
            <w:r>
              <w:rPr>
                <w:rFonts w:hint="eastAsia" w:ascii="宋体" w:hAnsi="宋体" w:cs="宋体"/>
                <w:color w:val="auto"/>
                <w:szCs w:val="21"/>
                <w:highlight w:val="none"/>
              </w:rPr>
              <w:t>得5分；</w:t>
            </w:r>
          </w:p>
          <w:p w14:paraId="2332510F">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方案基本契合本项目实际需求，整体可满足项目履约要求；仅存在细节细化不足、专项针对性一般、内容通用性偏强等轻微瑕疵，无原则性偏差的得3分</w:t>
            </w:r>
            <w:r>
              <w:rPr>
                <w:rFonts w:hint="eastAsia" w:ascii="宋体" w:hAnsi="宋体" w:cs="宋体"/>
                <w:color w:val="auto"/>
                <w:szCs w:val="21"/>
                <w:highlight w:val="none"/>
              </w:rPr>
              <w:t>；</w:t>
            </w:r>
          </w:p>
          <w:p w14:paraId="3A616D7C">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方案编制简略、内容单薄，存在内容缺失、阐述空洞、流于形式等问题，方案与项目实际情况存在明显出入，无法较好适配项目履约需求，存在明显瑕疵的得1分</w:t>
            </w:r>
            <w:r>
              <w:rPr>
                <w:rFonts w:hint="eastAsia" w:ascii="宋体" w:hAnsi="宋体" w:cs="宋体"/>
                <w:color w:val="auto"/>
                <w:szCs w:val="21"/>
                <w:highlight w:val="none"/>
              </w:rPr>
              <w:t>；</w:t>
            </w:r>
          </w:p>
          <w:p w14:paraId="5436B4CB">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10F4C997">
            <w:pPr>
              <w:widowControl/>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22B0FD0C">
            <w:pPr>
              <w:widowControl/>
              <w:adjustRightInd/>
              <w:jc w:val="center"/>
              <w:rPr>
                <w:rFonts w:ascii="宋体" w:hAnsi="宋体" w:cs="宋体"/>
                <w:snapToGrid w:val="0"/>
                <w:color w:val="auto"/>
                <w:spacing w:val="-4"/>
                <w:szCs w:val="21"/>
                <w:highlight w:val="none"/>
              </w:rPr>
            </w:pPr>
            <w:r>
              <w:rPr>
                <w:rFonts w:hint="eastAsia" w:ascii="宋体" w:hAnsi="宋体" w:cs="宋体"/>
                <w:snapToGrid w:val="0"/>
                <w:color w:val="auto"/>
                <w:spacing w:val="-4"/>
                <w:szCs w:val="21"/>
                <w:highlight w:val="none"/>
              </w:rPr>
              <w:t>主观</w:t>
            </w:r>
            <w:r>
              <w:rPr>
                <w:rFonts w:hint="eastAsia" w:ascii="宋体" w:hAnsi="宋体" w:cs="宋体"/>
                <w:color w:val="auto"/>
                <w:szCs w:val="21"/>
                <w:highlight w:val="none"/>
              </w:rPr>
              <w:t>评审</w:t>
            </w:r>
          </w:p>
        </w:tc>
      </w:tr>
      <w:tr w14:paraId="4432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continue"/>
          </w:tcPr>
          <w:p w14:paraId="32455F31">
            <w:pPr>
              <w:adjustRightInd/>
              <w:jc w:val="left"/>
              <w:rPr>
                <w:rFonts w:ascii="Calibri" w:hAnsi="Calibri"/>
                <w:color w:val="auto"/>
                <w:szCs w:val="21"/>
                <w:highlight w:val="none"/>
              </w:rPr>
            </w:pPr>
          </w:p>
        </w:tc>
        <w:tc>
          <w:tcPr>
            <w:tcW w:w="657" w:type="pct"/>
            <w:vMerge w:val="restart"/>
            <w:vAlign w:val="center"/>
          </w:tcPr>
          <w:p w14:paraId="3B88D279">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重难点</w:t>
            </w:r>
          </w:p>
          <w:p w14:paraId="3A90CC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分析及解决方案</w:t>
            </w:r>
          </w:p>
          <w:p w14:paraId="419C8E7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3070" w:type="pct"/>
            <w:vAlign w:val="center"/>
          </w:tcPr>
          <w:p w14:paraId="6ED089E9">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根据投标人针对本项目实施过程中可能遇到的重点、难点分析情况进行评议：</w:t>
            </w:r>
          </w:p>
          <w:p w14:paraId="7EFBDC06">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重点、难点及关键控制点分析全面、透彻、贴合项目实际现状及采购需求，无偏差、无遗漏的得5分；</w:t>
            </w:r>
          </w:p>
          <w:p w14:paraId="6F785FBE">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重点、难点、关键点整体分析贴合项目基本情况，无原则性、方向性错误的得3分；</w:t>
            </w:r>
          </w:p>
          <w:p w14:paraId="7F6631C1">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重点、难点、关键点识别不准确、梳理片面，与项目实际情况存在偏差的得1分；</w:t>
            </w:r>
          </w:p>
          <w:p w14:paraId="3C946B2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shd w:val="clear" w:color="auto" w:fill="auto"/>
            <w:vAlign w:val="center"/>
          </w:tcPr>
          <w:p w14:paraId="338F1629">
            <w:pPr>
              <w:widowControl/>
              <w:adjustRightInd/>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w:t>
            </w:r>
          </w:p>
        </w:tc>
        <w:tc>
          <w:tcPr>
            <w:tcW w:w="356" w:type="pct"/>
            <w:shd w:val="clear" w:color="auto" w:fill="auto"/>
            <w:vAlign w:val="center"/>
          </w:tcPr>
          <w:p w14:paraId="27372844">
            <w:pPr>
              <w:widowControl/>
              <w:adjustRightInd/>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cs="宋体"/>
                <w:snapToGrid w:val="0"/>
                <w:color w:val="auto"/>
                <w:spacing w:val="-4"/>
                <w:szCs w:val="21"/>
                <w:highlight w:val="none"/>
              </w:rPr>
              <w:t>主观</w:t>
            </w:r>
            <w:r>
              <w:rPr>
                <w:rFonts w:hint="eastAsia" w:ascii="宋体" w:hAnsi="宋体" w:cs="宋体"/>
                <w:color w:val="auto"/>
                <w:szCs w:val="21"/>
                <w:highlight w:val="none"/>
              </w:rPr>
              <w:t>评审</w:t>
            </w:r>
          </w:p>
        </w:tc>
      </w:tr>
      <w:tr w14:paraId="5C6F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continue"/>
          </w:tcPr>
          <w:p w14:paraId="0D2333D2">
            <w:pPr>
              <w:adjustRightInd/>
              <w:jc w:val="left"/>
              <w:rPr>
                <w:rFonts w:ascii="Calibri" w:hAnsi="Calibri"/>
                <w:color w:val="auto"/>
                <w:szCs w:val="21"/>
                <w:highlight w:val="none"/>
              </w:rPr>
            </w:pPr>
          </w:p>
        </w:tc>
        <w:tc>
          <w:tcPr>
            <w:tcW w:w="657" w:type="pct"/>
            <w:vMerge w:val="continue"/>
            <w:vAlign w:val="center"/>
          </w:tcPr>
          <w:p w14:paraId="406EE8B7">
            <w:pPr>
              <w:spacing w:line="360" w:lineRule="auto"/>
              <w:jc w:val="center"/>
              <w:rPr>
                <w:rFonts w:ascii="宋体" w:hAnsi="宋体" w:cs="宋体"/>
                <w:color w:val="auto"/>
                <w:szCs w:val="21"/>
                <w:highlight w:val="none"/>
              </w:rPr>
            </w:pPr>
          </w:p>
        </w:tc>
        <w:tc>
          <w:tcPr>
            <w:tcW w:w="3070" w:type="pct"/>
            <w:vAlign w:val="center"/>
          </w:tcPr>
          <w:p w14:paraId="6370AF1F">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根据投标人针对本项目实施过程中重点、难点</w:t>
            </w:r>
            <w:r>
              <w:rPr>
                <w:rFonts w:hint="eastAsia" w:ascii="宋体" w:hAnsi="宋体" w:cs="宋体"/>
                <w:color w:val="auto"/>
                <w:szCs w:val="21"/>
                <w:highlight w:val="none"/>
                <w:lang w:val="en-US" w:eastAsia="zh-CN"/>
              </w:rPr>
              <w:t>解决</w:t>
            </w:r>
            <w:r>
              <w:rPr>
                <w:rFonts w:hint="eastAsia" w:ascii="宋体" w:hAnsi="宋体" w:cs="宋体"/>
                <w:color w:val="auto"/>
                <w:szCs w:val="21"/>
                <w:highlight w:val="none"/>
              </w:rPr>
              <w:t>措施进行评议：</w:t>
            </w:r>
          </w:p>
          <w:p w14:paraId="16207D03">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解决措施针对性强、科学合理，能够有效规避项目实施风险、解决项目履约难题，可有力保障项目平稳、高效、高质量开展的得5分；</w:t>
            </w:r>
          </w:p>
          <w:p w14:paraId="07625C95">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解决措施基本完整、合规，能够规避基础履约风险，不会对项目后期实施、服务履约造成负面影响，仅存在细节不够深入、措施细化度不足等轻微瑕疵的得3分</w:t>
            </w:r>
            <w:r>
              <w:rPr>
                <w:rFonts w:hint="eastAsia" w:ascii="宋体" w:hAnsi="宋体" w:cs="宋体"/>
                <w:color w:val="auto"/>
                <w:szCs w:val="21"/>
                <w:highlight w:val="none"/>
              </w:rPr>
              <w:t>；</w:t>
            </w:r>
          </w:p>
          <w:p w14:paraId="6CB84993">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解决措施合理性不足、针对性较弱，无法有效解决项目实施潜在问题，对项目履约质量存在一定影响</w:t>
            </w:r>
            <w:r>
              <w:rPr>
                <w:rFonts w:hint="eastAsia" w:ascii="宋体" w:hAnsi="宋体" w:cs="宋体"/>
                <w:color w:val="auto"/>
                <w:szCs w:val="21"/>
                <w:highlight w:val="none"/>
              </w:rPr>
              <w:t>的得1分；</w:t>
            </w:r>
          </w:p>
          <w:p w14:paraId="6948F77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15FB4D93">
            <w:pPr>
              <w:widowControl/>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212BDA18">
            <w:pPr>
              <w:widowControl/>
              <w:adjustRightInd/>
              <w:jc w:val="center"/>
              <w:rPr>
                <w:rFonts w:ascii="宋体" w:hAnsi="宋体" w:cs="宋体"/>
                <w:snapToGrid w:val="0"/>
                <w:color w:val="auto"/>
                <w:spacing w:val="-4"/>
                <w:szCs w:val="21"/>
                <w:highlight w:val="none"/>
              </w:rPr>
            </w:pPr>
            <w:r>
              <w:rPr>
                <w:rFonts w:hint="eastAsia" w:ascii="宋体" w:hAnsi="宋体" w:cs="宋体"/>
                <w:snapToGrid w:val="0"/>
                <w:color w:val="auto"/>
                <w:spacing w:val="-4"/>
                <w:szCs w:val="21"/>
                <w:highlight w:val="none"/>
              </w:rPr>
              <w:t>主观</w:t>
            </w:r>
            <w:r>
              <w:rPr>
                <w:rFonts w:hint="eastAsia" w:ascii="宋体" w:hAnsi="宋体" w:cs="宋体"/>
                <w:color w:val="auto"/>
                <w:szCs w:val="21"/>
                <w:highlight w:val="none"/>
              </w:rPr>
              <w:t>评审</w:t>
            </w:r>
          </w:p>
        </w:tc>
      </w:tr>
      <w:tr w14:paraId="195A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continue"/>
          </w:tcPr>
          <w:p w14:paraId="4E1C52BE">
            <w:pPr>
              <w:adjustRightInd/>
              <w:jc w:val="left"/>
              <w:rPr>
                <w:rFonts w:ascii="Calibri" w:hAnsi="Calibri"/>
                <w:color w:val="auto"/>
                <w:szCs w:val="21"/>
                <w:highlight w:val="none"/>
              </w:rPr>
            </w:pPr>
          </w:p>
        </w:tc>
        <w:tc>
          <w:tcPr>
            <w:tcW w:w="657" w:type="pct"/>
            <w:vAlign w:val="center"/>
          </w:tcPr>
          <w:p w14:paraId="50131C43">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人员招聘方案</w:t>
            </w:r>
          </w:p>
          <w:p w14:paraId="3C8CF8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3070" w:type="pct"/>
            <w:vAlign w:val="center"/>
          </w:tcPr>
          <w:p w14:paraId="7136D7ED">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根据投标人针对本项目制定的人员招聘方案（包括招聘渠道、招聘要求、人员背景调查、人员入离职手续办理）进行评议：</w:t>
            </w:r>
          </w:p>
          <w:p w14:paraId="775A1192">
            <w:p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人员招聘方案编制完整，方案完全契合本项目人员配置需求与项目实际情况，招聘渠道多样且适配岗位特性，招聘要求清晰贴合项目岗位标准，背景调查严谨全面，入离职办理流程规范完善</w:t>
            </w:r>
            <w:r>
              <w:rPr>
                <w:rFonts w:hint="eastAsia" w:ascii="宋体" w:hAnsi="宋体" w:cs="宋体"/>
                <w:color w:val="auto"/>
                <w:szCs w:val="21"/>
                <w:highlight w:val="none"/>
              </w:rPr>
              <w:t>的得5分；</w:t>
            </w:r>
          </w:p>
          <w:p w14:paraId="6C776048">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人员招聘方案编制结构合理，方案基本契合项目实际用人需求，各项招聘管理措施合规有效，可基本满足采购人服务人员配置标准，仅存在细节细化不足、针对性一般等轻微瑕疵，无原则性偏差</w:t>
            </w:r>
            <w:r>
              <w:rPr>
                <w:rFonts w:hint="eastAsia" w:ascii="宋体" w:hAnsi="宋体" w:cs="宋体"/>
                <w:color w:val="auto"/>
                <w:szCs w:val="21"/>
                <w:highlight w:val="none"/>
              </w:rPr>
              <w:t>的得3分；</w:t>
            </w:r>
          </w:p>
          <w:p w14:paraId="3C66570F">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投标人提供人员招聘方案，但方案编制简略、内容单薄。招聘渠道单一、招聘要求模糊、背景调查或入离职管理措施不完善，方案与项目实际用人情况存在明显出入，无法满足采购人服务人员配置及管理要求，存在明显瑕疵</w:t>
            </w:r>
            <w:r>
              <w:rPr>
                <w:rFonts w:hint="eastAsia" w:ascii="宋体" w:hAnsi="宋体" w:cs="宋体"/>
                <w:color w:val="auto"/>
                <w:szCs w:val="21"/>
                <w:highlight w:val="none"/>
              </w:rPr>
              <w:t>的得1分；</w:t>
            </w:r>
          </w:p>
          <w:p w14:paraId="423E4247">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625FD727">
            <w:pPr>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4CEA35D7">
            <w:pPr>
              <w:adjustRightInd/>
              <w:jc w:val="center"/>
              <w:rPr>
                <w:rFonts w:ascii="宋体" w:hAnsi="宋体" w:cs="宋体"/>
                <w:color w:val="auto"/>
                <w:szCs w:val="21"/>
                <w:highlight w:val="none"/>
              </w:rPr>
            </w:pPr>
            <w:r>
              <w:rPr>
                <w:rFonts w:hint="eastAsia" w:ascii="宋体" w:hAnsi="宋体" w:cs="宋体"/>
                <w:snapToGrid w:val="0"/>
                <w:color w:val="auto"/>
                <w:spacing w:val="-4"/>
                <w:szCs w:val="21"/>
                <w:highlight w:val="none"/>
              </w:rPr>
              <w:t>主观</w:t>
            </w:r>
            <w:r>
              <w:rPr>
                <w:rFonts w:hint="eastAsia" w:ascii="宋体" w:hAnsi="宋体" w:cs="宋体"/>
                <w:color w:val="auto"/>
                <w:szCs w:val="21"/>
                <w:highlight w:val="none"/>
              </w:rPr>
              <w:t>评审</w:t>
            </w:r>
          </w:p>
        </w:tc>
      </w:tr>
      <w:tr w14:paraId="47D3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jc w:val="center"/>
        </w:trPr>
        <w:tc>
          <w:tcPr>
            <w:tcW w:w="602" w:type="pct"/>
            <w:vMerge w:val="continue"/>
          </w:tcPr>
          <w:p w14:paraId="7F396D3F">
            <w:pPr>
              <w:adjustRightInd/>
              <w:jc w:val="left"/>
              <w:rPr>
                <w:rFonts w:ascii="Calibri" w:hAnsi="Calibri"/>
                <w:color w:val="auto"/>
                <w:szCs w:val="21"/>
                <w:highlight w:val="none"/>
              </w:rPr>
            </w:pPr>
          </w:p>
        </w:tc>
        <w:tc>
          <w:tcPr>
            <w:tcW w:w="657" w:type="pct"/>
            <w:vAlign w:val="center"/>
          </w:tcPr>
          <w:p w14:paraId="1865E336">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人员管理方案</w:t>
            </w:r>
          </w:p>
          <w:p w14:paraId="713E9B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3070" w:type="pct"/>
            <w:vAlign w:val="center"/>
          </w:tcPr>
          <w:p w14:paraId="6545A18A">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根据投标人针对本项目制定的人员管理方案（包括人事管理制度、工作档案建立、员工职称评定、人员各项福利、保险、计生和退休手续办理等）进行评议：</w:t>
            </w:r>
          </w:p>
          <w:p w14:paraId="51B7A9D8">
            <w:p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人员管理方案编制完整、体系规范，方案贴合项目实际用人管理需求，管理制度健全、流程清晰、标准明确，整体操作性强，落地执行便捷，能够有效支撑项目人员常态化管理，便于项目后期持续实施与运维的</w:t>
            </w:r>
            <w:r>
              <w:rPr>
                <w:rFonts w:hint="eastAsia" w:ascii="宋体" w:hAnsi="宋体" w:cs="宋体"/>
                <w:color w:val="auto"/>
                <w:szCs w:val="21"/>
                <w:highlight w:val="none"/>
              </w:rPr>
              <w:t>得5分；</w:t>
            </w:r>
          </w:p>
          <w:p w14:paraId="3D58591F">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人员管理方案编制结构完整、内容合理，具备基础可操作性，但细节细化程度不足、实操落地性一般，无原则性缺陷，不会对项目后期人员管理及项目实施运行造成不良影响</w:t>
            </w:r>
            <w:r>
              <w:rPr>
                <w:rFonts w:hint="eastAsia" w:ascii="宋体" w:hAnsi="宋体" w:cs="宋体"/>
                <w:color w:val="auto"/>
                <w:szCs w:val="21"/>
                <w:highlight w:val="none"/>
              </w:rPr>
              <w:t>的得3分；</w:t>
            </w:r>
          </w:p>
          <w:p w14:paraId="5EC82E2A">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方案编制存在瑕疵，内容简略、办理流程不规范等问题，方案内容与项目实际人员管理需求存在明显出入，实操性差，对项目后期人员常态化管理、项目稳定实施会造成不利影响</w:t>
            </w:r>
            <w:r>
              <w:rPr>
                <w:rFonts w:hint="eastAsia" w:ascii="宋体" w:hAnsi="宋体" w:cs="宋体"/>
                <w:color w:val="auto"/>
                <w:szCs w:val="21"/>
                <w:highlight w:val="none"/>
              </w:rPr>
              <w:t>的得1分；</w:t>
            </w:r>
          </w:p>
          <w:p w14:paraId="42A3D6F5">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7C2D6894">
            <w:pPr>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4F20575A">
            <w:pPr>
              <w:adjustRightInd/>
              <w:jc w:val="center"/>
              <w:rPr>
                <w:rFonts w:ascii="宋体" w:hAnsi="宋体" w:cs="宋体"/>
                <w:snapToGrid w:val="0"/>
                <w:color w:val="auto"/>
                <w:spacing w:val="-4"/>
                <w:szCs w:val="21"/>
                <w:highlight w:val="none"/>
              </w:rPr>
            </w:pPr>
            <w:r>
              <w:rPr>
                <w:rFonts w:hint="eastAsia" w:ascii="宋体" w:hAnsi="宋体" w:cs="宋体"/>
                <w:snapToGrid w:val="0"/>
                <w:color w:val="auto"/>
                <w:spacing w:val="-4"/>
                <w:szCs w:val="21"/>
                <w:highlight w:val="none"/>
              </w:rPr>
              <w:t>主观评审</w:t>
            </w:r>
          </w:p>
        </w:tc>
      </w:tr>
      <w:tr w14:paraId="2590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continue"/>
          </w:tcPr>
          <w:p w14:paraId="37C3144D">
            <w:pPr>
              <w:adjustRightInd/>
              <w:jc w:val="left"/>
              <w:rPr>
                <w:rFonts w:ascii="Calibri" w:hAnsi="Calibri"/>
                <w:color w:val="auto"/>
                <w:szCs w:val="21"/>
                <w:highlight w:val="none"/>
              </w:rPr>
            </w:pPr>
          </w:p>
        </w:tc>
        <w:tc>
          <w:tcPr>
            <w:tcW w:w="657" w:type="pct"/>
            <w:vAlign w:val="center"/>
          </w:tcPr>
          <w:p w14:paraId="41B3EEC8">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人员培训方案</w:t>
            </w:r>
          </w:p>
          <w:p w14:paraId="3BCD3CE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3070" w:type="pct"/>
            <w:vAlign w:val="center"/>
          </w:tcPr>
          <w:p w14:paraId="47F5A382">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根据投标人针对本项目制定的</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培训方案（包括人员上岗前的培训内容、培训周期、培训地点、人员安全教育、劳动纪律宣讲、保密制度培训）进行评议：</w:t>
            </w:r>
          </w:p>
          <w:p w14:paraId="7687CB7D">
            <w:p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内部培训方案编制全面，培训内容贴合本项目服务特点，培训周期规划科学合理，完全契合采购人服务管理要求，针对性、落地性强，可有效保障项目人员上岗服务质量</w:t>
            </w:r>
            <w:r>
              <w:rPr>
                <w:rFonts w:hint="eastAsia" w:ascii="宋体" w:hAnsi="宋体" w:cs="宋体"/>
                <w:color w:val="auto"/>
                <w:szCs w:val="21"/>
                <w:highlight w:val="none"/>
              </w:rPr>
              <w:t>的得5分；</w:t>
            </w:r>
          </w:p>
          <w:p w14:paraId="06FD16DA">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内部培训方案编制较合理，培训内容、培训周期安排较为妥当，基本契合采购人服务要求，能够满足项目人员上岗基础培训需求，仅存在细节细化不足、针对性一般等轻微瑕疵，无原则性问题</w:t>
            </w:r>
            <w:r>
              <w:rPr>
                <w:rFonts w:hint="eastAsia" w:ascii="宋体" w:hAnsi="宋体" w:cs="宋体"/>
                <w:color w:val="auto"/>
                <w:szCs w:val="21"/>
                <w:highlight w:val="none"/>
              </w:rPr>
              <w:t>的得3分；</w:t>
            </w:r>
          </w:p>
          <w:p w14:paraId="1A797402">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内部培训方案编制存在明显瑕疵、培训内容不完善、培训周期安排不合理，安全教育、纪律及保密培训内容缺失或流于形式等问题，整体未契合采购人服务要求，项目适配性较差</w:t>
            </w:r>
            <w:r>
              <w:rPr>
                <w:rFonts w:hint="eastAsia" w:ascii="宋体" w:hAnsi="宋体" w:cs="宋体"/>
                <w:color w:val="auto"/>
                <w:szCs w:val="21"/>
                <w:highlight w:val="none"/>
              </w:rPr>
              <w:t>的得1分；</w:t>
            </w:r>
          </w:p>
          <w:p w14:paraId="7566B066">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262A736B">
            <w:pPr>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6DE228E1">
            <w:pPr>
              <w:adjustRightInd/>
              <w:jc w:val="center"/>
              <w:rPr>
                <w:color w:val="auto"/>
                <w:szCs w:val="21"/>
                <w:highlight w:val="none"/>
              </w:rPr>
            </w:pPr>
            <w:r>
              <w:rPr>
                <w:rFonts w:hint="eastAsia"/>
                <w:color w:val="auto"/>
                <w:szCs w:val="21"/>
                <w:highlight w:val="none"/>
              </w:rPr>
              <w:t>主观评审</w:t>
            </w:r>
          </w:p>
        </w:tc>
      </w:tr>
      <w:tr w14:paraId="618F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pct"/>
            <w:vMerge w:val="continue"/>
          </w:tcPr>
          <w:p w14:paraId="4CA401A7">
            <w:pPr>
              <w:adjustRightInd/>
              <w:jc w:val="left"/>
              <w:rPr>
                <w:rFonts w:ascii="Calibri" w:hAnsi="Calibri"/>
                <w:color w:val="auto"/>
                <w:szCs w:val="21"/>
                <w:highlight w:val="none"/>
              </w:rPr>
            </w:pPr>
          </w:p>
        </w:tc>
        <w:tc>
          <w:tcPr>
            <w:tcW w:w="657" w:type="pct"/>
            <w:vAlign w:val="center"/>
          </w:tcPr>
          <w:p w14:paraId="74BD098A">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项目人员衔接方案（5分）</w:t>
            </w:r>
          </w:p>
        </w:tc>
        <w:tc>
          <w:tcPr>
            <w:tcW w:w="3070" w:type="pct"/>
          </w:tcPr>
          <w:p w14:paraId="1F372DC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根据投标人提供针对本项目的项目人员衔接方案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包括但不限于方案完整性、项目适配性、衔接平稳性、风险可控性及对采购人日常运营、原有工作秩序的影响</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进行评议：</w:t>
            </w:r>
          </w:p>
          <w:p w14:paraId="1696BA51">
            <w:p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项目人员衔接方案编制全面、逻辑清晰，深度契合本项目实际运营及人员交接场景。过渡机制完善、风险防控措施到位，可实现人员平稳交接、无缝过渡，能够充分保障采购人单位日常正常运营，完全不会打乱采购人现有人员工作及原有工作秩序，履约保障性极强</w:t>
            </w:r>
            <w:r>
              <w:rPr>
                <w:rFonts w:hint="eastAsia" w:ascii="宋体" w:hAnsi="宋体" w:cs="宋体"/>
                <w:color w:val="auto"/>
                <w:szCs w:val="21"/>
                <w:highlight w:val="none"/>
              </w:rPr>
              <w:t>的得5分；</w:t>
            </w:r>
          </w:p>
          <w:p w14:paraId="551FA44A">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项目人员衔接方案编制整体合理，基本契合项目实际情况，人员交接流程完整。方案整体可适配采购人日常运营工作，但衔接细节不够完善，存在轻微可控风险，可能小幅影响采购人单位运营效率，但风险可控，不会打乱采购人原有人员工作秩序，无实质性不良影响</w:t>
            </w:r>
            <w:r>
              <w:rPr>
                <w:rFonts w:hint="eastAsia" w:ascii="宋体" w:hAnsi="宋体" w:cs="宋体"/>
                <w:color w:val="auto"/>
                <w:szCs w:val="21"/>
                <w:highlight w:val="none"/>
              </w:rPr>
              <w:t>的得3分；</w:t>
            </w:r>
          </w:p>
          <w:p w14:paraId="6A6F4536">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方案编制存在明显瑕疵、内容简略、机制不完善，人员交接流程不合理、风险防控措施缺失。方案适配性差，无法保障平稳交接，会直接影响采购人单位正常运营，且极易严重扰乱采购人现有日常工作秩序</w:t>
            </w:r>
            <w:r>
              <w:rPr>
                <w:rFonts w:hint="eastAsia" w:ascii="宋体" w:hAnsi="宋体" w:cs="宋体"/>
                <w:color w:val="auto"/>
                <w:szCs w:val="21"/>
                <w:highlight w:val="none"/>
              </w:rPr>
              <w:t>的得1分；</w:t>
            </w:r>
          </w:p>
          <w:p w14:paraId="4A4F4159">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0A75EACE">
            <w:pPr>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6CFAA03F">
            <w:pPr>
              <w:adjustRightInd/>
              <w:jc w:val="center"/>
              <w:rPr>
                <w:color w:val="auto"/>
                <w:szCs w:val="21"/>
                <w:highlight w:val="none"/>
              </w:rPr>
            </w:pPr>
            <w:r>
              <w:rPr>
                <w:rFonts w:hint="eastAsia" w:ascii="宋体" w:hAnsi="宋体" w:cs="宋体"/>
                <w:color w:val="auto"/>
                <w:szCs w:val="21"/>
                <w:highlight w:val="none"/>
              </w:rPr>
              <w:t>主观评审</w:t>
            </w:r>
          </w:p>
        </w:tc>
      </w:tr>
      <w:tr w14:paraId="6EA2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602" w:type="pct"/>
            <w:vMerge w:val="continue"/>
          </w:tcPr>
          <w:p w14:paraId="60013311">
            <w:pPr>
              <w:adjustRightInd/>
              <w:jc w:val="left"/>
              <w:rPr>
                <w:rFonts w:ascii="Calibri" w:hAnsi="Calibri"/>
                <w:color w:val="auto"/>
                <w:szCs w:val="21"/>
                <w:highlight w:val="none"/>
              </w:rPr>
            </w:pPr>
          </w:p>
        </w:tc>
        <w:tc>
          <w:tcPr>
            <w:tcW w:w="657" w:type="pct"/>
            <w:vAlign w:val="center"/>
          </w:tcPr>
          <w:p w14:paraId="4B84B55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应急预案（5分）</w:t>
            </w:r>
          </w:p>
        </w:tc>
        <w:tc>
          <w:tcPr>
            <w:tcW w:w="3070" w:type="pct"/>
            <w:vAlign w:val="center"/>
          </w:tcPr>
          <w:p w14:paraId="5790638D">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根据投标人针对本项目实施过程中可能发生的紧急情况及采取的应急预案措施、处理工作预案及采取的措施进行评议：</w:t>
            </w:r>
          </w:p>
          <w:p w14:paraId="66B2CCA9">
            <w:p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投标人应急预案及处理工作方案编制全面、风险识别全面、预判到位，应急处置流程清晰、响应机制健全、处置措施专业完善，可有效应对项目各类紧急情况，能够快速、及时、精准采取对应处置措施，高效化解项目突发风险，保障项目平稳运行</w:t>
            </w:r>
            <w:r>
              <w:rPr>
                <w:rFonts w:hint="eastAsia" w:ascii="宋体" w:hAnsi="宋体" w:cs="宋体"/>
                <w:color w:val="auto"/>
                <w:szCs w:val="21"/>
                <w:highlight w:val="none"/>
              </w:rPr>
              <w:t>的得5分；</w:t>
            </w:r>
          </w:p>
          <w:p w14:paraId="38F39C0C">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投标人应急预案及处理工作方案编制合理，内容较为全面。可覆盖项目大部分常见紧急突发场景，具备规范的应急处置流程与配套处理措施，基本能够应对项目大部分紧急情况、落实对应处置工作，仅存在场景覆盖不全、处置细节细化不足等轻微瑕疵，不影响整体应急处置效果</w:t>
            </w:r>
            <w:r>
              <w:rPr>
                <w:rFonts w:hint="eastAsia" w:ascii="宋体" w:hAnsi="宋体" w:cs="宋体"/>
                <w:color w:val="auto"/>
                <w:szCs w:val="21"/>
                <w:highlight w:val="none"/>
              </w:rPr>
              <w:t>的得3分；</w:t>
            </w:r>
          </w:p>
          <w:p w14:paraId="44F34EBE">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投标人提供应急预案及处理工作方案，但方案编制存在明显瑕疵、内容不完善、场景覆盖片面。仅可应对项目小部分紧急情况，应急响应机制缺失、处置措施单薄、流程不规范，无法及时、有效开展应急处置工作，应急保障能力不足</w:t>
            </w:r>
            <w:r>
              <w:rPr>
                <w:rFonts w:hint="eastAsia" w:ascii="宋体" w:hAnsi="宋体" w:cs="宋体"/>
                <w:color w:val="auto"/>
                <w:szCs w:val="21"/>
                <w:highlight w:val="none"/>
              </w:rPr>
              <w:t>的得1分；</w:t>
            </w:r>
          </w:p>
          <w:p w14:paraId="718B70CF">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14622844">
            <w:pPr>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5F0CA4C3">
            <w:pPr>
              <w:adjustRightInd/>
              <w:jc w:val="center"/>
              <w:rPr>
                <w:rFonts w:ascii="宋体" w:hAnsi="宋体" w:cs="宋体"/>
                <w:color w:val="auto"/>
                <w:szCs w:val="21"/>
                <w:highlight w:val="none"/>
              </w:rPr>
            </w:pPr>
            <w:r>
              <w:rPr>
                <w:rFonts w:hint="eastAsia" w:ascii="宋体" w:hAnsi="宋体" w:cs="宋体"/>
                <w:color w:val="auto"/>
                <w:szCs w:val="21"/>
                <w:highlight w:val="none"/>
              </w:rPr>
              <w:t>主观评审</w:t>
            </w:r>
          </w:p>
        </w:tc>
      </w:tr>
      <w:tr w14:paraId="0C98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02" w:type="pct"/>
            <w:vMerge w:val="continue"/>
          </w:tcPr>
          <w:p w14:paraId="1AAC8EAA">
            <w:pPr>
              <w:adjustRightInd/>
              <w:jc w:val="left"/>
              <w:rPr>
                <w:rFonts w:ascii="Calibri" w:hAnsi="Calibri"/>
                <w:color w:val="auto"/>
                <w:szCs w:val="21"/>
                <w:highlight w:val="none"/>
              </w:rPr>
            </w:pPr>
          </w:p>
        </w:tc>
        <w:tc>
          <w:tcPr>
            <w:tcW w:w="657" w:type="pct"/>
            <w:vAlign w:val="center"/>
          </w:tcPr>
          <w:p w14:paraId="25FA0091">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纠纷处理方案（5分）</w:t>
            </w:r>
          </w:p>
        </w:tc>
        <w:tc>
          <w:tcPr>
            <w:tcW w:w="3070" w:type="pct"/>
            <w:vAlign w:val="center"/>
          </w:tcPr>
          <w:p w14:paraId="153FA08D">
            <w:pPr>
              <w:spacing w:line="360" w:lineRule="auto"/>
              <w:rPr>
                <w:rFonts w:ascii="宋体" w:hAnsi="宋体" w:cs="宋体"/>
                <w:color w:val="auto"/>
                <w:szCs w:val="21"/>
                <w:highlight w:val="none"/>
              </w:rPr>
            </w:pPr>
            <w:r>
              <w:rPr>
                <w:rFonts w:hint="eastAsia" w:ascii="宋体" w:hAnsi="宋体" w:cs="宋体"/>
                <w:color w:val="auto"/>
                <w:szCs w:val="21"/>
                <w:highlight w:val="none"/>
              </w:rPr>
              <w:t>根据投标人针对本项目制定的纠纷处理方案（包括处理人员劳动争议、纠纷、人员安全事故处理、仲裁、诉讼事宜）进行评议：</w:t>
            </w:r>
          </w:p>
          <w:p w14:paraId="16210E2D">
            <w:p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纠纷处理方案编制全面、纠纷处置流程清晰、权责明确、处理机制完善、应对措施专业规范，可妥善处置本项目各类纠纷及突发争议事件，风险化解能力强，充分保障项目平稳履约</w:t>
            </w:r>
            <w:r>
              <w:rPr>
                <w:rFonts w:hint="eastAsia" w:ascii="宋体" w:hAnsi="宋体" w:cs="宋体"/>
                <w:color w:val="auto"/>
                <w:szCs w:val="21"/>
                <w:highlight w:val="none"/>
              </w:rPr>
              <w:t>的得5分；</w:t>
            </w:r>
          </w:p>
          <w:p w14:paraId="3D86762A">
            <w:pPr>
              <w:spacing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纠纷处理方案编制合理，内容较为全面。具备规范的纠纷处置流程与应对手段，可有效处理项目大部分纠纷事件，仅存在处置细节不够细化、个别场景应对措施简略等轻微瑕疵，不影响整体纠纷处置效果</w:t>
            </w:r>
            <w:r>
              <w:rPr>
                <w:rFonts w:hint="eastAsia" w:ascii="宋体" w:hAnsi="宋体" w:cs="宋体"/>
                <w:color w:val="auto"/>
                <w:szCs w:val="21"/>
                <w:highlight w:val="none"/>
              </w:rPr>
              <w:t>的得3分；</w:t>
            </w:r>
          </w:p>
          <w:p w14:paraId="5A54E7CC">
            <w:pPr>
              <w:spacing w:line="360" w:lineRule="auto"/>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投标人提供纠纷处理方案，但方案编制存在明显瑕疵、内容不完善、场景覆盖片面。仅覆盖小部分项目纠纷场景，处置流程简略、应对措施不足、权责模糊，仅可处理小部分纠纷事件，整体纠纷处置及风险化解能力较差</w:t>
            </w:r>
            <w:r>
              <w:rPr>
                <w:rFonts w:hint="eastAsia" w:ascii="宋体" w:hAnsi="宋体" w:cs="宋体"/>
                <w:color w:val="auto"/>
                <w:szCs w:val="21"/>
                <w:highlight w:val="none"/>
              </w:rPr>
              <w:t>的得1分；</w:t>
            </w:r>
          </w:p>
          <w:p w14:paraId="058EC3F5">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未提供任何内容的不得分。</w:t>
            </w:r>
          </w:p>
        </w:tc>
        <w:tc>
          <w:tcPr>
            <w:tcW w:w="313" w:type="pct"/>
            <w:vAlign w:val="center"/>
          </w:tcPr>
          <w:p w14:paraId="764161D1">
            <w:pPr>
              <w:adjustRightInd/>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6017B2D1">
            <w:pPr>
              <w:adjustRightInd/>
              <w:jc w:val="center"/>
              <w:rPr>
                <w:rFonts w:ascii="宋体" w:hAnsi="宋体" w:cs="宋体"/>
                <w:color w:val="auto"/>
                <w:szCs w:val="21"/>
                <w:highlight w:val="none"/>
              </w:rPr>
            </w:pPr>
            <w:r>
              <w:rPr>
                <w:rFonts w:hint="eastAsia" w:ascii="宋体" w:hAnsi="宋体" w:cs="宋体"/>
                <w:color w:val="auto"/>
                <w:szCs w:val="21"/>
                <w:highlight w:val="none"/>
              </w:rPr>
              <w:t>主观评审</w:t>
            </w:r>
          </w:p>
        </w:tc>
      </w:tr>
      <w:tr w14:paraId="56C0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02" w:type="pct"/>
            <w:vMerge w:val="continue"/>
          </w:tcPr>
          <w:p w14:paraId="4C055243">
            <w:pPr>
              <w:adjustRightInd/>
              <w:jc w:val="left"/>
              <w:rPr>
                <w:rFonts w:ascii="Calibri" w:hAnsi="Calibri"/>
                <w:color w:val="auto"/>
                <w:szCs w:val="21"/>
                <w:highlight w:val="none"/>
              </w:rPr>
            </w:pPr>
          </w:p>
        </w:tc>
        <w:tc>
          <w:tcPr>
            <w:tcW w:w="657" w:type="pct"/>
            <w:vMerge w:val="restart"/>
            <w:vAlign w:val="center"/>
          </w:tcPr>
          <w:p w14:paraId="1BE86E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项目管理团队（</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3070" w:type="pct"/>
            <w:vAlign w:val="center"/>
          </w:tcPr>
          <w:p w14:paraId="08484E75">
            <w:pPr>
              <w:numPr>
                <w:ilvl w:val="0"/>
                <w:numId w:val="2"/>
              </w:num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项目管理团队成员中具有</w:t>
            </w:r>
            <w:r>
              <w:rPr>
                <w:rFonts w:hint="eastAsia" w:ascii="宋体" w:hAnsi="宋体" w:cs="宋体"/>
                <w:color w:val="auto"/>
                <w:szCs w:val="21"/>
                <w:highlight w:val="none"/>
                <w:lang w:val="en-US" w:eastAsia="zh-CN"/>
              </w:rPr>
              <w:t>高级及以上职称的，每1人得1分，满分2分。</w:t>
            </w:r>
          </w:p>
          <w:p w14:paraId="3F2C993E">
            <w:pPr>
              <w:numPr>
                <w:ilvl w:val="-1"/>
                <w:numId w:val="0"/>
              </w:num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备注：投标文件提供职称证书扫描件及近开标日前三个月任意一个月的社保证明扫描件，未提供或提供不全的均不得分。</w:t>
            </w:r>
          </w:p>
        </w:tc>
        <w:tc>
          <w:tcPr>
            <w:tcW w:w="313" w:type="pct"/>
            <w:vAlign w:val="center"/>
          </w:tcPr>
          <w:p w14:paraId="6B92536B">
            <w:pPr>
              <w:adjustRightInd/>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356" w:type="pct"/>
            <w:vAlign w:val="center"/>
          </w:tcPr>
          <w:p w14:paraId="79E50D03">
            <w:pPr>
              <w:adjustRightInd/>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客观评审</w:t>
            </w:r>
          </w:p>
        </w:tc>
      </w:tr>
      <w:tr w14:paraId="0108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02" w:type="pct"/>
            <w:vMerge w:val="continue"/>
          </w:tcPr>
          <w:p w14:paraId="08516EF4">
            <w:pPr>
              <w:adjustRightInd/>
              <w:jc w:val="left"/>
              <w:rPr>
                <w:rFonts w:ascii="Calibri" w:hAnsi="Calibri"/>
                <w:color w:val="auto"/>
                <w:szCs w:val="21"/>
                <w:highlight w:val="none"/>
              </w:rPr>
            </w:pPr>
          </w:p>
        </w:tc>
        <w:tc>
          <w:tcPr>
            <w:tcW w:w="657" w:type="pct"/>
            <w:vMerge w:val="continue"/>
            <w:vAlign w:val="center"/>
          </w:tcPr>
          <w:p w14:paraId="1AFD13F1">
            <w:pPr>
              <w:spacing w:line="360" w:lineRule="auto"/>
              <w:jc w:val="center"/>
              <w:rPr>
                <w:rFonts w:hint="eastAsia" w:ascii="宋体" w:hAnsi="宋体" w:cs="宋体"/>
                <w:color w:val="auto"/>
                <w:szCs w:val="21"/>
                <w:highlight w:val="none"/>
              </w:rPr>
            </w:pPr>
          </w:p>
        </w:tc>
        <w:tc>
          <w:tcPr>
            <w:tcW w:w="3070" w:type="pct"/>
            <w:vAlign w:val="center"/>
          </w:tcPr>
          <w:p w14:paraId="6D22C8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.根据投标人</w:t>
            </w:r>
            <w:r>
              <w:rPr>
                <w:rFonts w:hint="eastAsia" w:ascii="宋体" w:hAnsi="宋体" w:cs="宋体"/>
                <w:color w:val="auto"/>
                <w:szCs w:val="21"/>
                <w:highlight w:val="none"/>
              </w:rPr>
              <w:t>提供的项目管理团队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包括人员配置、人员从业经验等</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进行评议：</w:t>
            </w:r>
          </w:p>
          <w:p w14:paraId="51621B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项目管理团队人员配置齐全、架构合理，岗位分工清晰明确。团队具备较强的现场监督、日常管控与统筹管理意识，从业人员项目服务经验丰富，能够全面适配本项目履约管理需求，完全满足采购人项目管理及服务要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06DE40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项目管理团队人员配置存在少量缺项、整体不够完善，岗位配置略有不足。但现有管理人员岗位职责清晰，能够确保项目整体履约稳定</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B73DF9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项目管理团队配置可支撑基础工作开展，能够保障完成项目基本管理任务。但团队整体人员素质参差不齐，从业人员相关项目实操经验略有欠缺的</w:t>
            </w:r>
            <w:r>
              <w:rPr>
                <w:rFonts w:hint="eastAsia" w:ascii="宋体" w:hAnsi="宋体" w:cs="宋体"/>
                <w:color w:val="auto"/>
                <w:szCs w:val="21"/>
                <w:highlight w:val="none"/>
              </w:rPr>
              <w:t>得1分；</w:t>
            </w:r>
          </w:p>
          <w:p w14:paraId="4C5F8A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④未提供任何内容的不得分。</w:t>
            </w:r>
          </w:p>
        </w:tc>
        <w:tc>
          <w:tcPr>
            <w:tcW w:w="313" w:type="pct"/>
            <w:vAlign w:val="center"/>
          </w:tcPr>
          <w:p w14:paraId="54E4C238">
            <w:pPr>
              <w:adjustRightInd/>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56" w:type="pct"/>
            <w:vAlign w:val="center"/>
          </w:tcPr>
          <w:p w14:paraId="6DACFDA9">
            <w:pPr>
              <w:adjustRightInd/>
              <w:jc w:val="center"/>
              <w:rPr>
                <w:rFonts w:hint="eastAsia" w:ascii="宋体" w:hAnsi="宋体" w:cs="宋体"/>
                <w:color w:val="auto"/>
                <w:szCs w:val="21"/>
                <w:highlight w:val="none"/>
              </w:rPr>
            </w:pPr>
            <w:r>
              <w:rPr>
                <w:rFonts w:hint="eastAsia" w:ascii="宋体" w:hAnsi="宋体" w:cs="宋体"/>
                <w:color w:val="auto"/>
                <w:szCs w:val="21"/>
                <w:highlight w:val="none"/>
              </w:rPr>
              <w:t>主观评审</w:t>
            </w:r>
          </w:p>
        </w:tc>
      </w:tr>
      <w:tr w14:paraId="2627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02" w:type="pct"/>
            <w:vMerge w:val="continue"/>
          </w:tcPr>
          <w:p w14:paraId="60A56F9D">
            <w:pPr>
              <w:adjustRightInd/>
              <w:jc w:val="left"/>
              <w:rPr>
                <w:rFonts w:ascii="Calibri" w:hAnsi="Calibri"/>
                <w:color w:val="auto"/>
                <w:szCs w:val="21"/>
                <w:highlight w:val="none"/>
              </w:rPr>
            </w:pPr>
          </w:p>
        </w:tc>
        <w:tc>
          <w:tcPr>
            <w:tcW w:w="657" w:type="pct"/>
            <w:vAlign w:val="center"/>
          </w:tcPr>
          <w:p w14:paraId="78F3B00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12、政策变动应对方案（5分）</w:t>
            </w:r>
          </w:p>
        </w:tc>
        <w:tc>
          <w:tcPr>
            <w:tcW w:w="3070" w:type="pct"/>
            <w:vAlign w:val="center"/>
          </w:tcPr>
          <w:p w14:paraId="01D0D42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根据投标人</w:t>
            </w:r>
            <w:r>
              <w:rPr>
                <w:rFonts w:hint="eastAsia" w:ascii="宋体" w:hAnsi="宋体" w:cs="宋体"/>
                <w:color w:val="auto"/>
                <w:szCs w:val="21"/>
                <w:highlight w:val="none"/>
              </w:rPr>
              <w:t>提供的</w:t>
            </w:r>
            <w:r>
              <w:rPr>
                <w:rFonts w:hint="eastAsia" w:ascii="宋体" w:hAnsi="宋体" w:cs="宋体"/>
                <w:color w:val="auto"/>
                <w:szCs w:val="21"/>
                <w:highlight w:val="none"/>
                <w:lang w:val="en-US" w:eastAsia="zh-CN"/>
              </w:rPr>
              <w:t>政策变动应对方案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包括针对政策性变故、政府行为导致合同终止的平稳退出、人员安置、资料交接、风险兜底等内容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进行评议：</w:t>
            </w:r>
          </w:p>
          <w:p w14:paraId="656B5CF1">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方案深度贴合项目实际履约场景，应对机制成熟、退出流程规范、人员安置合理、资料交接完整、风险兜底措施到位，针对性、可操作性强，可有效应对各类政策及政府变动风险，保障项目平稳退出、有序交接，完全满足采购人履约兜底管理要求的得5分；</w:t>
            </w:r>
          </w:p>
          <w:p w14:paraId="0BE02C9F">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具备基础的变故应对、人员安置、资料交接及风险防控措施，可保障项目基本平稳退出，仅存在细节细化不足、风险兜底措施较为笼统、专项针对性一般等轻微瑕疵，无原则性缺陷，不影响项目整体退出及交接工作开展的得3分；</w:t>
            </w:r>
          </w:p>
          <w:p w14:paraId="7CC8DA9B">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方案内容存在缺失，政策变故应对、人员安置、资料交接或风险兜底措施不完善，与项目实际履约退出场景存在出入，处置机制不成熟，无法有效应对政策变动风险，难以保障项目平稳退出及有序交接的得1分；</w:t>
            </w:r>
          </w:p>
          <w:p w14:paraId="5FE41E7B">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未提供相关内容不得分。</w:t>
            </w:r>
          </w:p>
        </w:tc>
        <w:tc>
          <w:tcPr>
            <w:tcW w:w="313" w:type="pct"/>
            <w:shd w:val="clear" w:color="auto" w:fill="auto"/>
            <w:vAlign w:val="center"/>
          </w:tcPr>
          <w:p w14:paraId="600DE0D2">
            <w:pPr>
              <w:adjustRightInd/>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w:t>
            </w:r>
          </w:p>
        </w:tc>
        <w:tc>
          <w:tcPr>
            <w:tcW w:w="356" w:type="pct"/>
            <w:shd w:val="clear" w:color="auto" w:fill="auto"/>
            <w:vAlign w:val="center"/>
          </w:tcPr>
          <w:p w14:paraId="6B1A1ACC">
            <w:pPr>
              <w:adjustRightInd/>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主观评审</w:t>
            </w:r>
          </w:p>
        </w:tc>
      </w:tr>
      <w:tr w14:paraId="587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02" w:type="pct"/>
            <w:vMerge w:val="continue"/>
          </w:tcPr>
          <w:p w14:paraId="34C83888">
            <w:pPr>
              <w:adjustRightInd/>
              <w:jc w:val="left"/>
              <w:rPr>
                <w:rFonts w:ascii="Calibri" w:hAnsi="Calibri"/>
                <w:color w:val="auto"/>
                <w:szCs w:val="21"/>
                <w:highlight w:val="none"/>
              </w:rPr>
            </w:pPr>
          </w:p>
        </w:tc>
        <w:tc>
          <w:tcPr>
            <w:tcW w:w="657" w:type="pct"/>
            <w:vAlign w:val="center"/>
          </w:tcPr>
          <w:p w14:paraId="34D2DC9A">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13、服务质量管控方案（5分）</w:t>
            </w:r>
          </w:p>
        </w:tc>
        <w:tc>
          <w:tcPr>
            <w:tcW w:w="3070" w:type="pct"/>
            <w:vAlign w:val="center"/>
          </w:tcPr>
          <w:p w14:paraId="46DE057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根据投标人</w:t>
            </w:r>
            <w:r>
              <w:rPr>
                <w:rFonts w:hint="eastAsia" w:ascii="宋体" w:hAnsi="宋体" w:cs="宋体"/>
                <w:color w:val="auto"/>
                <w:szCs w:val="21"/>
                <w:highlight w:val="none"/>
              </w:rPr>
              <w:t>提供的</w:t>
            </w:r>
            <w:r>
              <w:rPr>
                <w:rFonts w:hint="eastAsia" w:ascii="宋体" w:hAnsi="宋体" w:cs="宋体"/>
                <w:color w:val="auto"/>
                <w:szCs w:val="21"/>
                <w:highlight w:val="none"/>
                <w:lang w:val="en-US" w:eastAsia="zh-CN"/>
              </w:rPr>
              <w:t>服务质量管控方案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包括日常巡检、服务标准执行、质量监督、问题整改闭环、服务满意度提升措施等内容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进行评议：</w:t>
            </w:r>
          </w:p>
          <w:p w14:paraId="35A2A428">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方案贴合本项目服务场景与履约要求，巡检机制科学、监督体系完善、整改流程闭环、提升措施精准，可常态化管控服务质量，有效规避服务瑕疵，持续优化服务水平，完全满足采购人服务质量管理要求的得5分；</w:t>
            </w:r>
          </w:p>
          <w:p w14:paraId="6BFB6842">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方案具备完善的巡检、监督、整改、满意度提升相关管控手段，可保障项目服务质量稳定达标，仅存在细节细化不足、管控措施通用性较强、专项提升针对性一般等轻微瑕疵，无原则性缺陷，不影响项目整体服务质量管控效果的得3分；</w:t>
            </w:r>
          </w:p>
          <w:p w14:paraId="57570D40">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方案存在缺失或流于形式，管控机制不完善、执行标准不清晰，与项目实际质量管控需求存在出入，无法有效监管服务质量、完成问题整改，服务管控保障能力不足的得1分；</w:t>
            </w:r>
          </w:p>
          <w:p w14:paraId="7C39BA28">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④未提供任何内容的不得分。</w:t>
            </w:r>
          </w:p>
        </w:tc>
        <w:tc>
          <w:tcPr>
            <w:tcW w:w="313" w:type="pct"/>
            <w:shd w:val="clear" w:color="auto" w:fill="auto"/>
            <w:vAlign w:val="center"/>
          </w:tcPr>
          <w:p w14:paraId="5F28786D">
            <w:pPr>
              <w:adjustRightInd/>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w:t>
            </w:r>
          </w:p>
        </w:tc>
        <w:tc>
          <w:tcPr>
            <w:tcW w:w="356" w:type="pct"/>
            <w:shd w:val="clear" w:color="auto" w:fill="auto"/>
            <w:vAlign w:val="center"/>
          </w:tcPr>
          <w:p w14:paraId="14D59339">
            <w:pPr>
              <w:adjustRightInd/>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主观评审</w:t>
            </w:r>
          </w:p>
        </w:tc>
      </w:tr>
      <w:tr w14:paraId="53F6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02" w:type="pct"/>
            <w:vMerge w:val="continue"/>
          </w:tcPr>
          <w:p w14:paraId="6971141E">
            <w:pPr>
              <w:adjustRightInd/>
              <w:jc w:val="left"/>
              <w:rPr>
                <w:rFonts w:ascii="Calibri" w:hAnsi="Calibri"/>
                <w:color w:val="auto"/>
                <w:szCs w:val="21"/>
                <w:highlight w:val="none"/>
              </w:rPr>
            </w:pPr>
          </w:p>
        </w:tc>
        <w:tc>
          <w:tcPr>
            <w:tcW w:w="657" w:type="pct"/>
            <w:vAlign w:val="center"/>
          </w:tcPr>
          <w:p w14:paraId="220C38C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服务承诺（</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3070" w:type="pct"/>
            <w:vAlign w:val="center"/>
          </w:tcPr>
          <w:p w14:paraId="56E188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根据投标人针对本项目服务承诺</w:t>
            </w:r>
            <w:r>
              <w:rPr>
                <w:rFonts w:hint="eastAsia" w:ascii="宋体" w:hAnsi="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
              </w:rPr>
              <w:t>结合承诺内容可行性、项目针对性、需求响应有效性及履约保障性</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进行评议：</w:t>
            </w:r>
          </w:p>
          <w:p w14:paraId="528B056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投标人提供的项目服务承诺内容详实、贴合本项目实际服务场景。承诺条款具体清晰、切实可行、可落地核验，针对性强，能够有效保障项目整体服务质量与履约效果，充分满足项目服务标准及采购人要求</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24AB95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投标人提供的项目服务承诺内容较为完整，整体具备可行性。但内容通用性较强、专项细化不足，针对本项目专属服务要求的对应性、指向性不强，仅可满足基础履约保障</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9B66C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投标人提供项目服务承诺，但内容空洞、宽泛笼统，无项目专属落地细则。承诺内容无实质性履约保障作用，与本项目服务场景、采购人服务要求匹配度低，针对性差，不具备有效履约参考价值</w:t>
            </w:r>
            <w:r>
              <w:rPr>
                <w:rFonts w:hint="eastAsia" w:ascii="宋体" w:hAnsi="宋体" w:cs="宋体"/>
                <w:color w:val="auto"/>
                <w:szCs w:val="21"/>
                <w:highlight w:val="none"/>
              </w:rPr>
              <w:t>的得1分；</w:t>
            </w:r>
          </w:p>
          <w:p w14:paraId="505B9F5E">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未提供相关内容不得分。</w:t>
            </w:r>
          </w:p>
        </w:tc>
        <w:tc>
          <w:tcPr>
            <w:tcW w:w="313" w:type="pct"/>
            <w:vAlign w:val="center"/>
          </w:tcPr>
          <w:p w14:paraId="16CB5BE7">
            <w:pPr>
              <w:adjustRightInd/>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56" w:type="pct"/>
            <w:vAlign w:val="center"/>
          </w:tcPr>
          <w:p w14:paraId="6B00FBB4">
            <w:pPr>
              <w:adjustRightInd/>
              <w:jc w:val="center"/>
              <w:rPr>
                <w:rFonts w:ascii="宋体" w:hAnsi="宋体" w:cs="宋体"/>
                <w:color w:val="auto"/>
                <w:szCs w:val="21"/>
                <w:highlight w:val="none"/>
              </w:rPr>
            </w:pPr>
            <w:r>
              <w:rPr>
                <w:rFonts w:hint="eastAsia" w:ascii="宋体" w:hAnsi="宋体" w:cs="宋体"/>
                <w:color w:val="auto"/>
                <w:szCs w:val="21"/>
                <w:highlight w:val="none"/>
              </w:rPr>
              <w:t>主观评审</w:t>
            </w:r>
          </w:p>
        </w:tc>
      </w:tr>
      <w:tr w14:paraId="0A03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02" w:type="pct"/>
            <w:vMerge w:val="continue"/>
          </w:tcPr>
          <w:p w14:paraId="41797856">
            <w:pPr>
              <w:adjustRightInd/>
              <w:jc w:val="left"/>
              <w:rPr>
                <w:rFonts w:ascii="Calibri" w:hAnsi="Calibri"/>
                <w:color w:val="auto"/>
                <w:szCs w:val="21"/>
                <w:highlight w:val="none"/>
              </w:rPr>
            </w:pPr>
          </w:p>
        </w:tc>
        <w:tc>
          <w:tcPr>
            <w:tcW w:w="657" w:type="pct"/>
            <w:vAlign w:val="center"/>
          </w:tcPr>
          <w:p w14:paraId="0848F8C9">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15、保密方案（5分）</w:t>
            </w:r>
          </w:p>
        </w:tc>
        <w:tc>
          <w:tcPr>
            <w:tcW w:w="3070" w:type="pct"/>
            <w:vAlign w:val="center"/>
          </w:tcPr>
          <w:p w14:paraId="210F4C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根据投标人针对本项目</w:t>
            </w:r>
            <w:r>
              <w:rPr>
                <w:rFonts w:hint="eastAsia" w:ascii="宋体" w:hAnsi="宋体" w:cs="宋体"/>
                <w:color w:val="auto"/>
                <w:szCs w:val="21"/>
                <w:highlight w:val="none"/>
                <w:lang w:val="en-US" w:eastAsia="zh-CN"/>
              </w:rPr>
              <w:t>保密方案</w:t>
            </w:r>
            <w:r>
              <w:rPr>
                <w:rFonts w:hint="eastAsia" w:ascii="宋体" w:hAnsi="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
              </w:rPr>
              <w:t>包括但不限于保密制度、保密措施、泄密处罚措施等</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进行评议：</w:t>
            </w:r>
          </w:p>
          <w:p w14:paraId="3EE15D86">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制度健全、措施具体、权责清晰、处罚标准明确、可落地可执行，针对性强，可全方位保障项目资料、信息及工作保密安全，完全满足采购人保密管理要求的得5分；</w:t>
            </w:r>
          </w:p>
          <w:p w14:paraId="0434FA1A">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方案可满足项目日常基础保密工作开展，仅存在细节细化不足、个别防控条款简略、专项针对性一般等轻微瑕疵，无原则性缺陷，不影响整体保密管控效果的得3分；</w:t>
            </w:r>
          </w:p>
          <w:p w14:paraId="1D524DE1">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核心保密制度、管控措施或处罚机制存在缺失，方案适配性差，与项目实际保密需求存在出入，保密管控力度不足，无法有效防范项目泄密风险的得1分；</w:t>
            </w:r>
          </w:p>
          <w:p w14:paraId="152A6B79">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未提供相关内容不得分。</w:t>
            </w:r>
          </w:p>
        </w:tc>
        <w:tc>
          <w:tcPr>
            <w:tcW w:w="313" w:type="pct"/>
            <w:vAlign w:val="center"/>
          </w:tcPr>
          <w:p w14:paraId="3276F8E0">
            <w:pPr>
              <w:adjustRightInd/>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356" w:type="pct"/>
            <w:shd w:val="clear" w:color="auto" w:fill="auto"/>
            <w:vAlign w:val="center"/>
          </w:tcPr>
          <w:p w14:paraId="4F4FBE4B">
            <w:pPr>
              <w:adjustRightInd/>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主观评审</w:t>
            </w:r>
          </w:p>
        </w:tc>
      </w:tr>
      <w:tr w14:paraId="0869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2" w:type="pct"/>
            <w:vMerge w:val="continue"/>
          </w:tcPr>
          <w:p w14:paraId="40B27182">
            <w:pPr>
              <w:adjustRightInd/>
              <w:jc w:val="left"/>
              <w:rPr>
                <w:rFonts w:ascii="Calibri" w:hAnsi="Calibri"/>
                <w:color w:val="auto"/>
                <w:szCs w:val="21"/>
                <w:highlight w:val="none"/>
              </w:rPr>
            </w:pPr>
          </w:p>
        </w:tc>
        <w:tc>
          <w:tcPr>
            <w:tcW w:w="657" w:type="pct"/>
            <w:vAlign w:val="center"/>
          </w:tcPr>
          <w:p w14:paraId="04DE31CB">
            <w:pPr>
              <w:adjustRightInd/>
              <w:spacing w:after="120"/>
              <w:jc w:val="center"/>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认证证书（3分）</w:t>
            </w:r>
          </w:p>
        </w:tc>
        <w:tc>
          <w:tcPr>
            <w:tcW w:w="3070" w:type="pct"/>
            <w:vAlign w:val="center"/>
          </w:tcPr>
          <w:p w14:paraId="07F89E84">
            <w:pPr>
              <w:spacing w:line="360" w:lineRule="auto"/>
              <w:rPr>
                <w:rFonts w:ascii="宋体" w:hAnsi="宋体" w:cs="宋体"/>
                <w:color w:val="auto"/>
                <w:szCs w:val="21"/>
                <w:highlight w:val="none"/>
              </w:rPr>
            </w:pPr>
            <w:r>
              <w:rPr>
                <w:rFonts w:hint="eastAsia" w:ascii="宋体" w:hAnsi="宋体" w:cs="宋体"/>
                <w:color w:val="auto"/>
                <w:szCs w:val="21"/>
                <w:highlight w:val="none"/>
              </w:rPr>
              <w:t>投标人</w:t>
            </w:r>
            <w:r>
              <w:rPr>
                <w:rFonts w:ascii="宋体" w:hAnsi="宋体" w:cs="宋体"/>
                <w:color w:val="auto"/>
                <w:szCs w:val="21"/>
                <w:highlight w:val="none"/>
              </w:rPr>
              <w:t>具有有效的质量管理认证体系证书的得</w:t>
            </w:r>
            <w:r>
              <w:rPr>
                <w:rFonts w:hint="eastAsia" w:ascii="宋体" w:hAnsi="宋体" w:cs="宋体"/>
                <w:color w:val="auto"/>
                <w:szCs w:val="21"/>
                <w:highlight w:val="none"/>
              </w:rPr>
              <w:t>1</w:t>
            </w:r>
            <w:r>
              <w:rPr>
                <w:rFonts w:ascii="宋体" w:hAnsi="宋体" w:cs="宋体"/>
                <w:color w:val="auto"/>
                <w:szCs w:val="21"/>
                <w:highlight w:val="none"/>
              </w:rPr>
              <w:t>分；</w:t>
            </w:r>
          </w:p>
          <w:p w14:paraId="2E289ADC">
            <w:pPr>
              <w:spacing w:line="360" w:lineRule="auto"/>
              <w:rPr>
                <w:rFonts w:ascii="宋体" w:hAnsi="宋体" w:cs="宋体"/>
                <w:color w:val="auto"/>
                <w:szCs w:val="21"/>
                <w:highlight w:val="none"/>
              </w:rPr>
            </w:pPr>
            <w:r>
              <w:rPr>
                <w:rFonts w:hint="eastAsia" w:ascii="宋体" w:hAnsi="宋体" w:cs="宋体"/>
                <w:color w:val="auto"/>
                <w:szCs w:val="21"/>
                <w:highlight w:val="none"/>
              </w:rPr>
              <w:t>投标人</w:t>
            </w:r>
            <w:r>
              <w:rPr>
                <w:rFonts w:ascii="宋体" w:hAnsi="宋体" w:cs="宋体"/>
                <w:color w:val="auto"/>
                <w:szCs w:val="21"/>
                <w:highlight w:val="none"/>
              </w:rPr>
              <w:t>具有有效的环境管理认证体系证书的得</w:t>
            </w:r>
            <w:r>
              <w:rPr>
                <w:rFonts w:hint="eastAsia" w:ascii="宋体" w:hAnsi="宋体" w:cs="宋体"/>
                <w:color w:val="auto"/>
                <w:szCs w:val="21"/>
                <w:highlight w:val="none"/>
              </w:rPr>
              <w:t>1</w:t>
            </w:r>
            <w:r>
              <w:rPr>
                <w:rFonts w:ascii="宋体" w:hAnsi="宋体" w:cs="宋体"/>
                <w:color w:val="auto"/>
                <w:szCs w:val="21"/>
                <w:highlight w:val="none"/>
              </w:rPr>
              <w:t>分；</w:t>
            </w:r>
          </w:p>
          <w:p w14:paraId="48128549">
            <w:pPr>
              <w:spacing w:line="360" w:lineRule="auto"/>
              <w:rPr>
                <w:rFonts w:ascii="宋体" w:hAnsi="宋体" w:cs="宋体"/>
                <w:color w:val="auto"/>
                <w:szCs w:val="21"/>
                <w:highlight w:val="none"/>
              </w:rPr>
            </w:pPr>
            <w:r>
              <w:rPr>
                <w:rFonts w:hint="eastAsia" w:ascii="宋体" w:hAnsi="宋体" w:cs="宋体"/>
                <w:color w:val="auto"/>
                <w:szCs w:val="21"/>
                <w:highlight w:val="none"/>
              </w:rPr>
              <w:t>投标人</w:t>
            </w:r>
            <w:r>
              <w:rPr>
                <w:rFonts w:ascii="宋体" w:hAnsi="宋体" w:cs="宋体"/>
                <w:color w:val="auto"/>
                <w:szCs w:val="21"/>
                <w:highlight w:val="none"/>
              </w:rPr>
              <w:t>具有有效的职业健康安全管理体系认证证书的得</w:t>
            </w:r>
            <w:r>
              <w:rPr>
                <w:rFonts w:hint="eastAsia" w:ascii="宋体" w:hAnsi="宋体" w:cs="宋体"/>
                <w:color w:val="auto"/>
                <w:szCs w:val="21"/>
                <w:highlight w:val="none"/>
              </w:rPr>
              <w:t>1</w:t>
            </w:r>
            <w:r>
              <w:rPr>
                <w:rFonts w:ascii="宋体" w:hAnsi="宋体" w:cs="宋体"/>
                <w:color w:val="auto"/>
                <w:szCs w:val="21"/>
                <w:highlight w:val="none"/>
              </w:rPr>
              <w:t>分</w:t>
            </w:r>
            <w:r>
              <w:rPr>
                <w:rFonts w:hint="eastAsia" w:ascii="宋体" w:hAnsi="宋体" w:cs="宋体"/>
                <w:color w:val="auto"/>
                <w:szCs w:val="21"/>
                <w:highlight w:val="none"/>
                <w:lang w:val="en-US" w:eastAsia="zh-CN"/>
              </w:rPr>
              <w:t>备注：</w:t>
            </w:r>
            <w:r>
              <w:rPr>
                <w:rFonts w:ascii="宋体" w:hAnsi="宋体" w:cs="宋体"/>
                <w:color w:val="auto"/>
                <w:szCs w:val="21"/>
                <w:highlight w:val="none"/>
              </w:rPr>
              <w:t>投标文件中提供有效期内的认证证书</w:t>
            </w:r>
            <w:r>
              <w:rPr>
                <w:rFonts w:hint="eastAsia" w:ascii="宋体" w:hAnsi="宋体" w:cs="宋体"/>
                <w:color w:val="auto"/>
                <w:szCs w:val="21"/>
                <w:highlight w:val="none"/>
              </w:rPr>
              <w:t>扫描件</w:t>
            </w:r>
            <w:r>
              <w:rPr>
                <w:rFonts w:hint="eastAsia" w:ascii="宋体" w:hAnsi="宋体" w:cs="宋体"/>
                <w:color w:val="auto"/>
                <w:szCs w:val="21"/>
                <w:highlight w:val="none"/>
                <w:lang w:val="en-US" w:eastAsia="zh-CN"/>
              </w:rPr>
              <w:t>及全国认证认可信息公共服务平台证书信息查询截图（结果为有效）</w:t>
            </w:r>
            <w:r>
              <w:rPr>
                <w:rFonts w:hint="eastAsia" w:ascii="宋体" w:hAnsi="宋体" w:cs="宋体"/>
                <w:color w:val="auto"/>
                <w:szCs w:val="21"/>
                <w:highlight w:val="none"/>
              </w:rPr>
              <w:t>加盖公章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未提供或提供不全的均不得分。</w:t>
            </w:r>
          </w:p>
        </w:tc>
        <w:tc>
          <w:tcPr>
            <w:tcW w:w="313" w:type="pct"/>
            <w:vAlign w:val="center"/>
          </w:tcPr>
          <w:p w14:paraId="09ECB853">
            <w:pPr>
              <w:adjustRightInd/>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56" w:type="pct"/>
            <w:vAlign w:val="center"/>
          </w:tcPr>
          <w:p w14:paraId="3022AF06">
            <w:pPr>
              <w:adjustRightInd/>
              <w:jc w:val="center"/>
              <w:rPr>
                <w:rFonts w:ascii="宋体" w:hAnsi="宋体" w:cs="宋体"/>
                <w:color w:val="auto"/>
                <w:szCs w:val="21"/>
                <w:highlight w:val="none"/>
              </w:rPr>
            </w:pPr>
            <w:r>
              <w:rPr>
                <w:rFonts w:hint="eastAsia" w:ascii="宋体" w:hAnsi="宋体" w:cs="宋体"/>
                <w:color w:val="auto"/>
                <w:szCs w:val="21"/>
                <w:highlight w:val="none"/>
              </w:rPr>
              <w:t>客观评审</w:t>
            </w:r>
          </w:p>
        </w:tc>
      </w:tr>
      <w:tr w14:paraId="305F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2" w:type="pct"/>
            <w:vMerge w:val="continue"/>
          </w:tcPr>
          <w:p w14:paraId="1397DFE0">
            <w:pPr>
              <w:adjustRightInd/>
              <w:jc w:val="left"/>
              <w:rPr>
                <w:rFonts w:ascii="Calibri" w:hAnsi="Calibri"/>
                <w:color w:val="auto"/>
                <w:szCs w:val="21"/>
                <w:highlight w:val="none"/>
              </w:rPr>
            </w:pPr>
          </w:p>
        </w:tc>
        <w:tc>
          <w:tcPr>
            <w:tcW w:w="657" w:type="pct"/>
            <w:vAlign w:val="center"/>
          </w:tcPr>
          <w:p w14:paraId="7B5B3111">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业绩</w:t>
            </w:r>
            <w:r>
              <w:rPr>
                <w:rFonts w:hint="eastAsia" w:ascii="宋体" w:hAnsi="宋体" w:cs="宋体"/>
                <w:bCs/>
                <w:color w:val="auto"/>
                <w:kern w:val="0"/>
                <w:szCs w:val="21"/>
                <w:highlight w:val="none"/>
              </w:rPr>
              <w:br w:type="textWrapping"/>
            </w:r>
            <w:r>
              <w:rPr>
                <w:rFonts w:hint="eastAsia" w:ascii="宋体" w:hAnsi="宋体" w:cs="宋体"/>
                <w:bCs/>
                <w:color w:val="auto"/>
                <w:kern w:val="0"/>
                <w:szCs w:val="21"/>
                <w:highlight w:val="none"/>
              </w:rPr>
              <w:t>（1分）</w:t>
            </w:r>
          </w:p>
        </w:tc>
        <w:tc>
          <w:tcPr>
            <w:tcW w:w="3070" w:type="pct"/>
            <w:vAlign w:val="center"/>
          </w:tcPr>
          <w:p w14:paraId="410AEEBE">
            <w:pPr>
              <w:spacing w:line="360" w:lineRule="auto"/>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年1月1日以来（以合同签订时间为准），投标人承接过同类项目</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rPr>
              <w:t>的，每</w:t>
            </w:r>
            <w:r>
              <w:rPr>
                <w:rFonts w:hint="eastAsia" w:ascii="宋体" w:hAnsi="宋体" w:cs="宋体"/>
                <w:color w:val="auto"/>
                <w:szCs w:val="21"/>
                <w:highlight w:val="none"/>
                <w:lang w:val="en-US" w:eastAsia="zh-CN"/>
              </w:rPr>
              <w:t>个</w:t>
            </w:r>
            <w:r>
              <w:rPr>
                <w:rFonts w:hint="eastAsia" w:ascii="宋体" w:hAnsi="宋体" w:cs="宋体"/>
                <w:color w:val="auto"/>
                <w:szCs w:val="21"/>
                <w:highlight w:val="none"/>
              </w:rPr>
              <w:t>业绩得0.5分，最多得1分。</w:t>
            </w:r>
          </w:p>
          <w:p w14:paraId="012A385B">
            <w:pPr>
              <w:spacing w:line="360" w:lineRule="auto"/>
              <w:rPr>
                <w:rFonts w:ascii="宋体" w:hAnsi="宋体" w:cs="宋体"/>
                <w:color w:val="auto"/>
                <w:szCs w:val="21"/>
                <w:highlight w:val="none"/>
              </w:rPr>
            </w:pPr>
            <w:r>
              <w:rPr>
                <w:rFonts w:hint="eastAsia" w:ascii="宋体" w:hAnsi="宋体" w:cs="宋体"/>
                <w:b/>
                <w:bCs/>
                <w:color w:val="auto"/>
                <w:szCs w:val="21"/>
                <w:highlight w:val="none"/>
              </w:rPr>
              <w:t>注：投标文件中提供合同扫描件并加盖公章，未提供的或未按要求盖章的视为无效业绩。</w:t>
            </w:r>
          </w:p>
        </w:tc>
        <w:tc>
          <w:tcPr>
            <w:tcW w:w="313" w:type="pct"/>
            <w:vAlign w:val="center"/>
          </w:tcPr>
          <w:p w14:paraId="66F8E6AD">
            <w:pPr>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56" w:type="pct"/>
            <w:vAlign w:val="center"/>
          </w:tcPr>
          <w:p w14:paraId="078E8BA1">
            <w:pPr>
              <w:autoSpaceDE w:val="0"/>
              <w:autoSpaceDN w:val="0"/>
              <w:jc w:val="center"/>
              <w:rPr>
                <w:rFonts w:ascii="宋体" w:hAnsi="宋体" w:cs="宋体"/>
                <w:color w:val="auto"/>
                <w:kern w:val="0"/>
                <w:szCs w:val="21"/>
                <w:highlight w:val="none"/>
              </w:rPr>
            </w:pPr>
            <w:r>
              <w:rPr>
                <w:rFonts w:hint="eastAsia" w:ascii="Calibri" w:hAnsi="Calibri"/>
                <w:color w:val="auto"/>
                <w:szCs w:val="21"/>
                <w:highlight w:val="none"/>
                <w:lang w:val="zh-CN"/>
              </w:rPr>
              <w:t>客观评审</w:t>
            </w:r>
          </w:p>
        </w:tc>
      </w:tr>
    </w:tbl>
    <w:p w14:paraId="5E79BD01">
      <w:pPr>
        <w:pStyle w:val="63"/>
        <w:ind w:left="0" w:leftChars="0" w:firstLine="0" w:firstLineChars="0"/>
        <w:rPr>
          <w:rFonts w:hint="eastAsia" w:cs="宋体"/>
          <w:b/>
          <w:color w:val="auto"/>
          <w:sz w:val="24"/>
          <w:szCs w:val="24"/>
          <w:highlight w:val="none"/>
          <w:lang w:val="en-US" w:eastAsia="zh-CN"/>
        </w:rPr>
      </w:pPr>
    </w:p>
    <w:p w14:paraId="4FAAFEED">
      <w:pPr>
        <w:snapToGrid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投标人编制投标文件（商务技术文件部分）时，建议按此目录（序号和内容）提供评标标准相应的商务技术资料。</w:t>
      </w:r>
    </w:p>
    <w:p w14:paraId="636C91B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（2）评委在上表设定的分值范围内打分(四舍五入保留两位小数)，平均分值计算四舍五入保留两位小数点。  </w:t>
      </w:r>
    </w:p>
    <w:p w14:paraId="3F4A26E0">
      <w:pPr>
        <w:pStyle w:val="63"/>
        <w:ind w:firstLine="420"/>
        <w:rPr>
          <w:rFonts w:hint="eastAsia" w:ascii="宋体" w:hAnsi="宋体" w:eastAsia="宋体" w:cs="宋体"/>
          <w:color w:val="auto"/>
          <w:highlight w:val="none"/>
        </w:rPr>
      </w:pPr>
    </w:p>
    <w:p w14:paraId="6E2209FB">
      <w:pPr>
        <w:snapToGrid w:val="0"/>
        <w:spacing w:line="360" w:lineRule="auto"/>
        <w:outlineLvl w:val="1"/>
        <w:rPr>
          <w:rFonts w:hint="eastAsia" w:ascii="宋体" w:hAnsi="宋体" w:eastAsia="宋体" w:cs="宋体"/>
          <w:b/>
          <w:color w:val="auto"/>
          <w:sz w:val="28"/>
          <w:szCs w:val="28"/>
          <w:highlight w:val="none"/>
        </w:rPr>
      </w:pPr>
      <w:bookmarkStart w:id="429" w:name="_Toc22860"/>
      <w:r>
        <w:rPr>
          <w:rFonts w:hint="eastAsia" w:ascii="宋体" w:hAnsi="宋体" w:eastAsia="宋体" w:cs="宋体"/>
          <w:b/>
          <w:color w:val="auto"/>
          <w:sz w:val="32"/>
          <w:highlight w:val="none"/>
        </w:rPr>
        <w:t>一、评标方法</w:t>
      </w:r>
      <w:bookmarkEnd w:id="429"/>
    </w:p>
    <w:p w14:paraId="37F85271">
      <w:pPr>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60334C64">
      <w:pPr>
        <w:adjustRightInd/>
        <w:spacing w:line="360" w:lineRule="auto"/>
        <w:outlineLvl w:val="1"/>
        <w:rPr>
          <w:rFonts w:hint="eastAsia" w:ascii="宋体" w:hAnsi="宋体" w:eastAsia="宋体" w:cs="宋体"/>
          <w:color w:val="auto"/>
          <w:kern w:val="0"/>
          <w:sz w:val="24"/>
          <w:highlight w:val="none"/>
        </w:rPr>
      </w:pPr>
      <w:bookmarkStart w:id="430" w:name="_Toc29389"/>
      <w:r>
        <w:rPr>
          <w:rFonts w:hint="eastAsia" w:ascii="宋体" w:hAnsi="宋体" w:eastAsia="宋体" w:cs="宋体"/>
          <w:b/>
          <w:color w:val="auto"/>
          <w:sz w:val="32"/>
          <w:highlight w:val="none"/>
        </w:rPr>
        <w:t>二、评标标准</w:t>
      </w:r>
      <w:bookmarkEnd w:id="430"/>
    </w:p>
    <w:p w14:paraId="4704F701">
      <w:pPr>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评标标准：</w:t>
      </w:r>
      <w:r>
        <w:rPr>
          <w:rFonts w:hint="eastAsia" w:ascii="宋体" w:hAnsi="宋体" w:eastAsia="宋体" w:cs="宋体"/>
          <w:color w:val="auto"/>
          <w:kern w:val="0"/>
          <w:sz w:val="24"/>
          <w:highlight w:val="none"/>
        </w:rPr>
        <w:t>见评标办法前附表。</w:t>
      </w:r>
    </w:p>
    <w:p w14:paraId="0C1DF4B1">
      <w:pPr>
        <w:spacing w:line="360" w:lineRule="auto"/>
        <w:outlineLvl w:val="1"/>
        <w:rPr>
          <w:rFonts w:hint="eastAsia" w:ascii="宋体" w:hAnsi="宋体" w:eastAsia="宋体" w:cs="宋体"/>
          <w:b/>
          <w:color w:val="auto"/>
          <w:sz w:val="32"/>
          <w:highlight w:val="none"/>
        </w:rPr>
      </w:pPr>
      <w:bookmarkStart w:id="431" w:name="_Toc1306"/>
      <w:r>
        <w:rPr>
          <w:rFonts w:hint="eastAsia" w:ascii="宋体" w:hAnsi="宋体" w:eastAsia="宋体" w:cs="宋体"/>
          <w:b/>
          <w:color w:val="auto"/>
          <w:sz w:val="32"/>
          <w:highlight w:val="none"/>
        </w:rPr>
        <w:t>三、评标程序</w:t>
      </w:r>
      <w:bookmarkEnd w:id="431"/>
    </w:p>
    <w:p w14:paraId="3D439C45">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9F7E1EF">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 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420F01EA">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182CDADF">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7C239D86">
      <w:pPr>
        <w:pStyle w:val="134"/>
        <w:spacing w:before="0"/>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3.4.1投标文件报价出现前后不一致的，按照下列规定修正：</w:t>
      </w:r>
    </w:p>
    <w:p w14:paraId="283308C0">
      <w:pPr>
        <w:pStyle w:val="134"/>
        <w:spacing w:before="0"/>
        <w:ind w:firstLine="48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3.4.1.1投标文件中开标一览表(报价表)内容与投标文件中相应内容不一致的，以开标一览表(报价表)为准</w:t>
      </w:r>
      <w:r>
        <w:rPr>
          <w:rFonts w:hint="eastAsia" w:ascii="宋体" w:hAnsi="宋体" w:eastAsia="宋体" w:cs="宋体"/>
          <w:color w:val="auto"/>
          <w:kern w:val="0"/>
          <w:szCs w:val="24"/>
          <w:highlight w:val="none"/>
          <w:lang w:eastAsia="zh-CN"/>
        </w:rPr>
        <w:t>；</w:t>
      </w:r>
    </w:p>
    <w:p w14:paraId="20B4E701">
      <w:pPr>
        <w:pStyle w:val="134"/>
        <w:spacing w:before="0"/>
        <w:ind w:firstLine="48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3.4.1.2大写金额和小写金额不一致的，以大写金额为准</w:t>
      </w:r>
      <w:r>
        <w:rPr>
          <w:rFonts w:hint="eastAsia" w:ascii="宋体" w:hAnsi="宋体" w:eastAsia="宋体" w:cs="宋体"/>
          <w:color w:val="auto"/>
          <w:kern w:val="0"/>
          <w:szCs w:val="24"/>
          <w:highlight w:val="none"/>
          <w:lang w:eastAsia="zh-CN"/>
        </w:rPr>
        <w:t>；</w:t>
      </w:r>
    </w:p>
    <w:p w14:paraId="5A2E8B59">
      <w:pPr>
        <w:pStyle w:val="134"/>
        <w:spacing w:before="0"/>
        <w:ind w:firstLine="48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3.4.1.3单价金额小数点或者百分比有明显错位的，以开标一览表的总价为准，并修改单价</w:t>
      </w:r>
      <w:r>
        <w:rPr>
          <w:rFonts w:hint="eastAsia" w:ascii="宋体" w:hAnsi="宋体" w:eastAsia="宋体" w:cs="宋体"/>
          <w:color w:val="auto"/>
          <w:kern w:val="0"/>
          <w:szCs w:val="24"/>
          <w:highlight w:val="none"/>
          <w:lang w:eastAsia="zh-CN"/>
        </w:rPr>
        <w:t>；</w:t>
      </w:r>
    </w:p>
    <w:p w14:paraId="0401CB1D">
      <w:pPr>
        <w:pStyle w:val="134"/>
        <w:spacing w:before="0"/>
        <w:ind w:firstLine="48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3.4.1.4总价金额与按单价汇总金额不一致的，以单价金额计算结果为准</w:t>
      </w:r>
      <w:r>
        <w:rPr>
          <w:rFonts w:hint="eastAsia" w:ascii="宋体" w:hAnsi="宋体" w:eastAsia="宋体" w:cs="宋体"/>
          <w:color w:val="auto"/>
          <w:kern w:val="0"/>
          <w:szCs w:val="24"/>
          <w:highlight w:val="none"/>
          <w:lang w:eastAsia="zh-CN"/>
        </w:rPr>
        <w:t>；</w:t>
      </w:r>
    </w:p>
    <w:p w14:paraId="6A60418A">
      <w:pPr>
        <w:pStyle w:val="134"/>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2017ACB">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3.4.2投标文件出现不是唯一的、有选择性投标报价的，投标无效。</w:t>
      </w:r>
    </w:p>
    <w:p w14:paraId="6C5B2342">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3.4.3投标报价超过招标文件中规定的预算金额或者最高限价的，投标无效。</w:t>
      </w:r>
    </w:p>
    <w:p w14:paraId="54757FCD">
      <w:pPr>
        <w:pStyle w:val="134"/>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w:t>
      </w:r>
      <w:r>
        <w:rPr>
          <w:rFonts w:hint="eastAsia" w:ascii="宋体" w:hAnsi="宋体" w:eastAsia="宋体" w:cs="宋体"/>
          <w:color w:val="auto"/>
          <w:kern w:val="0"/>
          <w:sz w:val="24"/>
          <w:highlight w:val="none"/>
          <w:lang w:val="en-US" w:eastAsia="zh-CN"/>
        </w:rPr>
        <w:t>异常低价审查</w:t>
      </w:r>
    </w:p>
    <w:p w14:paraId="46FB43D1">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3.4.4.1评审中出现下列情形之一的，评标委员会应当启动异常低价投标审查程序：</w:t>
      </w:r>
    </w:p>
    <w:p w14:paraId="5C0E5516">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（1）投标报价低于全部通过符合性审查供应商投标报价平均值</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0%的，即投标报价＜全部通过符合性审查供应商投标报价平均值×</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0%；</w:t>
      </w:r>
    </w:p>
    <w:p w14:paraId="7A3FE11C">
      <w:pPr>
        <w:pStyle w:val="134"/>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（2）投标报价低于通过符合性审查的次低报价供应商投标报价60%的，即投标报价＜通过符合性审查的次低报价供应商投标报价×60%；</w:t>
      </w:r>
    </w:p>
    <w:p w14:paraId="5E1A3908">
      <w:pPr>
        <w:pStyle w:val="134"/>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（3）投标报价低于采购项目最高限价55%的，即投标报价＜采购项目最高限价×55%；</w:t>
      </w:r>
    </w:p>
    <w:p w14:paraId="7B54BFDA">
      <w:pPr>
        <w:pStyle w:val="134"/>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（4）评标委员会基于专业判断，认为供应商报价过低，有可能影响产品质量或者不能诚信履约的其他情形。</w:t>
      </w:r>
    </w:p>
    <w:p w14:paraId="32A29616">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lang w:val="en-US" w:eastAsia="zh-CN"/>
        </w:rPr>
        <w:t>相关法律法规对供应商报价有规定的，从其规定。</w:t>
      </w:r>
    </w:p>
    <w:p w14:paraId="1EE2719E">
      <w:pPr>
        <w:pStyle w:val="134"/>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0BA0FBC">
      <w:pPr>
        <w:pStyle w:val="134"/>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A69FF6C">
      <w:pPr>
        <w:pStyle w:val="134"/>
        <w:spacing w:before="0"/>
        <w:ind w:firstLine="480"/>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4F268609">
      <w:pPr>
        <w:pStyle w:val="134"/>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3.4.5</w:t>
      </w:r>
      <w:r>
        <w:rPr>
          <w:rFonts w:hint="eastAsia" w:ascii="宋体" w:hAnsi="宋体" w:cs="宋体"/>
          <w:color w:val="auto"/>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r>
        <w:rPr>
          <w:rFonts w:hint="eastAsia" w:ascii="宋体" w:hAnsi="宋体" w:eastAsia="宋体" w:cs="宋体"/>
          <w:color w:val="auto"/>
          <w:kern w:val="0"/>
          <w:szCs w:val="24"/>
          <w:highlight w:val="none"/>
        </w:rPr>
        <w:t>。</w:t>
      </w:r>
    </w:p>
    <w:p w14:paraId="2DB87564">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且按照评审因素的量化指标评审得分次高的供应商为排名第二的中标候选人</w:t>
      </w:r>
      <w:r>
        <w:rPr>
          <w:rFonts w:hint="eastAsia" w:ascii="宋体" w:hAnsi="宋体" w:eastAsia="宋体" w:cs="宋体"/>
          <w:color w:val="auto"/>
          <w:kern w:val="0"/>
          <w:sz w:val="24"/>
          <w:highlight w:val="none"/>
        </w:rPr>
        <w:t>。</w:t>
      </w:r>
    </w:p>
    <w:p w14:paraId="2ABEB384">
      <w:pPr>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0D4F915">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3.6编写评标报告。</w:t>
      </w:r>
      <w:r>
        <w:rPr>
          <w:rFonts w:hint="eastAsia" w:ascii="宋体" w:hAnsi="宋体" w:eastAsia="宋体" w:cs="宋体"/>
          <w:b w:val="0"/>
          <w:bCs/>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746D6E6">
      <w:pPr>
        <w:spacing w:line="360" w:lineRule="auto"/>
        <w:outlineLvl w:val="1"/>
        <w:rPr>
          <w:rFonts w:hint="eastAsia" w:ascii="宋体" w:hAnsi="宋体" w:eastAsia="宋体" w:cs="宋体"/>
          <w:b/>
          <w:color w:val="auto"/>
          <w:sz w:val="36"/>
          <w:szCs w:val="36"/>
          <w:highlight w:val="none"/>
        </w:rPr>
      </w:pPr>
      <w:bookmarkStart w:id="432" w:name="_Toc29108"/>
      <w:r>
        <w:rPr>
          <w:rFonts w:hint="eastAsia" w:ascii="宋体" w:hAnsi="宋体" w:eastAsia="宋体" w:cs="宋体"/>
          <w:b/>
          <w:color w:val="auto"/>
          <w:sz w:val="36"/>
          <w:szCs w:val="36"/>
          <w:highlight w:val="none"/>
        </w:rPr>
        <w:t>四、评标中的其他事项</w:t>
      </w:r>
      <w:bookmarkEnd w:id="432"/>
    </w:p>
    <w:p w14:paraId="2BB535C5">
      <w:pPr>
        <w:pStyle w:val="134"/>
        <w:spacing w:before="0"/>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E42C7C0">
      <w:pPr>
        <w:pStyle w:val="25"/>
        <w:spacing w:line="360" w:lineRule="auto"/>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p>
    <w:p w14:paraId="671BA5C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4.2.1投标人不具备招标文件中规定的资格要求的（投标人未提供有效的资格文件的，视为投标人不具备招标文件中规定的资格要求）；</w:t>
      </w:r>
    </w:p>
    <w:p w14:paraId="68919E2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4.2.2投标文件未按照招标文件要求签署、盖章的；</w:t>
      </w:r>
    </w:p>
    <w:p w14:paraId="532566F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31086F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4.2.4投标文件含有采购人不能接受的附加条件的；</w:t>
      </w:r>
    </w:p>
    <w:p w14:paraId="2F53E7D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4.2.5投标文件中承诺的投标有效期少于招标文件中载明的投标有效期的；</w:t>
      </w:r>
    </w:p>
    <w:p w14:paraId="4DB96BAE">
      <w:pPr>
        <w:snapToGrid w:val="0"/>
        <w:spacing w:line="360" w:lineRule="auto"/>
        <w:ind w:firstLine="120" w:firstLineChars="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4.2.6投标文件出现不是唯一的、有选择性投标报价的;</w:t>
      </w:r>
    </w:p>
    <w:p w14:paraId="5EF7C92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4.2.7投标报价超过招标文件中规定的预算金额或者最高限价的;</w:t>
      </w:r>
    </w:p>
    <w:p w14:paraId="561C29E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4.2.8</w:t>
      </w:r>
      <w:r>
        <w:rPr>
          <w:rFonts w:hint="eastAsia" w:ascii="宋体" w:hAnsi="宋体" w:cs="宋体"/>
          <w:color w:val="auto"/>
          <w:kern w:val="0"/>
          <w:sz w:val="24"/>
          <w:highlight w:val="none"/>
          <w:lang w:val="en-US" w:eastAsia="zh-CN"/>
        </w:rPr>
        <w:t>评标委员会启动异常低价投标审查程序后，投标人不能提供书面说明、证明材料，或者提供的书面说明、证明材料不能证明其报价合理性的</w:t>
      </w:r>
      <w:r>
        <w:rPr>
          <w:rFonts w:hint="eastAsia" w:ascii="宋体" w:hAnsi="宋体" w:eastAsia="宋体" w:cs="宋体"/>
          <w:color w:val="auto"/>
          <w:kern w:val="0"/>
          <w:sz w:val="24"/>
          <w:highlight w:val="none"/>
        </w:rPr>
        <w:t>;</w:t>
      </w:r>
    </w:p>
    <w:p w14:paraId="534CC8B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4.2.9投标人对根据修正原则修正后的报价不确认的；</w:t>
      </w:r>
    </w:p>
    <w:p w14:paraId="18B6C20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4.2.10投标人提供虚假材料投标的；</w:t>
      </w:r>
    </w:p>
    <w:p w14:paraId="156CA186">
      <w:pPr>
        <w:spacing w:line="36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4.2.11投标人有恶意串通、妨碍其他投标人的竞争行为、损害采购人或者其他投标人的合法权益情形的；</w:t>
      </w:r>
    </w:p>
    <w:p w14:paraId="4DDEB57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4.2.12投标人仅提交备份投标文件，未在电子交易平台传输递交投标文件的，投标无效；</w:t>
      </w:r>
    </w:p>
    <w:p w14:paraId="7FC42AE1">
      <w:pPr>
        <w:spacing w:line="360" w:lineRule="auto"/>
        <w:ind w:firstLine="480" w:firstLineChars="200"/>
        <w:rPr>
          <w:rFonts w:hint="eastAsia" w:ascii="宋体" w:hAnsi="宋体" w:eastAsia="宋体" w:cs="宋体"/>
          <w:color w:val="auto"/>
          <w:kern w:val="0"/>
          <w:sz w:val="24"/>
          <w:highlight w:val="none"/>
          <w:lang w:val="en-US"/>
        </w:rPr>
      </w:pPr>
      <w:bookmarkStart w:id="433" w:name="_Toc16784"/>
      <w:r>
        <w:rPr>
          <w:rFonts w:hint="eastAsia" w:ascii="宋体" w:hAnsi="宋体" w:eastAsia="宋体" w:cs="宋体"/>
          <w:color w:val="auto"/>
          <w:kern w:val="0"/>
          <w:sz w:val="24"/>
          <w:highlight w:val="none"/>
          <w:lang w:val="en-US"/>
        </w:rPr>
        <w:t>4.2.13 投标文件不满足招标文件的其它实质性要求的；</w:t>
      </w:r>
      <w:bookmarkEnd w:id="433"/>
    </w:p>
    <w:p w14:paraId="30E03D34">
      <w:pPr>
        <w:adjustRightIn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参与同一个采购包（标段）的供应商存在下列情形之一且无法合理解释的，其投标（响应）文件无效：</w:t>
      </w:r>
    </w:p>
    <w:p w14:paraId="44910856">
      <w:pPr>
        <w:numPr>
          <w:ilvl w:val="0"/>
          <w:numId w:val="0"/>
        </w:numPr>
        <w:adjustRightInd/>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szCs w:val="24"/>
          <w:highlight w:val="none"/>
          <w:lang w:val="en-US" w:eastAsia="zh-CN" w:bidi="ar-SA"/>
        </w:rPr>
        <w:t>（1）</w:t>
      </w:r>
      <w:r>
        <w:rPr>
          <w:rFonts w:hint="eastAsia" w:ascii="宋体" w:hAnsi="宋体" w:cs="宋体"/>
          <w:color w:val="auto"/>
          <w:kern w:val="0"/>
          <w:sz w:val="24"/>
          <w:highlight w:val="none"/>
        </w:rPr>
        <w:t>不同供应商的电子投标（响应）文件上传计算机的网卡MAC地址或硬盘序列号等硬件信息相同的</w:t>
      </w:r>
      <w:r>
        <w:rPr>
          <w:rFonts w:hint="eastAsia" w:ascii="宋体" w:hAnsi="宋体" w:cs="宋体"/>
          <w:color w:val="auto"/>
          <w:kern w:val="0"/>
          <w:sz w:val="24"/>
          <w:highlight w:val="none"/>
          <w:lang w:eastAsia="zh-CN"/>
        </w:rPr>
        <w:t>。</w:t>
      </w:r>
    </w:p>
    <w:p w14:paraId="3503CECD">
      <w:pPr>
        <w:numPr>
          <w:ilvl w:val="0"/>
          <w:numId w:val="0"/>
        </w:numPr>
        <w:adjustRightInd/>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上传的电子投标（响应）文件若出现使用本项目其他投标（响应）供应商的数字证书加密的，或者加盖本项目其他投标（响应）供应商的电子印章的</w:t>
      </w:r>
      <w:r>
        <w:rPr>
          <w:rFonts w:hint="eastAsia" w:ascii="宋体" w:hAnsi="宋体" w:eastAsia="宋体" w:cs="宋体"/>
          <w:color w:val="auto"/>
          <w:kern w:val="0"/>
          <w:sz w:val="24"/>
          <w:highlight w:val="none"/>
          <w:lang w:eastAsia="zh-CN"/>
        </w:rPr>
        <w:t>。</w:t>
      </w:r>
    </w:p>
    <w:p w14:paraId="307CAF95">
      <w:pPr>
        <w:numPr>
          <w:ilvl w:val="0"/>
          <w:numId w:val="0"/>
        </w:numPr>
        <w:adjustRightInd/>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不同供应商的投标（响应）文件的内容存在3处（含）以上错误一致的</w:t>
      </w:r>
      <w:r>
        <w:rPr>
          <w:rFonts w:hint="eastAsia" w:ascii="宋体" w:hAnsi="宋体" w:eastAsia="宋体" w:cs="宋体"/>
          <w:color w:val="auto"/>
          <w:kern w:val="0"/>
          <w:sz w:val="24"/>
          <w:highlight w:val="none"/>
          <w:lang w:eastAsia="zh-CN"/>
        </w:rPr>
        <w:t>。</w:t>
      </w:r>
    </w:p>
    <w:p w14:paraId="7CA9247A">
      <w:pPr>
        <w:numPr>
          <w:ilvl w:val="0"/>
          <w:numId w:val="0"/>
        </w:numPr>
        <w:adjustRightInd/>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不同供应商联系人为同一人或不同联系人的联系电话一致的。</w:t>
      </w:r>
    </w:p>
    <w:p w14:paraId="6EB82C87">
      <w:pPr>
        <w:adjustRightInd/>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（5）不同供应商在相同Internet主机分配地址（相同IP地址）获取招标文件或网上投标的。</w:t>
      </w:r>
    </w:p>
    <w:p w14:paraId="0E9BDC1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法律法规、规章（适用本市的）及省级以上规范性文件（适用本市的）规定的其他无效情形。</w:t>
      </w:r>
    </w:p>
    <w:p w14:paraId="725AECD5">
      <w:pPr>
        <w:pStyle w:val="25"/>
        <w:snapToGrid w:val="0"/>
        <w:spacing w:line="360" w:lineRule="auto"/>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根据《中华人民共和国政府采购法》第三十六条之规定，在采购中，出现下列情形之一的，应予废标：</w:t>
      </w:r>
    </w:p>
    <w:p w14:paraId="07537BCF">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5.1符合专业条件的供应商或者对招标文件作实质响应的供应商不足3家的；</w:t>
      </w:r>
    </w:p>
    <w:p w14:paraId="45E47F81">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4842D52F">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5.3投标人的报价均超过了采购预算，采购人不能支付的；</w:t>
      </w:r>
    </w:p>
    <w:p w14:paraId="36AEF59D">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64902E88">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废标后，采购代理机构应当将废标理由通知所有投标人。</w:t>
      </w:r>
    </w:p>
    <w:p w14:paraId="74A71326">
      <w:pPr>
        <w:pStyle w:val="25"/>
        <w:snapToGrid w:val="0"/>
        <w:spacing w:line="360" w:lineRule="auto"/>
        <w:ind w:firstLine="590" w:firstLineChars="245"/>
        <w:rPr>
          <w:rFonts w:hint="eastAsia" w:ascii="宋体" w:hAnsi="宋体" w:eastAsia="宋体" w:cs="宋体"/>
          <w:color w:val="auto"/>
          <w:highlight w:val="none"/>
        </w:rPr>
      </w:pPr>
      <w:r>
        <w:rPr>
          <w:rFonts w:hint="eastAsia" w:ascii="宋体" w:hAnsi="宋体" w:eastAsia="宋体" w:cs="宋体"/>
          <w:b/>
          <w:color w:val="auto"/>
          <w:highlight w:val="none"/>
        </w:rPr>
        <w:t>6.修改招标文件，重新组织采购活动。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5E5038B">
      <w:pPr>
        <w:pStyle w:val="25"/>
        <w:snapToGrid w:val="0"/>
        <w:spacing w:line="360" w:lineRule="auto"/>
        <w:ind w:firstLine="482"/>
        <w:rPr>
          <w:rFonts w:hint="eastAsia" w:ascii="宋体" w:hAnsi="宋体" w:eastAsia="宋体" w:cs="宋体"/>
          <w:color w:val="auto"/>
          <w:highlight w:val="none"/>
        </w:rPr>
      </w:pPr>
      <w:r>
        <w:rPr>
          <w:rFonts w:hint="eastAsia" w:ascii="宋体" w:hAnsi="宋体" w:eastAsia="宋体" w:cs="宋体"/>
          <w:b/>
          <w:color w:val="auto"/>
          <w:kern w:val="0"/>
          <w:highlight w:val="none"/>
        </w:rPr>
        <w:t>7.重新开展采购。</w:t>
      </w:r>
      <w:r>
        <w:rPr>
          <w:rFonts w:hint="eastAsia" w:ascii="宋体" w:hAnsi="宋体" w:eastAsia="宋体" w:cs="宋体"/>
          <w:color w:val="auto"/>
          <w:highlight w:val="none"/>
        </w:rPr>
        <w:t>有政府采购法第七十一条、第七十二条规定的违法行为之一，影响或者可能影响中标结果的，依照下列规定处理：</w:t>
      </w:r>
    </w:p>
    <w:p w14:paraId="5FAF7CC0">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7.1未确定中标供应商的，终止本次政府采购活动，重新开展政府采购活动。</w:t>
      </w:r>
    </w:p>
    <w:p w14:paraId="2D856128">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7.2已确定中标供应商但尚未签订政府采购合同的，中标结果无效，从合格的中标候选人中另行确定中标供应商；没有合格的中标候选人的，重新开展政府采购活动。</w:t>
      </w:r>
    </w:p>
    <w:p w14:paraId="1EE61782">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7.3政府采购合同已签订但尚未履行的，撤销合同，从合格的中标候选人中另行确定中标供应商；没有合格的中标候选人的，重新开展政府采购活动。</w:t>
      </w:r>
    </w:p>
    <w:p w14:paraId="05B6549F">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7.4政府采购合同已经履行，给采购人、供应商造成损失的，由责任人承担赔偿责任。</w:t>
      </w:r>
    </w:p>
    <w:p w14:paraId="3146A930">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D32F045">
      <w:pPr>
        <w:pStyle w:val="41"/>
        <w:rPr>
          <w:rFonts w:hint="eastAsia" w:ascii="宋体" w:hAnsi="宋体" w:eastAsia="宋体" w:cs="宋体"/>
          <w:color w:val="auto"/>
          <w:highlight w:val="none"/>
        </w:rPr>
      </w:pPr>
    </w:p>
    <w:p w14:paraId="1AB9017B">
      <w:pPr>
        <w:pStyle w:val="41"/>
        <w:rPr>
          <w:rFonts w:hint="eastAsia" w:ascii="宋体" w:hAnsi="宋体" w:eastAsia="宋体" w:cs="宋体"/>
          <w:color w:val="auto"/>
          <w:highlight w:val="none"/>
        </w:rPr>
      </w:pPr>
    </w:p>
    <w:p w14:paraId="30E0D726">
      <w:pPr>
        <w:pStyle w:val="41"/>
        <w:rPr>
          <w:rFonts w:hint="eastAsia" w:ascii="宋体" w:hAnsi="宋体" w:eastAsia="宋体" w:cs="宋体"/>
          <w:color w:val="auto"/>
          <w:highlight w:val="none"/>
        </w:rPr>
      </w:pPr>
    </w:p>
    <w:p w14:paraId="3B5D7E76">
      <w:pPr>
        <w:pStyle w:val="41"/>
        <w:rPr>
          <w:rFonts w:hint="eastAsia" w:ascii="宋体" w:hAnsi="宋体" w:eastAsia="宋体" w:cs="宋体"/>
          <w:color w:val="auto"/>
          <w:highlight w:val="none"/>
        </w:rPr>
      </w:pPr>
    </w:p>
    <w:bookmarkEnd w:id="61"/>
    <w:p w14:paraId="69046387">
      <w:pPr>
        <w:spacing w:line="360" w:lineRule="auto"/>
        <w:ind w:left="720" w:leftChars="343" w:firstLine="1807" w:firstLineChars="500"/>
        <w:outlineLvl w:val="0"/>
        <w:rPr>
          <w:rFonts w:hint="eastAsia" w:ascii="宋体" w:hAnsi="宋体" w:eastAsia="宋体" w:cs="宋体"/>
          <w:b/>
          <w:color w:val="auto"/>
          <w:sz w:val="36"/>
          <w:szCs w:val="36"/>
          <w:highlight w:val="none"/>
        </w:rPr>
      </w:pPr>
      <w:bookmarkStart w:id="434" w:name="_Toc20593"/>
      <w:bookmarkStart w:id="435" w:name="_Toc12957"/>
      <w:bookmarkStart w:id="436" w:name="第五部分"/>
      <w:bookmarkStart w:id="437" w:name="_Toc86217003"/>
    </w:p>
    <w:p w14:paraId="61401FBA">
      <w:pPr>
        <w:spacing w:line="360" w:lineRule="auto"/>
        <w:ind w:left="720" w:leftChars="343" w:firstLine="1807" w:firstLineChars="500"/>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bookmarkEnd w:id="434"/>
      <w:bookmarkEnd w:id="435"/>
    </w:p>
    <w:p w14:paraId="7B1B9CE2">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0BA963AE">
      <w:pPr>
        <w:spacing w:line="480" w:lineRule="auto"/>
        <w:jc w:val="center"/>
        <w:rPr>
          <w:rFonts w:ascii="宋体" w:hAnsi="宋体" w:cs="宋体"/>
          <w:b/>
          <w:color w:val="auto"/>
          <w:sz w:val="28"/>
          <w:szCs w:val="28"/>
          <w:highlight w:val="none"/>
        </w:rPr>
      </w:pPr>
    </w:p>
    <w:p w14:paraId="2BAD0DDF">
      <w:pPr>
        <w:spacing w:line="480" w:lineRule="auto"/>
        <w:jc w:val="center"/>
        <w:rPr>
          <w:rFonts w:ascii="宋体" w:hAnsi="宋体" w:cs="宋体"/>
          <w:b/>
          <w:color w:val="auto"/>
          <w:sz w:val="24"/>
          <w:highlight w:val="none"/>
        </w:rPr>
      </w:pPr>
    </w:p>
    <w:p w14:paraId="08867866">
      <w:pPr>
        <w:spacing w:line="480" w:lineRule="auto"/>
        <w:jc w:val="center"/>
        <w:rPr>
          <w:rFonts w:ascii="宋体" w:hAnsi="宋体" w:cs="宋体"/>
          <w:b/>
          <w:color w:val="auto"/>
          <w:sz w:val="24"/>
          <w:highlight w:val="none"/>
        </w:rPr>
      </w:pPr>
    </w:p>
    <w:p w14:paraId="761AFA1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0208A83A">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06221600">
      <w:pPr>
        <w:pStyle w:val="702"/>
        <w:rPr>
          <w:rFonts w:ascii="宋体" w:hAnsi="宋体" w:cs="宋体"/>
          <w:color w:val="auto"/>
          <w:szCs w:val="24"/>
          <w:highlight w:val="none"/>
        </w:rPr>
      </w:pPr>
    </w:p>
    <w:p w14:paraId="5202CA18">
      <w:pPr>
        <w:pStyle w:val="702"/>
        <w:rPr>
          <w:rFonts w:ascii="宋体" w:hAnsi="宋体" w:cs="宋体"/>
          <w:color w:val="auto"/>
          <w:szCs w:val="24"/>
          <w:highlight w:val="none"/>
        </w:rPr>
      </w:pPr>
    </w:p>
    <w:p w14:paraId="094E8AD1">
      <w:pPr>
        <w:pStyle w:val="702"/>
        <w:jc w:val="center"/>
        <w:rPr>
          <w:rFonts w:ascii="宋体" w:hAnsi="宋体" w:cs="宋体"/>
          <w:color w:val="auto"/>
          <w:szCs w:val="24"/>
          <w:highlight w:val="none"/>
        </w:rPr>
      </w:pPr>
    </w:p>
    <w:p w14:paraId="59F29F03">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42B8BE57">
      <w:pPr>
        <w:pStyle w:val="702"/>
        <w:rPr>
          <w:rFonts w:ascii="宋体" w:hAnsi="宋体" w:cs="宋体"/>
          <w:color w:val="auto"/>
          <w:szCs w:val="24"/>
          <w:highlight w:val="none"/>
        </w:rPr>
      </w:pPr>
    </w:p>
    <w:p w14:paraId="5BC4E29E">
      <w:pPr>
        <w:pStyle w:val="702"/>
        <w:rPr>
          <w:rFonts w:ascii="宋体" w:hAnsi="宋体" w:cs="宋体"/>
          <w:color w:val="auto"/>
          <w:szCs w:val="24"/>
          <w:highlight w:val="none"/>
        </w:rPr>
      </w:pPr>
    </w:p>
    <w:p w14:paraId="1C197CC1">
      <w:pPr>
        <w:spacing w:before="120" w:line="22" w:lineRule="atLeast"/>
        <w:rPr>
          <w:rFonts w:ascii="宋体" w:hAnsi="宋体" w:cs="宋体"/>
          <w:color w:val="auto"/>
          <w:sz w:val="24"/>
          <w:highlight w:val="none"/>
        </w:rPr>
      </w:pPr>
    </w:p>
    <w:p w14:paraId="669C4047">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宁波市临床病理诊断中心人力资源服务外包项目</w:t>
      </w:r>
    </w:p>
    <w:p w14:paraId="16D641B1">
      <w:pPr>
        <w:pStyle w:val="599"/>
        <w:spacing w:before="120" w:line="22" w:lineRule="atLeast"/>
        <w:rPr>
          <w:rFonts w:ascii="宋体" w:hAnsi="宋体" w:eastAsia="宋体" w:cs="宋体"/>
          <w:color w:val="auto"/>
          <w:szCs w:val="24"/>
          <w:highlight w:val="none"/>
        </w:rPr>
      </w:pPr>
    </w:p>
    <w:p w14:paraId="0DD8B222">
      <w:pPr>
        <w:rPr>
          <w:rFonts w:ascii="宋体" w:hAnsi="宋体" w:cs="宋体"/>
          <w:color w:val="auto"/>
          <w:sz w:val="24"/>
          <w:highlight w:val="none"/>
        </w:rPr>
      </w:pPr>
    </w:p>
    <w:p w14:paraId="32ABD077">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宁波市临床病理诊断中心</w:t>
      </w:r>
    </w:p>
    <w:p w14:paraId="71E5F345">
      <w:pPr>
        <w:spacing w:before="120" w:line="22" w:lineRule="atLeast"/>
        <w:rPr>
          <w:rFonts w:ascii="宋体" w:hAnsi="宋体" w:cs="宋体"/>
          <w:color w:val="auto"/>
          <w:sz w:val="24"/>
          <w:highlight w:val="none"/>
        </w:rPr>
      </w:pPr>
    </w:p>
    <w:p w14:paraId="50299CC1">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512E0B1C">
      <w:pPr>
        <w:spacing w:before="120" w:line="22" w:lineRule="atLeast"/>
        <w:rPr>
          <w:rFonts w:ascii="宋体" w:hAnsi="宋体" w:cs="宋体"/>
          <w:color w:val="auto"/>
          <w:sz w:val="24"/>
          <w:highlight w:val="none"/>
        </w:rPr>
      </w:pPr>
    </w:p>
    <w:p w14:paraId="579E9206">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宁波市  </w:t>
      </w:r>
    </w:p>
    <w:p w14:paraId="3AEA6651">
      <w:pPr>
        <w:spacing w:before="120" w:line="22" w:lineRule="atLeast"/>
        <w:rPr>
          <w:rFonts w:ascii="宋体" w:hAnsi="宋体" w:cs="宋体"/>
          <w:color w:val="auto"/>
          <w:sz w:val="24"/>
          <w:highlight w:val="none"/>
        </w:rPr>
      </w:pPr>
    </w:p>
    <w:p w14:paraId="7444E283">
      <w:pPr>
        <w:spacing w:before="120" w:line="22" w:lineRule="atLeast"/>
        <w:ind w:firstLine="960" w:firstLineChars="400"/>
        <w:rPr>
          <w:rFonts w:ascii="宋体" w:hAnsi="宋体" w:cs="宋体"/>
          <w:color w:val="auto"/>
          <w:sz w:val="2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6EF275">
      <w:pPr>
        <w:pStyle w:val="261"/>
        <w:ind w:firstLine="480"/>
        <w:rPr>
          <w:color w:val="auto"/>
          <w:highlight w:val="none"/>
        </w:rPr>
      </w:pPr>
    </w:p>
    <w:p w14:paraId="1D1CCB26">
      <w:pPr>
        <w:spacing w:line="360" w:lineRule="auto"/>
        <w:ind w:firstLine="480" w:firstLineChars="200"/>
        <w:rPr>
          <w:rFonts w:ascii="宋体" w:hAnsi="宋体" w:cs="宋体"/>
          <w:color w:val="auto"/>
          <w:sz w:val="24"/>
          <w:highlight w:val="none"/>
          <w:u w:val="single"/>
          <w:lang w:val="zh-CN"/>
        </w:rPr>
      </w:pPr>
    </w:p>
    <w:p w14:paraId="2C6DC286">
      <w:pPr>
        <w:spacing w:line="360" w:lineRule="auto"/>
        <w:ind w:firstLine="480" w:firstLineChars="200"/>
        <w:rPr>
          <w:rFonts w:ascii="宋体" w:hAnsi="宋体" w:cs="宋体"/>
          <w:color w:val="auto"/>
          <w:sz w:val="24"/>
          <w:highlight w:val="none"/>
          <w:u w:val="single"/>
          <w:lang w:val="zh-CN"/>
        </w:rPr>
      </w:pPr>
    </w:p>
    <w:p w14:paraId="03692A4F">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宁波市临床病理诊断中心</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rPr>
        <w:t>公开招标</w:t>
      </w:r>
      <w:r>
        <w:rPr>
          <w:rFonts w:ascii="宋体" w:hAnsi="宋体"/>
          <w:color w:val="auto"/>
          <w:sz w:val="24"/>
          <w:highlight w:val="none"/>
          <w:u w:val="single"/>
        </w:rPr>
        <w:t xml:space="preserve">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宁波市临床病理诊断中心人力资源服务外包</w:t>
      </w:r>
      <w:r>
        <w:rPr>
          <w:rFonts w:hint="eastAsia" w:ascii="宋体" w:hAnsi="宋体"/>
          <w:color w:val="auto"/>
          <w:sz w:val="24"/>
          <w:highlight w:val="none"/>
        </w:rPr>
        <w:t>项目进行了采购。经</w:t>
      </w:r>
      <w:r>
        <w:rPr>
          <w:rFonts w:hint="eastAsia" w:ascii="宋体" w:hAnsi="宋体"/>
          <w:color w:val="auto"/>
          <w:sz w:val="24"/>
          <w:highlight w:val="none"/>
          <w:u w:val="single"/>
        </w:rPr>
        <w:t>评标委员会</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w:t>
      </w:r>
    </w:p>
    <w:p w14:paraId="20052A24">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s="宋体"/>
          <w:color w:val="auto"/>
          <w:sz w:val="24"/>
          <w:highlight w:val="none"/>
          <w:u w:val="single"/>
        </w:rPr>
        <w:t>宁波市临床病理诊断中心</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DE7A6CA">
      <w:pPr>
        <w:spacing w:line="560" w:lineRule="exact"/>
        <w:ind w:firstLine="482" w:firstLineChars="200"/>
        <w:outlineLvl w:val="0"/>
        <w:rPr>
          <w:rFonts w:ascii="宋体" w:hAnsi="宋体"/>
          <w:color w:val="auto"/>
          <w:sz w:val="24"/>
          <w:highlight w:val="none"/>
        </w:rPr>
      </w:pPr>
      <w:bookmarkStart w:id="438" w:name="_Toc20421"/>
      <w:bookmarkStart w:id="439" w:name="_Toc28855"/>
      <w:bookmarkStart w:id="440" w:name="_Toc22967"/>
      <w:bookmarkStart w:id="441" w:name="_Toc19273"/>
      <w:bookmarkStart w:id="442" w:name="_Toc153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38"/>
      <w:bookmarkEnd w:id="439"/>
      <w:bookmarkEnd w:id="440"/>
      <w:bookmarkEnd w:id="441"/>
      <w:bookmarkEnd w:id="442"/>
    </w:p>
    <w:p w14:paraId="4DDD8183">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EAF8EA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36E23C2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3346382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4051409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55145B4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27EA9B1">
      <w:pPr>
        <w:spacing w:line="560" w:lineRule="exact"/>
        <w:ind w:firstLine="482" w:firstLineChars="200"/>
        <w:outlineLvl w:val="0"/>
        <w:rPr>
          <w:rFonts w:ascii="宋体" w:hAnsi="宋体"/>
          <w:b/>
          <w:color w:val="auto"/>
          <w:sz w:val="24"/>
          <w:highlight w:val="none"/>
        </w:rPr>
      </w:pPr>
      <w:bookmarkStart w:id="443" w:name="_Toc18585"/>
      <w:bookmarkStart w:id="444" w:name="_Toc2918"/>
      <w:bookmarkStart w:id="445" w:name="_Toc6311"/>
      <w:bookmarkStart w:id="446" w:name="_Toc6773"/>
      <w:bookmarkStart w:id="447" w:name="_Toc22185"/>
      <w:r>
        <w:rPr>
          <w:rFonts w:ascii="宋体" w:hAnsi="宋体"/>
          <w:b/>
          <w:color w:val="auto"/>
          <w:sz w:val="24"/>
          <w:highlight w:val="none"/>
        </w:rPr>
        <w:t xml:space="preserve">1.2 </w:t>
      </w:r>
      <w:r>
        <w:rPr>
          <w:rFonts w:hint="eastAsia" w:ascii="宋体" w:hAnsi="宋体"/>
          <w:b/>
          <w:color w:val="auto"/>
          <w:sz w:val="24"/>
          <w:highlight w:val="none"/>
        </w:rPr>
        <w:t>标的</w:t>
      </w:r>
      <w:bookmarkEnd w:id="443"/>
      <w:bookmarkEnd w:id="444"/>
      <w:bookmarkEnd w:id="445"/>
      <w:bookmarkEnd w:id="446"/>
      <w:bookmarkEnd w:id="447"/>
    </w:p>
    <w:p w14:paraId="0FEBDEF2">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hint="eastAsia" w:ascii="宋体" w:hAnsi="宋体"/>
          <w:color w:val="auto"/>
          <w:sz w:val="24"/>
          <w:highlight w:val="none"/>
          <w:u w:val="single"/>
        </w:rPr>
        <w:t>宁波市临床病理诊断中心人力资源服务外包</w:t>
      </w:r>
      <w:r>
        <w:rPr>
          <w:rFonts w:hint="eastAsia" w:ascii="宋体" w:hAnsi="宋体"/>
          <w:color w:val="auto"/>
          <w:sz w:val="24"/>
          <w:highlight w:val="none"/>
        </w:rPr>
        <w:t>；</w:t>
      </w:r>
    </w:p>
    <w:p w14:paraId="482ACBE6">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ABD405">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hint="eastAsia" w:ascii="宋体" w:hAnsi="宋体"/>
          <w:color w:val="auto"/>
          <w:sz w:val="24"/>
          <w:highlight w:val="none"/>
          <w:u w:val="single"/>
        </w:rPr>
        <w:t xml:space="preserve">                             ；</w:t>
      </w:r>
    </w:p>
    <w:p w14:paraId="65CD27E1">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62049E17">
      <w:pPr>
        <w:spacing w:line="560" w:lineRule="exact"/>
        <w:ind w:firstLine="482" w:firstLineChars="200"/>
        <w:outlineLvl w:val="0"/>
        <w:rPr>
          <w:rFonts w:ascii="宋体" w:hAnsi="宋体"/>
          <w:b/>
          <w:color w:val="auto"/>
          <w:sz w:val="24"/>
          <w:highlight w:val="none"/>
        </w:rPr>
      </w:pPr>
      <w:bookmarkStart w:id="448" w:name="_Toc1386"/>
      <w:bookmarkStart w:id="449" w:name="_Toc21124"/>
      <w:bookmarkStart w:id="450" w:name="_Toc13918"/>
      <w:bookmarkStart w:id="451" w:name="_Toc4929"/>
      <w:bookmarkStart w:id="452" w:name="_Toc5635"/>
      <w:r>
        <w:rPr>
          <w:rFonts w:ascii="宋体" w:hAnsi="宋体"/>
          <w:b/>
          <w:color w:val="auto"/>
          <w:sz w:val="24"/>
          <w:highlight w:val="none"/>
        </w:rPr>
        <w:t>1.3 价款</w:t>
      </w:r>
      <w:bookmarkEnd w:id="448"/>
      <w:bookmarkEnd w:id="449"/>
      <w:bookmarkEnd w:id="450"/>
      <w:bookmarkEnd w:id="451"/>
      <w:bookmarkEnd w:id="452"/>
    </w:p>
    <w:p w14:paraId="17FFA9FE">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1.3.1 </w:t>
      </w:r>
      <w:r>
        <w:rPr>
          <w:rFonts w:hint="eastAsia" w:ascii="宋体" w:hAnsi="宋体" w:cs="宋体"/>
          <w:color w:val="auto"/>
          <w:sz w:val="24"/>
          <w:highlight w:val="none"/>
        </w:rPr>
        <w:t>条款规定的计价方式计价。</w:t>
      </w:r>
    </w:p>
    <w:p w14:paraId="5BA4D020">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2B5BCADC">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F2F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6CD3BA7">
            <w:pPr>
              <w:pStyle w:val="323"/>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5B147424">
            <w:pPr>
              <w:pStyle w:val="323"/>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3A7A08E7">
            <w:pPr>
              <w:pStyle w:val="323"/>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5E82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576D8B">
            <w:pPr>
              <w:pStyle w:val="323"/>
              <w:spacing w:line="560" w:lineRule="exact"/>
              <w:ind w:firstLine="200"/>
              <w:jc w:val="center"/>
              <w:rPr>
                <w:rFonts w:hAnsi="宋体"/>
                <w:color w:val="auto"/>
                <w:sz w:val="24"/>
                <w:szCs w:val="24"/>
                <w:highlight w:val="none"/>
              </w:rPr>
            </w:pPr>
          </w:p>
        </w:tc>
        <w:tc>
          <w:tcPr>
            <w:tcW w:w="3402" w:type="dxa"/>
            <w:vAlign w:val="center"/>
          </w:tcPr>
          <w:p w14:paraId="1613DBB3">
            <w:pPr>
              <w:pStyle w:val="323"/>
              <w:spacing w:line="560" w:lineRule="exact"/>
              <w:ind w:firstLine="200"/>
              <w:jc w:val="center"/>
              <w:rPr>
                <w:rFonts w:hAnsi="宋体"/>
                <w:color w:val="auto"/>
                <w:sz w:val="24"/>
                <w:szCs w:val="24"/>
                <w:highlight w:val="none"/>
              </w:rPr>
            </w:pPr>
          </w:p>
        </w:tc>
        <w:tc>
          <w:tcPr>
            <w:tcW w:w="2552" w:type="dxa"/>
            <w:vAlign w:val="center"/>
          </w:tcPr>
          <w:p w14:paraId="79E523A4">
            <w:pPr>
              <w:pStyle w:val="323"/>
              <w:spacing w:line="560" w:lineRule="exact"/>
              <w:ind w:firstLine="200"/>
              <w:jc w:val="center"/>
              <w:rPr>
                <w:rFonts w:hAnsi="宋体"/>
                <w:color w:val="auto"/>
                <w:sz w:val="24"/>
                <w:szCs w:val="24"/>
                <w:highlight w:val="none"/>
              </w:rPr>
            </w:pPr>
          </w:p>
        </w:tc>
      </w:tr>
      <w:tr w14:paraId="177D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BF98F8C">
            <w:pPr>
              <w:pStyle w:val="323"/>
              <w:spacing w:line="560" w:lineRule="exact"/>
              <w:ind w:firstLine="200"/>
              <w:jc w:val="center"/>
              <w:rPr>
                <w:rFonts w:hAnsi="宋体"/>
                <w:color w:val="auto"/>
                <w:sz w:val="24"/>
                <w:szCs w:val="24"/>
                <w:highlight w:val="none"/>
              </w:rPr>
            </w:pPr>
          </w:p>
        </w:tc>
        <w:tc>
          <w:tcPr>
            <w:tcW w:w="3402" w:type="dxa"/>
            <w:vAlign w:val="center"/>
          </w:tcPr>
          <w:p w14:paraId="76448427">
            <w:pPr>
              <w:pStyle w:val="323"/>
              <w:spacing w:line="560" w:lineRule="exact"/>
              <w:ind w:firstLine="200"/>
              <w:jc w:val="center"/>
              <w:rPr>
                <w:rFonts w:hAnsi="宋体"/>
                <w:color w:val="auto"/>
                <w:sz w:val="24"/>
                <w:szCs w:val="24"/>
                <w:highlight w:val="none"/>
              </w:rPr>
            </w:pPr>
          </w:p>
        </w:tc>
        <w:tc>
          <w:tcPr>
            <w:tcW w:w="2552" w:type="dxa"/>
            <w:vAlign w:val="center"/>
          </w:tcPr>
          <w:p w14:paraId="405FBB61">
            <w:pPr>
              <w:pStyle w:val="323"/>
              <w:spacing w:line="560" w:lineRule="exact"/>
              <w:ind w:firstLine="200"/>
              <w:jc w:val="center"/>
              <w:rPr>
                <w:rFonts w:hAnsi="宋体"/>
                <w:color w:val="auto"/>
                <w:sz w:val="24"/>
                <w:szCs w:val="24"/>
                <w:highlight w:val="none"/>
              </w:rPr>
            </w:pPr>
          </w:p>
        </w:tc>
      </w:tr>
      <w:tr w14:paraId="7E60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A7DDFC0">
            <w:pPr>
              <w:pStyle w:val="323"/>
              <w:spacing w:line="560" w:lineRule="exact"/>
              <w:ind w:firstLine="200"/>
              <w:jc w:val="center"/>
              <w:rPr>
                <w:rFonts w:hAnsi="宋体"/>
                <w:color w:val="auto"/>
                <w:sz w:val="24"/>
                <w:szCs w:val="24"/>
                <w:highlight w:val="none"/>
              </w:rPr>
            </w:pPr>
          </w:p>
        </w:tc>
        <w:tc>
          <w:tcPr>
            <w:tcW w:w="3402" w:type="dxa"/>
            <w:vAlign w:val="center"/>
          </w:tcPr>
          <w:p w14:paraId="055A9058">
            <w:pPr>
              <w:pStyle w:val="323"/>
              <w:spacing w:line="560" w:lineRule="exact"/>
              <w:ind w:firstLine="200"/>
              <w:jc w:val="center"/>
              <w:rPr>
                <w:rFonts w:hAnsi="宋体"/>
                <w:color w:val="auto"/>
                <w:sz w:val="24"/>
                <w:szCs w:val="24"/>
                <w:highlight w:val="none"/>
              </w:rPr>
            </w:pPr>
          </w:p>
        </w:tc>
        <w:tc>
          <w:tcPr>
            <w:tcW w:w="2552" w:type="dxa"/>
            <w:vAlign w:val="center"/>
          </w:tcPr>
          <w:p w14:paraId="73584E45">
            <w:pPr>
              <w:pStyle w:val="323"/>
              <w:spacing w:line="560" w:lineRule="exact"/>
              <w:ind w:firstLine="200"/>
              <w:jc w:val="center"/>
              <w:rPr>
                <w:rFonts w:hAnsi="宋体"/>
                <w:color w:val="auto"/>
                <w:sz w:val="24"/>
                <w:szCs w:val="24"/>
                <w:highlight w:val="none"/>
              </w:rPr>
            </w:pPr>
          </w:p>
        </w:tc>
      </w:tr>
      <w:tr w14:paraId="5652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D20A1A">
            <w:pPr>
              <w:pStyle w:val="323"/>
              <w:spacing w:line="560" w:lineRule="exact"/>
              <w:ind w:firstLine="200"/>
              <w:jc w:val="center"/>
              <w:rPr>
                <w:rFonts w:hAnsi="宋体"/>
                <w:color w:val="auto"/>
                <w:sz w:val="24"/>
                <w:szCs w:val="24"/>
                <w:highlight w:val="none"/>
              </w:rPr>
            </w:pPr>
          </w:p>
        </w:tc>
        <w:tc>
          <w:tcPr>
            <w:tcW w:w="3402" w:type="dxa"/>
            <w:vAlign w:val="center"/>
          </w:tcPr>
          <w:p w14:paraId="08D2F20C">
            <w:pPr>
              <w:pStyle w:val="323"/>
              <w:spacing w:line="560" w:lineRule="exact"/>
              <w:ind w:firstLine="200"/>
              <w:jc w:val="center"/>
              <w:rPr>
                <w:rFonts w:hAnsi="宋体"/>
                <w:color w:val="auto"/>
                <w:sz w:val="24"/>
                <w:szCs w:val="24"/>
                <w:highlight w:val="none"/>
              </w:rPr>
            </w:pPr>
          </w:p>
        </w:tc>
        <w:tc>
          <w:tcPr>
            <w:tcW w:w="2552" w:type="dxa"/>
            <w:vAlign w:val="center"/>
          </w:tcPr>
          <w:p w14:paraId="1C33E0E0">
            <w:pPr>
              <w:pStyle w:val="323"/>
              <w:spacing w:line="560" w:lineRule="exact"/>
              <w:ind w:firstLine="200"/>
              <w:jc w:val="center"/>
              <w:rPr>
                <w:rFonts w:hAnsi="宋体"/>
                <w:color w:val="auto"/>
                <w:sz w:val="24"/>
                <w:szCs w:val="24"/>
                <w:highlight w:val="none"/>
              </w:rPr>
            </w:pPr>
          </w:p>
        </w:tc>
      </w:tr>
      <w:tr w14:paraId="0073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E949B1D">
            <w:pPr>
              <w:pStyle w:val="323"/>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00D19F86">
            <w:pPr>
              <w:pStyle w:val="323"/>
              <w:spacing w:line="560" w:lineRule="exact"/>
              <w:ind w:firstLine="200"/>
              <w:jc w:val="center"/>
              <w:rPr>
                <w:rFonts w:hAnsi="宋体"/>
                <w:color w:val="auto"/>
                <w:sz w:val="24"/>
                <w:szCs w:val="24"/>
                <w:highlight w:val="none"/>
              </w:rPr>
            </w:pPr>
          </w:p>
        </w:tc>
      </w:tr>
    </w:tbl>
    <w:p w14:paraId="5E41FFCB">
      <w:pPr>
        <w:spacing w:line="560" w:lineRule="exact"/>
        <w:ind w:firstLine="480" w:firstLineChars="200"/>
        <w:rPr>
          <w:rFonts w:ascii="宋体" w:hAnsi="宋体"/>
          <w:bCs/>
          <w:color w:val="auto"/>
          <w:sz w:val="24"/>
          <w:highlight w:val="none"/>
        </w:rPr>
      </w:pPr>
      <w:bookmarkStart w:id="453" w:name="_Toc30158"/>
      <w:bookmarkStart w:id="454" w:name="_Toc3654"/>
      <w:bookmarkStart w:id="455" w:name="_Toc14993"/>
      <w:bookmarkStart w:id="456" w:name="_Toc26916"/>
      <w:bookmarkStart w:id="457" w:name="_Toc3050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bookmarkEnd w:id="453"/>
    <w:bookmarkEnd w:id="454"/>
    <w:bookmarkEnd w:id="455"/>
    <w:bookmarkEnd w:id="456"/>
    <w:bookmarkEnd w:id="457"/>
    <w:p w14:paraId="31F44639">
      <w:pPr>
        <w:spacing w:line="560" w:lineRule="exact"/>
        <w:ind w:firstLine="482" w:firstLineChars="200"/>
        <w:outlineLvl w:val="0"/>
        <w:rPr>
          <w:rFonts w:ascii="宋体" w:hAnsi="宋体"/>
          <w:b/>
          <w:color w:val="auto"/>
          <w:sz w:val="24"/>
          <w:highlight w:val="none"/>
        </w:rPr>
      </w:pPr>
      <w:bookmarkStart w:id="458" w:name="_Toc1814"/>
      <w:bookmarkStart w:id="459" w:name="_Toc10340"/>
      <w:bookmarkStart w:id="460" w:name="_Toc22618"/>
      <w:bookmarkStart w:id="461" w:name="_Toc31421"/>
      <w:bookmarkStart w:id="462" w:name="_Toc8772"/>
      <w:bookmarkStart w:id="463" w:name="_Toc3625"/>
      <w:bookmarkStart w:id="464" w:name="_Toc11108"/>
      <w:bookmarkStart w:id="465" w:name="_Toc4760"/>
      <w:r>
        <w:rPr>
          <w:rFonts w:hint="eastAsia" w:ascii="宋体" w:hAnsi="宋体"/>
          <w:b/>
          <w:color w:val="auto"/>
          <w:sz w:val="24"/>
          <w:highlight w:val="none"/>
        </w:rPr>
        <w:t>1.4履约保证金：无</w:t>
      </w:r>
    </w:p>
    <w:p w14:paraId="0C2348F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58"/>
      <w:bookmarkEnd w:id="459"/>
      <w:bookmarkEnd w:id="460"/>
      <w:r>
        <w:rPr>
          <w:rFonts w:hint="eastAsia" w:ascii="宋体" w:hAnsi="宋体" w:cs="宋体"/>
          <w:b/>
          <w:color w:val="auto"/>
          <w:sz w:val="24"/>
          <w:highlight w:val="none"/>
        </w:rPr>
        <w:t>预付款</w:t>
      </w:r>
    </w:p>
    <w:p w14:paraId="1165A145">
      <w:pPr>
        <w:pStyle w:val="95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是 </w:t>
      </w:r>
      <w:r>
        <w:rPr>
          <w:rFonts w:hint="eastAsia"/>
          <w:color w:val="auto"/>
          <w:highlight w:val="none"/>
        </w:rPr>
        <w:t>需要支付预付款。若需要支付预付款的，则：</w:t>
      </w:r>
    </w:p>
    <w:p w14:paraId="4D70F187">
      <w:pPr>
        <w:pStyle w:val="959"/>
        <w:spacing w:before="0" w:beforeAutospacing="0" w:after="0" w:afterAutospacing="0" w:line="360" w:lineRule="auto"/>
        <w:ind w:firstLine="480"/>
        <w:rPr>
          <w:color w:val="auto"/>
          <w:highlight w:val="none"/>
        </w:rPr>
      </w:pPr>
      <w:r>
        <w:rPr>
          <w:rFonts w:hint="eastAsia"/>
          <w:color w:val="auto"/>
          <w:highlight w:val="none"/>
        </w:rPr>
        <w:t>1.5.1预付款比例、支付方式、时间详见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4D2DDD72">
      <w:pPr>
        <w:pStyle w:val="959"/>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F7AA03C">
      <w:pPr>
        <w:pStyle w:val="95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5CF5D12">
      <w:pPr>
        <w:pStyle w:val="959"/>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4877438A">
      <w:pPr>
        <w:pStyle w:val="95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C868395">
      <w:pPr>
        <w:pStyle w:val="959"/>
        <w:spacing w:before="0" w:beforeAutospacing="0" w:after="0" w:afterAutospacing="0" w:line="360" w:lineRule="auto"/>
        <w:ind w:firstLine="480"/>
        <w:rPr>
          <w:color w:val="auto"/>
          <w:highlight w:val="none"/>
        </w:rPr>
      </w:pPr>
      <w:r>
        <w:rPr>
          <w:rFonts w:hint="eastAsia"/>
          <w:color w:val="auto"/>
          <w:highlight w:val="none"/>
        </w:rPr>
        <w:t>1.6.2资金支付的方式、时间和条件详见</w:t>
      </w:r>
      <w:r>
        <w:rPr>
          <w:rFonts w:hint="eastAsia"/>
          <w:b/>
          <w:i/>
          <w:color w:val="auto"/>
          <w:highlight w:val="none"/>
          <w:u w:val="single"/>
        </w:rPr>
        <w:t>合同专用条款</w:t>
      </w:r>
      <w:r>
        <w:rPr>
          <w:rFonts w:hint="eastAsia"/>
          <w:color w:val="auto"/>
          <w:highlight w:val="none"/>
        </w:rPr>
        <w:t>。</w:t>
      </w:r>
    </w:p>
    <w:p w14:paraId="18ED5203">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61"/>
      <w:bookmarkEnd w:id="462"/>
      <w:bookmarkEnd w:id="463"/>
      <w:bookmarkEnd w:id="464"/>
      <w:bookmarkEnd w:id="465"/>
    </w:p>
    <w:p w14:paraId="388F1A52">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5E0F4DD">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37AA4A7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B6C93CF">
      <w:pPr>
        <w:spacing w:line="560" w:lineRule="exact"/>
        <w:ind w:firstLine="480" w:firstLineChars="200"/>
        <w:outlineLvl w:val="0"/>
        <w:rPr>
          <w:rFonts w:ascii="宋体" w:hAnsi="宋体"/>
          <w:bCs/>
          <w:color w:val="auto"/>
          <w:sz w:val="24"/>
          <w:highlight w:val="none"/>
        </w:rPr>
      </w:pPr>
      <w:bookmarkStart w:id="466" w:name="_Toc3079"/>
      <w:bookmarkStart w:id="467" w:name="_Toc5698"/>
      <w:bookmarkStart w:id="468" w:name="_Toc2375"/>
      <w:bookmarkStart w:id="469" w:name="_Toc24662"/>
      <w:bookmarkStart w:id="470" w:name="_Toc8586"/>
      <w:r>
        <w:rPr>
          <w:rFonts w:hint="eastAsia" w:ascii="宋体" w:hAnsi="宋体"/>
          <w:bCs/>
          <w:color w:val="auto"/>
          <w:sz w:val="24"/>
          <w:highlight w:val="none"/>
        </w:rPr>
        <w:t>1.7.4若服务</w:t>
      </w:r>
      <w:r>
        <w:rPr>
          <w:rFonts w:hint="eastAsia"/>
          <w:bCs/>
          <w:color w:val="auto"/>
          <w:sz w:val="24"/>
          <w:highlight w:val="none"/>
        </w:rPr>
        <w:t>涉及货物的，则货物的：</w:t>
      </w:r>
    </w:p>
    <w:p w14:paraId="47DAF17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BC8440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C200FF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780A0B4">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66"/>
      <w:bookmarkEnd w:id="467"/>
      <w:bookmarkEnd w:id="468"/>
      <w:bookmarkEnd w:id="469"/>
      <w:bookmarkEnd w:id="470"/>
    </w:p>
    <w:p w14:paraId="6F063CD4">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2C6809D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5D41583A">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w:t>
      </w:r>
      <w:r>
        <w:rPr>
          <w:rFonts w:hint="eastAsia" w:ascii="宋体" w:hAnsi="宋体"/>
          <w:color w:val="auto"/>
          <w:sz w:val="24"/>
          <w:highlight w:val="none"/>
        </w:rPr>
        <w:t>要求</w:t>
      </w:r>
      <w:r>
        <w:rPr>
          <w:rFonts w:hint="eastAsia" w:ascii="宋体" w:hAnsi="宋体" w:cs="宋体"/>
          <w:color w:val="auto"/>
          <w:sz w:val="24"/>
          <w:highlight w:val="none"/>
        </w:rPr>
        <w:t>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311570DD">
      <w:pPr>
        <w:spacing w:line="560" w:lineRule="exact"/>
        <w:ind w:firstLine="480" w:firstLineChars="200"/>
        <w:rPr>
          <w:rFonts w:ascii="宋体" w:hAnsi="宋体" w:cs="宋体"/>
          <w:color w:val="auto"/>
          <w:sz w:val="24"/>
          <w:highlight w:val="none"/>
        </w:rPr>
      </w:pPr>
      <w:bookmarkStart w:id="471" w:name="_Toc32454"/>
      <w:bookmarkStart w:id="472" w:name="_Toc26807"/>
      <w:bookmarkStart w:id="473" w:name="_Toc18683"/>
      <w:bookmarkStart w:id="474" w:name="_Toc9497"/>
      <w:bookmarkStart w:id="475" w:name="_Toc30329"/>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6ADCF2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3D8F5D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21E2B7FA">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71"/>
    <w:bookmarkEnd w:id="472"/>
    <w:bookmarkEnd w:id="473"/>
    <w:bookmarkEnd w:id="474"/>
    <w:bookmarkEnd w:id="475"/>
    <w:p w14:paraId="685F1F53">
      <w:pPr>
        <w:spacing w:line="560" w:lineRule="exact"/>
        <w:ind w:firstLine="482" w:firstLineChars="200"/>
        <w:outlineLvl w:val="0"/>
        <w:rPr>
          <w:rFonts w:ascii="宋体" w:hAnsi="宋体" w:cs="宋体"/>
          <w:b/>
          <w:color w:val="auto"/>
          <w:sz w:val="24"/>
          <w:highlight w:val="none"/>
        </w:rPr>
      </w:pPr>
      <w:bookmarkStart w:id="476" w:name="_Toc15583"/>
      <w:bookmarkStart w:id="477" w:name="_Toc16021"/>
      <w:bookmarkStart w:id="478" w:name="_Toc28375"/>
      <w:r>
        <w:rPr>
          <w:rFonts w:hint="eastAsia" w:ascii="宋体" w:hAnsi="宋体" w:cs="宋体"/>
          <w:b/>
          <w:color w:val="auto"/>
          <w:sz w:val="24"/>
          <w:highlight w:val="none"/>
        </w:rPr>
        <w:t>1.9合同争议的解决</w:t>
      </w:r>
      <w:bookmarkEnd w:id="476"/>
      <w:bookmarkEnd w:id="477"/>
      <w:bookmarkEnd w:id="478"/>
    </w:p>
    <w:p w14:paraId="5AD66EED">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1.9.2 </w:t>
      </w:r>
      <w:r>
        <w:rPr>
          <w:rFonts w:hint="eastAsia" w:ascii="宋体" w:hAnsi="宋体" w:cs="宋体"/>
          <w:color w:val="auto"/>
          <w:sz w:val="24"/>
          <w:highlight w:val="none"/>
        </w:rPr>
        <w:t>条款规定的方式解决：</w:t>
      </w:r>
    </w:p>
    <w:p w14:paraId="3D7C5681">
      <w:pPr>
        <w:spacing w:line="560" w:lineRule="exact"/>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向甲方所在地仲裁委员会依申请仲裁时其现行有效的仲裁规则裁决；</w:t>
      </w:r>
    </w:p>
    <w:p w14:paraId="6B441EDC">
      <w:pPr>
        <w:spacing w:line="560" w:lineRule="exact"/>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1.9.2 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向甲方所在地人民法院起诉。</w:t>
      </w:r>
    </w:p>
    <w:p w14:paraId="281A457B">
      <w:pPr>
        <w:spacing w:line="560" w:lineRule="exact"/>
        <w:ind w:firstLine="482" w:firstLineChars="200"/>
        <w:outlineLvl w:val="0"/>
        <w:rPr>
          <w:rFonts w:ascii="宋体" w:hAnsi="宋体" w:cs="宋体"/>
          <w:b/>
          <w:color w:val="auto"/>
          <w:sz w:val="24"/>
          <w:highlight w:val="none"/>
        </w:rPr>
      </w:pPr>
      <w:bookmarkStart w:id="479" w:name="_Toc11173"/>
      <w:bookmarkStart w:id="480" w:name="_Toc7245"/>
      <w:bookmarkStart w:id="481" w:name="_Toc15322"/>
      <w:r>
        <w:rPr>
          <w:rFonts w:hint="eastAsia" w:ascii="宋体" w:hAnsi="宋体" w:cs="宋体"/>
          <w:b/>
          <w:color w:val="auto"/>
          <w:sz w:val="24"/>
          <w:highlight w:val="none"/>
        </w:rPr>
        <w:t>2.0 合同生效</w:t>
      </w:r>
      <w:bookmarkEnd w:id="479"/>
      <w:bookmarkEnd w:id="480"/>
      <w:bookmarkEnd w:id="481"/>
    </w:p>
    <w:p w14:paraId="18E03B9A">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4BAB76CD">
      <w:pPr>
        <w:autoSpaceDE w:val="0"/>
        <w:autoSpaceDN w:val="0"/>
        <w:spacing w:line="560" w:lineRule="exact"/>
        <w:rPr>
          <w:rFonts w:ascii="宋体" w:hAnsi="宋体"/>
          <w:color w:val="auto"/>
          <w:sz w:val="24"/>
          <w:highlight w:val="none"/>
          <w:lang w:val="zh-CN"/>
        </w:rPr>
      </w:pPr>
    </w:p>
    <w:p w14:paraId="00AC9613">
      <w:pPr>
        <w:autoSpaceDE w:val="0"/>
        <w:autoSpaceDN w:val="0"/>
        <w:spacing w:line="560" w:lineRule="exact"/>
        <w:rPr>
          <w:rFonts w:ascii="宋体" w:hAnsi="宋体"/>
          <w:b/>
          <w:color w:val="auto"/>
          <w:sz w:val="24"/>
          <w:highlight w:val="none"/>
          <w:lang w:val="zh-CN"/>
        </w:rPr>
      </w:pPr>
    </w:p>
    <w:p w14:paraId="3481BE2E">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2EF6E83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50B514BF">
      <w:pPr>
        <w:autoSpaceDE w:val="0"/>
        <w:autoSpaceDN w:val="0"/>
        <w:spacing w:line="560" w:lineRule="exact"/>
        <w:rPr>
          <w:rFonts w:ascii="宋体" w:hAnsi="宋体"/>
          <w:color w:val="auto"/>
          <w:sz w:val="24"/>
          <w:highlight w:val="none"/>
          <w:lang w:val="zh-CN"/>
        </w:rPr>
      </w:pPr>
    </w:p>
    <w:p w14:paraId="0EB29D43">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0F3AD02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2DD46524">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2BD890A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16F70473">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6B9AFE3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75B0E93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17729E6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73DED817">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4754A395">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2F9A709D">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1703A4BD">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0B747F9E">
      <w:pPr>
        <w:widowControl/>
        <w:spacing w:line="560" w:lineRule="exact"/>
        <w:jc w:val="left"/>
        <w:rPr>
          <w:rFonts w:ascii="宋体" w:hAnsi="宋体"/>
          <w:b/>
          <w:color w:val="auto"/>
          <w:sz w:val="24"/>
          <w:highlight w:val="none"/>
        </w:rPr>
      </w:pPr>
    </w:p>
    <w:p w14:paraId="7771A6A2">
      <w:pPr>
        <w:widowControl/>
        <w:adjustRightInd/>
        <w:jc w:val="left"/>
        <w:rPr>
          <w:rFonts w:ascii="宋体" w:hAnsi="宋体"/>
          <w:b/>
          <w:color w:val="auto"/>
          <w:sz w:val="24"/>
          <w:highlight w:val="none"/>
        </w:rPr>
      </w:pPr>
      <w:r>
        <w:rPr>
          <w:rFonts w:ascii="宋体" w:hAnsi="宋体"/>
          <w:b/>
          <w:color w:val="auto"/>
          <w:highlight w:val="none"/>
        </w:rPr>
        <w:br w:type="page"/>
      </w:r>
    </w:p>
    <w:p w14:paraId="749C4E18">
      <w:pPr>
        <w:pStyle w:val="702"/>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14:paraId="094F4543">
      <w:pPr>
        <w:spacing w:line="560" w:lineRule="exact"/>
        <w:ind w:firstLine="482" w:firstLineChars="200"/>
        <w:outlineLvl w:val="0"/>
        <w:rPr>
          <w:rFonts w:ascii="宋体" w:hAnsi="宋体"/>
          <w:b/>
          <w:color w:val="auto"/>
          <w:sz w:val="24"/>
          <w:highlight w:val="none"/>
        </w:rPr>
      </w:pPr>
      <w:bookmarkStart w:id="482" w:name="_Toc25079"/>
      <w:bookmarkStart w:id="483" w:name="_Toc14021"/>
      <w:bookmarkStart w:id="484" w:name="_Toc31297"/>
      <w:bookmarkStart w:id="485" w:name="_Toc19680"/>
      <w:bookmarkStart w:id="486" w:name="_Toc5228"/>
      <w:r>
        <w:rPr>
          <w:rFonts w:ascii="宋体" w:hAnsi="宋体"/>
          <w:b/>
          <w:color w:val="auto"/>
          <w:sz w:val="24"/>
          <w:highlight w:val="none"/>
        </w:rPr>
        <w:t>2.1 定义</w:t>
      </w:r>
      <w:bookmarkEnd w:id="482"/>
      <w:bookmarkEnd w:id="483"/>
      <w:bookmarkEnd w:id="484"/>
      <w:bookmarkEnd w:id="485"/>
      <w:bookmarkEnd w:id="486"/>
    </w:p>
    <w:p w14:paraId="285383BB">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795E7126">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7373D853">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7BBF95BD">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463EBBEB">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41678290">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41683E">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773E5848">
      <w:pPr>
        <w:spacing w:line="560" w:lineRule="exact"/>
        <w:ind w:firstLine="482" w:firstLineChars="200"/>
        <w:outlineLvl w:val="0"/>
        <w:rPr>
          <w:rFonts w:ascii="宋体" w:hAnsi="宋体"/>
          <w:b/>
          <w:color w:val="auto"/>
          <w:sz w:val="24"/>
          <w:highlight w:val="none"/>
        </w:rPr>
      </w:pPr>
      <w:bookmarkStart w:id="487" w:name="_Toc23289"/>
      <w:bookmarkStart w:id="488" w:name="_Toc16752"/>
      <w:bookmarkStart w:id="489" w:name="_Toc3769"/>
      <w:bookmarkStart w:id="490" w:name="_Toc19539"/>
      <w:bookmarkStart w:id="491" w:name="_Toc31402"/>
      <w:r>
        <w:rPr>
          <w:rFonts w:ascii="宋体" w:hAnsi="宋体"/>
          <w:b/>
          <w:color w:val="auto"/>
          <w:sz w:val="24"/>
          <w:highlight w:val="none"/>
        </w:rPr>
        <w:t>2.2 技术规范</w:t>
      </w:r>
      <w:bookmarkEnd w:id="487"/>
      <w:bookmarkEnd w:id="488"/>
      <w:bookmarkEnd w:id="489"/>
      <w:bookmarkEnd w:id="490"/>
      <w:bookmarkEnd w:id="491"/>
    </w:p>
    <w:p w14:paraId="0B810B0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6430648">
      <w:pPr>
        <w:spacing w:line="560" w:lineRule="exact"/>
        <w:ind w:firstLine="482" w:firstLineChars="200"/>
        <w:outlineLvl w:val="0"/>
        <w:rPr>
          <w:rFonts w:ascii="宋体" w:hAnsi="宋体"/>
          <w:b/>
          <w:color w:val="auto"/>
          <w:sz w:val="24"/>
          <w:highlight w:val="none"/>
        </w:rPr>
      </w:pPr>
      <w:bookmarkStart w:id="492" w:name="_Toc27945"/>
      <w:bookmarkStart w:id="493" w:name="_Toc13673"/>
      <w:bookmarkStart w:id="494" w:name="_Toc12412"/>
      <w:bookmarkStart w:id="495" w:name="_Toc4133"/>
      <w:bookmarkStart w:id="496" w:name="_Toc9161"/>
      <w:r>
        <w:rPr>
          <w:rFonts w:ascii="宋体" w:hAnsi="宋体"/>
          <w:b/>
          <w:color w:val="auto"/>
          <w:sz w:val="24"/>
          <w:highlight w:val="none"/>
        </w:rPr>
        <w:t>2.3 知识产权</w:t>
      </w:r>
      <w:bookmarkEnd w:id="492"/>
      <w:bookmarkEnd w:id="493"/>
      <w:bookmarkEnd w:id="494"/>
      <w:bookmarkEnd w:id="495"/>
      <w:bookmarkEnd w:id="496"/>
    </w:p>
    <w:p w14:paraId="3D183E0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0D46A90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894B65D">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0A8ACA8">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2B47826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5349ECEA">
      <w:pPr>
        <w:spacing w:line="560" w:lineRule="exact"/>
        <w:ind w:firstLine="482" w:firstLineChars="200"/>
        <w:outlineLvl w:val="0"/>
        <w:rPr>
          <w:rFonts w:ascii="宋体" w:hAnsi="宋体"/>
          <w:b/>
          <w:color w:val="auto"/>
          <w:sz w:val="24"/>
          <w:highlight w:val="none"/>
        </w:rPr>
      </w:pPr>
      <w:bookmarkStart w:id="497" w:name="_Toc26555"/>
      <w:bookmarkStart w:id="498" w:name="_Toc15447"/>
      <w:bookmarkStart w:id="499" w:name="_Toc22011"/>
      <w:bookmarkStart w:id="500" w:name="_Toc31233"/>
      <w:bookmarkStart w:id="501" w:name="_Toc32670"/>
      <w:r>
        <w:rPr>
          <w:rFonts w:ascii="宋体" w:hAnsi="宋体"/>
          <w:b/>
          <w:color w:val="auto"/>
          <w:sz w:val="24"/>
          <w:highlight w:val="none"/>
        </w:rPr>
        <w:t>2.5 结算方式和付款条件</w:t>
      </w:r>
      <w:bookmarkEnd w:id="497"/>
      <w:bookmarkEnd w:id="498"/>
      <w:bookmarkEnd w:id="499"/>
      <w:bookmarkEnd w:id="500"/>
      <w:bookmarkEnd w:id="501"/>
    </w:p>
    <w:p w14:paraId="506E2940">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66708AC1">
      <w:pPr>
        <w:spacing w:line="560" w:lineRule="exact"/>
        <w:ind w:firstLine="482" w:firstLineChars="200"/>
        <w:outlineLvl w:val="0"/>
        <w:rPr>
          <w:rFonts w:ascii="宋体" w:hAnsi="宋体"/>
          <w:b/>
          <w:color w:val="auto"/>
          <w:sz w:val="24"/>
          <w:highlight w:val="none"/>
        </w:rPr>
      </w:pPr>
      <w:bookmarkStart w:id="502" w:name="_Toc16163"/>
      <w:bookmarkStart w:id="503" w:name="_Toc13467"/>
      <w:bookmarkStart w:id="504" w:name="_Toc30507"/>
      <w:bookmarkStart w:id="505" w:name="_Toc13154"/>
      <w:bookmarkStart w:id="506" w:name="_Toc18990"/>
      <w:r>
        <w:rPr>
          <w:rFonts w:ascii="宋体" w:hAnsi="宋体"/>
          <w:b/>
          <w:color w:val="auto"/>
          <w:sz w:val="24"/>
          <w:highlight w:val="none"/>
        </w:rPr>
        <w:t>2.6 技术资料和保密义务</w:t>
      </w:r>
      <w:bookmarkEnd w:id="502"/>
      <w:bookmarkEnd w:id="503"/>
      <w:bookmarkEnd w:id="504"/>
      <w:bookmarkEnd w:id="505"/>
      <w:bookmarkEnd w:id="506"/>
    </w:p>
    <w:p w14:paraId="7951D430">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4812D3E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50F6E5F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0B0B8D9">
      <w:pPr>
        <w:spacing w:line="560" w:lineRule="exact"/>
        <w:ind w:firstLine="482" w:firstLineChars="200"/>
        <w:outlineLvl w:val="0"/>
        <w:rPr>
          <w:rFonts w:ascii="宋体" w:hAnsi="宋体"/>
          <w:b/>
          <w:color w:val="auto"/>
          <w:sz w:val="24"/>
          <w:highlight w:val="none"/>
        </w:rPr>
      </w:pPr>
      <w:bookmarkStart w:id="507"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507"/>
    </w:p>
    <w:p w14:paraId="48F04CD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3CD0583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4AC93224">
      <w:pPr>
        <w:spacing w:line="560" w:lineRule="exact"/>
        <w:ind w:firstLine="482" w:firstLineChars="200"/>
        <w:outlineLvl w:val="0"/>
        <w:rPr>
          <w:rFonts w:ascii="宋体" w:hAnsi="宋体"/>
          <w:b/>
          <w:color w:val="auto"/>
          <w:sz w:val="24"/>
          <w:highlight w:val="none"/>
        </w:rPr>
      </w:pPr>
      <w:bookmarkStart w:id="508"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508"/>
    </w:p>
    <w:p w14:paraId="36DFC0E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0260391D">
      <w:pPr>
        <w:spacing w:line="560" w:lineRule="exact"/>
        <w:ind w:firstLine="482" w:firstLineChars="200"/>
        <w:outlineLvl w:val="0"/>
        <w:rPr>
          <w:rFonts w:ascii="宋体" w:hAnsi="宋体"/>
          <w:b/>
          <w:color w:val="auto"/>
          <w:sz w:val="24"/>
          <w:highlight w:val="none"/>
        </w:rPr>
      </w:pPr>
      <w:bookmarkStart w:id="509"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509"/>
    </w:p>
    <w:p w14:paraId="2DE5371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66C121FC">
      <w:pPr>
        <w:spacing w:line="560" w:lineRule="exact"/>
        <w:ind w:firstLine="482" w:firstLineChars="200"/>
        <w:outlineLvl w:val="0"/>
        <w:rPr>
          <w:rFonts w:ascii="宋体" w:hAnsi="宋体"/>
          <w:b/>
          <w:color w:val="auto"/>
          <w:sz w:val="24"/>
          <w:highlight w:val="none"/>
        </w:rPr>
      </w:pPr>
      <w:bookmarkStart w:id="510" w:name="_Toc10663"/>
      <w:bookmarkStart w:id="511" w:name="_Toc23368"/>
      <w:bookmarkStart w:id="512" w:name="_Toc26689"/>
      <w:bookmarkStart w:id="513" w:name="_Toc21830"/>
      <w:bookmarkStart w:id="514" w:name="_Toc42"/>
      <w:r>
        <w:rPr>
          <w:rFonts w:ascii="宋体" w:hAnsi="宋体"/>
          <w:b/>
          <w:color w:val="auto"/>
          <w:sz w:val="24"/>
          <w:highlight w:val="none"/>
        </w:rPr>
        <w:t>2.10 合同转让和分包</w:t>
      </w:r>
      <w:bookmarkEnd w:id="510"/>
      <w:bookmarkEnd w:id="511"/>
      <w:bookmarkEnd w:id="512"/>
      <w:bookmarkEnd w:id="513"/>
      <w:bookmarkEnd w:id="514"/>
    </w:p>
    <w:p w14:paraId="38C65CD9">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7757F9F0">
      <w:pPr>
        <w:spacing w:line="560" w:lineRule="exact"/>
        <w:ind w:firstLine="482" w:firstLineChars="200"/>
        <w:outlineLvl w:val="0"/>
        <w:rPr>
          <w:rFonts w:ascii="宋体" w:hAnsi="宋体"/>
          <w:b/>
          <w:color w:val="auto"/>
          <w:sz w:val="24"/>
          <w:highlight w:val="none"/>
        </w:rPr>
      </w:pPr>
      <w:bookmarkStart w:id="515" w:name="_Toc25571"/>
      <w:bookmarkStart w:id="516" w:name="_Toc14371"/>
      <w:bookmarkStart w:id="517" w:name="_Toc32494"/>
      <w:bookmarkStart w:id="518" w:name="_Toc4720"/>
      <w:bookmarkStart w:id="519" w:name="_Toc26633"/>
      <w:r>
        <w:rPr>
          <w:rFonts w:ascii="宋体" w:hAnsi="宋体"/>
          <w:b/>
          <w:color w:val="auto"/>
          <w:sz w:val="24"/>
          <w:highlight w:val="none"/>
        </w:rPr>
        <w:t>2.11 不可抗力</w:t>
      </w:r>
      <w:bookmarkEnd w:id="515"/>
      <w:bookmarkEnd w:id="516"/>
      <w:bookmarkEnd w:id="517"/>
      <w:bookmarkEnd w:id="518"/>
      <w:bookmarkEnd w:id="519"/>
    </w:p>
    <w:p w14:paraId="50C911BF">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66BE467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314AF90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472E0E97">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41B3191">
      <w:pPr>
        <w:spacing w:line="560" w:lineRule="exact"/>
        <w:ind w:firstLine="482" w:firstLineChars="200"/>
        <w:outlineLvl w:val="0"/>
        <w:rPr>
          <w:rFonts w:ascii="宋体" w:hAnsi="宋体"/>
          <w:b/>
          <w:color w:val="auto"/>
          <w:sz w:val="24"/>
          <w:highlight w:val="none"/>
        </w:rPr>
      </w:pPr>
      <w:bookmarkStart w:id="520" w:name="_Toc14115"/>
      <w:bookmarkStart w:id="521" w:name="_Toc24465"/>
      <w:bookmarkStart w:id="522" w:name="_Toc25783"/>
      <w:bookmarkStart w:id="523" w:name="_Toc23854"/>
      <w:bookmarkStart w:id="524" w:name="_Toc3638"/>
      <w:r>
        <w:rPr>
          <w:rFonts w:ascii="宋体" w:hAnsi="宋体"/>
          <w:b/>
          <w:color w:val="auto"/>
          <w:sz w:val="24"/>
          <w:highlight w:val="none"/>
        </w:rPr>
        <w:t>2.12 税费</w:t>
      </w:r>
      <w:bookmarkEnd w:id="520"/>
      <w:bookmarkEnd w:id="521"/>
      <w:bookmarkEnd w:id="522"/>
      <w:bookmarkEnd w:id="523"/>
      <w:bookmarkEnd w:id="524"/>
    </w:p>
    <w:p w14:paraId="20476ABB">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9C753C7">
      <w:pPr>
        <w:spacing w:line="560" w:lineRule="exact"/>
        <w:ind w:firstLine="482" w:firstLineChars="200"/>
        <w:outlineLvl w:val="0"/>
        <w:rPr>
          <w:rFonts w:ascii="宋体" w:hAnsi="宋体"/>
          <w:b/>
          <w:color w:val="auto"/>
          <w:sz w:val="24"/>
          <w:highlight w:val="none"/>
        </w:rPr>
      </w:pPr>
      <w:bookmarkStart w:id="525" w:name="_Toc25525"/>
      <w:bookmarkStart w:id="526" w:name="_Toc26883"/>
      <w:bookmarkStart w:id="527" w:name="_Toc7315"/>
      <w:bookmarkStart w:id="528" w:name="_Toc14814"/>
      <w:bookmarkStart w:id="529" w:name="_Toc30105"/>
      <w:r>
        <w:rPr>
          <w:rFonts w:ascii="宋体" w:hAnsi="宋体"/>
          <w:b/>
          <w:color w:val="auto"/>
          <w:sz w:val="24"/>
          <w:highlight w:val="none"/>
        </w:rPr>
        <w:t>2.13 乙方破产</w:t>
      </w:r>
      <w:bookmarkEnd w:id="525"/>
      <w:bookmarkEnd w:id="526"/>
      <w:bookmarkEnd w:id="527"/>
      <w:bookmarkEnd w:id="528"/>
      <w:bookmarkEnd w:id="529"/>
    </w:p>
    <w:p w14:paraId="1239FC67">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297E0414">
      <w:pPr>
        <w:spacing w:line="560" w:lineRule="exact"/>
        <w:ind w:firstLine="482" w:firstLineChars="200"/>
        <w:outlineLvl w:val="0"/>
        <w:rPr>
          <w:rFonts w:ascii="宋体" w:hAnsi="宋体"/>
          <w:b/>
          <w:color w:val="auto"/>
          <w:sz w:val="24"/>
          <w:highlight w:val="none"/>
        </w:rPr>
      </w:pPr>
      <w:bookmarkStart w:id="530" w:name="_Toc23323"/>
      <w:bookmarkStart w:id="531" w:name="_Toc1123"/>
      <w:bookmarkStart w:id="532" w:name="_Toc2016"/>
      <w:r>
        <w:rPr>
          <w:rFonts w:ascii="宋体" w:hAnsi="宋体"/>
          <w:b/>
          <w:color w:val="auto"/>
          <w:sz w:val="24"/>
          <w:highlight w:val="none"/>
        </w:rPr>
        <w:t>2.14 合同中止、终止</w:t>
      </w:r>
      <w:bookmarkEnd w:id="530"/>
      <w:bookmarkEnd w:id="531"/>
      <w:bookmarkEnd w:id="532"/>
    </w:p>
    <w:p w14:paraId="1E70C4D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0AE02791">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6D49B5E">
      <w:pPr>
        <w:spacing w:line="560" w:lineRule="exact"/>
        <w:ind w:firstLine="482" w:firstLineChars="200"/>
        <w:outlineLvl w:val="0"/>
        <w:rPr>
          <w:rFonts w:ascii="宋体" w:hAnsi="宋体"/>
          <w:b/>
          <w:color w:val="auto"/>
          <w:sz w:val="24"/>
          <w:highlight w:val="none"/>
        </w:rPr>
      </w:pPr>
      <w:bookmarkStart w:id="533" w:name="_Toc14525"/>
      <w:bookmarkStart w:id="534" w:name="_Toc1969"/>
      <w:bookmarkStart w:id="535" w:name="_Toc17363"/>
      <w:r>
        <w:rPr>
          <w:rFonts w:ascii="宋体" w:hAnsi="宋体"/>
          <w:b/>
          <w:color w:val="auto"/>
          <w:sz w:val="24"/>
          <w:highlight w:val="none"/>
        </w:rPr>
        <w:t>2.15 检验和验收</w:t>
      </w:r>
      <w:bookmarkEnd w:id="533"/>
      <w:bookmarkEnd w:id="534"/>
      <w:bookmarkEnd w:id="535"/>
    </w:p>
    <w:p w14:paraId="044B8C2E">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53C08CB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2BE9BC8">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2CDEE2F0">
      <w:pPr>
        <w:spacing w:line="560" w:lineRule="exact"/>
        <w:ind w:firstLine="482" w:firstLineChars="200"/>
        <w:outlineLvl w:val="0"/>
        <w:rPr>
          <w:rFonts w:ascii="宋体" w:hAnsi="宋体"/>
          <w:b/>
          <w:color w:val="auto"/>
          <w:sz w:val="24"/>
          <w:highlight w:val="none"/>
        </w:rPr>
      </w:pPr>
      <w:bookmarkStart w:id="536" w:name="_Toc9808"/>
      <w:bookmarkStart w:id="537" w:name="_Toc25198"/>
      <w:bookmarkStart w:id="538" w:name="_Toc2308"/>
      <w:bookmarkStart w:id="539" w:name="_Toc31892"/>
      <w:bookmarkStart w:id="540" w:name="_Toc12666"/>
      <w:r>
        <w:rPr>
          <w:rFonts w:ascii="宋体" w:hAnsi="宋体"/>
          <w:b/>
          <w:color w:val="auto"/>
          <w:sz w:val="24"/>
          <w:highlight w:val="none"/>
        </w:rPr>
        <w:t>2.16 通知和送达</w:t>
      </w:r>
      <w:bookmarkEnd w:id="536"/>
      <w:bookmarkEnd w:id="537"/>
      <w:bookmarkEnd w:id="538"/>
      <w:bookmarkEnd w:id="539"/>
      <w:bookmarkEnd w:id="540"/>
    </w:p>
    <w:p w14:paraId="69E4F718">
      <w:pPr>
        <w:spacing w:line="560" w:lineRule="exact"/>
        <w:ind w:firstLine="480" w:firstLineChars="200"/>
        <w:rPr>
          <w:rFonts w:ascii="宋体" w:hAnsi="宋体"/>
          <w:color w:val="auto"/>
          <w:sz w:val="24"/>
          <w:highlight w:val="none"/>
        </w:rPr>
      </w:pPr>
      <w:bookmarkStart w:id="541" w:name="_Toc18401"/>
      <w:bookmarkStart w:id="542"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442B758">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541"/>
      <w:bookmarkEnd w:id="542"/>
    </w:p>
    <w:p w14:paraId="713D1BE8">
      <w:pPr>
        <w:spacing w:line="560" w:lineRule="exact"/>
        <w:ind w:firstLine="482" w:firstLineChars="200"/>
        <w:outlineLvl w:val="0"/>
        <w:rPr>
          <w:rFonts w:ascii="宋体" w:hAnsi="宋体"/>
          <w:b/>
          <w:color w:val="auto"/>
          <w:sz w:val="24"/>
          <w:highlight w:val="none"/>
        </w:rPr>
      </w:pPr>
      <w:bookmarkStart w:id="543" w:name="_Toc12254"/>
      <w:bookmarkStart w:id="544" w:name="_Toc5063"/>
      <w:bookmarkStart w:id="545" w:name="_Toc27644"/>
      <w:bookmarkStart w:id="546" w:name="_Toc28906"/>
      <w:bookmarkStart w:id="547"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43"/>
      <w:bookmarkEnd w:id="544"/>
      <w:bookmarkEnd w:id="545"/>
      <w:bookmarkEnd w:id="546"/>
      <w:bookmarkEnd w:id="547"/>
    </w:p>
    <w:p w14:paraId="39E0B592">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1AB50C0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27D3D6EF">
      <w:pPr>
        <w:spacing w:line="560" w:lineRule="exact"/>
        <w:ind w:firstLine="482" w:firstLineChars="200"/>
        <w:outlineLvl w:val="0"/>
        <w:rPr>
          <w:rFonts w:ascii="宋体" w:hAnsi="宋体" w:cs="宋体"/>
          <w:b/>
          <w:color w:val="auto"/>
          <w:sz w:val="24"/>
          <w:highlight w:val="none"/>
        </w:rPr>
      </w:pPr>
      <w:bookmarkStart w:id="548" w:name="_Toc4355"/>
      <w:bookmarkStart w:id="549" w:name="_Toc30599"/>
      <w:bookmarkStart w:id="550" w:name="_Toc18540"/>
      <w:r>
        <w:rPr>
          <w:rFonts w:hint="eastAsia" w:ascii="宋体" w:hAnsi="宋体" w:cs="宋体"/>
          <w:b/>
          <w:color w:val="auto"/>
          <w:sz w:val="24"/>
          <w:highlight w:val="none"/>
        </w:rPr>
        <w:t>2.18 计量单位</w:t>
      </w:r>
      <w:bookmarkEnd w:id="548"/>
      <w:bookmarkEnd w:id="549"/>
      <w:bookmarkEnd w:id="550"/>
    </w:p>
    <w:p w14:paraId="3E29440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6B04BF6">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43093DB6">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2AAA7D22">
      <w:pPr>
        <w:adjustRightInd/>
        <w:spacing w:line="360" w:lineRule="auto"/>
        <w:ind w:firstLine="2513" w:firstLineChars="1197"/>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14:paraId="25A7BF04">
      <w:pPr>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r>
        <w:rPr>
          <w:rFonts w:hint="eastAsia" w:ascii="宋体" w:hAnsi="宋体" w:cs="宋体"/>
          <w:color w:val="auto"/>
          <w:sz w:val="24"/>
          <w:highlight w:val="none"/>
        </w:rPr>
        <w:br w:type="textWrapping"/>
      </w:r>
    </w:p>
    <w:tbl>
      <w:tblPr>
        <w:tblStyle w:val="64"/>
        <w:tblW w:w="5059"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86"/>
        <w:gridCol w:w="8148"/>
      </w:tblGrid>
      <w:tr w14:paraId="1D81E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066B6791">
            <w:pPr>
              <w:spacing w:line="312"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11" w:type="pct"/>
            <w:vAlign w:val="center"/>
          </w:tcPr>
          <w:p w14:paraId="4D8C17CB">
            <w:pPr>
              <w:spacing w:line="312"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779E3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51BCF354">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1.3.2</w:t>
            </w:r>
          </w:p>
        </w:tc>
        <w:tc>
          <w:tcPr>
            <w:tcW w:w="4411" w:type="pct"/>
            <w:vAlign w:val="center"/>
          </w:tcPr>
          <w:p w14:paraId="21C9BF81">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554B4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BC16DC5">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1.4.2</w:t>
            </w:r>
          </w:p>
        </w:tc>
        <w:tc>
          <w:tcPr>
            <w:tcW w:w="4411" w:type="pct"/>
            <w:vAlign w:val="center"/>
          </w:tcPr>
          <w:p w14:paraId="357F6A37">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2CF52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0211DD5">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1.5.1</w:t>
            </w:r>
          </w:p>
        </w:tc>
        <w:tc>
          <w:tcPr>
            <w:tcW w:w="4411" w:type="pct"/>
            <w:vAlign w:val="center"/>
          </w:tcPr>
          <w:p w14:paraId="7AF11892">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154CD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1F4242E7">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1.5.2</w:t>
            </w:r>
          </w:p>
        </w:tc>
        <w:tc>
          <w:tcPr>
            <w:tcW w:w="4411" w:type="pct"/>
            <w:vAlign w:val="center"/>
          </w:tcPr>
          <w:p w14:paraId="562FA026">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02B85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035CFBE9">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1.5.3</w:t>
            </w:r>
          </w:p>
        </w:tc>
        <w:tc>
          <w:tcPr>
            <w:tcW w:w="4411" w:type="pct"/>
            <w:vAlign w:val="center"/>
          </w:tcPr>
          <w:p w14:paraId="505B4A5E">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2F011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4E3A3CB">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1.6.2</w:t>
            </w:r>
          </w:p>
        </w:tc>
        <w:tc>
          <w:tcPr>
            <w:tcW w:w="4411" w:type="pct"/>
            <w:vAlign w:val="center"/>
          </w:tcPr>
          <w:p w14:paraId="11C29FA1">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5E6E9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04E7CDC2">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1.7.1</w:t>
            </w:r>
          </w:p>
        </w:tc>
        <w:tc>
          <w:tcPr>
            <w:tcW w:w="4411" w:type="pct"/>
            <w:vAlign w:val="center"/>
          </w:tcPr>
          <w:p w14:paraId="3E1FB35C">
            <w:pPr>
              <w:spacing w:line="312" w:lineRule="auto"/>
              <w:rPr>
                <w:rFonts w:ascii="宋体" w:hAnsi="宋体" w:cs="宋体"/>
                <w:color w:val="auto"/>
                <w:sz w:val="24"/>
                <w:highlight w:val="none"/>
              </w:rPr>
            </w:pPr>
            <w:r>
              <w:rPr>
                <w:rFonts w:hint="eastAsia" w:ascii="宋体" w:hAnsi="宋体" w:cs="宋体"/>
                <w:color w:val="auto"/>
                <w:sz w:val="24"/>
                <w:highlight w:val="none"/>
              </w:rPr>
              <w:t>自合同生效之日起一年；根据中标人在合同履约期内履约、考核等情况决定是否续签，最多续签一次。</w:t>
            </w:r>
          </w:p>
        </w:tc>
      </w:tr>
      <w:tr w14:paraId="62736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689BE9BA">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1.7.2</w:t>
            </w:r>
          </w:p>
        </w:tc>
        <w:tc>
          <w:tcPr>
            <w:tcW w:w="4411" w:type="pct"/>
            <w:vAlign w:val="center"/>
          </w:tcPr>
          <w:p w14:paraId="75964AC5">
            <w:pPr>
              <w:spacing w:line="312" w:lineRule="auto"/>
              <w:rPr>
                <w:rFonts w:ascii="宋体" w:hAnsi="宋体" w:cs="宋体"/>
                <w:color w:val="auto"/>
                <w:sz w:val="24"/>
                <w:highlight w:val="none"/>
              </w:rPr>
            </w:pPr>
            <w:r>
              <w:rPr>
                <w:rFonts w:hint="eastAsia" w:ascii="宋体" w:hAnsi="宋体" w:cs="宋体"/>
                <w:color w:val="auto"/>
                <w:sz w:val="24"/>
                <w:highlight w:val="none"/>
              </w:rPr>
              <w:t>甲方指定地点。</w:t>
            </w:r>
          </w:p>
        </w:tc>
      </w:tr>
      <w:tr w14:paraId="2EC4A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55869CC1">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1.7.3</w:t>
            </w:r>
          </w:p>
        </w:tc>
        <w:tc>
          <w:tcPr>
            <w:tcW w:w="4411" w:type="pct"/>
            <w:vAlign w:val="center"/>
          </w:tcPr>
          <w:p w14:paraId="740F9105">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76438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132218FB">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1.7.4.1</w:t>
            </w:r>
          </w:p>
        </w:tc>
        <w:tc>
          <w:tcPr>
            <w:tcW w:w="4411" w:type="pct"/>
            <w:vAlign w:val="center"/>
          </w:tcPr>
          <w:p w14:paraId="337502A5">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169EE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02A83EAF">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1.7.4.2</w:t>
            </w:r>
          </w:p>
        </w:tc>
        <w:tc>
          <w:tcPr>
            <w:tcW w:w="4411" w:type="pct"/>
            <w:vAlign w:val="center"/>
          </w:tcPr>
          <w:p w14:paraId="2B540435">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3AB00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4B56B1A7">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1.7.4.3</w:t>
            </w:r>
          </w:p>
        </w:tc>
        <w:tc>
          <w:tcPr>
            <w:tcW w:w="4411" w:type="pct"/>
            <w:vAlign w:val="center"/>
          </w:tcPr>
          <w:p w14:paraId="75C03369">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0996A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350CE5F4">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1.8.7</w:t>
            </w:r>
          </w:p>
        </w:tc>
        <w:tc>
          <w:tcPr>
            <w:tcW w:w="4411" w:type="pct"/>
            <w:vAlign w:val="center"/>
          </w:tcPr>
          <w:p w14:paraId="2ADC8CAD">
            <w:pPr>
              <w:pStyle w:val="3"/>
              <w:spacing w:line="312" w:lineRule="auto"/>
              <w:rPr>
                <w:color w:val="auto"/>
                <w:highlight w:val="none"/>
              </w:rPr>
            </w:pPr>
            <w:r>
              <w:rPr>
                <w:rFonts w:hint="eastAsia"/>
                <w:color w:val="auto"/>
                <w:highlight w:val="none"/>
                <w:lang w:val="en-US"/>
              </w:rPr>
              <w:t>因乙方不能保证工作质量，甲方有权终止合同，乙方承担全部责任。</w:t>
            </w:r>
          </w:p>
        </w:tc>
      </w:tr>
      <w:tr w14:paraId="5B8F3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0D714C9C">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1.9.1</w:t>
            </w:r>
          </w:p>
        </w:tc>
        <w:tc>
          <w:tcPr>
            <w:tcW w:w="4411" w:type="pct"/>
            <w:vAlign w:val="center"/>
          </w:tcPr>
          <w:p w14:paraId="0AC81BB0">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77F7F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2ACEA4AA">
            <w:pPr>
              <w:spacing w:line="312" w:lineRule="auto"/>
              <w:jc w:val="center"/>
              <w:rPr>
                <w:rFonts w:ascii="宋体" w:hAnsi="宋体" w:cs="宋体"/>
                <w:color w:val="auto"/>
                <w:sz w:val="24"/>
                <w:highlight w:val="none"/>
              </w:rPr>
            </w:pPr>
            <w:r>
              <w:rPr>
                <w:rFonts w:hint="eastAsia" w:ascii="宋体" w:hAnsi="宋体" w:cs="宋体"/>
                <w:color w:val="auto"/>
                <w:sz w:val="24"/>
                <w:highlight w:val="none"/>
              </w:rPr>
              <w:t>1.9.2</w:t>
            </w:r>
          </w:p>
        </w:tc>
        <w:tc>
          <w:tcPr>
            <w:tcW w:w="4411" w:type="pct"/>
            <w:vAlign w:val="center"/>
          </w:tcPr>
          <w:p w14:paraId="1F8F2F3A">
            <w:pPr>
              <w:spacing w:line="312" w:lineRule="auto"/>
              <w:rPr>
                <w:rFonts w:ascii="宋体" w:hAnsi="宋体" w:cs="宋体"/>
                <w:color w:val="auto"/>
                <w:sz w:val="24"/>
                <w:highlight w:val="none"/>
              </w:rPr>
            </w:pPr>
            <w:r>
              <w:rPr>
                <w:rFonts w:hint="eastAsia" w:ascii="宋体" w:hAnsi="宋体" w:cs="宋体"/>
                <w:color w:val="auto"/>
                <w:sz w:val="24"/>
                <w:highlight w:val="none"/>
              </w:rPr>
              <w:t>宁波市</w:t>
            </w:r>
          </w:p>
        </w:tc>
      </w:tr>
      <w:tr w14:paraId="3ACB9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6479F338">
            <w:pPr>
              <w:spacing w:line="312" w:lineRule="auto"/>
              <w:jc w:val="center"/>
              <w:rPr>
                <w:rFonts w:ascii="宋体" w:hAnsi="宋体" w:cs="宋体"/>
                <w:color w:val="auto"/>
                <w:sz w:val="24"/>
                <w:highlight w:val="none"/>
              </w:rPr>
            </w:pPr>
            <w:r>
              <w:rPr>
                <w:rFonts w:hint="eastAsia" w:ascii="宋体" w:hAnsi="宋体" w:cs="宋体"/>
                <w:color w:val="auto"/>
                <w:sz w:val="24"/>
                <w:highlight w:val="none"/>
              </w:rPr>
              <w:t>2.3.2</w:t>
            </w:r>
          </w:p>
        </w:tc>
        <w:tc>
          <w:tcPr>
            <w:tcW w:w="4411" w:type="pct"/>
            <w:vAlign w:val="center"/>
          </w:tcPr>
          <w:p w14:paraId="687CC8F1">
            <w:pPr>
              <w:spacing w:line="312"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w:t>
            </w:r>
          </w:p>
        </w:tc>
      </w:tr>
      <w:tr w14:paraId="75241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BF0FEE4">
            <w:pPr>
              <w:spacing w:line="312"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11" w:type="pct"/>
            <w:vAlign w:val="center"/>
          </w:tcPr>
          <w:p w14:paraId="70E0225D">
            <w:pPr>
              <w:spacing w:line="312" w:lineRule="auto"/>
              <w:rPr>
                <w:rFonts w:ascii="宋体" w:hAnsi="宋体" w:cs="宋体"/>
                <w:color w:val="auto"/>
                <w:sz w:val="24"/>
                <w:highlight w:val="none"/>
              </w:rPr>
            </w:pPr>
            <w:r>
              <w:rPr>
                <w:rFonts w:hint="eastAsia" w:ascii="宋体" w:hAnsi="宋体" w:cs="宋体"/>
                <w:color w:val="auto"/>
                <w:sz w:val="24"/>
                <w:highlight w:val="none"/>
              </w:rPr>
              <w:t>按月支付。由采购人根据乙方前一个月的考核结果，在下月凭税务发票支付乙方前一个月的服务人员成本费及管理费，乙方每月初提供税务所统一发票。</w:t>
            </w:r>
          </w:p>
        </w:tc>
      </w:tr>
      <w:tr w14:paraId="1E6FF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6ED42039">
            <w:pPr>
              <w:spacing w:line="312"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11" w:type="pct"/>
            <w:vAlign w:val="center"/>
          </w:tcPr>
          <w:p w14:paraId="704103BB">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1961B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tcPr>
          <w:p w14:paraId="65EA7C08">
            <w:pPr>
              <w:spacing w:line="312"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p>
        </w:tc>
        <w:tc>
          <w:tcPr>
            <w:tcW w:w="4411" w:type="pct"/>
          </w:tcPr>
          <w:p w14:paraId="7279F191">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3C03A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0B2A1C9A">
            <w:pPr>
              <w:spacing w:line="312"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11" w:type="pct"/>
            <w:vAlign w:val="center"/>
          </w:tcPr>
          <w:p w14:paraId="63B4122C">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74F99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3BDC115">
            <w:pPr>
              <w:spacing w:line="312"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11" w:type="pct"/>
            <w:vAlign w:val="center"/>
          </w:tcPr>
          <w:p w14:paraId="2266CBCE">
            <w:pPr>
              <w:spacing w:line="312" w:lineRule="auto"/>
              <w:rPr>
                <w:rFonts w:ascii="宋体" w:hAnsi="宋体" w:cs="宋体"/>
                <w:color w:val="auto"/>
                <w:sz w:val="24"/>
                <w:highlight w:val="none"/>
              </w:rPr>
            </w:pPr>
            <w:r>
              <w:rPr>
                <w:rFonts w:hint="eastAsia" w:ascii="宋体" w:hAnsi="宋体" w:cs="宋体"/>
                <w:color w:val="auto"/>
                <w:sz w:val="24"/>
                <w:highlight w:val="none"/>
              </w:rPr>
              <w:t>/</w:t>
            </w:r>
          </w:p>
        </w:tc>
      </w:tr>
      <w:tr w14:paraId="65AA2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tcPr>
          <w:p w14:paraId="487DBDC6">
            <w:pPr>
              <w:spacing w:line="312" w:lineRule="auto"/>
              <w:jc w:val="center"/>
              <w:rPr>
                <w:rFonts w:ascii="宋体" w:hAnsi="宋体" w:cs="宋体"/>
                <w:color w:val="auto"/>
                <w:sz w:val="24"/>
                <w:highlight w:val="none"/>
              </w:rPr>
            </w:pPr>
            <w:r>
              <w:rPr>
                <w:rFonts w:hint="eastAsia" w:ascii="宋体" w:hAnsi="宋体" w:cs="宋体"/>
                <w:color w:val="auto"/>
                <w:sz w:val="24"/>
                <w:highlight w:val="none"/>
              </w:rPr>
              <w:t>2.19</w:t>
            </w:r>
          </w:p>
        </w:tc>
        <w:tc>
          <w:tcPr>
            <w:tcW w:w="4411" w:type="pct"/>
          </w:tcPr>
          <w:p w14:paraId="1081CD13">
            <w:pPr>
              <w:spacing w:line="312" w:lineRule="auto"/>
              <w:rPr>
                <w:rFonts w:ascii="宋体" w:hAnsi="宋体" w:cs="宋体"/>
                <w:color w:val="auto"/>
                <w:sz w:val="24"/>
                <w:highlight w:val="none"/>
              </w:rPr>
            </w:pPr>
            <w:r>
              <w:rPr>
                <w:rFonts w:ascii="宋体" w:hAnsi="宋体" w:cs="宋体"/>
                <w:color w:val="auto"/>
                <w:sz w:val="24"/>
                <w:highlight w:val="none"/>
              </w:rPr>
              <w:t>一式</w:t>
            </w:r>
            <w:r>
              <w:rPr>
                <w:rFonts w:hint="eastAsia" w:ascii="宋体" w:hAnsi="宋体" w:cs="宋体"/>
                <w:color w:val="auto"/>
                <w:sz w:val="24"/>
                <w:highlight w:val="none"/>
                <w:u w:val="single"/>
              </w:rPr>
              <w:t xml:space="preserve">  </w:t>
            </w:r>
            <w:r>
              <w:rPr>
                <w:rFonts w:ascii="宋体" w:hAnsi="宋体" w:cs="宋体"/>
                <w:color w:val="auto"/>
                <w:sz w:val="24"/>
                <w:highlight w:val="none"/>
              </w:rPr>
              <w:t>份</w:t>
            </w:r>
            <w:r>
              <w:rPr>
                <w:rFonts w:hint="eastAsia" w:ascii="宋体" w:hAnsi="宋体" w:cs="宋体"/>
                <w:color w:val="auto"/>
                <w:sz w:val="24"/>
                <w:highlight w:val="none"/>
              </w:rPr>
              <w:t>，</w:t>
            </w:r>
            <w:r>
              <w:rPr>
                <w:rFonts w:ascii="宋体" w:hAnsi="宋体" w:cs="宋体"/>
                <w:color w:val="auto"/>
                <w:sz w:val="24"/>
                <w:highlight w:val="none"/>
              </w:rPr>
              <w:t>双方各</w:t>
            </w:r>
            <w:r>
              <w:rPr>
                <w:rFonts w:hint="eastAsia" w:ascii="宋体" w:hAnsi="宋体" w:cs="宋体"/>
                <w:color w:val="auto"/>
                <w:sz w:val="24"/>
                <w:highlight w:val="none"/>
              </w:rPr>
              <w:t>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tc>
      </w:tr>
    </w:tbl>
    <w:p w14:paraId="5D7AA9F7">
      <w:pPr>
        <w:widowControl/>
        <w:tabs>
          <w:tab w:val="left" w:pos="168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pacing w:before="120" w:after="120" w:line="500" w:lineRule="exact"/>
        <w:rPr>
          <w:rFonts w:hint="eastAsia" w:ascii="宋体" w:hAnsi="宋体" w:eastAsia="宋体" w:cs="宋体"/>
          <w:b/>
          <w:color w:val="auto"/>
          <w:kern w:val="0"/>
          <w:sz w:val="28"/>
          <w:szCs w:val="28"/>
          <w:highlight w:val="none"/>
          <w:lang w:eastAsia="zh-CN"/>
        </w:rPr>
      </w:pPr>
      <w:r>
        <w:rPr>
          <w:rFonts w:hint="eastAsia" w:ascii="宋体" w:hAnsi="宋体" w:cs="宋体"/>
          <w:color w:val="auto"/>
          <w:sz w:val="24"/>
          <w:highlight w:val="none"/>
        </w:rPr>
        <w:br w:type="textWrapping"/>
      </w:r>
    </w:p>
    <w:p w14:paraId="1AE65FA5">
      <w:pPr>
        <w:pStyle w:val="63"/>
        <w:rPr>
          <w:rFonts w:hint="eastAsia" w:ascii="宋体" w:hAnsi="宋体" w:eastAsia="宋体" w:cs="宋体"/>
          <w:b/>
          <w:color w:val="auto"/>
          <w:kern w:val="0"/>
          <w:sz w:val="28"/>
          <w:szCs w:val="28"/>
          <w:highlight w:val="none"/>
          <w:lang w:eastAsia="zh-CN"/>
        </w:rPr>
      </w:pPr>
    </w:p>
    <w:p w14:paraId="4FDE6047">
      <w:pPr>
        <w:rPr>
          <w:rFonts w:hint="eastAsia" w:ascii="宋体" w:hAnsi="宋体" w:eastAsia="宋体" w:cs="宋体"/>
          <w:color w:val="auto"/>
          <w:highlight w:val="none"/>
        </w:rPr>
      </w:pPr>
    </w:p>
    <w:p w14:paraId="58FCD3AC">
      <w:pPr>
        <w:spacing w:line="360" w:lineRule="auto"/>
        <w:ind w:left="720" w:firstLine="1084" w:firstLineChars="300"/>
        <w:outlineLvl w:val="0"/>
        <w:rPr>
          <w:rFonts w:hint="eastAsia" w:ascii="宋体" w:hAnsi="宋体" w:eastAsia="宋体" w:cs="宋体"/>
          <w:b/>
          <w:color w:val="auto"/>
          <w:sz w:val="36"/>
          <w:szCs w:val="20"/>
          <w:highlight w:val="none"/>
        </w:rPr>
      </w:pPr>
      <w:bookmarkStart w:id="551" w:name="_Toc14949"/>
      <w:bookmarkStart w:id="552" w:name="_Toc12182"/>
      <w:r>
        <w:rPr>
          <w:rFonts w:hint="eastAsia" w:ascii="宋体" w:hAnsi="宋体" w:eastAsia="宋体" w:cs="宋体"/>
          <w:b/>
          <w:color w:val="auto"/>
          <w:sz w:val="36"/>
          <w:szCs w:val="20"/>
          <w:highlight w:val="none"/>
        </w:rPr>
        <w:t>第六部分</w:t>
      </w:r>
      <w:bookmarkEnd w:id="436"/>
      <w:r>
        <w:rPr>
          <w:rFonts w:hint="eastAsia" w:ascii="宋体" w:hAnsi="宋体" w:eastAsia="宋体" w:cs="宋体"/>
          <w:b/>
          <w:color w:val="auto"/>
          <w:sz w:val="36"/>
          <w:szCs w:val="20"/>
          <w:highlight w:val="none"/>
        </w:rPr>
        <w:t xml:space="preserve"> </w:t>
      </w:r>
      <w:bookmarkEnd w:id="437"/>
      <w:r>
        <w:rPr>
          <w:rFonts w:hint="eastAsia" w:ascii="宋体" w:hAnsi="宋体" w:eastAsia="宋体" w:cs="宋体"/>
          <w:b/>
          <w:color w:val="auto"/>
          <w:sz w:val="36"/>
          <w:szCs w:val="20"/>
          <w:highlight w:val="none"/>
        </w:rPr>
        <w:t>应提交的有关格式范例</w:t>
      </w:r>
      <w:bookmarkEnd w:id="551"/>
      <w:bookmarkEnd w:id="552"/>
    </w:p>
    <w:p w14:paraId="4C37C44D">
      <w:pPr>
        <w:spacing w:line="360" w:lineRule="auto"/>
        <w:jc w:val="center"/>
        <w:rPr>
          <w:rFonts w:hint="eastAsia" w:ascii="宋体" w:hAnsi="宋体" w:eastAsia="宋体" w:cs="宋体"/>
          <w:b/>
          <w:color w:val="auto"/>
          <w:kern w:val="0"/>
          <w:sz w:val="36"/>
          <w:szCs w:val="36"/>
          <w:highlight w:val="none"/>
        </w:rPr>
      </w:pPr>
    </w:p>
    <w:p w14:paraId="3BF6CCCA">
      <w:pPr>
        <w:spacing w:line="360" w:lineRule="auto"/>
        <w:jc w:val="center"/>
        <w:outlineLvl w:val="1"/>
        <w:rPr>
          <w:rFonts w:hint="eastAsia" w:ascii="宋体" w:hAnsi="宋体" w:eastAsia="宋体" w:cs="宋体"/>
          <w:b/>
          <w:color w:val="auto"/>
          <w:kern w:val="0"/>
          <w:sz w:val="36"/>
          <w:szCs w:val="36"/>
          <w:highlight w:val="none"/>
        </w:rPr>
      </w:pPr>
      <w:bookmarkStart w:id="553" w:name="_Toc29848"/>
      <w:r>
        <w:rPr>
          <w:rFonts w:hint="eastAsia" w:ascii="宋体" w:hAnsi="宋体" w:eastAsia="宋体" w:cs="宋体"/>
          <w:b/>
          <w:color w:val="auto"/>
          <w:kern w:val="0"/>
          <w:sz w:val="36"/>
          <w:szCs w:val="36"/>
          <w:highlight w:val="none"/>
        </w:rPr>
        <w:t>资格文件部分</w:t>
      </w:r>
      <w:bookmarkEnd w:id="553"/>
    </w:p>
    <w:p w14:paraId="2104DAE6">
      <w:pPr>
        <w:jc w:val="center"/>
        <w:rPr>
          <w:rFonts w:hint="eastAsia" w:ascii="宋体" w:hAnsi="宋体" w:eastAsia="宋体" w:cs="宋体"/>
          <w:b/>
          <w:bCs/>
          <w:color w:val="auto"/>
          <w:sz w:val="36"/>
          <w:szCs w:val="36"/>
          <w:highlight w:val="none"/>
        </w:rPr>
      </w:pPr>
      <w:bookmarkStart w:id="554" w:name="_Toc26717"/>
      <w:r>
        <w:rPr>
          <w:rFonts w:hint="eastAsia" w:ascii="宋体" w:hAnsi="宋体" w:eastAsia="宋体" w:cs="宋体"/>
          <w:b/>
          <w:bCs/>
          <w:color w:val="auto"/>
          <w:sz w:val="36"/>
          <w:szCs w:val="36"/>
          <w:highlight w:val="none"/>
        </w:rPr>
        <w:t>目录</w:t>
      </w:r>
      <w:bookmarkEnd w:id="554"/>
    </w:p>
    <w:p w14:paraId="3B54DFC7">
      <w:pPr>
        <w:spacing w:line="360" w:lineRule="auto"/>
        <w:jc w:val="center"/>
        <w:rPr>
          <w:rFonts w:hint="eastAsia" w:ascii="宋体" w:hAnsi="宋体" w:eastAsia="宋体" w:cs="宋体"/>
          <w:b/>
          <w:color w:val="auto"/>
          <w:kern w:val="0"/>
          <w:sz w:val="36"/>
          <w:szCs w:val="36"/>
          <w:highlight w:val="none"/>
        </w:rPr>
      </w:pPr>
    </w:p>
    <w:p w14:paraId="5B3AA1A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（1）营业执照等证明材料；</w:t>
      </w:r>
    </w:p>
    <w:p w14:paraId="6A815417">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注：法人或者其他组织投标的须提供营业执照（或事业法人登记证或其他登记证明材料）扫描件，自然人投标的提供身份证明扫描件</w:t>
      </w:r>
      <w:r>
        <w:rPr>
          <w:rFonts w:hint="eastAsia" w:ascii="宋体" w:hAnsi="宋体" w:eastAsia="宋体" w:cs="宋体"/>
          <w:color w:val="auto"/>
          <w:sz w:val="24"/>
          <w:highlight w:val="none"/>
          <w:lang w:eastAsia="zh-CN"/>
        </w:rPr>
        <w:t>；</w:t>
      </w:r>
    </w:p>
    <w:p w14:paraId="1E5BFF7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（2）符合参加政府采购活动应当具备的一般条件的承诺函；</w:t>
      </w:r>
    </w:p>
    <w:p w14:paraId="71FA1FF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snapToGrid w:val="0"/>
          <w:color w:val="auto"/>
          <w:kern w:val="28"/>
          <w:sz w:val="24"/>
          <w:szCs w:val="20"/>
          <w:highlight w:val="none"/>
        </w:rPr>
        <w:t>联合协议（如有请提供）；</w:t>
      </w:r>
    </w:p>
    <w:p w14:paraId="1DE73D4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（4）落实政府采购政策需满足的资格要求（</w:t>
      </w:r>
      <w:r>
        <w:rPr>
          <w:rFonts w:hint="eastAsia" w:ascii="宋体" w:hAnsi="宋体" w:cs="宋体"/>
          <w:color w:val="auto"/>
          <w:sz w:val="24"/>
          <w:highlight w:val="none"/>
          <w:lang w:val="en-US" w:eastAsia="zh-CN"/>
        </w:rPr>
        <w:t>提供以下资料之一</w:t>
      </w:r>
      <w:r>
        <w:rPr>
          <w:rFonts w:hint="eastAsia" w:ascii="宋体" w:hAnsi="宋体" w:eastAsia="宋体" w:cs="宋体"/>
          <w:color w:val="auto"/>
          <w:sz w:val="24"/>
          <w:highlight w:val="none"/>
        </w:rPr>
        <w:t>）；</w:t>
      </w:r>
    </w:p>
    <w:p w14:paraId="2F7F8AE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4.1中小企业声明函（如是，请提供。格式附后）；</w:t>
      </w:r>
    </w:p>
    <w:p w14:paraId="39727F9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4.2供应商为监狱企业的证明文件：省级以上监狱管理局、戒毒管理局（含新疆生产建设兵团）出具（如是，请提供）；</w:t>
      </w:r>
    </w:p>
    <w:p w14:paraId="1FFEE1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4.3残疾人福利性单位声明函（如是，请提供。格式附后）；</w:t>
      </w:r>
    </w:p>
    <w:p w14:paraId="1950155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（5）本项目的特定资格要求</w:t>
      </w:r>
      <w:r>
        <w:rPr>
          <w:rFonts w:hint="eastAsia" w:ascii="宋体" w:hAnsi="宋体" w:cs="宋体"/>
          <w:color w:val="auto"/>
          <w:sz w:val="24"/>
          <w:highlight w:val="none"/>
          <w:lang w:eastAsia="zh-CN"/>
        </w:rPr>
        <w:t>：</w:t>
      </w:r>
      <w:r>
        <w:rPr>
          <w:rFonts w:hint="eastAsia" w:ascii="宋体" w:hAnsi="宋体" w:cs="宋体"/>
          <w:snapToGrid w:val="0"/>
          <w:color w:val="auto"/>
          <w:kern w:val="28"/>
          <w:sz w:val="24"/>
          <w:szCs w:val="20"/>
          <w:highlight w:val="none"/>
          <w:lang w:val="en-US" w:eastAsia="zh-CN"/>
        </w:rPr>
        <w:t>无</w:t>
      </w:r>
      <w:r>
        <w:rPr>
          <w:rFonts w:hint="eastAsia" w:ascii="宋体" w:hAnsi="宋体" w:eastAsia="宋体" w:cs="宋体"/>
          <w:color w:val="auto"/>
          <w:sz w:val="24"/>
          <w:highlight w:val="none"/>
        </w:rPr>
        <w:t>；</w:t>
      </w:r>
    </w:p>
    <w:p w14:paraId="59EF3B33">
      <w:pPr>
        <w:snapToGrid w:val="0"/>
        <w:spacing w:line="360" w:lineRule="auto"/>
        <w:outlineLvl w:val="1"/>
        <w:rPr>
          <w:rFonts w:hint="eastAsia" w:ascii="宋体" w:hAnsi="宋体" w:eastAsia="宋体" w:cs="宋体"/>
          <w:color w:val="auto"/>
          <w:sz w:val="24"/>
          <w:highlight w:val="none"/>
        </w:rPr>
      </w:pPr>
      <w:bookmarkStart w:id="555" w:name="_Toc1638"/>
      <w:r>
        <w:rPr>
          <w:rFonts w:hint="eastAsia" w:ascii="宋体" w:hAnsi="宋体" w:eastAsia="宋体" w:cs="宋体"/>
          <w:color w:val="auto"/>
          <w:kern w:val="0"/>
          <w:sz w:val="24"/>
          <w:highlight w:val="none"/>
        </w:rPr>
        <w:t>（6）业务专用章使用说明函</w:t>
      </w:r>
      <w:bookmarkEnd w:id="555"/>
      <w:r>
        <w:rPr>
          <w:rFonts w:hint="eastAsia" w:ascii="宋体" w:hAnsi="宋体" w:eastAsia="宋体" w:cs="宋体"/>
          <w:color w:val="auto"/>
          <w:kern w:val="0"/>
          <w:sz w:val="24"/>
          <w:highlight w:val="none"/>
        </w:rPr>
        <w:t>；</w:t>
      </w:r>
    </w:p>
    <w:p w14:paraId="7E63A565">
      <w:pPr>
        <w:snapToGrid w:val="0"/>
        <w:spacing w:line="360" w:lineRule="auto"/>
        <w:rPr>
          <w:rFonts w:hint="eastAsia" w:ascii="宋体" w:hAnsi="宋体" w:eastAsia="宋体" w:cs="宋体"/>
          <w:color w:val="auto"/>
          <w:sz w:val="24"/>
          <w:highlight w:val="none"/>
        </w:rPr>
      </w:pPr>
    </w:p>
    <w:p w14:paraId="5DECA473">
      <w:pPr>
        <w:spacing w:line="360" w:lineRule="auto"/>
        <w:ind w:firstLine="480" w:firstLineChars="200"/>
        <w:rPr>
          <w:rFonts w:hint="eastAsia" w:ascii="宋体" w:hAnsi="宋体" w:eastAsia="宋体" w:cs="宋体"/>
          <w:color w:val="auto"/>
          <w:sz w:val="24"/>
          <w:highlight w:val="none"/>
        </w:rPr>
      </w:pPr>
    </w:p>
    <w:p w14:paraId="13E1C5D2">
      <w:pPr>
        <w:pStyle w:val="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       </w:t>
      </w:r>
    </w:p>
    <w:p w14:paraId="0E9398CB">
      <w:pPr>
        <w:snapToGrid w:val="0"/>
        <w:spacing w:line="360" w:lineRule="auto"/>
        <w:ind w:right="480"/>
        <w:jc w:val="center"/>
        <w:rPr>
          <w:rFonts w:ascii="宋体" w:hAnsi="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w:t>
      </w:r>
      <w:r>
        <w:rPr>
          <w:rFonts w:hint="eastAsia" w:ascii="宋体" w:hAnsi="宋体" w:cs="宋体"/>
          <w:b/>
          <w:color w:val="auto"/>
          <w:kern w:val="0"/>
          <w:sz w:val="32"/>
          <w:szCs w:val="32"/>
          <w:highlight w:val="none"/>
        </w:rPr>
        <w:t xml:space="preserve">营业执照等证明材料 </w:t>
      </w:r>
    </w:p>
    <w:p w14:paraId="70CCFBE3">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sz w:val="24"/>
          <w:highlight w:val="none"/>
        </w:rPr>
        <w:t>注：法人或者其他组织投标的须提供营业执照（或事业法人登记证或其他登记证明材料）扫描件，自然人投标的提供身份证明扫描件</w:t>
      </w:r>
      <w:r>
        <w:rPr>
          <w:rFonts w:hint="eastAsia" w:ascii="宋体" w:hAnsi="宋体" w:eastAsia="宋体" w:cs="宋体"/>
          <w:b/>
          <w:color w:val="auto"/>
          <w:kern w:val="0"/>
          <w:sz w:val="32"/>
          <w:szCs w:val="32"/>
          <w:highlight w:val="none"/>
        </w:rPr>
        <w:t xml:space="preserve"> </w:t>
      </w:r>
    </w:p>
    <w:p w14:paraId="5570116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50957D1">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二、符合参加政府采购活动应当具备的一般条件的承诺函</w:t>
      </w:r>
    </w:p>
    <w:p w14:paraId="66E91D6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0B8965A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】政府采购活动，郑重承诺：</w:t>
      </w:r>
    </w:p>
    <w:p w14:paraId="0C2B3E7A">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75DE2B3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F11851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176F8E3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7AE24FF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1DAA97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5FE0A45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489784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14:paraId="0FCA3B5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5F5DAE1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14:paraId="539722A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10C83DB0">
      <w:pPr>
        <w:snapToGrid w:val="0"/>
        <w:spacing w:line="360" w:lineRule="auto"/>
        <w:ind w:firstLine="5520" w:firstLineChars="2300"/>
        <w:rPr>
          <w:rFonts w:hint="eastAsia" w:ascii="宋体" w:hAnsi="宋体" w:eastAsia="宋体" w:cs="宋体"/>
          <w:color w:val="auto"/>
          <w:kern w:val="0"/>
          <w:sz w:val="24"/>
          <w:highlight w:val="none"/>
          <w:lang w:val="zh-CN"/>
        </w:rPr>
      </w:pPr>
    </w:p>
    <w:p w14:paraId="56C05ED5">
      <w:pPr>
        <w:snapToGrid w:val="0"/>
        <w:spacing w:line="360" w:lineRule="auto"/>
        <w:ind w:firstLine="5520" w:firstLineChars="2300"/>
        <w:rPr>
          <w:rFonts w:hint="eastAsia" w:ascii="宋体" w:hAnsi="宋体" w:eastAsia="宋体" w:cs="宋体"/>
          <w:color w:val="auto"/>
          <w:kern w:val="0"/>
          <w:sz w:val="24"/>
          <w:highlight w:val="none"/>
          <w:lang w:val="zh-CN"/>
        </w:rPr>
      </w:pPr>
    </w:p>
    <w:p w14:paraId="01EB9ECA">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41D4BE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C641C32">
      <w:pPr>
        <w:snapToGrid w:val="0"/>
        <w:spacing w:line="360" w:lineRule="auto"/>
        <w:ind w:right="480"/>
        <w:jc w:val="center"/>
        <w:rPr>
          <w:rFonts w:hint="eastAsia" w:ascii="宋体" w:hAnsi="宋体" w:eastAsia="宋体" w:cs="宋体"/>
          <w:b/>
          <w:color w:val="auto"/>
          <w:kern w:val="0"/>
          <w:sz w:val="32"/>
          <w:szCs w:val="32"/>
          <w:highlight w:val="none"/>
        </w:rPr>
      </w:pPr>
    </w:p>
    <w:p w14:paraId="2E3F9326">
      <w:pPr>
        <w:snapToGrid w:val="0"/>
        <w:spacing w:line="360" w:lineRule="auto"/>
        <w:ind w:right="480"/>
        <w:jc w:val="center"/>
        <w:rPr>
          <w:rFonts w:hint="eastAsia" w:ascii="宋体" w:hAnsi="宋体" w:eastAsia="宋体" w:cs="宋体"/>
          <w:b/>
          <w:color w:val="auto"/>
          <w:kern w:val="0"/>
          <w:sz w:val="32"/>
          <w:szCs w:val="32"/>
          <w:highlight w:val="none"/>
        </w:rPr>
      </w:pPr>
    </w:p>
    <w:p w14:paraId="74428CEB">
      <w:pPr>
        <w:snapToGrid w:val="0"/>
        <w:spacing w:line="360" w:lineRule="auto"/>
        <w:ind w:right="480"/>
        <w:jc w:val="center"/>
        <w:rPr>
          <w:rFonts w:hint="eastAsia" w:ascii="宋体" w:hAnsi="宋体" w:eastAsia="宋体" w:cs="宋体"/>
          <w:b/>
          <w:color w:val="auto"/>
          <w:kern w:val="0"/>
          <w:sz w:val="32"/>
          <w:szCs w:val="32"/>
          <w:highlight w:val="none"/>
        </w:rPr>
      </w:pPr>
    </w:p>
    <w:p w14:paraId="363E3B55">
      <w:pPr>
        <w:rPr>
          <w:rFonts w:hint="eastAsia" w:ascii="宋体" w:hAnsi="宋体" w:eastAsia="宋体" w:cs="宋体"/>
          <w:color w:val="auto"/>
          <w:highlight w:val="none"/>
        </w:rPr>
      </w:pPr>
    </w:p>
    <w:p w14:paraId="4C1CD019">
      <w:pPr>
        <w:snapToGrid w:val="0"/>
        <w:spacing w:line="360" w:lineRule="auto"/>
        <w:ind w:right="480"/>
        <w:jc w:val="both"/>
        <w:rPr>
          <w:rFonts w:hint="eastAsia" w:ascii="宋体" w:hAnsi="宋体" w:eastAsia="宋体" w:cs="宋体"/>
          <w:b/>
          <w:color w:val="auto"/>
          <w:kern w:val="0"/>
          <w:sz w:val="32"/>
          <w:szCs w:val="32"/>
          <w:highlight w:val="none"/>
        </w:rPr>
      </w:pPr>
    </w:p>
    <w:p w14:paraId="05CE929C">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三、联合协议（如果有）</w:t>
      </w:r>
    </w:p>
    <w:p w14:paraId="0E7747E8">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24"/>
          <w:highlight w:val="none"/>
        </w:rPr>
        <w:t>[以联合体形式投标的，提供联合协议（附件3）；本项目不接受联合体投标或者投标人不以联合体形式投标的，则不需要提供]</w:t>
      </w:r>
    </w:p>
    <w:p w14:paraId="4353750F">
      <w:pPr>
        <w:snapToGrid w:val="0"/>
        <w:spacing w:line="360" w:lineRule="auto"/>
        <w:ind w:right="480"/>
        <w:jc w:val="center"/>
        <w:rPr>
          <w:rFonts w:hint="eastAsia" w:ascii="宋体" w:hAnsi="宋体" w:eastAsia="宋体" w:cs="宋体"/>
          <w:b/>
          <w:color w:val="auto"/>
          <w:kern w:val="0"/>
          <w:sz w:val="32"/>
          <w:szCs w:val="32"/>
          <w:highlight w:val="none"/>
        </w:rPr>
      </w:pPr>
    </w:p>
    <w:p w14:paraId="672C122C">
      <w:pPr>
        <w:snapToGrid w:val="0"/>
        <w:spacing w:line="360" w:lineRule="auto"/>
        <w:ind w:right="480"/>
        <w:rPr>
          <w:rFonts w:hint="eastAsia" w:ascii="宋体" w:hAnsi="宋体" w:eastAsia="宋体" w:cs="宋体"/>
          <w:b/>
          <w:color w:val="auto"/>
          <w:kern w:val="0"/>
          <w:sz w:val="32"/>
          <w:szCs w:val="32"/>
          <w:highlight w:val="none"/>
        </w:rPr>
      </w:pPr>
    </w:p>
    <w:p w14:paraId="725ED2ED">
      <w:pPr>
        <w:snapToGrid w:val="0"/>
        <w:spacing w:line="360" w:lineRule="auto"/>
        <w:ind w:right="480"/>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四、落实政府采购政策需满足的资格要求</w:t>
      </w:r>
    </w:p>
    <w:p w14:paraId="214487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02E1F678">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.专门面向中小企业，货物全部由符合政策要求的中小企业（或小微企业）制造的，提供相应的中小企业声明函（附件5）。 </w:t>
      </w:r>
    </w:p>
    <w:p w14:paraId="76C2F8F0">
      <w:pPr>
        <w:widowControl/>
        <w:spacing w:line="360" w:lineRule="auto"/>
        <w:ind w:firstLine="480"/>
        <w:jc w:val="left"/>
        <w:rPr>
          <w:rFonts w:hint="eastAsia" w:ascii="宋体" w:hAnsi="宋体" w:eastAsia="宋体" w:cs="宋体"/>
          <w:color w:val="auto"/>
          <w:sz w:val="24"/>
          <w:highlight w:val="none"/>
        </w:rPr>
      </w:pPr>
    </w:p>
    <w:p w14:paraId="0F483A44">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要求以联合体形式参加的，提供联合协议（附件3）和中小企业声明函（附件5），联合协议中中小企业合同金额应当达到招标公告载明的比例；如果供应商本身提供所有标的均由中小企业制造的，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568F5758">
      <w:pPr>
        <w:snapToGrid w:val="0"/>
        <w:spacing w:before="50" w:after="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191CC019">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要求合同分包的，提供分包意向协议（附件4）和中小企业声明函（附件5），分包意向协议中中小企业合同金额应当达到招标公告载明的比例；如果供应商本身提供所有标的均由中小企业制造的，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1755A778">
      <w:pPr>
        <w:widowControl/>
        <w:spacing w:line="360" w:lineRule="auto"/>
        <w:ind w:left="150"/>
        <w:jc w:val="center"/>
        <w:rPr>
          <w:rFonts w:hint="eastAsia" w:ascii="宋体" w:hAnsi="宋体" w:eastAsia="宋体" w:cs="宋体"/>
          <w:b/>
          <w:color w:val="auto"/>
          <w:kern w:val="0"/>
          <w:sz w:val="32"/>
          <w:szCs w:val="32"/>
          <w:highlight w:val="none"/>
        </w:rPr>
      </w:pPr>
    </w:p>
    <w:p w14:paraId="2B5FE953">
      <w:pPr>
        <w:widowControl/>
        <w:spacing w:line="360" w:lineRule="auto"/>
        <w:ind w:left="150"/>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五、本项目的特定资格要求</w:t>
      </w:r>
      <w:r>
        <w:rPr>
          <w:rFonts w:hint="eastAsia" w:ascii="宋体" w:hAnsi="宋体" w:cs="宋体"/>
          <w:b/>
          <w:color w:val="auto"/>
          <w:kern w:val="0"/>
          <w:sz w:val="32"/>
          <w:szCs w:val="32"/>
          <w:highlight w:val="none"/>
          <w:lang w:eastAsia="zh-CN"/>
        </w:rPr>
        <w:t>：</w:t>
      </w:r>
      <w:r>
        <w:rPr>
          <w:rFonts w:hint="eastAsia" w:ascii="宋体" w:hAnsi="宋体" w:cs="宋体"/>
          <w:b/>
          <w:color w:val="auto"/>
          <w:kern w:val="0"/>
          <w:sz w:val="32"/>
          <w:szCs w:val="32"/>
          <w:highlight w:val="none"/>
          <w:lang w:val="en-US" w:eastAsia="zh-CN"/>
        </w:rPr>
        <w:t>无</w:t>
      </w:r>
    </w:p>
    <w:p w14:paraId="59C0871F">
      <w:pPr>
        <w:rPr>
          <w:rFonts w:hint="eastAsia" w:ascii="宋体" w:hAnsi="宋体" w:eastAsia="宋体" w:cs="宋体"/>
          <w:color w:val="auto"/>
          <w:highlight w:val="none"/>
        </w:rPr>
      </w:pPr>
    </w:p>
    <w:p w14:paraId="51AC6139">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六、业务专用章使用说明函</w:t>
      </w:r>
    </w:p>
    <w:p w14:paraId="32067E4F">
      <w:pPr>
        <w:pStyle w:val="63"/>
        <w:ind w:left="840" w:leftChars="4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[如适用，</w:t>
      </w:r>
      <w:r>
        <w:rPr>
          <w:rFonts w:hint="eastAsia" w:ascii="宋体" w:hAnsi="宋体" w:eastAsia="宋体" w:cs="宋体"/>
          <w:b/>
          <w:color w:val="auto"/>
          <w:sz w:val="24"/>
          <w:highlight w:val="none"/>
        </w:rPr>
        <w:t>提供业务专用章使用说明函（附件2）]</w:t>
      </w:r>
    </w:p>
    <w:p w14:paraId="48AA95B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79462D0">
      <w:pPr>
        <w:spacing w:line="360" w:lineRule="auto"/>
        <w:ind w:right="420" w:firstLine="3614" w:firstLineChars="100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36FA54FF">
      <w:pPr>
        <w:spacing w:line="360" w:lineRule="auto"/>
        <w:jc w:val="center"/>
        <w:outlineLvl w:val="1"/>
        <w:rPr>
          <w:rFonts w:hint="eastAsia" w:ascii="宋体" w:hAnsi="宋体" w:eastAsia="宋体" w:cs="宋体"/>
          <w:b/>
          <w:color w:val="auto"/>
          <w:kern w:val="0"/>
          <w:sz w:val="28"/>
          <w:szCs w:val="28"/>
          <w:highlight w:val="none"/>
        </w:rPr>
      </w:pPr>
      <w:bookmarkStart w:id="556" w:name="_Toc24305"/>
      <w:r>
        <w:rPr>
          <w:rFonts w:hint="eastAsia" w:ascii="宋体" w:hAnsi="宋体" w:eastAsia="宋体" w:cs="宋体"/>
          <w:b/>
          <w:color w:val="auto"/>
          <w:kern w:val="0"/>
          <w:sz w:val="28"/>
          <w:szCs w:val="28"/>
          <w:highlight w:val="none"/>
        </w:rPr>
        <w:t>目录</w:t>
      </w:r>
      <w:bookmarkEnd w:id="556"/>
    </w:p>
    <w:p w14:paraId="21A690EB">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11.2.1投标函；</w:t>
      </w:r>
    </w:p>
    <w:p w14:paraId="5C36291E">
      <w:pPr>
        <w:snapToGrid w:val="0"/>
        <w:spacing w:line="360" w:lineRule="auto"/>
        <w:ind w:left="958" w:leftChars="456"/>
        <w:rPr>
          <w:rFonts w:hint="eastAsia" w:ascii="宋体" w:hAnsi="宋体" w:eastAsia="宋体" w:cs="宋体"/>
          <w:color w:val="auto"/>
          <w:highlight w:val="none"/>
        </w:rPr>
      </w:pPr>
      <w:r>
        <w:rPr>
          <w:rFonts w:hint="eastAsia" w:ascii="宋体" w:hAnsi="宋体" w:eastAsia="宋体" w:cs="宋体"/>
          <w:color w:val="auto"/>
          <w:sz w:val="24"/>
          <w:highlight w:val="none"/>
        </w:rPr>
        <w:t>11.2.2授权委托书或法定代表人（单位负责人、自然人本人）身份证明</w:t>
      </w:r>
      <w:r>
        <w:rPr>
          <w:rFonts w:hint="eastAsia" w:ascii="宋体" w:hAnsi="宋体" w:eastAsia="宋体" w:cs="宋体"/>
          <w:color w:val="auto"/>
          <w:highlight w:val="none"/>
        </w:rPr>
        <w:t>；</w:t>
      </w:r>
    </w:p>
    <w:p w14:paraId="2BBD2B92">
      <w:pPr>
        <w:snapToGrid w:val="0"/>
        <w:spacing w:line="360" w:lineRule="auto"/>
        <w:ind w:left="958" w:leftChars="456"/>
        <w:rPr>
          <w:rFonts w:hint="eastAsia" w:ascii="宋体" w:hAnsi="宋体" w:eastAsia="宋体" w:cs="宋体"/>
          <w:color w:val="auto"/>
          <w:sz w:val="24"/>
          <w:highlight w:val="none"/>
        </w:rPr>
      </w:pPr>
      <w:r>
        <w:rPr>
          <w:rFonts w:hint="eastAsia" w:ascii="宋体" w:hAnsi="宋体" w:eastAsia="宋体" w:cs="宋体"/>
          <w:color w:val="auto"/>
          <w:sz w:val="24"/>
          <w:highlight w:val="none"/>
        </w:rPr>
        <w:t>11.2.3分包意向协议</w:t>
      </w:r>
      <w:r>
        <w:rPr>
          <w:rFonts w:hint="eastAsia" w:ascii="宋体" w:hAnsi="宋体" w:eastAsia="宋体" w:cs="宋体"/>
          <w:snapToGrid w:val="0"/>
          <w:color w:val="auto"/>
          <w:kern w:val="28"/>
          <w:sz w:val="24"/>
          <w:szCs w:val="20"/>
          <w:highlight w:val="none"/>
        </w:rPr>
        <w:t>（</w:t>
      </w:r>
      <w:r>
        <w:rPr>
          <w:rFonts w:hint="eastAsia" w:ascii="宋体" w:hAnsi="宋体" w:eastAsia="宋体" w:cs="宋体"/>
          <w:snapToGrid w:val="0"/>
          <w:color w:val="auto"/>
          <w:kern w:val="28"/>
          <w:sz w:val="24"/>
          <w:szCs w:val="20"/>
          <w:highlight w:val="none"/>
          <w:lang w:val="en-US" w:eastAsia="zh-CN"/>
        </w:rPr>
        <w:t>如有</w:t>
      </w:r>
      <w:r>
        <w:rPr>
          <w:rFonts w:hint="eastAsia" w:ascii="宋体" w:hAnsi="宋体" w:eastAsia="宋体" w:cs="宋体"/>
          <w:snapToGrid w:val="0"/>
          <w:color w:val="auto"/>
          <w:kern w:val="28"/>
          <w:sz w:val="24"/>
          <w:szCs w:val="20"/>
          <w:highlight w:val="none"/>
        </w:rPr>
        <w:t>)；</w:t>
      </w:r>
    </w:p>
    <w:p w14:paraId="3D19658D">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11.2.4符合性审查资料；</w:t>
      </w:r>
    </w:p>
    <w:p w14:paraId="433771DD">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11.2.5</w:t>
      </w:r>
      <w:r>
        <w:rPr>
          <w:rFonts w:hint="eastAsia" w:ascii="宋体" w:hAnsi="宋体" w:eastAsia="宋体" w:cs="宋体"/>
          <w:color w:val="auto"/>
          <w:sz w:val="24"/>
          <w:highlight w:val="none"/>
          <w:lang w:val="zh-CN"/>
        </w:rPr>
        <w:t>政府采购供应商廉洁自律承诺书</w:t>
      </w:r>
      <w:r>
        <w:rPr>
          <w:rFonts w:hint="eastAsia" w:ascii="宋体" w:hAnsi="宋体" w:eastAsia="宋体" w:cs="宋体"/>
          <w:color w:val="auto"/>
          <w:sz w:val="24"/>
          <w:highlight w:val="none"/>
        </w:rPr>
        <w:t>；</w:t>
      </w:r>
    </w:p>
    <w:p w14:paraId="332A3C73">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11.2.6采购要求偏离表；</w:t>
      </w:r>
    </w:p>
    <w:p w14:paraId="620918D8">
      <w:pPr>
        <w:snapToGrid w:val="0"/>
        <w:spacing w:line="360" w:lineRule="auto"/>
        <w:ind w:firstLine="960" w:firstLineChars="4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11.2.7商务要求偏离表 </w:t>
      </w:r>
      <w:r>
        <w:rPr>
          <w:rFonts w:hint="eastAsia" w:ascii="宋体" w:hAnsi="宋体" w:eastAsia="宋体" w:cs="宋体"/>
          <w:color w:val="auto"/>
          <w:highlight w:val="none"/>
        </w:rPr>
        <w:t>；</w:t>
      </w:r>
    </w:p>
    <w:p w14:paraId="740A3AEC">
      <w:pPr>
        <w:pStyle w:val="3"/>
        <w:ind w:firstLine="960" w:firstLineChars="400"/>
        <w:rPr>
          <w:rFonts w:hint="eastAsia" w:ascii="宋体" w:hAnsi="宋体" w:eastAsia="宋体" w:cs="宋体"/>
          <w:color w:val="auto"/>
          <w:highlight w:val="none"/>
          <w:lang w:val="en-US"/>
        </w:rPr>
      </w:pPr>
      <w:r>
        <w:rPr>
          <w:rFonts w:hint="eastAsia" w:ascii="宋体" w:hAnsi="宋体" w:eastAsia="宋体" w:cs="宋体"/>
          <w:color w:val="auto"/>
          <w:highlight w:val="none"/>
        </w:rPr>
        <w:t>11.2.</w:t>
      </w:r>
      <w:r>
        <w:rPr>
          <w:rFonts w:hint="eastAsia" w:ascii="宋体" w:hAnsi="宋体" w:eastAsia="宋体" w:cs="宋体"/>
          <w:color w:val="auto"/>
          <w:highlight w:val="none"/>
          <w:lang w:val="en-US"/>
        </w:rPr>
        <w:t>8</w:t>
      </w:r>
      <w:r>
        <w:rPr>
          <w:rFonts w:hint="eastAsia" w:ascii="宋体" w:hAnsi="宋体" w:eastAsia="宋体" w:cs="宋体"/>
          <w:color w:val="auto"/>
          <w:highlight w:val="none"/>
        </w:rPr>
        <w:t>评</w:t>
      </w:r>
      <w:r>
        <w:rPr>
          <w:rFonts w:hint="eastAsia" w:ascii="宋体" w:hAnsi="宋体" w:eastAsia="宋体" w:cs="宋体"/>
          <w:color w:val="auto"/>
          <w:highlight w:val="none"/>
          <w:lang w:val="en-US"/>
        </w:rPr>
        <w:t>标标准相应的商务技术资料；</w:t>
      </w:r>
    </w:p>
    <w:p w14:paraId="5E15EEAA">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ascii="宋体" w:hAnsi="宋体" w:cs="宋体"/>
          <w:bCs/>
          <w:color w:val="auto"/>
          <w:kern w:val="0"/>
          <w:szCs w:val="21"/>
          <w:highlight w:val="none"/>
        </w:rPr>
        <w:t>项目了解情况</w:t>
      </w:r>
    </w:p>
    <w:p w14:paraId="08D6741A">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-2）总体</w:t>
      </w:r>
      <w:r>
        <w:rPr>
          <w:rFonts w:hint="eastAsia" w:hAnsi="宋体" w:cs="宋体"/>
          <w:color w:val="auto"/>
          <w:highlight w:val="none"/>
          <w:lang w:val="en-US" w:eastAsia="zh-CN"/>
        </w:rPr>
        <w:t>服务</w:t>
      </w:r>
      <w:r>
        <w:rPr>
          <w:rFonts w:hint="default" w:ascii="宋体" w:hAnsi="宋体" w:eastAsia="宋体" w:cs="宋体"/>
          <w:color w:val="auto"/>
          <w:highlight w:val="none"/>
          <w:lang w:val="en-US" w:eastAsia="zh-CN"/>
        </w:rPr>
        <w:t>方案</w:t>
      </w:r>
    </w:p>
    <w:p w14:paraId="4D4D6D63">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-3）</w:t>
      </w:r>
      <w:r>
        <w:rPr>
          <w:rFonts w:hint="eastAsia" w:hAnsi="宋体" w:cs="宋体"/>
          <w:color w:val="auto"/>
          <w:highlight w:val="none"/>
          <w:lang w:val="en-US" w:eastAsia="zh-CN"/>
        </w:rPr>
        <w:t>总体实施方案</w:t>
      </w:r>
    </w:p>
    <w:p w14:paraId="036536C3">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（8-4）重难点分析及解决方案</w:t>
      </w:r>
    </w:p>
    <w:p w14:paraId="3DD96131">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5</w:t>
      </w:r>
      <w:r>
        <w:rPr>
          <w:rFonts w:hint="default" w:ascii="宋体" w:hAnsi="宋体" w:eastAsia="宋体" w:cs="宋体"/>
          <w:color w:val="auto"/>
          <w:highlight w:val="none"/>
          <w:lang w:val="en-US" w:eastAsia="zh-CN"/>
        </w:rPr>
        <w:t>）人员招聘方案</w:t>
      </w:r>
    </w:p>
    <w:p w14:paraId="3673CE21">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6</w:t>
      </w:r>
      <w:r>
        <w:rPr>
          <w:rFonts w:hint="default" w:ascii="宋体" w:hAnsi="宋体" w:eastAsia="宋体" w:cs="宋体"/>
          <w:color w:val="auto"/>
          <w:highlight w:val="none"/>
          <w:lang w:val="en-US" w:eastAsia="zh-CN"/>
        </w:rPr>
        <w:t>）人员管理方案</w:t>
      </w:r>
    </w:p>
    <w:p w14:paraId="077EF9B8">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7</w:t>
      </w:r>
      <w:r>
        <w:rPr>
          <w:rFonts w:hint="default" w:ascii="宋体" w:hAnsi="宋体" w:eastAsia="宋体" w:cs="宋体"/>
          <w:color w:val="auto"/>
          <w:highlight w:val="none"/>
          <w:lang w:val="en-US" w:eastAsia="zh-CN"/>
        </w:rPr>
        <w:t>）人员培训方案</w:t>
      </w:r>
    </w:p>
    <w:p w14:paraId="5EA8ED12">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）项目人员衔接方案</w:t>
      </w:r>
    </w:p>
    <w:p w14:paraId="0ADEDA83">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9</w:t>
      </w:r>
      <w:r>
        <w:rPr>
          <w:rFonts w:hint="default" w:ascii="宋体" w:hAnsi="宋体" w:eastAsia="宋体" w:cs="宋体"/>
          <w:color w:val="auto"/>
          <w:highlight w:val="none"/>
          <w:lang w:val="en-US" w:eastAsia="zh-CN"/>
        </w:rPr>
        <w:t>）应急预案</w:t>
      </w:r>
    </w:p>
    <w:p w14:paraId="42055E37">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10</w:t>
      </w:r>
      <w:r>
        <w:rPr>
          <w:rFonts w:hint="default" w:ascii="宋体" w:hAnsi="宋体" w:eastAsia="宋体" w:cs="宋体"/>
          <w:color w:val="auto"/>
          <w:highlight w:val="none"/>
          <w:lang w:val="en-US" w:eastAsia="zh-CN"/>
        </w:rPr>
        <w:t>）纠纷处理方案</w:t>
      </w:r>
    </w:p>
    <w:p w14:paraId="43FB60E8">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1</w:t>
      </w:r>
      <w:r>
        <w:rPr>
          <w:rFonts w:hint="default" w:ascii="宋体" w:hAnsi="宋体" w:eastAsia="宋体" w:cs="宋体"/>
          <w:color w:val="auto"/>
          <w:highlight w:val="none"/>
          <w:lang w:val="en-US" w:eastAsia="zh-CN"/>
        </w:rPr>
        <w:t>）项目管理团队</w:t>
      </w:r>
    </w:p>
    <w:p w14:paraId="183EC433">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（8-12）</w:t>
      </w:r>
      <w:r>
        <w:rPr>
          <w:rFonts w:hint="eastAsia" w:ascii="宋体" w:hAnsi="宋体" w:cs="宋体"/>
          <w:color w:val="auto"/>
          <w:szCs w:val="21"/>
          <w:highlight w:val="none"/>
          <w:lang w:val="en-US" w:eastAsia="zh-CN"/>
        </w:rPr>
        <w:t>政策变动应对方案</w:t>
      </w:r>
    </w:p>
    <w:p w14:paraId="1297A447">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（8-13）</w:t>
      </w:r>
      <w:r>
        <w:rPr>
          <w:rFonts w:hint="eastAsia" w:ascii="宋体" w:hAnsi="宋体" w:cs="宋体"/>
          <w:color w:val="auto"/>
          <w:szCs w:val="21"/>
          <w:highlight w:val="none"/>
          <w:lang w:val="en-US" w:eastAsia="zh-CN"/>
        </w:rPr>
        <w:t>服务质量管控方案</w:t>
      </w:r>
    </w:p>
    <w:p w14:paraId="4A688E29">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4</w:t>
      </w:r>
      <w:r>
        <w:rPr>
          <w:rFonts w:hint="default" w:ascii="宋体" w:hAnsi="宋体" w:eastAsia="宋体" w:cs="宋体"/>
          <w:color w:val="auto"/>
          <w:highlight w:val="none"/>
          <w:lang w:val="en-US" w:eastAsia="zh-CN"/>
        </w:rPr>
        <w:t>）服务承诺</w:t>
      </w:r>
    </w:p>
    <w:p w14:paraId="2CF80D47">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（8-15）保密方案</w:t>
      </w:r>
    </w:p>
    <w:p w14:paraId="07250FA5">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6</w:t>
      </w:r>
      <w:r>
        <w:rPr>
          <w:rFonts w:hint="default" w:ascii="宋体" w:hAnsi="宋体" w:eastAsia="宋体" w:cs="宋体"/>
          <w:color w:val="auto"/>
          <w:highlight w:val="none"/>
          <w:lang w:val="en-US" w:eastAsia="zh-CN"/>
        </w:rPr>
        <w:t>）有效期内的认证证书扫描件及全国认证认可信息公共服务平台证书信息查询截图（结果为有效）加盖公章（如有，请按评分标准要求提供）</w:t>
      </w:r>
    </w:p>
    <w:p w14:paraId="5E6C1258">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7</w:t>
      </w:r>
      <w:r>
        <w:rPr>
          <w:rFonts w:hint="default" w:ascii="宋体" w:hAnsi="宋体" w:eastAsia="宋体" w:cs="宋体"/>
          <w:color w:val="auto"/>
          <w:highlight w:val="none"/>
          <w:lang w:val="en-US" w:eastAsia="zh-CN"/>
        </w:rPr>
        <w:t>）业绩一览表</w:t>
      </w:r>
      <w:r>
        <w:rPr>
          <w:rFonts w:hint="eastAsia" w:hAnsi="宋体" w:cs="宋体"/>
          <w:color w:val="auto"/>
          <w:highlight w:val="none"/>
          <w:lang w:val="en-US" w:eastAsia="zh-CN"/>
        </w:rPr>
        <w:t>及合同扫描件</w:t>
      </w:r>
      <w:r>
        <w:rPr>
          <w:rFonts w:hint="default" w:ascii="宋体" w:hAnsi="宋体" w:eastAsia="宋体" w:cs="宋体"/>
          <w:color w:val="auto"/>
          <w:highlight w:val="none"/>
          <w:lang w:val="en-US" w:eastAsia="zh-CN"/>
        </w:rPr>
        <w:t>（如有，请按评分标准要求提供）</w:t>
      </w:r>
    </w:p>
    <w:p w14:paraId="62B2BBB1">
      <w:pPr>
        <w:pStyle w:val="3"/>
        <w:ind w:firstLine="96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w:t>
      </w:r>
      <w:r>
        <w:rPr>
          <w:rFonts w:hint="eastAsia" w:hAnsi="宋体" w:cs="宋体"/>
          <w:color w:val="auto"/>
          <w:highlight w:val="none"/>
          <w:lang w:val="en-US" w:eastAsia="zh-CN"/>
        </w:rPr>
        <w:t>8</w:t>
      </w:r>
      <w:r>
        <w:rPr>
          <w:rFonts w:hint="eastAsia" w:ascii="宋体" w:hAnsi="宋体" w:eastAsia="宋体" w:cs="宋体"/>
          <w:color w:val="auto"/>
          <w:highlight w:val="none"/>
          <w:lang w:val="en-US" w:eastAsia="zh-CN"/>
        </w:rPr>
        <w:t>）评标标准相应的其他商务技术资料。</w:t>
      </w:r>
    </w:p>
    <w:p w14:paraId="585C37FE">
      <w:pPr>
        <w:numPr>
          <w:ilvl w:val="0"/>
          <w:numId w:val="3"/>
        </w:numPr>
        <w:jc w:val="center"/>
        <w:rPr>
          <w:rFonts w:hint="eastAsia" w:ascii="宋体" w:hAnsi="宋体" w:eastAsia="宋体" w:cs="宋体"/>
          <w:b/>
          <w:bCs/>
          <w:color w:val="auto"/>
          <w:sz w:val="32"/>
          <w:szCs w:val="32"/>
          <w:highlight w:val="none"/>
        </w:rPr>
      </w:pPr>
      <w:bookmarkStart w:id="557" w:name="_Toc2704"/>
      <w:r>
        <w:rPr>
          <w:rFonts w:hint="eastAsia" w:ascii="宋体" w:hAnsi="宋体" w:eastAsia="宋体" w:cs="宋体"/>
          <w:b/>
          <w:bCs/>
          <w:color w:val="auto"/>
          <w:sz w:val="32"/>
          <w:szCs w:val="32"/>
          <w:highlight w:val="none"/>
        </w:rPr>
        <w:t>投标函</w:t>
      </w:r>
      <w:bookmarkEnd w:id="557"/>
    </w:p>
    <w:p w14:paraId="40B5A7D0">
      <w:pPr>
        <w:pStyle w:val="63"/>
        <w:ind w:left="840" w:leftChars="400" w:firstLine="0" w:firstLineChars="0"/>
        <w:rPr>
          <w:rFonts w:hint="eastAsia" w:ascii="宋体" w:hAnsi="宋体" w:eastAsia="宋体" w:cs="宋体"/>
          <w:color w:val="auto"/>
          <w:highlight w:val="none"/>
        </w:rPr>
      </w:pPr>
    </w:p>
    <w:p w14:paraId="172C36B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（采购人）、（采购代理机构）</w:t>
      </w:r>
      <w:r>
        <w:rPr>
          <w:rFonts w:hint="eastAsia" w:ascii="宋体" w:hAnsi="宋体" w:eastAsia="宋体" w:cs="宋体"/>
          <w:color w:val="auto"/>
          <w:sz w:val="24"/>
          <w:highlight w:val="none"/>
        </w:rPr>
        <w:t>：</w:t>
      </w:r>
    </w:p>
    <w:p w14:paraId="09EE384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】招标的有关活动，并对此项目进行投标。为此：</w:t>
      </w:r>
    </w:p>
    <w:p w14:paraId="5FCEFC4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62848DF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298847D5">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164A2144">
      <w:pPr>
        <w:snapToGrid w:val="0"/>
        <w:spacing w:line="360" w:lineRule="auto"/>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0491240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52B87FA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3、我方承诺除商务技术偏离表列出的偏离外，我方响应招标文件的全部要求。</w:t>
      </w:r>
    </w:p>
    <w:p w14:paraId="432BB4C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0209B85A">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2D24DBC9">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72C40C1E">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4.3按照招标文件要求提交履约保证金； </w:t>
      </w:r>
    </w:p>
    <w:p w14:paraId="1704EF43">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75DFDBB7">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09548BE">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投标人名称（电子签章）：                          </w:t>
      </w:r>
    </w:p>
    <w:p w14:paraId="1932B53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662E59C6">
      <w:pPr>
        <w:snapToGrid w:val="0"/>
        <w:spacing w:line="360" w:lineRule="auto"/>
        <w:ind w:left="420" w:leftChars="200" w:firstLine="4200" w:firstLineChars="1750"/>
        <w:rPr>
          <w:rFonts w:hint="eastAsia" w:ascii="宋体" w:hAnsi="宋体" w:eastAsia="宋体" w:cs="宋体"/>
          <w:color w:val="auto"/>
          <w:kern w:val="0"/>
          <w:sz w:val="24"/>
          <w:highlight w:val="none"/>
          <w:u w:val="single"/>
        </w:rPr>
      </w:pPr>
    </w:p>
    <w:p w14:paraId="5006198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9041BCE">
      <w:pPr>
        <w:snapToGrid w:val="0"/>
        <w:spacing w:line="360" w:lineRule="auto"/>
        <w:jc w:val="center"/>
        <w:rPr>
          <w:rFonts w:hint="eastAsia" w:ascii="宋体" w:hAnsi="宋体" w:eastAsia="宋体" w:cs="宋体"/>
          <w:b/>
          <w:color w:val="auto"/>
          <w:kern w:val="0"/>
          <w:sz w:val="32"/>
          <w:szCs w:val="32"/>
          <w:highlight w:val="none"/>
        </w:rPr>
      </w:pPr>
    </w:p>
    <w:p w14:paraId="183925A4">
      <w:pPr>
        <w:snapToGrid w:val="0"/>
        <w:spacing w:line="360" w:lineRule="auto"/>
        <w:rPr>
          <w:rFonts w:hint="eastAsia" w:ascii="宋体" w:hAnsi="宋体" w:eastAsia="宋体" w:cs="宋体"/>
          <w:color w:val="auto"/>
          <w:sz w:val="24"/>
          <w:highlight w:val="none"/>
        </w:rPr>
      </w:pPr>
    </w:p>
    <w:p w14:paraId="6BF44247">
      <w:pPr>
        <w:pStyle w:val="2"/>
        <w:rPr>
          <w:rFonts w:hint="eastAsia" w:ascii="宋体" w:hAnsi="宋体" w:eastAsia="宋体" w:cs="宋体"/>
          <w:color w:val="auto"/>
          <w:sz w:val="24"/>
          <w:highlight w:val="none"/>
        </w:rPr>
      </w:pPr>
    </w:p>
    <w:p w14:paraId="7E4E4BAA">
      <w:pPr>
        <w:rPr>
          <w:rFonts w:hint="eastAsia" w:ascii="宋体" w:hAnsi="宋体" w:eastAsia="宋体" w:cs="宋体"/>
          <w:color w:val="auto"/>
          <w:sz w:val="24"/>
          <w:highlight w:val="none"/>
        </w:rPr>
      </w:pPr>
    </w:p>
    <w:p w14:paraId="7A6406F1">
      <w:pPr>
        <w:pStyle w:val="2"/>
        <w:rPr>
          <w:rFonts w:hint="eastAsia" w:ascii="宋体" w:hAnsi="宋体" w:eastAsia="宋体" w:cs="宋体"/>
          <w:color w:val="auto"/>
          <w:sz w:val="24"/>
          <w:highlight w:val="none"/>
        </w:rPr>
      </w:pPr>
    </w:p>
    <w:p w14:paraId="1A631901">
      <w:pPr>
        <w:rPr>
          <w:rFonts w:hint="eastAsia" w:ascii="宋体" w:hAnsi="宋体" w:eastAsia="宋体" w:cs="宋体"/>
          <w:color w:val="auto"/>
          <w:sz w:val="24"/>
          <w:highlight w:val="none"/>
        </w:rPr>
      </w:pPr>
    </w:p>
    <w:p w14:paraId="0D39790B">
      <w:pPr>
        <w:pStyle w:val="2"/>
        <w:rPr>
          <w:rFonts w:hint="eastAsia"/>
        </w:rPr>
      </w:pPr>
      <w:bookmarkStart w:id="573" w:name="_GoBack"/>
      <w:bookmarkEnd w:id="573"/>
    </w:p>
    <w:p w14:paraId="24BB73DB">
      <w:pPr>
        <w:widowControl/>
        <w:adjustRightInd/>
        <w:jc w:val="left"/>
        <w:rPr>
          <w:rFonts w:hint="eastAsia" w:ascii="宋体" w:hAnsi="宋体" w:eastAsia="宋体" w:cs="宋体"/>
          <w:b/>
          <w:color w:val="auto"/>
          <w:kern w:val="0"/>
          <w:sz w:val="32"/>
          <w:szCs w:val="32"/>
          <w:highlight w:val="none"/>
        </w:rPr>
      </w:pPr>
    </w:p>
    <w:p w14:paraId="23AA98F7">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405C532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6F94C61">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授权委托书（适用于非联合体投标）</w:t>
      </w:r>
      <w:r>
        <w:rPr>
          <w:rFonts w:hint="eastAsia" w:ascii="宋体" w:hAnsi="宋体" w:eastAsia="宋体" w:cs="宋体"/>
          <w:color w:val="auto"/>
          <w:highlight w:val="none"/>
        </w:rPr>
        <w:t xml:space="preserve">                               </w:t>
      </w:r>
    </w:p>
    <w:p w14:paraId="2481752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7F58785B">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政府采购投标的一切事项，其法律后果由我方承担。</w:t>
      </w:r>
    </w:p>
    <w:p w14:paraId="3134B8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49AB379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3A6F373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w:t>
      </w:r>
      <w:r>
        <w:rPr>
          <w:rFonts w:hint="eastAsia" w:ascii="宋体" w:hAnsi="宋体" w:eastAsia="宋体" w:cs="宋体"/>
          <w:color w:val="auto"/>
          <w:sz w:val="24"/>
          <w:highlight w:val="none"/>
        </w:rPr>
        <w:t xml:space="preserve">（电子签章）：  </w:t>
      </w:r>
    </w:p>
    <w:p w14:paraId="3C84E35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签发日期：  年  月   日</w:t>
      </w:r>
    </w:p>
    <w:p w14:paraId="3C42C7D7">
      <w:pPr>
        <w:snapToGrid w:val="0"/>
        <w:spacing w:line="360" w:lineRule="auto"/>
        <w:rPr>
          <w:rFonts w:hint="eastAsia" w:ascii="宋体" w:hAnsi="宋体" w:eastAsia="宋体" w:cs="宋体"/>
          <w:color w:val="auto"/>
          <w:sz w:val="24"/>
          <w:highlight w:val="none"/>
        </w:rPr>
      </w:pPr>
    </w:p>
    <w:p w14:paraId="0A50FA88">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 xml:space="preserve">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授权委托书（适用于联合体投标）</w:t>
      </w:r>
    </w:p>
    <w:p w14:paraId="1302165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3DA069F7">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政府采购投标的一切事项，其法律后果由我方承担。</w:t>
      </w:r>
    </w:p>
    <w:p w14:paraId="215EEF4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420F23F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7C236B43">
      <w:pPr>
        <w:jc w:val="both"/>
        <w:rPr>
          <w:rFonts w:hint="eastAsia" w:ascii="宋体" w:hAnsi="宋体" w:eastAsia="宋体" w:cs="宋体"/>
          <w:b/>
          <w:color w:val="auto"/>
          <w:kern w:val="0"/>
          <w:sz w:val="32"/>
          <w:szCs w:val="32"/>
          <w:highlight w:val="none"/>
        </w:rPr>
      </w:pPr>
    </w:p>
    <w:p w14:paraId="11EFAB75">
      <w:pPr>
        <w:rPr>
          <w:rFonts w:hint="eastAsia" w:ascii="宋体" w:hAnsi="宋体" w:eastAsia="宋体" w:cs="宋体"/>
          <w:color w:val="auto"/>
          <w:highlight w:val="none"/>
        </w:rPr>
      </w:pPr>
    </w:p>
    <w:p w14:paraId="7DC467AD">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w:t>
      </w:r>
      <w:r>
        <w:rPr>
          <w:rFonts w:hint="eastAsia" w:ascii="宋体" w:hAnsi="宋体" w:eastAsia="宋体" w:cs="宋体"/>
          <w:color w:val="auto"/>
          <w:kern w:val="0"/>
          <w:sz w:val="24"/>
          <w:highlight w:val="none"/>
        </w:rPr>
        <w:t>章</w:t>
      </w:r>
      <w:r>
        <w:rPr>
          <w:rFonts w:hint="eastAsia" w:ascii="宋体" w:hAnsi="宋体" w:eastAsia="宋体" w:cs="宋体"/>
          <w:color w:val="auto"/>
          <w:kern w:val="0"/>
          <w:sz w:val="24"/>
          <w:highlight w:val="none"/>
          <w:lang w:val="zh-CN"/>
        </w:rPr>
        <w:t>/公章)：</w:t>
      </w:r>
    </w:p>
    <w:p w14:paraId="4466E13C">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w:t>
      </w:r>
      <w:r>
        <w:rPr>
          <w:rFonts w:hint="eastAsia" w:ascii="宋体" w:hAnsi="宋体" w:eastAsia="宋体" w:cs="宋体"/>
          <w:color w:val="auto"/>
          <w:kern w:val="0"/>
          <w:sz w:val="24"/>
          <w:highlight w:val="none"/>
        </w:rPr>
        <w:t>章</w:t>
      </w:r>
      <w:r>
        <w:rPr>
          <w:rFonts w:hint="eastAsia" w:ascii="宋体" w:hAnsi="宋体" w:eastAsia="宋体" w:cs="宋体"/>
          <w:color w:val="auto"/>
          <w:kern w:val="0"/>
          <w:sz w:val="24"/>
          <w:highlight w:val="none"/>
          <w:lang w:val="zh-CN"/>
        </w:rPr>
        <w:t>/公章)：</w:t>
      </w:r>
    </w:p>
    <w:p w14:paraId="16ECB36B">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614E8D6B">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339CA509">
      <w:pPr>
        <w:pStyle w:val="82"/>
        <w:rPr>
          <w:rFonts w:hint="eastAsia" w:ascii="宋体" w:hAnsi="宋体" w:eastAsia="宋体" w:cs="宋体"/>
          <w:color w:val="auto"/>
          <w:kern w:val="0"/>
          <w:sz w:val="24"/>
          <w:highlight w:val="none"/>
          <w:lang w:val="zh-CN"/>
        </w:rPr>
      </w:pPr>
    </w:p>
    <w:p w14:paraId="62B8A7E8">
      <w:pPr>
        <w:pStyle w:val="82"/>
        <w:rPr>
          <w:rFonts w:hint="eastAsia" w:ascii="宋体" w:hAnsi="宋体" w:eastAsia="宋体" w:cs="宋体"/>
          <w:color w:val="auto"/>
          <w:kern w:val="0"/>
          <w:sz w:val="24"/>
          <w:highlight w:val="none"/>
          <w:lang w:val="zh-CN"/>
        </w:rPr>
      </w:pPr>
    </w:p>
    <w:p w14:paraId="75D7E5CD">
      <w:pPr>
        <w:pStyle w:val="82"/>
        <w:rPr>
          <w:rFonts w:hint="eastAsia" w:ascii="宋体" w:hAnsi="宋体" w:eastAsia="宋体" w:cs="宋体"/>
          <w:color w:val="auto"/>
          <w:kern w:val="0"/>
          <w:sz w:val="24"/>
          <w:highlight w:val="none"/>
          <w:lang w:val="zh-CN"/>
        </w:rPr>
      </w:pPr>
    </w:p>
    <w:p w14:paraId="640A9333">
      <w:pPr>
        <w:pStyle w:val="82"/>
        <w:rPr>
          <w:rFonts w:hint="eastAsia" w:ascii="宋体" w:hAnsi="宋体" w:eastAsia="宋体" w:cs="宋体"/>
          <w:color w:val="auto"/>
          <w:kern w:val="0"/>
          <w:sz w:val="24"/>
          <w:highlight w:val="none"/>
          <w:lang w:val="zh-CN"/>
        </w:rPr>
      </w:pPr>
    </w:p>
    <w:p w14:paraId="7C1F3619">
      <w:pPr>
        <w:pStyle w:val="82"/>
        <w:rPr>
          <w:rFonts w:hint="eastAsia" w:ascii="宋体" w:hAnsi="宋体" w:eastAsia="宋体" w:cs="宋体"/>
          <w:color w:val="auto"/>
          <w:kern w:val="0"/>
          <w:sz w:val="24"/>
          <w:highlight w:val="none"/>
          <w:lang w:val="zh-CN"/>
        </w:rPr>
      </w:pPr>
    </w:p>
    <w:p w14:paraId="27E5ED06">
      <w:pPr>
        <w:pStyle w:val="82"/>
        <w:rPr>
          <w:rFonts w:hint="eastAsia" w:ascii="宋体" w:hAnsi="宋体" w:eastAsia="宋体" w:cs="宋体"/>
          <w:color w:val="auto"/>
          <w:kern w:val="0"/>
          <w:sz w:val="24"/>
          <w:highlight w:val="none"/>
          <w:lang w:val="zh-CN"/>
        </w:rPr>
      </w:pPr>
    </w:p>
    <w:p w14:paraId="6B66B567">
      <w:pPr>
        <w:pStyle w:val="82"/>
        <w:rPr>
          <w:rFonts w:hint="eastAsia" w:ascii="宋体" w:hAnsi="宋体" w:eastAsia="宋体" w:cs="宋体"/>
          <w:color w:val="auto"/>
          <w:kern w:val="0"/>
          <w:sz w:val="24"/>
          <w:highlight w:val="none"/>
          <w:lang w:val="zh-CN"/>
        </w:rPr>
      </w:pPr>
    </w:p>
    <w:p w14:paraId="4D5966F9">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63720C16">
      <w:pPr>
        <w:pStyle w:val="152"/>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365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C3FBCE2">
            <w:pPr>
              <w:pStyle w:val="152"/>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5CE8354D">
            <w:pPr>
              <w:pStyle w:val="152"/>
              <w:adjustRightInd w:val="0"/>
              <w:spacing w:line="360" w:lineRule="auto"/>
              <w:rPr>
                <w:rFonts w:hint="eastAsia" w:ascii="宋体" w:hAnsi="宋体" w:eastAsia="宋体" w:cs="宋体"/>
                <w:bCs/>
                <w:color w:val="auto"/>
                <w:sz w:val="24"/>
                <w:highlight w:val="none"/>
              </w:rPr>
            </w:pPr>
          </w:p>
        </w:tc>
      </w:tr>
    </w:tbl>
    <w:p w14:paraId="6FFEC729">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1797786B">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w:t>
      </w:r>
      <w:r>
        <w:rPr>
          <w:rFonts w:hint="eastAsia" w:ascii="宋体" w:hAnsi="宋体" w:eastAsia="宋体" w:cs="宋体"/>
          <w:color w:val="auto"/>
          <w:kern w:val="0"/>
          <w:sz w:val="24"/>
          <w:highlight w:val="none"/>
        </w:rPr>
        <w:t>章</w:t>
      </w:r>
      <w:r>
        <w:rPr>
          <w:rFonts w:hint="eastAsia" w:ascii="宋体" w:hAnsi="宋体" w:eastAsia="宋体" w:cs="宋体"/>
          <w:color w:val="auto"/>
          <w:kern w:val="0"/>
          <w:sz w:val="24"/>
          <w:highlight w:val="none"/>
          <w:lang w:val="zh-CN"/>
        </w:rPr>
        <w:t xml:space="preserve">)：                              </w:t>
      </w:r>
    </w:p>
    <w:p w14:paraId="00ABEFBA">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3F39DC4">
      <w:pPr>
        <w:jc w:val="center"/>
        <w:rPr>
          <w:rFonts w:hint="eastAsia" w:ascii="宋体" w:hAnsi="宋体" w:eastAsia="宋体" w:cs="宋体"/>
          <w:b/>
          <w:color w:val="auto"/>
          <w:kern w:val="0"/>
          <w:sz w:val="32"/>
          <w:szCs w:val="32"/>
          <w:highlight w:val="none"/>
        </w:rPr>
      </w:pPr>
    </w:p>
    <w:p w14:paraId="626F9387">
      <w:pPr>
        <w:jc w:val="center"/>
        <w:rPr>
          <w:rFonts w:hint="eastAsia" w:ascii="宋体" w:hAnsi="宋体" w:eastAsia="宋体" w:cs="宋体"/>
          <w:b/>
          <w:color w:val="auto"/>
          <w:kern w:val="0"/>
          <w:sz w:val="32"/>
          <w:szCs w:val="32"/>
          <w:highlight w:val="none"/>
        </w:rPr>
      </w:pPr>
    </w:p>
    <w:p w14:paraId="5252F13B">
      <w:pPr>
        <w:jc w:val="center"/>
        <w:rPr>
          <w:rFonts w:hint="eastAsia" w:ascii="宋体" w:hAnsi="宋体" w:eastAsia="宋体" w:cs="宋体"/>
          <w:b/>
          <w:color w:val="auto"/>
          <w:kern w:val="0"/>
          <w:sz w:val="32"/>
          <w:szCs w:val="32"/>
          <w:highlight w:val="none"/>
        </w:rPr>
      </w:pPr>
    </w:p>
    <w:p w14:paraId="53E145F8">
      <w:pPr>
        <w:jc w:val="center"/>
        <w:rPr>
          <w:rFonts w:hint="eastAsia" w:ascii="宋体" w:hAnsi="宋体" w:eastAsia="宋体" w:cs="宋体"/>
          <w:b/>
          <w:color w:val="auto"/>
          <w:kern w:val="0"/>
          <w:sz w:val="32"/>
          <w:szCs w:val="32"/>
          <w:highlight w:val="none"/>
        </w:rPr>
      </w:pPr>
    </w:p>
    <w:p w14:paraId="60D229D7">
      <w:pPr>
        <w:jc w:val="center"/>
        <w:rPr>
          <w:rFonts w:hint="eastAsia" w:ascii="宋体" w:hAnsi="宋体" w:eastAsia="宋体" w:cs="宋体"/>
          <w:b/>
          <w:color w:val="auto"/>
          <w:kern w:val="0"/>
          <w:sz w:val="32"/>
          <w:szCs w:val="32"/>
          <w:highlight w:val="none"/>
        </w:rPr>
      </w:pPr>
    </w:p>
    <w:p w14:paraId="5BFEEBAF">
      <w:pPr>
        <w:jc w:val="center"/>
        <w:rPr>
          <w:rFonts w:hint="eastAsia" w:ascii="宋体" w:hAnsi="宋体" w:eastAsia="宋体" w:cs="宋体"/>
          <w:b/>
          <w:color w:val="auto"/>
          <w:kern w:val="0"/>
          <w:sz w:val="32"/>
          <w:szCs w:val="32"/>
          <w:highlight w:val="none"/>
        </w:rPr>
      </w:pPr>
    </w:p>
    <w:p w14:paraId="1E858E18">
      <w:pPr>
        <w:jc w:val="center"/>
        <w:rPr>
          <w:rFonts w:hint="eastAsia" w:ascii="宋体" w:hAnsi="宋体" w:eastAsia="宋体" w:cs="宋体"/>
          <w:b/>
          <w:color w:val="auto"/>
          <w:kern w:val="0"/>
          <w:sz w:val="32"/>
          <w:szCs w:val="32"/>
          <w:highlight w:val="none"/>
        </w:rPr>
      </w:pPr>
    </w:p>
    <w:p w14:paraId="1F70D246">
      <w:pPr>
        <w:jc w:val="center"/>
        <w:rPr>
          <w:rFonts w:hint="eastAsia" w:ascii="宋体" w:hAnsi="宋体" w:eastAsia="宋体" w:cs="宋体"/>
          <w:b/>
          <w:color w:val="auto"/>
          <w:kern w:val="0"/>
          <w:sz w:val="32"/>
          <w:szCs w:val="32"/>
          <w:highlight w:val="none"/>
        </w:rPr>
      </w:pPr>
    </w:p>
    <w:p w14:paraId="6CD24996">
      <w:pPr>
        <w:jc w:val="center"/>
        <w:rPr>
          <w:rFonts w:hint="eastAsia" w:ascii="宋体" w:hAnsi="宋体" w:eastAsia="宋体" w:cs="宋体"/>
          <w:b/>
          <w:color w:val="auto"/>
          <w:kern w:val="0"/>
          <w:sz w:val="32"/>
          <w:szCs w:val="32"/>
          <w:highlight w:val="none"/>
        </w:rPr>
      </w:pPr>
    </w:p>
    <w:p w14:paraId="2646852F">
      <w:pPr>
        <w:jc w:val="center"/>
        <w:rPr>
          <w:rFonts w:hint="eastAsia" w:ascii="宋体" w:hAnsi="宋体" w:eastAsia="宋体" w:cs="宋体"/>
          <w:b/>
          <w:color w:val="auto"/>
          <w:kern w:val="0"/>
          <w:sz w:val="32"/>
          <w:szCs w:val="32"/>
          <w:highlight w:val="none"/>
        </w:rPr>
      </w:pPr>
    </w:p>
    <w:p w14:paraId="3B06DCF0">
      <w:pPr>
        <w:snapToGrid w:val="0"/>
        <w:spacing w:line="360" w:lineRule="auto"/>
        <w:ind w:right="480"/>
        <w:rPr>
          <w:rFonts w:hint="eastAsia" w:ascii="宋体" w:hAnsi="宋体" w:eastAsia="宋体" w:cs="宋体"/>
          <w:b/>
          <w:color w:val="auto"/>
          <w:kern w:val="0"/>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4A78110">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w:t>
      </w:r>
      <w:r>
        <w:rPr>
          <w:rFonts w:hint="eastAsia" w:ascii="宋体" w:hAnsi="宋体" w:eastAsia="宋体" w:cs="宋体"/>
          <w:b/>
          <w:color w:val="auto"/>
          <w:kern w:val="0"/>
          <w:sz w:val="32"/>
          <w:szCs w:val="32"/>
          <w:highlight w:val="none"/>
          <w:lang w:val="en-US" w:eastAsia="zh-CN"/>
        </w:rPr>
        <w:t>如果有</w:t>
      </w:r>
      <w:r>
        <w:rPr>
          <w:rFonts w:hint="eastAsia" w:ascii="宋体" w:hAnsi="宋体" w:eastAsia="宋体" w:cs="宋体"/>
          <w:b/>
          <w:color w:val="auto"/>
          <w:kern w:val="0"/>
          <w:sz w:val="32"/>
          <w:szCs w:val="32"/>
          <w:highlight w:val="none"/>
        </w:rPr>
        <w:t>）</w:t>
      </w:r>
    </w:p>
    <w:p w14:paraId="0290CA5A">
      <w:pPr>
        <w:widowControl/>
        <w:spacing w:line="360" w:lineRule="auto"/>
        <w:ind w:firstLine="120" w:firstLineChars="50"/>
        <w:jc w:val="left"/>
        <w:rPr>
          <w:rFonts w:hint="eastAsia" w:ascii="宋体" w:hAnsi="宋体" w:eastAsia="宋体" w:cs="宋体"/>
          <w:color w:val="auto"/>
          <w:sz w:val="24"/>
          <w:highlight w:val="none"/>
        </w:rPr>
      </w:pPr>
      <w:bookmarkStart w:id="558" w:name="_Hlk101169080"/>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中标后以分包方式履行合同的，提供分包意向协议(附件4)；采购人不同意分包或者投标人中标后不以分包方式履行合同的，则不需要提供。</w:t>
      </w:r>
      <w:r>
        <w:rPr>
          <w:rFonts w:hint="eastAsia" w:ascii="宋体" w:hAnsi="宋体" w:eastAsia="宋体" w:cs="宋体"/>
          <w:color w:val="auto"/>
          <w:sz w:val="24"/>
          <w:highlight w:val="none"/>
        </w:rPr>
        <w:t>]</w:t>
      </w:r>
    </w:p>
    <w:bookmarkEnd w:id="558"/>
    <w:p w14:paraId="42D8316B">
      <w:pPr>
        <w:snapToGrid w:val="0"/>
        <w:spacing w:line="360" w:lineRule="auto"/>
        <w:rPr>
          <w:rFonts w:hint="eastAsia" w:ascii="宋体" w:hAnsi="宋体" w:eastAsia="宋体" w:cs="宋体"/>
          <w:color w:val="auto"/>
          <w:kern w:val="0"/>
          <w:sz w:val="24"/>
          <w:highlight w:val="none"/>
        </w:rPr>
      </w:pPr>
    </w:p>
    <w:p w14:paraId="50A9A701">
      <w:pPr>
        <w:jc w:val="center"/>
        <w:rPr>
          <w:rFonts w:hint="eastAsia" w:ascii="宋体" w:hAnsi="宋体" w:eastAsia="宋体" w:cs="宋体"/>
          <w:b/>
          <w:color w:val="auto"/>
          <w:kern w:val="0"/>
          <w:sz w:val="32"/>
          <w:szCs w:val="32"/>
          <w:highlight w:val="none"/>
        </w:rPr>
      </w:pPr>
    </w:p>
    <w:p w14:paraId="37988C35">
      <w:pPr>
        <w:pStyle w:val="5"/>
        <w:rPr>
          <w:rFonts w:hint="eastAsia" w:ascii="宋体" w:hAnsi="宋体" w:eastAsia="宋体" w:cs="宋体"/>
          <w:color w:val="auto"/>
          <w:highlight w:val="none"/>
          <w:lang w:val="en-US"/>
        </w:rPr>
      </w:pPr>
    </w:p>
    <w:p w14:paraId="3AC2D6B9">
      <w:pPr>
        <w:rPr>
          <w:rFonts w:hint="eastAsia" w:ascii="宋体" w:hAnsi="宋体" w:eastAsia="宋体" w:cs="宋体"/>
          <w:color w:val="auto"/>
          <w:highlight w:val="none"/>
        </w:rPr>
      </w:pPr>
    </w:p>
    <w:p w14:paraId="54C20DC7">
      <w:pPr>
        <w:pStyle w:val="5"/>
        <w:ind w:left="0" w:firstLine="0"/>
        <w:rPr>
          <w:rFonts w:hint="eastAsia" w:ascii="宋体" w:hAnsi="宋体" w:eastAsia="宋体" w:cs="宋体"/>
          <w:color w:val="auto"/>
          <w:highlight w:val="none"/>
          <w:lang w:val="en-US"/>
        </w:rPr>
      </w:pPr>
    </w:p>
    <w:p w14:paraId="103C8C2E">
      <w:pPr>
        <w:jc w:val="center"/>
        <w:rPr>
          <w:rFonts w:hint="eastAsia" w:ascii="宋体" w:hAnsi="宋体" w:eastAsia="宋体" w:cs="宋体"/>
          <w:b/>
          <w:color w:val="auto"/>
          <w:kern w:val="0"/>
          <w:sz w:val="32"/>
          <w:szCs w:val="32"/>
          <w:highlight w:val="none"/>
        </w:rPr>
      </w:pPr>
    </w:p>
    <w:p w14:paraId="55413F3B">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14:paraId="718B41AE">
      <w:pPr>
        <w:jc w:val="center"/>
        <w:rPr>
          <w:rFonts w:hint="eastAsia" w:ascii="宋体" w:hAnsi="宋体" w:eastAsia="宋体" w:cs="宋体"/>
          <w:b/>
          <w:color w:val="auto"/>
          <w:kern w:val="0"/>
          <w:sz w:val="32"/>
          <w:szCs w:val="32"/>
          <w:highlight w:val="none"/>
        </w:rPr>
      </w:pPr>
    </w:p>
    <w:tbl>
      <w:tblPr>
        <w:tblStyle w:val="6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D0F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1D2C5F93">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991" w:type="dxa"/>
            <w:vAlign w:val="center"/>
          </w:tcPr>
          <w:p w14:paraId="29CCB18B">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2551" w:type="dxa"/>
            <w:vAlign w:val="center"/>
          </w:tcPr>
          <w:p w14:paraId="56281038">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2F11DA21">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w:t>
            </w:r>
          </w:p>
          <w:p w14:paraId="74FD1DE1">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5E9F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46" w:type="dxa"/>
            <w:vAlign w:val="center"/>
          </w:tcPr>
          <w:p w14:paraId="099A95C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991" w:type="dxa"/>
            <w:vAlign w:val="center"/>
          </w:tcPr>
          <w:p w14:paraId="696517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2551" w:type="dxa"/>
            <w:vAlign w:val="center"/>
          </w:tcPr>
          <w:p w14:paraId="5B77F978">
            <w:pP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418" w:type="dxa"/>
          </w:tcPr>
          <w:p w14:paraId="51B0B70B">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见投标文件需要签字盖章的各页。</w:t>
            </w:r>
          </w:p>
        </w:tc>
      </w:tr>
      <w:tr w14:paraId="7C98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1D1A23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991" w:type="dxa"/>
            <w:vAlign w:val="center"/>
          </w:tcPr>
          <w:p w14:paraId="3E33BF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551" w:type="dxa"/>
            <w:vAlign w:val="center"/>
          </w:tcPr>
          <w:p w14:paraId="7C7349BE">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1418" w:type="dxa"/>
          </w:tcPr>
          <w:p w14:paraId="46321E17">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63B9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E59789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991" w:type="dxa"/>
            <w:vAlign w:val="center"/>
          </w:tcPr>
          <w:p w14:paraId="441AA2F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投标文件满足招标文件的其它实质性要求。</w:t>
            </w:r>
          </w:p>
        </w:tc>
        <w:tc>
          <w:tcPr>
            <w:tcW w:w="2551" w:type="dxa"/>
            <w:vAlign w:val="center"/>
          </w:tcPr>
          <w:p w14:paraId="57A2CDE5">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招标文件其它实质性要求相应的材料（“▲” 系指实质性要求条款，招标文件无其它实质性要求的，无需提供）</w:t>
            </w:r>
          </w:p>
        </w:tc>
        <w:tc>
          <w:tcPr>
            <w:tcW w:w="1418" w:type="dxa"/>
          </w:tcPr>
          <w:p w14:paraId="6E5AFC98">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194EAF98">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5C170838">
      <w:pPr>
        <w:jc w:val="center"/>
        <w:rPr>
          <w:rFonts w:hint="eastAsia" w:ascii="宋体" w:hAnsi="宋体" w:eastAsia="宋体" w:cs="宋体"/>
          <w:b/>
          <w:color w:val="auto"/>
          <w:kern w:val="0"/>
          <w:sz w:val="32"/>
          <w:szCs w:val="32"/>
          <w:highlight w:val="none"/>
        </w:rPr>
      </w:pPr>
    </w:p>
    <w:p w14:paraId="50E4564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0A47EC2">
      <w:pPr>
        <w:ind w:firstLine="1911" w:firstLineChars="595"/>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五、</w:t>
      </w:r>
      <w:r>
        <w:rPr>
          <w:rFonts w:hint="eastAsia" w:ascii="宋体" w:hAnsi="宋体" w:eastAsia="宋体" w:cs="宋体"/>
          <w:b/>
          <w:color w:val="auto"/>
          <w:kern w:val="0"/>
          <w:sz w:val="32"/>
          <w:szCs w:val="32"/>
          <w:highlight w:val="none"/>
          <w:lang w:val="zh-CN"/>
        </w:rPr>
        <w:t>政府采购供应商廉洁自律承诺书</w:t>
      </w:r>
    </w:p>
    <w:p w14:paraId="6C8D5725">
      <w:pPr>
        <w:snapToGrid w:val="0"/>
        <w:spacing w:line="360" w:lineRule="auto"/>
        <w:rPr>
          <w:rFonts w:hint="eastAsia" w:ascii="宋体" w:hAnsi="宋体" w:eastAsia="宋体" w:cs="宋体"/>
          <w:color w:val="auto"/>
          <w:sz w:val="24"/>
          <w:highlight w:val="none"/>
        </w:rPr>
      </w:pPr>
    </w:p>
    <w:p w14:paraId="397487E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（采购人）、（采购代理机构）</w:t>
      </w:r>
      <w:r>
        <w:rPr>
          <w:rFonts w:hint="eastAsia" w:ascii="宋体" w:hAnsi="宋体" w:eastAsia="宋体" w:cs="宋体"/>
          <w:color w:val="auto"/>
          <w:kern w:val="0"/>
          <w:sz w:val="24"/>
          <w:highlight w:val="none"/>
          <w:lang w:val="zh-CN"/>
        </w:rPr>
        <w:t>：</w:t>
      </w:r>
    </w:p>
    <w:p w14:paraId="5FF404B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222BC43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75B24B3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6D13F6B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31F1EF2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443490EA">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7DDAAF87">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718C4C4E">
      <w:pPr>
        <w:autoSpaceDE w:val="0"/>
        <w:autoSpaceDN w:val="0"/>
        <w:spacing w:line="360" w:lineRule="auto"/>
        <w:ind w:left="481" w:leftChars="22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政府采购法》、《</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招标投标</w:t>
      </w:r>
      <w:r>
        <w:rPr>
          <w:rFonts w:hint="eastAsia" w:ascii="宋体" w:hAnsi="宋体" w:eastAsia="宋体" w:cs="宋体"/>
          <w:color w:val="auto"/>
          <w:kern w:val="0"/>
          <w:sz w:val="24"/>
          <w:highlight w:val="none"/>
        </w:rPr>
        <w:t>法》、</w:t>
      </w:r>
    </w:p>
    <w:p w14:paraId="41BA31B8">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7D32690C">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2D062AA4">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D1B9E09">
      <w:pPr>
        <w:autoSpaceDE w:val="0"/>
        <w:autoSpaceDN w:val="0"/>
        <w:spacing w:line="360" w:lineRule="auto"/>
        <w:ind w:left="2"/>
        <w:jc w:val="left"/>
        <w:rPr>
          <w:rFonts w:hint="eastAsia" w:ascii="宋体" w:hAnsi="宋体" w:eastAsia="宋体" w:cs="宋体"/>
          <w:color w:val="auto"/>
          <w:kern w:val="0"/>
          <w:sz w:val="24"/>
          <w:highlight w:val="none"/>
          <w:lang w:val="zh-CN"/>
        </w:rPr>
      </w:pPr>
    </w:p>
    <w:p w14:paraId="54CF137A">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1F37972">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投标人名称(电子签</w:t>
      </w:r>
      <w:r>
        <w:rPr>
          <w:rFonts w:hint="eastAsia" w:ascii="宋体" w:hAnsi="宋体" w:eastAsia="宋体" w:cs="宋体"/>
          <w:color w:val="auto"/>
          <w:kern w:val="0"/>
          <w:sz w:val="24"/>
          <w:highlight w:val="none"/>
        </w:rPr>
        <w:t>章</w:t>
      </w:r>
      <w:r>
        <w:rPr>
          <w:rFonts w:hint="eastAsia" w:ascii="宋体" w:hAnsi="宋体" w:eastAsia="宋体" w:cs="宋体"/>
          <w:color w:val="auto"/>
          <w:kern w:val="0"/>
          <w:sz w:val="24"/>
          <w:highlight w:val="none"/>
          <w:lang w:val="zh-CN"/>
        </w:rPr>
        <w:t xml:space="preserve">)：                                                                                                                                                                                                               </w:t>
      </w:r>
    </w:p>
    <w:p w14:paraId="5A65D3EC">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33DF082E">
      <w:pPr>
        <w:spacing w:line="360" w:lineRule="auto"/>
        <w:jc w:val="center"/>
        <w:rPr>
          <w:rFonts w:hint="eastAsia" w:ascii="宋体" w:hAnsi="宋体" w:eastAsia="宋体" w:cs="宋体"/>
          <w:b/>
          <w:bCs/>
          <w:color w:val="auto"/>
          <w:sz w:val="24"/>
          <w:highlight w:val="none"/>
        </w:rPr>
      </w:pPr>
    </w:p>
    <w:p w14:paraId="0658CE1F">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7EA6AB3">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68CAAD28">
      <w:pPr>
        <w:ind w:firstLine="2891" w:firstLineChars="9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六、采购要求偏离表</w:t>
      </w:r>
    </w:p>
    <w:tbl>
      <w:tblPr>
        <w:tblStyle w:val="6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3376"/>
        <w:gridCol w:w="3250"/>
        <w:gridCol w:w="1421"/>
      </w:tblGrid>
      <w:tr w14:paraId="5707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9" w:type="dxa"/>
          </w:tcPr>
          <w:p w14:paraId="02CFCEFD">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376" w:type="dxa"/>
          </w:tcPr>
          <w:p w14:paraId="79F79722">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3250" w:type="dxa"/>
          </w:tcPr>
          <w:p w14:paraId="6C0447EE">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1421" w:type="dxa"/>
          </w:tcPr>
          <w:p w14:paraId="157F008D">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416B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3AE634E9">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376" w:type="dxa"/>
          </w:tcPr>
          <w:p w14:paraId="417B255C">
            <w:pPr>
              <w:jc w:val="center"/>
              <w:rPr>
                <w:rFonts w:hint="eastAsia" w:ascii="宋体" w:hAnsi="宋体" w:eastAsia="宋体" w:cs="宋体"/>
                <w:b/>
                <w:color w:val="auto"/>
                <w:kern w:val="0"/>
                <w:sz w:val="32"/>
                <w:szCs w:val="32"/>
                <w:highlight w:val="none"/>
              </w:rPr>
            </w:pPr>
          </w:p>
        </w:tc>
        <w:tc>
          <w:tcPr>
            <w:tcW w:w="3250" w:type="dxa"/>
          </w:tcPr>
          <w:p w14:paraId="2F0D9A59">
            <w:pPr>
              <w:jc w:val="center"/>
              <w:rPr>
                <w:rFonts w:hint="eastAsia" w:ascii="宋体" w:hAnsi="宋体" w:eastAsia="宋体" w:cs="宋体"/>
                <w:b/>
                <w:color w:val="auto"/>
                <w:kern w:val="0"/>
                <w:sz w:val="32"/>
                <w:szCs w:val="32"/>
                <w:highlight w:val="none"/>
              </w:rPr>
            </w:pPr>
          </w:p>
        </w:tc>
        <w:tc>
          <w:tcPr>
            <w:tcW w:w="1421" w:type="dxa"/>
          </w:tcPr>
          <w:p w14:paraId="303D7033">
            <w:pPr>
              <w:jc w:val="center"/>
              <w:rPr>
                <w:rFonts w:hint="eastAsia" w:ascii="宋体" w:hAnsi="宋体" w:eastAsia="宋体" w:cs="宋体"/>
                <w:b/>
                <w:color w:val="auto"/>
                <w:kern w:val="0"/>
                <w:sz w:val="32"/>
                <w:szCs w:val="32"/>
                <w:highlight w:val="none"/>
              </w:rPr>
            </w:pPr>
          </w:p>
        </w:tc>
      </w:tr>
      <w:tr w14:paraId="2EE9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7B1D516B">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376" w:type="dxa"/>
          </w:tcPr>
          <w:p w14:paraId="0468AF64">
            <w:pPr>
              <w:jc w:val="center"/>
              <w:rPr>
                <w:rFonts w:hint="eastAsia" w:ascii="宋体" w:hAnsi="宋体" w:eastAsia="宋体" w:cs="宋体"/>
                <w:b/>
                <w:color w:val="auto"/>
                <w:kern w:val="0"/>
                <w:sz w:val="32"/>
                <w:szCs w:val="32"/>
                <w:highlight w:val="none"/>
              </w:rPr>
            </w:pPr>
          </w:p>
        </w:tc>
        <w:tc>
          <w:tcPr>
            <w:tcW w:w="3250" w:type="dxa"/>
          </w:tcPr>
          <w:p w14:paraId="052E818C">
            <w:pPr>
              <w:jc w:val="center"/>
              <w:rPr>
                <w:rFonts w:hint="eastAsia" w:ascii="宋体" w:hAnsi="宋体" w:eastAsia="宋体" w:cs="宋体"/>
                <w:b/>
                <w:color w:val="auto"/>
                <w:kern w:val="0"/>
                <w:sz w:val="32"/>
                <w:szCs w:val="32"/>
                <w:highlight w:val="none"/>
              </w:rPr>
            </w:pPr>
          </w:p>
        </w:tc>
        <w:tc>
          <w:tcPr>
            <w:tcW w:w="1421" w:type="dxa"/>
          </w:tcPr>
          <w:p w14:paraId="7B8E20E8">
            <w:pPr>
              <w:jc w:val="center"/>
              <w:rPr>
                <w:rFonts w:hint="eastAsia" w:ascii="宋体" w:hAnsi="宋体" w:eastAsia="宋体" w:cs="宋体"/>
                <w:b/>
                <w:color w:val="auto"/>
                <w:kern w:val="0"/>
                <w:sz w:val="32"/>
                <w:szCs w:val="32"/>
                <w:highlight w:val="none"/>
              </w:rPr>
            </w:pPr>
          </w:p>
        </w:tc>
      </w:tr>
      <w:tr w14:paraId="4822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4C998977">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376" w:type="dxa"/>
          </w:tcPr>
          <w:p w14:paraId="595AA85A">
            <w:pPr>
              <w:jc w:val="center"/>
              <w:rPr>
                <w:rFonts w:hint="eastAsia" w:ascii="宋体" w:hAnsi="宋体" w:eastAsia="宋体" w:cs="宋体"/>
                <w:b/>
                <w:color w:val="auto"/>
                <w:kern w:val="0"/>
                <w:sz w:val="32"/>
                <w:szCs w:val="32"/>
                <w:highlight w:val="none"/>
              </w:rPr>
            </w:pPr>
          </w:p>
        </w:tc>
        <w:tc>
          <w:tcPr>
            <w:tcW w:w="3250" w:type="dxa"/>
          </w:tcPr>
          <w:p w14:paraId="35C94FA1">
            <w:pPr>
              <w:jc w:val="center"/>
              <w:rPr>
                <w:rFonts w:hint="eastAsia" w:ascii="宋体" w:hAnsi="宋体" w:eastAsia="宋体" w:cs="宋体"/>
                <w:b/>
                <w:color w:val="auto"/>
                <w:kern w:val="0"/>
                <w:sz w:val="32"/>
                <w:szCs w:val="32"/>
                <w:highlight w:val="none"/>
              </w:rPr>
            </w:pPr>
          </w:p>
        </w:tc>
        <w:tc>
          <w:tcPr>
            <w:tcW w:w="1421" w:type="dxa"/>
          </w:tcPr>
          <w:p w14:paraId="3864B049">
            <w:pPr>
              <w:jc w:val="center"/>
              <w:rPr>
                <w:rFonts w:hint="eastAsia" w:ascii="宋体" w:hAnsi="宋体" w:eastAsia="宋体" w:cs="宋体"/>
                <w:b/>
                <w:color w:val="auto"/>
                <w:kern w:val="0"/>
                <w:sz w:val="32"/>
                <w:szCs w:val="32"/>
                <w:highlight w:val="none"/>
              </w:rPr>
            </w:pPr>
          </w:p>
        </w:tc>
      </w:tr>
    </w:tbl>
    <w:p w14:paraId="758138D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2F1E4BC9">
      <w:pPr>
        <w:jc w:val="center"/>
        <w:rPr>
          <w:rFonts w:hint="eastAsia" w:ascii="宋体" w:hAnsi="宋体" w:eastAsia="宋体" w:cs="宋体"/>
          <w:b/>
          <w:color w:val="auto"/>
          <w:kern w:val="0"/>
          <w:sz w:val="32"/>
          <w:szCs w:val="32"/>
          <w:highlight w:val="none"/>
        </w:rPr>
      </w:pPr>
    </w:p>
    <w:p w14:paraId="7CE87B37">
      <w:pPr>
        <w:jc w:val="center"/>
        <w:rPr>
          <w:rFonts w:hint="eastAsia" w:ascii="宋体" w:hAnsi="宋体" w:eastAsia="宋体" w:cs="宋体"/>
          <w:b/>
          <w:color w:val="auto"/>
          <w:kern w:val="0"/>
          <w:sz w:val="32"/>
          <w:szCs w:val="32"/>
          <w:highlight w:val="none"/>
        </w:rPr>
      </w:pPr>
    </w:p>
    <w:p w14:paraId="5810AC63">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七、商务要求偏离表</w:t>
      </w:r>
    </w:p>
    <w:tbl>
      <w:tblPr>
        <w:tblStyle w:val="6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3376"/>
        <w:gridCol w:w="3250"/>
        <w:gridCol w:w="1421"/>
      </w:tblGrid>
      <w:tr w14:paraId="15FB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9" w:type="dxa"/>
          </w:tcPr>
          <w:p w14:paraId="7C00A22E">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376" w:type="dxa"/>
          </w:tcPr>
          <w:p w14:paraId="047E9B97">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3250" w:type="dxa"/>
          </w:tcPr>
          <w:p w14:paraId="7886BF78">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1421" w:type="dxa"/>
          </w:tcPr>
          <w:p w14:paraId="0DDE9B03">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5C4C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601F497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376" w:type="dxa"/>
          </w:tcPr>
          <w:p w14:paraId="79522424">
            <w:pPr>
              <w:jc w:val="center"/>
              <w:rPr>
                <w:rFonts w:hint="eastAsia" w:ascii="宋体" w:hAnsi="宋体" w:eastAsia="宋体" w:cs="宋体"/>
                <w:b/>
                <w:color w:val="auto"/>
                <w:kern w:val="0"/>
                <w:sz w:val="32"/>
                <w:szCs w:val="32"/>
                <w:highlight w:val="none"/>
              </w:rPr>
            </w:pPr>
          </w:p>
        </w:tc>
        <w:tc>
          <w:tcPr>
            <w:tcW w:w="3250" w:type="dxa"/>
          </w:tcPr>
          <w:p w14:paraId="5BAC6B59">
            <w:pPr>
              <w:jc w:val="center"/>
              <w:rPr>
                <w:rFonts w:hint="eastAsia" w:ascii="宋体" w:hAnsi="宋体" w:eastAsia="宋体" w:cs="宋体"/>
                <w:b/>
                <w:color w:val="auto"/>
                <w:kern w:val="0"/>
                <w:sz w:val="32"/>
                <w:szCs w:val="32"/>
                <w:highlight w:val="none"/>
              </w:rPr>
            </w:pPr>
          </w:p>
        </w:tc>
        <w:tc>
          <w:tcPr>
            <w:tcW w:w="1421" w:type="dxa"/>
          </w:tcPr>
          <w:p w14:paraId="4C3C34D8">
            <w:pPr>
              <w:jc w:val="center"/>
              <w:rPr>
                <w:rFonts w:hint="eastAsia" w:ascii="宋体" w:hAnsi="宋体" w:eastAsia="宋体" w:cs="宋体"/>
                <w:b/>
                <w:color w:val="auto"/>
                <w:kern w:val="0"/>
                <w:sz w:val="32"/>
                <w:szCs w:val="32"/>
                <w:highlight w:val="none"/>
              </w:rPr>
            </w:pPr>
          </w:p>
        </w:tc>
      </w:tr>
      <w:tr w14:paraId="4A6F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6C35631F">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376" w:type="dxa"/>
          </w:tcPr>
          <w:p w14:paraId="0D3DA5CA">
            <w:pPr>
              <w:jc w:val="center"/>
              <w:rPr>
                <w:rFonts w:hint="eastAsia" w:ascii="宋体" w:hAnsi="宋体" w:eastAsia="宋体" w:cs="宋体"/>
                <w:b/>
                <w:color w:val="auto"/>
                <w:kern w:val="0"/>
                <w:sz w:val="32"/>
                <w:szCs w:val="32"/>
                <w:highlight w:val="none"/>
              </w:rPr>
            </w:pPr>
          </w:p>
        </w:tc>
        <w:tc>
          <w:tcPr>
            <w:tcW w:w="3250" w:type="dxa"/>
          </w:tcPr>
          <w:p w14:paraId="36F3EFE0">
            <w:pPr>
              <w:jc w:val="center"/>
              <w:rPr>
                <w:rFonts w:hint="eastAsia" w:ascii="宋体" w:hAnsi="宋体" w:eastAsia="宋体" w:cs="宋体"/>
                <w:b/>
                <w:color w:val="auto"/>
                <w:kern w:val="0"/>
                <w:sz w:val="32"/>
                <w:szCs w:val="32"/>
                <w:highlight w:val="none"/>
              </w:rPr>
            </w:pPr>
          </w:p>
        </w:tc>
        <w:tc>
          <w:tcPr>
            <w:tcW w:w="1421" w:type="dxa"/>
          </w:tcPr>
          <w:p w14:paraId="5C1FFFEB">
            <w:pPr>
              <w:jc w:val="center"/>
              <w:rPr>
                <w:rFonts w:hint="eastAsia" w:ascii="宋体" w:hAnsi="宋体" w:eastAsia="宋体" w:cs="宋体"/>
                <w:b/>
                <w:color w:val="auto"/>
                <w:kern w:val="0"/>
                <w:sz w:val="32"/>
                <w:szCs w:val="32"/>
                <w:highlight w:val="none"/>
              </w:rPr>
            </w:pPr>
          </w:p>
        </w:tc>
      </w:tr>
      <w:tr w14:paraId="5A46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57155631">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376" w:type="dxa"/>
          </w:tcPr>
          <w:p w14:paraId="61C29606">
            <w:pPr>
              <w:jc w:val="center"/>
              <w:rPr>
                <w:rFonts w:hint="eastAsia" w:ascii="宋体" w:hAnsi="宋体" w:eastAsia="宋体" w:cs="宋体"/>
                <w:b/>
                <w:color w:val="auto"/>
                <w:kern w:val="0"/>
                <w:sz w:val="32"/>
                <w:szCs w:val="32"/>
                <w:highlight w:val="none"/>
              </w:rPr>
            </w:pPr>
          </w:p>
        </w:tc>
        <w:tc>
          <w:tcPr>
            <w:tcW w:w="3250" w:type="dxa"/>
          </w:tcPr>
          <w:p w14:paraId="0685D2A3">
            <w:pPr>
              <w:jc w:val="center"/>
              <w:rPr>
                <w:rFonts w:hint="eastAsia" w:ascii="宋体" w:hAnsi="宋体" w:eastAsia="宋体" w:cs="宋体"/>
                <w:b/>
                <w:color w:val="auto"/>
                <w:kern w:val="0"/>
                <w:sz w:val="32"/>
                <w:szCs w:val="32"/>
                <w:highlight w:val="none"/>
              </w:rPr>
            </w:pPr>
          </w:p>
        </w:tc>
        <w:tc>
          <w:tcPr>
            <w:tcW w:w="1421" w:type="dxa"/>
          </w:tcPr>
          <w:p w14:paraId="6B18B4D0">
            <w:pPr>
              <w:jc w:val="center"/>
              <w:rPr>
                <w:rFonts w:hint="eastAsia" w:ascii="宋体" w:hAnsi="宋体" w:eastAsia="宋体" w:cs="宋体"/>
                <w:b/>
                <w:color w:val="auto"/>
                <w:kern w:val="0"/>
                <w:sz w:val="32"/>
                <w:szCs w:val="32"/>
                <w:highlight w:val="none"/>
              </w:rPr>
            </w:pPr>
          </w:p>
        </w:tc>
      </w:tr>
    </w:tbl>
    <w:p w14:paraId="71F018D4">
      <w:pPr>
        <w:jc w:val="center"/>
        <w:rPr>
          <w:rFonts w:hint="eastAsia" w:ascii="宋体" w:hAnsi="宋体" w:eastAsia="宋体" w:cs="宋体"/>
          <w:b/>
          <w:color w:val="auto"/>
          <w:kern w:val="0"/>
          <w:sz w:val="32"/>
          <w:szCs w:val="32"/>
          <w:highlight w:val="none"/>
        </w:rPr>
      </w:pPr>
    </w:p>
    <w:p w14:paraId="1AFC0E13">
      <w:pPr>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『编制说明』：</w:t>
      </w:r>
    </w:p>
    <w:p w14:paraId="5986B424">
      <w:pPr>
        <w:numPr>
          <w:ilvl w:val="0"/>
          <w:numId w:val="4"/>
        </w:numPr>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投标人需按“第三部分  采购需求”中“一、商务要求表”和“二、采购要求”一一对应,在本表中如实填写具体响应(需要提供证明资料的)，未按要求填写的，有可能作负偏离处理。</w:t>
      </w:r>
    </w:p>
    <w:p w14:paraId="4AA3A3F7">
      <w:pPr>
        <w:numPr>
          <w:ilvl w:val="0"/>
          <w:numId w:val="4"/>
        </w:numPr>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偏离说明是指对招标文件要求存在不同之处的解释说明。偏离系指：正偏离（高于采购需求）、负偏离（低于采购需求）、无偏离（满足采购需求）</w:t>
      </w:r>
    </w:p>
    <w:p w14:paraId="076CA8A7">
      <w:pPr>
        <w:widowControl/>
        <w:jc w:val="left"/>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3、采购要求若有要求供应商提供相应佐证材料的，供应商未提供相应佐证材料或者供应商的响应承诺与其佐证材料不一致的，评审小组会将以不利于供应商的内容为准进行评审（负偏离）。</w:t>
      </w:r>
    </w:p>
    <w:p w14:paraId="32A536FC">
      <w:pPr>
        <w:pStyle w:val="63"/>
        <w:ind w:firstLine="420"/>
        <w:rPr>
          <w:rFonts w:hint="eastAsia" w:ascii="宋体" w:hAnsi="宋体" w:eastAsia="宋体" w:cs="宋体"/>
          <w:color w:val="auto"/>
          <w:highlight w:val="none"/>
        </w:rPr>
      </w:pPr>
    </w:p>
    <w:p w14:paraId="3F25FEAA">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5CAEEB86">
      <w:pPr>
        <w:widowControl/>
        <w:adjustRightInd/>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04F5951">
      <w:pPr>
        <w:pStyle w:val="3"/>
        <w:rPr>
          <w:rFonts w:hint="eastAsia" w:ascii="宋体" w:hAnsi="宋体" w:eastAsia="宋体" w:cs="宋体"/>
          <w:color w:val="auto"/>
          <w:highlight w:val="none"/>
          <w:lang w:val="en-US"/>
        </w:rPr>
        <w:sectPr>
          <w:headerReference r:id="rId12" w:type="first"/>
          <w:footerReference r:id="rId14" w:type="first"/>
          <w:headerReference r:id="rId11" w:type="defaul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66AAFA7">
      <w:pPr>
        <w:widowControl/>
        <w:adjustRightInd/>
        <w:jc w:val="left"/>
        <w:rPr>
          <w:rFonts w:hint="eastAsia" w:ascii="宋体" w:hAnsi="宋体" w:eastAsia="宋体" w:cs="宋体"/>
          <w:b/>
          <w:color w:val="auto"/>
          <w:kern w:val="0"/>
          <w:sz w:val="32"/>
          <w:szCs w:val="32"/>
          <w:highlight w:val="none"/>
        </w:rPr>
      </w:pPr>
    </w:p>
    <w:p w14:paraId="7B4B71B8">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八、评标标准相应的商务技术资料</w:t>
      </w:r>
    </w:p>
    <w:p w14:paraId="2EAFE8BC">
      <w:pPr>
        <w:snapToGrid w:val="0"/>
        <w:spacing w:line="360" w:lineRule="auto"/>
        <w:ind w:firstLine="960" w:firstLineChars="400"/>
        <w:rPr>
          <w:rFonts w:hint="eastAsia" w:ascii="宋体" w:hAnsi="宋体" w:eastAsia="宋体" w:cs="宋体"/>
          <w:color w:val="auto"/>
          <w:sz w:val="24"/>
          <w:highlight w:val="none"/>
        </w:rPr>
      </w:pPr>
    </w:p>
    <w:p w14:paraId="48E91F24">
      <w:pPr>
        <w:snapToGrid w:val="0"/>
        <w:spacing w:line="360" w:lineRule="auto"/>
        <w:ind w:firstLine="964" w:firstLineChars="400"/>
        <w:rPr>
          <w:rFonts w:hint="eastAsia" w:ascii="宋体" w:hAnsi="宋体" w:eastAsia="宋体" w:cs="宋体"/>
          <w:b/>
          <w:bCs/>
          <w:color w:val="auto"/>
          <w:sz w:val="24"/>
          <w:highlight w:val="none"/>
        </w:rPr>
      </w:pPr>
    </w:p>
    <w:p w14:paraId="6A9C10E4">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ascii="宋体" w:hAnsi="宋体" w:cs="宋体"/>
          <w:bCs/>
          <w:color w:val="auto"/>
          <w:kern w:val="0"/>
          <w:szCs w:val="21"/>
          <w:highlight w:val="none"/>
        </w:rPr>
        <w:t>项目了解情况</w:t>
      </w:r>
    </w:p>
    <w:p w14:paraId="62955402">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-2）总体</w:t>
      </w:r>
      <w:r>
        <w:rPr>
          <w:rFonts w:hint="eastAsia" w:hAnsi="宋体" w:cs="宋体"/>
          <w:color w:val="auto"/>
          <w:highlight w:val="none"/>
          <w:lang w:val="en-US" w:eastAsia="zh-CN"/>
        </w:rPr>
        <w:t>服务</w:t>
      </w:r>
      <w:r>
        <w:rPr>
          <w:rFonts w:hint="default" w:ascii="宋体" w:hAnsi="宋体" w:eastAsia="宋体" w:cs="宋体"/>
          <w:color w:val="auto"/>
          <w:highlight w:val="none"/>
          <w:lang w:val="en-US" w:eastAsia="zh-CN"/>
        </w:rPr>
        <w:t>方案</w:t>
      </w:r>
    </w:p>
    <w:p w14:paraId="25946126">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-3）</w:t>
      </w:r>
      <w:r>
        <w:rPr>
          <w:rFonts w:hint="eastAsia" w:hAnsi="宋体" w:cs="宋体"/>
          <w:color w:val="auto"/>
          <w:highlight w:val="none"/>
          <w:lang w:val="en-US" w:eastAsia="zh-CN"/>
        </w:rPr>
        <w:t>总体实施方案</w:t>
      </w:r>
    </w:p>
    <w:p w14:paraId="3CFD6292">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（8-4）重难点分析及解决方案</w:t>
      </w:r>
    </w:p>
    <w:p w14:paraId="2761EFF8">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5</w:t>
      </w:r>
      <w:r>
        <w:rPr>
          <w:rFonts w:hint="default" w:ascii="宋体" w:hAnsi="宋体" w:eastAsia="宋体" w:cs="宋体"/>
          <w:color w:val="auto"/>
          <w:highlight w:val="none"/>
          <w:lang w:val="en-US" w:eastAsia="zh-CN"/>
        </w:rPr>
        <w:t>）人员招聘方案</w:t>
      </w:r>
    </w:p>
    <w:p w14:paraId="3737AEF5">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6</w:t>
      </w:r>
      <w:r>
        <w:rPr>
          <w:rFonts w:hint="default" w:ascii="宋体" w:hAnsi="宋体" w:eastAsia="宋体" w:cs="宋体"/>
          <w:color w:val="auto"/>
          <w:highlight w:val="none"/>
          <w:lang w:val="en-US" w:eastAsia="zh-CN"/>
        </w:rPr>
        <w:t>）人员管理方案</w:t>
      </w:r>
    </w:p>
    <w:p w14:paraId="2BB75D4E">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7</w:t>
      </w:r>
      <w:r>
        <w:rPr>
          <w:rFonts w:hint="default" w:ascii="宋体" w:hAnsi="宋体" w:eastAsia="宋体" w:cs="宋体"/>
          <w:color w:val="auto"/>
          <w:highlight w:val="none"/>
          <w:lang w:val="en-US" w:eastAsia="zh-CN"/>
        </w:rPr>
        <w:t>）人员培训方案</w:t>
      </w:r>
    </w:p>
    <w:p w14:paraId="0B1AE18B">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）项目人员衔接方案</w:t>
      </w:r>
    </w:p>
    <w:p w14:paraId="13E3C447">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9</w:t>
      </w:r>
      <w:r>
        <w:rPr>
          <w:rFonts w:hint="default" w:ascii="宋体" w:hAnsi="宋体" w:eastAsia="宋体" w:cs="宋体"/>
          <w:color w:val="auto"/>
          <w:highlight w:val="none"/>
          <w:lang w:val="en-US" w:eastAsia="zh-CN"/>
        </w:rPr>
        <w:t>）应急预案</w:t>
      </w:r>
    </w:p>
    <w:p w14:paraId="4E1136E4">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10</w:t>
      </w:r>
      <w:r>
        <w:rPr>
          <w:rFonts w:hint="default" w:ascii="宋体" w:hAnsi="宋体" w:eastAsia="宋体" w:cs="宋体"/>
          <w:color w:val="auto"/>
          <w:highlight w:val="none"/>
          <w:lang w:val="en-US" w:eastAsia="zh-CN"/>
        </w:rPr>
        <w:t>）纠纷处理方案</w:t>
      </w:r>
    </w:p>
    <w:p w14:paraId="0A9437DD">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1</w:t>
      </w:r>
      <w:r>
        <w:rPr>
          <w:rFonts w:hint="default" w:ascii="宋体" w:hAnsi="宋体" w:eastAsia="宋体" w:cs="宋体"/>
          <w:color w:val="auto"/>
          <w:highlight w:val="none"/>
          <w:lang w:val="en-US" w:eastAsia="zh-CN"/>
        </w:rPr>
        <w:t>）项目管理团队</w:t>
      </w:r>
    </w:p>
    <w:p w14:paraId="02A3823E">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（8-12）</w:t>
      </w:r>
      <w:r>
        <w:rPr>
          <w:rFonts w:hint="eastAsia" w:ascii="宋体" w:hAnsi="宋体" w:cs="宋体"/>
          <w:color w:val="auto"/>
          <w:szCs w:val="21"/>
          <w:highlight w:val="none"/>
          <w:lang w:val="en-US" w:eastAsia="zh-CN"/>
        </w:rPr>
        <w:t>政策变动应对方案</w:t>
      </w:r>
    </w:p>
    <w:p w14:paraId="7437903C">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（8-13）</w:t>
      </w:r>
      <w:r>
        <w:rPr>
          <w:rFonts w:hint="eastAsia" w:ascii="宋体" w:hAnsi="宋体" w:cs="宋体"/>
          <w:color w:val="auto"/>
          <w:szCs w:val="21"/>
          <w:highlight w:val="none"/>
          <w:lang w:val="en-US" w:eastAsia="zh-CN"/>
        </w:rPr>
        <w:t>服务质量管控方案</w:t>
      </w:r>
    </w:p>
    <w:p w14:paraId="3B6B52E4">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4</w:t>
      </w:r>
      <w:r>
        <w:rPr>
          <w:rFonts w:hint="default" w:ascii="宋体" w:hAnsi="宋体" w:eastAsia="宋体" w:cs="宋体"/>
          <w:color w:val="auto"/>
          <w:highlight w:val="none"/>
          <w:lang w:val="en-US" w:eastAsia="zh-CN"/>
        </w:rPr>
        <w:t>）服务承诺</w:t>
      </w:r>
    </w:p>
    <w:p w14:paraId="48401E0D">
      <w:pPr>
        <w:pStyle w:val="3"/>
        <w:ind w:firstLine="960" w:firstLineChars="40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（8-15）保密方案</w:t>
      </w:r>
    </w:p>
    <w:p w14:paraId="121C33D1">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6</w:t>
      </w:r>
      <w:r>
        <w:rPr>
          <w:rFonts w:hint="default" w:ascii="宋体" w:hAnsi="宋体" w:eastAsia="宋体" w:cs="宋体"/>
          <w:color w:val="auto"/>
          <w:highlight w:val="none"/>
          <w:lang w:val="en-US" w:eastAsia="zh-CN"/>
        </w:rPr>
        <w:t>）有效期内的认证证书扫描件及全国认证认可信息公共服务平台证书信息查询截图（结果为有效）加盖公章（如有，请按评分标准要求提供）</w:t>
      </w:r>
    </w:p>
    <w:p w14:paraId="28DEB62B">
      <w:pPr>
        <w:pStyle w:val="3"/>
        <w:ind w:firstLine="960" w:firstLineChars="400"/>
        <w:rPr>
          <w:rFonts w:hint="default" w:ascii="宋体" w:hAnsi="宋体" w:eastAsia="宋体" w:cs="宋体"/>
          <w:color w:val="auto"/>
          <w:highlight w:val="none"/>
          <w:lang w:val="en-US" w:eastAsia="zh-CN"/>
        </w:rPr>
      </w:pPr>
    </w:p>
    <w:p w14:paraId="4A12E873">
      <w:pPr>
        <w:pStyle w:val="3"/>
        <w:ind w:firstLine="960" w:firstLineChars="400"/>
        <w:rPr>
          <w:rFonts w:hint="default" w:ascii="宋体" w:hAnsi="宋体" w:eastAsia="宋体" w:cs="宋体"/>
          <w:color w:val="auto"/>
          <w:highlight w:val="none"/>
          <w:lang w:val="en-US" w:eastAsia="zh-CN"/>
        </w:rPr>
      </w:pPr>
    </w:p>
    <w:p w14:paraId="0042326E">
      <w:pPr>
        <w:pStyle w:val="3"/>
        <w:ind w:firstLine="960" w:firstLineChars="400"/>
        <w:rPr>
          <w:rFonts w:hint="default" w:ascii="宋体" w:hAnsi="宋体" w:eastAsia="宋体" w:cs="宋体"/>
          <w:color w:val="auto"/>
          <w:highlight w:val="none"/>
          <w:lang w:val="en-US" w:eastAsia="zh-CN"/>
        </w:rPr>
      </w:pPr>
    </w:p>
    <w:p w14:paraId="3DA0619B">
      <w:pPr>
        <w:pStyle w:val="3"/>
        <w:ind w:firstLine="960" w:firstLineChars="400"/>
        <w:rPr>
          <w:rFonts w:hint="default" w:ascii="宋体" w:hAnsi="宋体" w:eastAsia="宋体" w:cs="宋体"/>
          <w:color w:val="auto"/>
          <w:highlight w:val="none"/>
          <w:lang w:val="en-US" w:eastAsia="zh-CN"/>
        </w:rPr>
      </w:pPr>
    </w:p>
    <w:p w14:paraId="5BF30110">
      <w:pPr>
        <w:pStyle w:val="3"/>
        <w:ind w:firstLine="960" w:firstLineChars="400"/>
        <w:rPr>
          <w:rFonts w:hint="default" w:ascii="宋体" w:hAnsi="宋体" w:eastAsia="宋体" w:cs="宋体"/>
          <w:color w:val="auto"/>
          <w:highlight w:val="none"/>
          <w:lang w:val="en-US" w:eastAsia="zh-CN"/>
        </w:rPr>
      </w:pPr>
    </w:p>
    <w:p w14:paraId="73AA1EFE">
      <w:pPr>
        <w:pStyle w:val="3"/>
        <w:ind w:firstLine="960" w:firstLineChars="400"/>
        <w:rPr>
          <w:rFonts w:hint="default" w:ascii="宋体" w:hAnsi="宋体" w:eastAsia="宋体" w:cs="宋体"/>
          <w:color w:val="auto"/>
          <w:highlight w:val="none"/>
          <w:lang w:val="en-US" w:eastAsia="zh-CN"/>
        </w:rPr>
      </w:pPr>
    </w:p>
    <w:p w14:paraId="196BAC24">
      <w:pPr>
        <w:pStyle w:val="3"/>
        <w:ind w:firstLine="960" w:firstLineChars="400"/>
        <w:rPr>
          <w:rFonts w:hint="default" w:ascii="宋体" w:hAnsi="宋体" w:eastAsia="宋体" w:cs="宋体"/>
          <w:color w:val="auto"/>
          <w:highlight w:val="none"/>
          <w:lang w:val="en-US" w:eastAsia="zh-CN"/>
        </w:rPr>
      </w:pPr>
    </w:p>
    <w:p w14:paraId="5E34C1FF">
      <w:pPr>
        <w:pStyle w:val="3"/>
        <w:ind w:firstLine="960" w:firstLineChars="400"/>
        <w:rPr>
          <w:rFonts w:hint="default" w:ascii="宋体" w:hAnsi="宋体" w:eastAsia="宋体" w:cs="宋体"/>
          <w:color w:val="auto"/>
          <w:highlight w:val="none"/>
          <w:lang w:val="en-US" w:eastAsia="zh-CN"/>
        </w:rPr>
      </w:pPr>
    </w:p>
    <w:p w14:paraId="3B0BA7AA">
      <w:pPr>
        <w:pStyle w:val="3"/>
        <w:ind w:firstLine="960" w:firstLineChars="400"/>
        <w:rPr>
          <w:rFonts w:hint="default" w:ascii="宋体" w:hAnsi="宋体" w:eastAsia="宋体" w:cs="宋体"/>
          <w:color w:val="auto"/>
          <w:highlight w:val="none"/>
          <w:lang w:val="en-US" w:eastAsia="zh-CN"/>
        </w:rPr>
      </w:pPr>
    </w:p>
    <w:p w14:paraId="3955EA47">
      <w:pPr>
        <w:pStyle w:val="3"/>
        <w:ind w:firstLine="960" w:firstLineChars="4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w:t>
      </w:r>
      <w:r>
        <w:rPr>
          <w:rFonts w:hint="eastAsia" w:hAnsi="宋体" w:cs="宋体"/>
          <w:color w:val="auto"/>
          <w:highlight w:val="none"/>
          <w:lang w:val="en-US" w:eastAsia="zh-CN"/>
        </w:rPr>
        <w:t>8</w:t>
      </w:r>
      <w:r>
        <w:rPr>
          <w:rFonts w:hint="default" w:ascii="宋体" w:hAnsi="宋体" w:eastAsia="宋体" w:cs="宋体"/>
          <w:color w:val="auto"/>
          <w:highlight w:val="none"/>
          <w:lang w:val="en-US" w:eastAsia="zh-CN"/>
        </w:rPr>
        <w:t>-1</w:t>
      </w:r>
      <w:r>
        <w:rPr>
          <w:rFonts w:hint="eastAsia" w:hAnsi="宋体" w:cs="宋体"/>
          <w:color w:val="auto"/>
          <w:highlight w:val="none"/>
          <w:lang w:val="en-US" w:eastAsia="zh-CN"/>
        </w:rPr>
        <w:t>7</w:t>
      </w:r>
      <w:r>
        <w:rPr>
          <w:rFonts w:hint="default" w:ascii="宋体" w:hAnsi="宋体" w:eastAsia="宋体" w:cs="宋体"/>
          <w:color w:val="auto"/>
          <w:highlight w:val="none"/>
          <w:lang w:val="en-US" w:eastAsia="zh-CN"/>
        </w:rPr>
        <w:t>）业绩一览表</w:t>
      </w:r>
      <w:r>
        <w:rPr>
          <w:rFonts w:hint="eastAsia" w:hAnsi="宋体" w:cs="宋体"/>
          <w:color w:val="auto"/>
          <w:highlight w:val="none"/>
          <w:lang w:val="en-US" w:eastAsia="zh-CN"/>
        </w:rPr>
        <w:t>及合同扫描件</w:t>
      </w:r>
      <w:r>
        <w:rPr>
          <w:rFonts w:hint="default" w:ascii="宋体" w:hAnsi="宋体" w:eastAsia="宋体" w:cs="宋体"/>
          <w:color w:val="auto"/>
          <w:highlight w:val="none"/>
          <w:lang w:val="en-US" w:eastAsia="zh-CN"/>
        </w:rPr>
        <w:t>（如有，请按评分标准要求提供）</w:t>
      </w:r>
    </w:p>
    <w:p w14:paraId="64D6EDD3">
      <w:pPr>
        <w:pStyle w:val="3"/>
        <w:ind w:firstLine="960" w:firstLineChars="400"/>
        <w:rPr>
          <w:rFonts w:hint="default" w:ascii="宋体" w:hAnsi="宋体" w:eastAsia="宋体" w:cs="宋体"/>
          <w:color w:val="auto"/>
          <w:highlight w:val="none"/>
          <w:lang w:val="en-US" w:eastAsia="zh-CN"/>
        </w:rPr>
      </w:pPr>
    </w:p>
    <w:p w14:paraId="5F307F41">
      <w:pPr>
        <w:pStyle w:val="8"/>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业绩</w:t>
      </w:r>
      <w:r>
        <w:rPr>
          <w:rFonts w:ascii="宋体" w:hAnsi="宋体" w:eastAsia="宋体" w:cs="宋体"/>
          <w:color w:val="auto"/>
          <w:sz w:val="24"/>
          <w:szCs w:val="24"/>
          <w:highlight w:val="none"/>
          <w:lang w:val="en-US"/>
        </w:rPr>
        <w:t>一览表</w:t>
      </w:r>
    </w:p>
    <w:tbl>
      <w:tblPr>
        <w:tblStyle w:val="64"/>
        <w:tblW w:w="93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1365"/>
        <w:gridCol w:w="1305"/>
        <w:gridCol w:w="1928"/>
        <w:gridCol w:w="1950"/>
        <w:gridCol w:w="1792"/>
      </w:tblGrid>
      <w:tr w14:paraId="7C47D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4A5E6EF5">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365" w:type="dxa"/>
            <w:tcBorders>
              <w:top w:val="single" w:color="auto" w:sz="4" w:space="0"/>
              <w:left w:val="single" w:color="auto" w:sz="4" w:space="0"/>
              <w:bottom w:val="single" w:color="auto" w:sz="4" w:space="0"/>
              <w:right w:val="single" w:color="auto" w:sz="4" w:space="0"/>
            </w:tcBorders>
            <w:vAlign w:val="center"/>
          </w:tcPr>
          <w:p w14:paraId="00F61A2B">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合同名称</w:t>
            </w:r>
          </w:p>
        </w:tc>
        <w:tc>
          <w:tcPr>
            <w:tcW w:w="1305" w:type="dxa"/>
            <w:tcBorders>
              <w:top w:val="single" w:color="auto" w:sz="4" w:space="0"/>
              <w:left w:val="single" w:color="auto" w:sz="4" w:space="0"/>
              <w:right w:val="single" w:color="auto" w:sz="4" w:space="0"/>
            </w:tcBorders>
            <w:vAlign w:val="center"/>
          </w:tcPr>
          <w:p w14:paraId="2581E663">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合同签订时间</w:t>
            </w:r>
          </w:p>
        </w:tc>
        <w:tc>
          <w:tcPr>
            <w:tcW w:w="1928" w:type="dxa"/>
            <w:tcBorders>
              <w:top w:val="single" w:color="auto" w:sz="4" w:space="0"/>
              <w:left w:val="single" w:color="auto" w:sz="4" w:space="0"/>
              <w:bottom w:val="single" w:color="auto" w:sz="4" w:space="0"/>
              <w:right w:val="single" w:color="auto" w:sz="4" w:space="0"/>
            </w:tcBorders>
            <w:vAlign w:val="center"/>
          </w:tcPr>
          <w:p w14:paraId="1A468B6C">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合同甲方</w:t>
            </w:r>
          </w:p>
        </w:tc>
        <w:tc>
          <w:tcPr>
            <w:tcW w:w="1950" w:type="dxa"/>
            <w:tcBorders>
              <w:top w:val="single" w:color="auto" w:sz="4" w:space="0"/>
              <w:left w:val="single" w:color="auto" w:sz="4" w:space="0"/>
              <w:bottom w:val="single" w:color="auto" w:sz="4" w:space="0"/>
              <w:right w:val="single" w:color="auto" w:sz="4" w:space="0"/>
            </w:tcBorders>
            <w:vAlign w:val="center"/>
          </w:tcPr>
          <w:p w14:paraId="2E40977B">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甲方联系人及联系方式</w:t>
            </w:r>
          </w:p>
        </w:tc>
        <w:tc>
          <w:tcPr>
            <w:tcW w:w="1792" w:type="dxa"/>
            <w:tcBorders>
              <w:top w:val="single" w:color="auto" w:sz="4" w:space="0"/>
              <w:left w:val="single" w:color="auto" w:sz="4" w:space="0"/>
              <w:bottom w:val="single" w:color="auto" w:sz="4" w:space="0"/>
              <w:right w:val="single" w:color="auto" w:sz="4" w:space="0"/>
            </w:tcBorders>
            <w:vAlign w:val="center"/>
          </w:tcPr>
          <w:p w14:paraId="62B9B10C">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3ED46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03D3BAFF">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365" w:type="dxa"/>
            <w:tcBorders>
              <w:top w:val="single" w:color="auto" w:sz="4" w:space="0"/>
              <w:left w:val="single" w:color="auto" w:sz="4" w:space="0"/>
              <w:bottom w:val="single" w:color="auto" w:sz="4" w:space="0"/>
              <w:right w:val="single" w:color="auto" w:sz="4" w:space="0"/>
            </w:tcBorders>
            <w:vAlign w:val="center"/>
          </w:tcPr>
          <w:p w14:paraId="6D800389">
            <w:pPr>
              <w:spacing w:line="360" w:lineRule="exact"/>
              <w:jc w:val="left"/>
              <w:rPr>
                <w:rFonts w:ascii="宋体" w:hAnsi="宋体" w:cs="宋体"/>
                <w:color w:val="auto"/>
                <w:kern w:val="0"/>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36537155">
            <w:pPr>
              <w:spacing w:line="360" w:lineRule="exact"/>
              <w:jc w:val="left"/>
              <w:rPr>
                <w:rFonts w:ascii="宋体" w:hAnsi="宋体" w:cs="宋体"/>
                <w:color w:val="auto"/>
                <w:kern w:val="0"/>
                <w:sz w:val="24"/>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E72EBFD">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6AB3C10">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46AE1BDD">
            <w:pPr>
              <w:spacing w:line="360" w:lineRule="exact"/>
              <w:jc w:val="left"/>
              <w:rPr>
                <w:rFonts w:ascii="宋体" w:hAnsi="宋体" w:cs="宋体"/>
                <w:color w:val="auto"/>
                <w:kern w:val="0"/>
                <w:sz w:val="24"/>
                <w:highlight w:val="none"/>
              </w:rPr>
            </w:pPr>
          </w:p>
        </w:tc>
      </w:tr>
      <w:tr w14:paraId="5C82D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03CCB920">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365" w:type="dxa"/>
            <w:tcBorders>
              <w:top w:val="single" w:color="auto" w:sz="4" w:space="0"/>
              <w:left w:val="single" w:color="auto" w:sz="4" w:space="0"/>
              <w:bottom w:val="single" w:color="auto" w:sz="4" w:space="0"/>
              <w:right w:val="single" w:color="auto" w:sz="4" w:space="0"/>
            </w:tcBorders>
            <w:vAlign w:val="center"/>
          </w:tcPr>
          <w:p w14:paraId="5CDF323E">
            <w:pPr>
              <w:spacing w:line="360" w:lineRule="exact"/>
              <w:jc w:val="left"/>
              <w:rPr>
                <w:rFonts w:ascii="宋体" w:hAnsi="宋体" w:cs="宋体"/>
                <w:color w:val="auto"/>
                <w:kern w:val="0"/>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7BAFBD61">
            <w:pPr>
              <w:spacing w:line="360" w:lineRule="exact"/>
              <w:jc w:val="left"/>
              <w:rPr>
                <w:rFonts w:ascii="宋体" w:hAnsi="宋体" w:cs="宋体"/>
                <w:color w:val="auto"/>
                <w:kern w:val="0"/>
                <w:sz w:val="24"/>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0C44D4F">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10707C28">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4754240">
            <w:pPr>
              <w:spacing w:line="360" w:lineRule="exact"/>
              <w:jc w:val="left"/>
              <w:rPr>
                <w:rFonts w:ascii="宋体" w:hAnsi="宋体" w:cs="宋体"/>
                <w:color w:val="auto"/>
                <w:kern w:val="0"/>
                <w:sz w:val="24"/>
                <w:highlight w:val="none"/>
              </w:rPr>
            </w:pPr>
          </w:p>
        </w:tc>
      </w:tr>
      <w:tr w14:paraId="18698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1572BD65">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365" w:type="dxa"/>
            <w:tcBorders>
              <w:top w:val="single" w:color="auto" w:sz="4" w:space="0"/>
              <w:left w:val="single" w:color="auto" w:sz="4" w:space="0"/>
              <w:bottom w:val="single" w:color="auto" w:sz="4" w:space="0"/>
              <w:right w:val="single" w:color="auto" w:sz="4" w:space="0"/>
            </w:tcBorders>
            <w:vAlign w:val="center"/>
          </w:tcPr>
          <w:p w14:paraId="0E92B8D8">
            <w:pPr>
              <w:spacing w:line="360" w:lineRule="exact"/>
              <w:jc w:val="left"/>
              <w:rPr>
                <w:rFonts w:ascii="宋体" w:hAnsi="宋体" w:cs="宋体"/>
                <w:color w:val="auto"/>
                <w:kern w:val="0"/>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BAAA7A7">
            <w:pPr>
              <w:spacing w:line="360" w:lineRule="exact"/>
              <w:jc w:val="left"/>
              <w:rPr>
                <w:rFonts w:ascii="宋体" w:hAnsi="宋体" w:cs="宋体"/>
                <w:color w:val="auto"/>
                <w:kern w:val="0"/>
                <w:sz w:val="24"/>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88BB59F">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B1FE079">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50FA5EF7">
            <w:pPr>
              <w:spacing w:line="360" w:lineRule="exact"/>
              <w:jc w:val="left"/>
              <w:rPr>
                <w:rFonts w:ascii="宋体" w:hAnsi="宋体" w:cs="宋体"/>
                <w:color w:val="auto"/>
                <w:kern w:val="0"/>
                <w:sz w:val="24"/>
                <w:highlight w:val="none"/>
              </w:rPr>
            </w:pPr>
          </w:p>
        </w:tc>
      </w:tr>
      <w:tr w14:paraId="194FE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4719FE7C">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365" w:type="dxa"/>
            <w:tcBorders>
              <w:top w:val="single" w:color="auto" w:sz="4" w:space="0"/>
              <w:left w:val="single" w:color="auto" w:sz="4" w:space="0"/>
              <w:bottom w:val="single" w:color="auto" w:sz="4" w:space="0"/>
              <w:right w:val="single" w:color="auto" w:sz="4" w:space="0"/>
            </w:tcBorders>
            <w:vAlign w:val="center"/>
          </w:tcPr>
          <w:p w14:paraId="1DCC6F99">
            <w:pPr>
              <w:spacing w:line="360" w:lineRule="exact"/>
              <w:jc w:val="left"/>
              <w:rPr>
                <w:rFonts w:ascii="宋体" w:hAnsi="宋体" w:cs="宋体"/>
                <w:color w:val="auto"/>
                <w:kern w:val="0"/>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5F0C34E0">
            <w:pPr>
              <w:spacing w:line="360" w:lineRule="exact"/>
              <w:jc w:val="left"/>
              <w:rPr>
                <w:rFonts w:ascii="宋体" w:hAnsi="宋体" w:cs="宋体"/>
                <w:color w:val="auto"/>
                <w:kern w:val="0"/>
                <w:sz w:val="24"/>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A440B05">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BF1C9FB">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AD7588C">
            <w:pPr>
              <w:spacing w:line="360" w:lineRule="exact"/>
              <w:jc w:val="left"/>
              <w:rPr>
                <w:rFonts w:ascii="宋体" w:hAnsi="宋体" w:cs="宋体"/>
                <w:color w:val="auto"/>
                <w:kern w:val="0"/>
                <w:sz w:val="24"/>
                <w:highlight w:val="none"/>
              </w:rPr>
            </w:pPr>
          </w:p>
        </w:tc>
      </w:tr>
      <w:tr w14:paraId="4D3AE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3C8D7525">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365" w:type="dxa"/>
            <w:tcBorders>
              <w:top w:val="single" w:color="auto" w:sz="4" w:space="0"/>
              <w:left w:val="single" w:color="auto" w:sz="4" w:space="0"/>
              <w:bottom w:val="single" w:color="auto" w:sz="4" w:space="0"/>
              <w:right w:val="single" w:color="auto" w:sz="4" w:space="0"/>
            </w:tcBorders>
            <w:vAlign w:val="center"/>
          </w:tcPr>
          <w:p w14:paraId="5CD330F4">
            <w:pPr>
              <w:spacing w:line="360" w:lineRule="exact"/>
              <w:jc w:val="left"/>
              <w:rPr>
                <w:rFonts w:ascii="宋体" w:hAnsi="宋体" w:cs="宋体"/>
                <w:color w:val="auto"/>
                <w:kern w:val="0"/>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198BCF5C">
            <w:pPr>
              <w:spacing w:line="360" w:lineRule="exact"/>
              <w:jc w:val="left"/>
              <w:rPr>
                <w:rFonts w:ascii="宋体" w:hAnsi="宋体" w:cs="宋体"/>
                <w:color w:val="auto"/>
                <w:kern w:val="0"/>
                <w:sz w:val="24"/>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D254C2F">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162DA5AF">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59393C9">
            <w:pPr>
              <w:spacing w:line="360" w:lineRule="exact"/>
              <w:jc w:val="left"/>
              <w:rPr>
                <w:rFonts w:ascii="宋体" w:hAnsi="宋体" w:cs="宋体"/>
                <w:color w:val="auto"/>
                <w:kern w:val="0"/>
                <w:sz w:val="24"/>
                <w:highlight w:val="none"/>
              </w:rPr>
            </w:pPr>
          </w:p>
        </w:tc>
      </w:tr>
    </w:tbl>
    <w:p w14:paraId="75F090B5">
      <w:pPr>
        <w:snapToGrid w:val="0"/>
        <w:spacing w:line="348" w:lineRule="auto"/>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备注：投标文件中有效的业绩合同扫描件加盖公章，未提供或未加盖公章的不得分。</w:t>
      </w:r>
    </w:p>
    <w:p w14:paraId="6000AE5B">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727BEC5">
      <w:pPr>
        <w:snapToGrid w:val="0"/>
        <w:spacing w:line="348" w:lineRule="auto"/>
        <w:ind w:firstLine="480" w:firstLineChars="200"/>
        <w:rPr>
          <w:rFonts w:ascii="宋体" w:hAnsi="宋体" w:cs="宋体"/>
          <w:b/>
          <w:bCs/>
          <w:color w:val="auto"/>
          <w:sz w:val="24"/>
          <w:highlight w:val="none"/>
          <w:lang w:val="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0CF9D6B1">
      <w:pPr>
        <w:pStyle w:val="3"/>
        <w:ind w:firstLine="960" w:firstLineChars="400"/>
        <w:rPr>
          <w:rFonts w:hint="eastAsia" w:hAnsi="宋体" w:cs="宋体"/>
          <w:color w:val="auto"/>
          <w:highlight w:val="none"/>
          <w:lang w:val="en-US" w:eastAsia="zh-CN"/>
        </w:rPr>
      </w:pPr>
    </w:p>
    <w:p w14:paraId="76675D05">
      <w:pPr>
        <w:pStyle w:val="3"/>
        <w:ind w:firstLine="960" w:firstLineChars="400"/>
        <w:rPr>
          <w:rFonts w:hint="default" w:ascii="宋体" w:hAnsi="宋体" w:eastAsia="宋体" w:cs="宋体"/>
          <w:b w:val="0"/>
          <w:bCs/>
          <w:color w:val="auto"/>
          <w:sz w:val="24"/>
          <w:highlight w:val="none"/>
          <w:lang w:val="en-US" w:eastAsia="zh-CN"/>
        </w:rPr>
      </w:pPr>
      <w:r>
        <w:rPr>
          <w:rFonts w:hint="eastAsia" w:ascii="宋体" w:hAnsi="宋体" w:eastAsia="宋体" w:cs="宋体"/>
          <w:color w:val="auto"/>
          <w:highlight w:val="none"/>
          <w:lang w:val="en-US" w:eastAsia="zh-CN"/>
        </w:rPr>
        <w:t>（8-1</w:t>
      </w:r>
      <w:r>
        <w:rPr>
          <w:rFonts w:hint="eastAsia" w:hAnsi="宋体" w:cs="宋体"/>
          <w:color w:val="auto"/>
          <w:highlight w:val="none"/>
          <w:lang w:val="en-US" w:eastAsia="zh-CN"/>
        </w:rPr>
        <w:t>8</w:t>
      </w:r>
      <w:r>
        <w:rPr>
          <w:rFonts w:hint="eastAsia" w:ascii="宋体" w:hAnsi="宋体" w:eastAsia="宋体" w:cs="宋体"/>
          <w:color w:val="auto"/>
          <w:highlight w:val="none"/>
          <w:lang w:val="en-US" w:eastAsia="zh-CN"/>
        </w:rPr>
        <w:t>）评标标准相应的其他商务技术资料。</w:t>
      </w:r>
    </w:p>
    <w:p w14:paraId="54977855">
      <w:pPr>
        <w:pStyle w:val="3"/>
        <w:rPr>
          <w:rFonts w:hint="eastAsia"/>
          <w:color w:val="auto"/>
          <w:highlight w:val="none"/>
        </w:rPr>
      </w:pPr>
    </w:p>
    <w:p w14:paraId="59985B6C">
      <w:pPr>
        <w:snapToGrid w:val="0"/>
        <w:spacing w:line="360" w:lineRule="auto"/>
        <w:ind w:firstLine="840" w:firstLineChars="400"/>
        <w:rPr>
          <w:rFonts w:hint="eastAsia" w:ascii="宋体" w:hAnsi="宋体" w:eastAsia="宋体" w:cs="宋体"/>
          <w:b w:val="0"/>
          <w:bCs/>
          <w:color w:val="auto"/>
          <w:highlight w:val="none"/>
        </w:rPr>
      </w:pPr>
    </w:p>
    <w:p w14:paraId="19A16CE2">
      <w:pPr>
        <w:pStyle w:val="5"/>
        <w:rPr>
          <w:rFonts w:hint="eastAsia" w:ascii="宋体" w:hAnsi="宋体" w:eastAsia="宋体" w:cs="宋体"/>
          <w:b w:val="0"/>
          <w:bCs/>
          <w:color w:val="auto"/>
          <w:highlight w:val="none"/>
        </w:rPr>
      </w:pPr>
    </w:p>
    <w:p w14:paraId="67220457">
      <w:pPr>
        <w:rPr>
          <w:rFonts w:hint="eastAsia" w:ascii="宋体" w:hAnsi="宋体" w:eastAsia="宋体" w:cs="宋体"/>
          <w:b w:val="0"/>
          <w:bCs/>
          <w:color w:val="auto"/>
          <w:highlight w:val="none"/>
        </w:rPr>
      </w:pPr>
    </w:p>
    <w:p w14:paraId="7B979EE1">
      <w:pPr>
        <w:pStyle w:val="2"/>
        <w:rPr>
          <w:rFonts w:hint="eastAsia" w:ascii="宋体" w:hAnsi="宋体" w:eastAsia="宋体" w:cs="宋体"/>
          <w:b w:val="0"/>
          <w:bCs/>
          <w:color w:val="auto"/>
          <w:highlight w:val="none"/>
        </w:rPr>
      </w:pPr>
    </w:p>
    <w:p w14:paraId="748BF2AB">
      <w:pPr>
        <w:rPr>
          <w:rFonts w:hint="eastAsia" w:ascii="宋体" w:hAnsi="宋体" w:eastAsia="宋体" w:cs="宋体"/>
          <w:b w:val="0"/>
          <w:bCs/>
          <w:color w:val="auto"/>
          <w:highlight w:val="none"/>
        </w:rPr>
      </w:pPr>
    </w:p>
    <w:p w14:paraId="68372F92">
      <w:pPr>
        <w:pStyle w:val="2"/>
        <w:rPr>
          <w:rFonts w:hint="eastAsia" w:ascii="宋体" w:hAnsi="宋体" w:eastAsia="宋体" w:cs="宋体"/>
          <w:b w:val="0"/>
          <w:bCs/>
          <w:color w:val="auto"/>
          <w:highlight w:val="none"/>
        </w:rPr>
      </w:pPr>
    </w:p>
    <w:p w14:paraId="6C90811A">
      <w:pPr>
        <w:rPr>
          <w:rFonts w:hint="eastAsia" w:ascii="宋体" w:hAnsi="宋体" w:eastAsia="宋体" w:cs="宋体"/>
          <w:b w:val="0"/>
          <w:bCs/>
          <w:color w:val="auto"/>
          <w:highlight w:val="none"/>
        </w:rPr>
      </w:pPr>
    </w:p>
    <w:p w14:paraId="543BFBC3">
      <w:pPr>
        <w:pStyle w:val="2"/>
        <w:rPr>
          <w:rFonts w:hint="eastAsia" w:ascii="宋体" w:hAnsi="宋体" w:eastAsia="宋体" w:cs="宋体"/>
          <w:b w:val="0"/>
          <w:bCs/>
          <w:color w:val="auto"/>
          <w:highlight w:val="none"/>
        </w:rPr>
      </w:pPr>
    </w:p>
    <w:p w14:paraId="667BF03A">
      <w:pPr>
        <w:rPr>
          <w:rFonts w:hint="eastAsia" w:ascii="宋体" w:hAnsi="宋体" w:eastAsia="宋体" w:cs="宋体"/>
          <w:b w:val="0"/>
          <w:bCs/>
          <w:color w:val="auto"/>
          <w:highlight w:val="none"/>
        </w:rPr>
      </w:pPr>
    </w:p>
    <w:p w14:paraId="729013B9">
      <w:pPr>
        <w:pStyle w:val="2"/>
        <w:rPr>
          <w:rFonts w:hint="eastAsia" w:ascii="宋体" w:hAnsi="宋体" w:eastAsia="宋体" w:cs="宋体"/>
          <w:b w:val="0"/>
          <w:bCs/>
          <w:color w:val="auto"/>
          <w:highlight w:val="none"/>
        </w:rPr>
      </w:pPr>
    </w:p>
    <w:p w14:paraId="76A19B15">
      <w:pPr>
        <w:rPr>
          <w:rFonts w:hint="eastAsia" w:ascii="宋体" w:hAnsi="宋体" w:eastAsia="宋体" w:cs="宋体"/>
          <w:b w:val="0"/>
          <w:bCs/>
          <w:color w:val="auto"/>
          <w:highlight w:val="none"/>
        </w:rPr>
      </w:pPr>
    </w:p>
    <w:p w14:paraId="4623D039">
      <w:pPr>
        <w:pStyle w:val="2"/>
        <w:rPr>
          <w:rFonts w:hint="eastAsia" w:ascii="宋体" w:hAnsi="宋体" w:eastAsia="宋体" w:cs="宋体"/>
          <w:b w:val="0"/>
          <w:bCs/>
          <w:color w:val="auto"/>
          <w:highlight w:val="none"/>
        </w:rPr>
      </w:pPr>
    </w:p>
    <w:p w14:paraId="6438D909">
      <w:pPr>
        <w:rPr>
          <w:rFonts w:hint="eastAsia" w:ascii="宋体" w:hAnsi="宋体" w:eastAsia="宋体" w:cs="宋体"/>
          <w:b w:val="0"/>
          <w:bCs/>
          <w:color w:val="auto"/>
          <w:highlight w:val="none"/>
        </w:rPr>
      </w:pPr>
    </w:p>
    <w:p w14:paraId="018E80B7">
      <w:pPr>
        <w:pStyle w:val="2"/>
        <w:rPr>
          <w:rFonts w:hint="eastAsia" w:ascii="宋体" w:hAnsi="宋体" w:eastAsia="宋体" w:cs="宋体"/>
          <w:b w:val="0"/>
          <w:bCs/>
          <w:color w:val="auto"/>
          <w:highlight w:val="none"/>
        </w:rPr>
      </w:pPr>
    </w:p>
    <w:p w14:paraId="2DBADB94">
      <w:pPr>
        <w:rPr>
          <w:rFonts w:hint="eastAsia" w:ascii="宋体" w:hAnsi="宋体" w:eastAsia="宋体" w:cs="宋体"/>
          <w:b w:val="0"/>
          <w:bCs/>
          <w:color w:val="auto"/>
          <w:highlight w:val="none"/>
        </w:rPr>
      </w:pPr>
    </w:p>
    <w:p w14:paraId="6DDB29BB">
      <w:pPr>
        <w:jc w:val="center"/>
        <w:rPr>
          <w:rFonts w:hint="eastAsia" w:ascii="宋体" w:hAnsi="宋体" w:eastAsia="宋体" w:cs="宋体"/>
          <w:b/>
          <w:bCs/>
          <w:color w:val="auto"/>
          <w:sz w:val="36"/>
          <w:szCs w:val="36"/>
          <w:highlight w:val="none"/>
        </w:rPr>
      </w:pPr>
      <w:bookmarkStart w:id="559" w:name="_Toc16712"/>
    </w:p>
    <w:p w14:paraId="28D1DF9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报价文件部分</w:t>
      </w:r>
      <w:bookmarkEnd w:id="559"/>
    </w:p>
    <w:p w14:paraId="1BF85B1B">
      <w:pPr>
        <w:spacing w:line="360" w:lineRule="auto"/>
        <w:jc w:val="center"/>
        <w:outlineLvl w:val="0"/>
        <w:rPr>
          <w:rFonts w:hint="eastAsia" w:ascii="宋体" w:hAnsi="宋体" w:eastAsia="宋体" w:cs="宋体"/>
          <w:b/>
          <w:color w:val="auto"/>
          <w:kern w:val="0"/>
          <w:sz w:val="36"/>
          <w:szCs w:val="36"/>
          <w:highlight w:val="none"/>
        </w:rPr>
      </w:pPr>
      <w:bookmarkStart w:id="560" w:name="_Toc31513"/>
    </w:p>
    <w:p w14:paraId="4049D4B1">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bookmarkEnd w:id="560"/>
    </w:p>
    <w:p w14:paraId="7B2FEB2C">
      <w:pPr>
        <w:spacing w:line="360" w:lineRule="auto"/>
        <w:jc w:val="center"/>
        <w:rPr>
          <w:rFonts w:hint="eastAsia" w:ascii="宋体" w:hAnsi="宋体" w:eastAsia="宋体" w:cs="宋体"/>
          <w:b/>
          <w:color w:val="auto"/>
          <w:kern w:val="0"/>
          <w:sz w:val="36"/>
          <w:szCs w:val="36"/>
          <w:highlight w:val="none"/>
        </w:rPr>
      </w:pPr>
    </w:p>
    <w:p w14:paraId="5B10A229">
      <w:pPr>
        <w:numPr>
          <w:ilvl w:val="0"/>
          <w:numId w:val="5"/>
        </w:num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开标一览表（报价表）</w:t>
      </w:r>
    </w:p>
    <w:p w14:paraId="3E594522">
      <w:pPr>
        <w:numPr>
          <w:ilvl w:val="0"/>
          <w:numId w:val="5"/>
        </w:num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分项报价</w:t>
      </w:r>
      <w:r>
        <w:rPr>
          <w:rFonts w:hint="eastAsia" w:ascii="宋体" w:hAnsi="宋体" w:eastAsia="宋体" w:cs="宋体"/>
          <w:color w:val="auto"/>
          <w:sz w:val="24"/>
          <w:highlight w:val="none"/>
        </w:rPr>
        <w:t>表</w:t>
      </w:r>
    </w:p>
    <w:p w14:paraId="54B44249">
      <w:pPr>
        <w:snapToGrid w:val="0"/>
        <w:spacing w:line="360" w:lineRule="auto"/>
        <w:ind w:right="480"/>
        <w:jc w:val="center"/>
        <w:rPr>
          <w:rFonts w:hint="eastAsia" w:ascii="宋体" w:hAnsi="宋体" w:eastAsia="宋体" w:cs="宋体"/>
          <w:b/>
          <w:color w:val="auto"/>
          <w:kern w:val="0"/>
          <w:sz w:val="32"/>
          <w:szCs w:val="32"/>
          <w:highlight w:val="none"/>
        </w:rPr>
      </w:pPr>
    </w:p>
    <w:p w14:paraId="339F5831">
      <w:pPr>
        <w:snapToGrid w:val="0"/>
        <w:spacing w:line="360" w:lineRule="auto"/>
        <w:ind w:right="480"/>
        <w:jc w:val="center"/>
        <w:rPr>
          <w:rFonts w:hint="eastAsia" w:ascii="宋体" w:hAnsi="宋体" w:eastAsia="宋体" w:cs="宋体"/>
          <w:b/>
          <w:color w:val="auto"/>
          <w:kern w:val="0"/>
          <w:sz w:val="32"/>
          <w:szCs w:val="32"/>
          <w:highlight w:val="none"/>
        </w:rPr>
      </w:pPr>
    </w:p>
    <w:p w14:paraId="41C06A6F">
      <w:pPr>
        <w:snapToGrid w:val="0"/>
        <w:spacing w:line="360" w:lineRule="auto"/>
        <w:ind w:right="480"/>
        <w:jc w:val="center"/>
        <w:rPr>
          <w:rFonts w:hint="eastAsia" w:ascii="宋体" w:hAnsi="宋体" w:eastAsia="宋体" w:cs="宋体"/>
          <w:b/>
          <w:color w:val="auto"/>
          <w:kern w:val="0"/>
          <w:sz w:val="32"/>
          <w:szCs w:val="32"/>
          <w:highlight w:val="none"/>
        </w:rPr>
      </w:pPr>
    </w:p>
    <w:p w14:paraId="09758EB7">
      <w:pPr>
        <w:snapToGrid w:val="0"/>
        <w:spacing w:line="360" w:lineRule="auto"/>
        <w:ind w:right="480"/>
        <w:jc w:val="center"/>
        <w:rPr>
          <w:rFonts w:hint="eastAsia" w:ascii="宋体" w:hAnsi="宋体" w:eastAsia="宋体" w:cs="宋体"/>
          <w:b/>
          <w:color w:val="auto"/>
          <w:kern w:val="0"/>
          <w:sz w:val="32"/>
          <w:szCs w:val="32"/>
          <w:highlight w:val="none"/>
        </w:rPr>
      </w:pPr>
    </w:p>
    <w:p w14:paraId="5BB4FA78">
      <w:pPr>
        <w:pStyle w:val="63"/>
        <w:ind w:firstLine="420"/>
        <w:rPr>
          <w:rFonts w:hint="eastAsia" w:ascii="宋体" w:hAnsi="宋体" w:eastAsia="宋体" w:cs="宋体"/>
          <w:color w:val="auto"/>
          <w:highlight w:val="none"/>
        </w:rPr>
      </w:pPr>
    </w:p>
    <w:p w14:paraId="12BAA456">
      <w:pPr>
        <w:rPr>
          <w:rFonts w:hint="eastAsia" w:ascii="宋体" w:hAnsi="宋体" w:eastAsia="宋体" w:cs="宋体"/>
          <w:color w:val="auto"/>
          <w:highlight w:val="none"/>
        </w:rPr>
      </w:pPr>
    </w:p>
    <w:p w14:paraId="2B17DC01">
      <w:pPr>
        <w:pStyle w:val="63"/>
        <w:ind w:firstLine="420"/>
        <w:rPr>
          <w:rFonts w:hint="eastAsia" w:ascii="宋体" w:hAnsi="宋体" w:eastAsia="宋体" w:cs="宋体"/>
          <w:color w:val="auto"/>
          <w:highlight w:val="none"/>
        </w:rPr>
      </w:pPr>
    </w:p>
    <w:p w14:paraId="2695C011">
      <w:pPr>
        <w:rPr>
          <w:rFonts w:hint="eastAsia" w:ascii="宋体" w:hAnsi="宋体" w:eastAsia="宋体" w:cs="宋体"/>
          <w:color w:val="auto"/>
          <w:highlight w:val="none"/>
        </w:rPr>
      </w:pPr>
    </w:p>
    <w:p w14:paraId="756C3286">
      <w:pPr>
        <w:pStyle w:val="63"/>
        <w:ind w:firstLine="420"/>
        <w:rPr>
          <w:rFonts w:hint="eastAsia" w:ascii="宋体" w:hAnsi="宋体" w:eastAsia="宋体" w:cs="宋体"/>
          <w:color w:val="auto"/>
          <w:highlight w:val="none"/>
        </w:rPr>
      </w:pPr>
    </w:p>
    <w:p w14:paraId="60727E01">
      <w:pPr>
        <w:rPr>
          <w:rFonts w:hint="eastAsia" w:ascii="宋体" w:hAnsi="宋体" w:eastAsia="宋体" w:cs="宋体"/>
          <w:color w:val="auto"/>
          <w:highlight w:val="none"/>
        </w:rPr>
      </w:pPr>
    </w:p>
    <w:p w14:paraId="35EDCDF8">
      <w:pPr>
        <w:pStyle w:val="63"/>
        <w:ind w:firstLine="420"/>
        <w:rPr>
          <w:rFonts w:hint="eastAsia" w:ascii="宋体" w:hAnsi="宋体" w:eastAsia="宋体" w:cs="宋体"/>
          <w:color w:val="auto"/>
          <w:highlight w:val="none"/>
        </w:rPr>
      </w:pPr>
    </w:p>
    <w:p w14:paraId="705A034C">
      <w:pPr>
        <w:rPr>
          <w:rFonts w:hint="eastAsia" w:ascii="宋体" w:hAnsi="宋体" w:eastAsia="宋体" w:cs="宋体"/>
          <w:color w:val="auto"/>
          <w:highlight w:val="none"/>
        </w:rPr>
      </w:pPr>
    </w:p>
    <w:p w14:paraId="439B0856">
      <w:pPr>
        <w:pStyle w:val="63"/>
        <w:ind w:firstLine="420"/>
        <w:rPr>
          <w:rFonts w:hint="eastAsia" w:ascii="宋体" w:hAnsi="宋体" w:eastAsia="宋体" w:cs="宋体"/>
          <w:color w:val="auto"/>
          <w:highlight w:val="none"/>
        </w:rPr>
      </w:pPr>
    </w:p>
    <w:p w14:paraId="67BC4F9E">
      <w:pPr>
        <w:rPr>
          <w:rFonts w:hint="eastAsia" w:ascii="宋体" w:hAnsi="宋体" w:eastAsia="宋体" w:cs="宋体"/>
          <w:color w:val="auto"/>
          <w:highlight w:val="none"/>
        </w:rPr>
      </w:pPr>
    </w:p>
    <w:p w14:paraId="7AAA7832">
      <w:pPr>
        <w:pStyle w:val="63"/>
        <w:ind w:firstLine="420"/>
        <w:rPr>
          <w:rFonts w:hint="eastAsia" w:ascii="宋体" w:hAnsi="宋体" w:eastAsia="宋体" w:cs="宋体"/>
          <w:color w:val="auto"/>
          <w:highlight w:val="none"/>
        </w:rPr>
      </w:pPr>
    </w:p>
    <w:p w14:paraId="5AEAFA73">
      <w:pPr>
        <w:rPr>
          <w:rFonts w:hint="eastAsia" w:ascii="宋体" w:hAnsi="宋体" w:eastAsia="宋体" w:cs="宋体"/>
          <w:color w:val="auto"/>
          <w:highlight w:val="none"/>
        </w:rPr>
      </w:pPr>
    </w:p>
    <w:p w14:paraId="6824CAB0">
      <w:pPr>
        <w:pStyle w:val="63"/>
        <w:ind w:firstLine="420"/>
        <w:rPr>
          <w:rFonts w:hint="eastAsia" w:ascii="宋体" w:hAnsi="宋体" w:eastAsia="宋体" w:cs="宋体"/>
          <w:color w:val="auto"/>
          <w:highlight w:val="none"/>
        </w:rPr>
        <w:sectPr>
          <w:headerReference r:id="rId16" w:type="first"/>
          <w:footerReference r:id="rId18" w:type="first"/>
          <w:headerReference r:id="rId15" w:type="default"/>
          <w:footerReference r:id="rId17" w:type="default"/>
          <w:pgSz w:w="11906" w:h="16838"/>
          <w:pgMar w:top="1247" w:right="1418" w:bottom="1276" w:left="1418" w:header="851" w:footer="992" w:gutter="0"/>
          <w:pgBorders>
            <w:top w:val="none" w:sz="0" w:space="0"/>
            <w:left w:val="none" w:sz="0" w:space="0"/>
            <w:bottom w:val="none" w:sz="0" w:space="0"/>
            <w:right w:val="none" w:sz="0" w:space="0"/>
          </w:pgBorders>
          <w:cols w:space="720" w:num="1"/>
          <w:titlePg/>
          <w:docGrid w:linePitch="312" w:charSpace="0"/>
        </w:sectPr>
      </w:pPr>
    </w:p>
    <w:p w14:paraId="1F3B7E00">
      <w:pPr>
        <w:pStyle w:val="63"/>
        <w:ind w:firstLine="420"/>
        <w:rPr>
          <w:rFonts w:hint="eastAsia" w:ascii="宋体" w:hAnsi="宋体" w:eastAsia="宋体" w:cs="宋体"/>
          <w:color w:val="auto"/>
          <w:highlight w:val="none"/>
        </w:rPr>
      </w:pPr>
    </w:p>
    <w:p w14:paraId="4D1639E3">
      <w:pPr>
        <w:jc w:val="center"/>
        <w:rPr>
          <w:rFonts w:hint="default" w:ascii="宋体" w:hAnsi="宋体" w:eastAsia="宋体" w:cs="宋体"/>
          <w:b/>
          <w:bCs/>
          <w:color w:val="auto"/>
          <w:sz w:val="30"/>
          <w:szCs w:val="30"/>
          <w:highlight w:val="none"/>
          <w:lang w:val="en-US" w:eastAsia="zh-CN"/>
        </w:rPr>
      </w:pPr>
      <w:bookmarkStart w:id="561" w:name="_Toc21159"/>
      <w:r>
        <w:rPr>
          <w:rFonts w:hint="eastAsia" w:ascii="宋体" w:hAnsi="宋体" w:eastAsia="宋体" w:cs="宋体"/>
          <w:b/>
          <w:bCs/>
          <w:color w:val="auto"/>
          <w:sz w:val="30"/>
          <w:szCs w:val="30"/>
          <w:highlight w:val="none"/>
        </w:rPr>
        <w:t>开标一览表（报价表）</w:t>
      </w:r>
      <w:bookmarkEnd w:id="561"/>
    </w:p>
    <w:p w14:paraId="1B67CD95">
      <w:pPr>
        <w:snapToGrid w:val="0"/>
        <w:spacing w:line="360" w:lineRule="auto"/>
        <w:rPr>
          <w:rFonts w:hint="eastAsia" w:ascii="宋体" w:hAnsi="宋体" w:eastAsia="宋体" w:cs="宋体"/>
          <w:color w:val="auto"/>
          <w:sz w:val="24"/>
          <w:highlight w:val="none"/>
        </w:rPr>
      </w:pPr>
    </w:p>
    <w:p w14:paraId="64292C3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34D1908D">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24D6C9F4">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 xml:space="preserve">开标一览表（报价表）(单位均为人民币元)              </w:t>
      </w:r>
    </w:p>
    <w:tbl>
      <w:tblPr>
        <w:tblStyle w:val="64"/>
        <w:tblW w:w="46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4272"/>
        <w:gridCol w:w="3575"/>
      </w:tblGrid>
      <w:tr w14:paraId="6C7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466" w:type="pct"/>
            <w:tcBorders>
              <w:top w:val="single" w:color="auto" w:sz="4" w:space="0"/>
              <w:left w:val="single" w:color="auto" w:sz="4" w:space="0"/>
              <w:bottom w:val="single" w:color="auto" w:sz="4" w:space="0"/>
              <w:right w:val="single" w:color="auto" w:sz="4" w:space="0"/>
            </w:tcBorders>
            <w:vAlign w:val="center"/>
          </w:tcPr>
          <w:p w14:paraId="79E081E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序号</w:t>
            </w:r>
          </w:p>
        </w:tc>
        <w:tc>
          <w:tcPr>
            <w:tcW w:w="2468" w:type="pct"/>
            <w:tcBorders>
              <w:top w:val="single" w:color="auto" w:sz="4" w:space="0"/>
              <w:left w:val="single" w:color="auto" w:sz="4" w:space="0"/>
              <w:bottom w:val="single" w:color="auto" w:sz="4" w:space="0"/>
              <w:right w:val="single" w:color="auto" w:sz="4" w:space="0"/>
            </w:tcBorders>
            <w:vAlign w:val="center"/>
          </w:tcPr>
          <w:p w14:paraId="570F832E">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采购内容</w:t>
            </w:r>
          </w:p>
        </w:tc>
        <w:tc>
          <w:tcPr>
            <w:tcW w:w="2065" w:type="pct"/>
            <w:tcBorders>
              <w:top w:val="single" w:color="auto" w:sz="4" w:space="0"/>
              <w:left w:val="single" w:color="auto" w:sz="4" w:space="0"/>
              <w:bottom w:val="single" w:color="auto" w:sz="4" w:space="0"/>
              <w:right w:val="single" w:color="auto" w:sz="4" w:space="0"/>
            </w:tcBorders>
            <w:vAlign w:val="center"/>
          </w:tcPr>
          <w:p w14:paraId="33241818">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r>
      <w:tr w14:paraId="4452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66" w:type="pct"/>
            <w:tcBorders>
              <w:top w:val="single" w:color="auto" w:sz="4" w:space="0"/>
              <w:left w:val="single" w:color="auto" w:sz="4" w:space="0"/>
              <w:bottom w:val="single" w:color="auto" w:sz="4" w:space="0"/>
              <w:right w:val="single" w:color="auto" w:sz="4" w:space="0"/>
            </w:tcBorders>
            <w:vAlign w:val="center"/>
          </w:tcPr>
          <w:p w14:paraId="53492CB2">
            <w:pPr>
              <w:pStyle w:val="60"/>
              <w:widowControl w:val="0"/>
              <w:snapToGrid w:val="0"/>
              <w:spacing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68" w:type="pct"/>
            <w:tcBorders>
              <w:top w:val="single" w:color="auto" w:sz="4" w:space="0"/>
              <w:left w:val="single" w:color="auto" w:sz="4" w:space="0"/>
              <w:bottom w:val="single" w:color="auto" w:sz="4" w:space="0"/>
              <w:right w:val="single" w:color="auto" w:sz="4" w:space="0"/>
            </w:tcBorders>
            <w:vAlign w:val="center"/>
          </w:tcPr>
          <w:p w14:paraId="4D75DC5A">
            <w:pPr>
              <w:pStyle w:val="60"/>
              <w:widowControl w:val="0"/>
              <w:spacing w:after="120" w:line="360" w:lineRule="auto"/>
              <w:jc w:val="center"/>
              <w:rPr>
                <w:rFonts w:hint="eastAsia" w:ascii="宋体" w:hAnsi="宋体" w:eastAsia="宋体" w:cs="宋体"/>
                <w:color w:val="auto"/>
                <w:highlight w:val="none"/>
              </w:rPr>
            </w:pPr>
          </w:p>
        </w:tc>
        <w:tc>
          <w:tcPr>
            <w:tcW w:w="2065" w:type="pct"/>
            <w:tcBorders>
              <w:top w:val="single" w:color="auto" w:sz="4" w:space="0"/>
              <w:left w:val="single" w:color="auto" w:sz="4" w:space="0"/>
              <w:bottom w:val="single" w:color="auto" w:sz="4" w:space="0"/>
              <w:right w:val="single" w:color="auto" w:sz="4" w:space="0"/>
            </w:tcBorders>
            <w:vAlign w:val="center"/>
          </w:tcPr>
          <w:p w14:paraId="2978DE2B">
            <w:pPr>
              <w:pStyle w:val="60"/>
              <w:widowControl w:val="0"/>
              <w:spacing w:after="120" w:line="360" w:lineRule="auto"/>
              <w:jc w:val="both"/>
              <w:rPr>
                <w:rFonts w:hint="eastAsia" w:cs="宋体"/>
                <w:color w:val="auto"/>
                <w:highlight w:val="none"/>
                <w:lang w:val="en-US" w:eastAsia="zh-CN"/>
              </w:rPr>
            </w:pPr>
            <w:r>
              <w:rPr>
                <w:rFonts w:hint="eastAsia" w:cs="宋体"/>
                <w:color w:val="auto"/>
                <w:highlight w:val="none"/>
                <w:lang w:val="en-US" w:eastAsia="zh-CN"/>
              </w:rPr>
              <w:t>大写：</w:t>
            </w:r>
          </w:p>
          <w:p w14:paraId="5FA599CA">
            <w:pPr>
              <w:pStyle w:val="60"/>
              <w:widowControl w:val="0"/>
              <w:spacing w:after="120" w:line="360" w:lineRule="auto"/>
              <w:jc w:val="both"/>
              <w:rPr>
                <w:rFonts w:hint="default" w:cs="宋体"/>
                <w:color w:val="auto"/>
                <w:highlight w:val="none"/>
                <w:lang w:val="en-US" w:eastAsia="zh-CN"/>
              </w:rPr>
            </w:pPr>
            <w:r>
              <w:rPr>
                <w:rFonts w:hint="eastAsia" w:cs="宋体"/>
                <w:color w:val="auto"/>
                <w:highlight w:val="none"/>
                <w:lang w:val="en-US" w:eastAsia="zh-CN"/>
              </w:rPr>
              <w:t>小写：</w:t>
            </w:r>
          </w:p>
        </w:tc>
      </w:tr>
      <w:tr w14:paraId="730F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934" w:type="pct"/>
            <w:gridSpan w:val="2"/>
            <w:tcBorders>
              <w:top w:val="single" w:color="auto" w:sz="4" w:space="0"/>
              <w:left w:val="single" w:color="auto" w:sz="4" w:space="0"/>
              <w:bottom w:val="single" w:color="auto" w:sz="4" w:space="0"/>
              <w:right w:val="single" w:color="auto" w:sz="4" w:space="0"/>
            </w:tcBorders>
            <w:vAlign w:val="center"/>
          </w:tcPr>
          <w:p w14:paraId="150D8594">
            <w:pPr>
              <w:pStyle w:val="60"/>
              <w:widowControl w:val="0"/>
              <w:spacing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服务期限</w:t>
            </w:r>
          </w:p>
        </w:tc>
        <w:tc>
          <w:tcPr>
            <w:tcW w:w="2065" w:type="pct"/>
            <w:tcBorders>
              <w:top w:val="single" w:color="auto" w:sz="4" w:space="0"/>
              <w:left w:val="single" w:color="auto" w:sz="4" w:space="0"/>
              <w:bottom w:val="single" w:color="auto" w:sz="4" w:space="0"/>
              <w:right w:val="single" w:color="auto" w:sz="4" w:space="0"/>
            </w:tcBorders>
          </w:tcPr>
          <w:p w14:paraId="175C4F1F">
            <w:pPr>
              <w:pStyle w:val="60"/>
              <w:widowControl w:val="0"/>
              <w:spacing w:after="120" w:line="360" w:lineRule="auto"/>
              <w:rPr>
                <w:rFonts w:hint="eastAsia" w:ascii="宋体" w:hAnsi="宋体" w:eastAsia="宋体" w:cs="宋体"/>
                <w:color w:val="auto"/>
                <w:highlight w:val="none"/>
              </w:rPr>
            </w:pPr>
          </w:p>
        </w:tc>
      </w:tr>
    </w:tbl>
    <w:p w14:paraId="300C4392">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343C091E">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2D85396D">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2、有关本项目实施所涉及的一切费用均计入报价。</w:t>
      </w:r>
    </w:p>
    <w:p w14:paraId="3205A778">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490C2BB3">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1D26E45F">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690BC529">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6FA7C033">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3F966B5B">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2FE171C7">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2BBAE246">
      <w:pPr>
        <w:pStyle w:val="695"/>
        <w:numPr>
          <w:ilvl w:val="0"/>
          <w:numId w:val="3"/>
        </w:numPr>
        <w:ind w:firstLine="0"/>
        <w:jc w:val="center"/>
        <w:rPr>
          <w:rFonts w:hint="eastAsia" w:ascii="宋体" w:hAnsi="宋体" w:eastAsia="宋体" w:cs="宋体"/>
          <w:b/>
          <w:bCs/>
          <w:color w:val="auto"/>
          <w:sz w:val="32"/>
          <w:szCs w:val="32"/>
          <w:highlight w:val="none"/>
        </w:rPr>
      </w:pPr>
      <w:r>
        <w:rPr>
          <w:rFonts w:hint="eastAsia" w:hAnsi="宋体" w:cs="宋体"/>
          <w:b/>
          <w:bCs/>
          <w:color w:val="auto"/>
          <w:sz w:val="32"/>
          <w:szCs w:val="32"/>
          <w:highlight w:val="none"/>
          <w:lang w:val="en-US" w:eastAsia="zh-CN"/>
        </w:rPr>
        <w:t>分项报价表</w:t>
      </w:r>
    </w:p>
    <w:p w14:paraId="60918281">
      <w:pPr>
        <w:pStyle w:val="695"/>
        <w:ind w:firstLine="0"/>
        <w:jc w:val="both"/>
        <w:rPr>
          <w:rFonts w:hint="eastAsia" w:ascii="宋体" w:hAnsi="宋体" w:eastAsia="宋体" w:cs="宋体"/>
          <w:b/>
          <w:bCs/>
          <w:color w:val="auto"/>
          <w:sz w:val="32"/>
          <w:szCs w:val="32"/>
          <w:highlight w:val="none"/>
        </w:rPr>
      </w:pPr>
    </w:p>
    <w:p w14:paraId="386EAA37">
      <w:pPr>
        <w:ind w:firstLine="6300" w:firstLineChars="3000"/>
        <w:rPr>
          <w:rFonts w:hint="eastAsia"/>
          <w:color w:val="auto"/>
          <w:szCs w:val="21"/>
          <w:highlight w:val="none"/>
        </w:rPr>
      </w:pPr>
      <w:r>
        <w:rPr>
          <w:rFonts w:hint="eastAsia"/>
          <w:color w:val="auto"/>
          <w:szCs w:val="21"/>
          <w:highlight w:val="none"/>
        </w:rPr>
        <w:t>（价格单位：人民币/元）</w:t>
      </w:r>
    </w:p>
    <w:p w14:paraId="3D57B196">
      <w:pPr>
        <w:rPr>
          <w:rFonts w:hint="eastAsia"/>
          <w:color w:val="auto"/>
          <w:szCs w:val="21"/>
          <w:highlight w:val="none"/>
        </w:rPr>
      </w:pPr>
    </w:p>
    <w:tbl>
      <w:tblPr>
        <w:tblStyle w:val="6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175"/>
        <w:gridCol w:w="1213"/>
        <w:gridCol w:w="1221"/>
        <w:gridCol w:w="1226"/>
        <w:gridCol w:w="1218"/>
        <w:gridCol w:w="1377"/>
      </w:tblGrid>
      <w:tr w14:paraId="07A2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6" w:type="dxa"/>
            <w:vMerge w:val="restart"/>
            <w:vAlign w:val="center"/>
          </w:tcPr>
          <w:p w14:paraId="1C9990D1">
            <w:pPr>
              <w:jc w:val="center"/>
              <w:rPr>
                <w:rFonts w:hint="eastAsia"/>
                <w:color w:val="auto"/>
                <w:szCs w:val="21"/>
                <w:highlight w:val="none"/>
              </w:rPr>
            </w:pPr>
            <w:r>
              <w:rPr>
                <w:rFonts w:hint="eastAsia"/>
                <w:color w:val="auto"/>
                <w:szCs w:val="21"/>
                <w:highlight w:val="none"/>
              </w:rPr>
              <w:t>序号</w:t>
            </w:r>
          </w:p>
        </w:tc>
        <w:tc>
          <w:tcPr>
            <w:tcW w:w="2175" w:type="dxa"/>
            <w:vMerge w:val="restart"/>
            <w:vAlign w:val="center"/>
          </w:tcPr>
          <w:p w14:paraId="0E6CBF03">
            <w:pPr>
              <w:jc w:val="center"/>
              <w:rPr>
                <w:rFonts w:hint="eastAsia"/>
                <w:color w:val="auto"/>
                <w:szCs w:val="21"/>
                <w:highlight w:val="none"/>
              </w:rPr>
            </w:pPr>
            <w:r>
              <w:rPr>
                <w:rFonts w:hint="eastAsia"/>
                <w:color w:val="auto"/>
                <w:szCs w:val="21"/>
                <w:highlight w:val="none"/>
              </w:rPr>
              <w:t>采购内容</w:t>
            </w:r>
          </w:p>
        </w:tc>
        <w:tc>
          <w:tcPr>
            <w:tcW w:w="1213" w:type="dxa"/>
            <w:vMerge w:val="restart"/>
            <w:vAlign w:val="center"/>
          </w:tcPr>
          <w:p w14:paraId="0854ECDE">
            <w:pPr>
              <w:jc w:val="center"/>
              <w:rPr>
                <w:rFonts w:hint="eastAsia"/>
                <w:color w:val="auto"/>
                <w:szCs w:val="21"/>
                <w:highlight w:val="none"/>
              </w:rPr>
            </w:pPr>
            <w:r>
              <w:rPr>
                <w:rFonts w:hint="eastAsia"/>
                <w:color w:val="auto"/>
                <w:szCs w:val="21"/>
                <w:highlight w:val="none"/>
              </w:rPr>
              <w:t>数量</w:t>
            </w:r>
          </w:p>
        </w:tc>
        <w:tc>
          <w:tcPr>
            <w:tcW w:w="3665" w:type="dxa"/>
            <w:gridSpan w:val="3"/>
            <w:vAlign w:val="center"/>
          </w:tcPr>
          <w:p w14:paraId="150E974E">
            <w:pPr>
              <w:jc w:val="center"/>
              <w:rPr>
                <w:rFonts w:hint="eastAsia"/>
                <w:color w:val="auto"/>
                <w:szCs w:val="21"/>
                <w:highlight w:val="none"/>
              </w:rPr>
            </w:pPr>
            <w:r>
              <w:rPr>
                <w:rFonts w:hint="eastAsia"/>
                <w:color w:val="auto"/>
                <w:szCs w:val="21"/>
                <w:highlight w:val="none"/>
                <w:lang w:val="en-US" w:eastAsia="zh-CN"/>
              </w:rPr>
              <w:t>单价（元/人）</w:t>
            </w:r>
          </w:p>
        </w:tc>
        <w:tc>
          <w:tcPr>
            <w:tcW w:w="1377" w:type="dxa"/>
            <w:vMerge w:val="restart"/>
            <w:vAlign w:val="center"/>
          </w:tcPr>
          <w:p w14:paraId="74BB3A3B">
            <w:pPr>
              <w:jc w:val="center"/>
              <w:rPr>
                <w:rFonts w:hint="eastAsia" w:eastAsia="宋体"/>
                <w:color w:val="auto"/>
                <w:szCs w:val="21"/>
                <w:highlight w:val="none"/>
                <w:lang w:eastAsia="zh-CN"/>
              </w:rPr>
            </w:pPr>
            <w:r>
              <w:rPr>
                <w:rFonts w:hint="eastAsia"/>
                <w:color w:val="auto"/>
                <w:szCs w:val="21"/>
                <w:highlight w:val="none"/>
              </w:rPr>
              <w:t>小计</w:t>
            </w:r>
            <w:r>
              <w:rPr>
                <w:rFonts w:hint="eastAsia"/>
                <w:color w:val="auto"/>
                <w:szCs w:val="21"/>
                <w:highlight w:val="none"/>
                <w:lang w:eastAsia="zh-CN"/>
              </w:rPr>
              <w:t>（</w:t>
            </w:r>
            <w:r>
              <w:rPr>
                <w:rFonts w:hint="eastAsia"/>
                <w:color w:val="auto"/>
                <w:szCs w:val="21"/>
                <w:highlight w:val="none"/>
                <w:lang w:val="en-US" w:eastAsia="zh-CN"/>
              </w:rPr>
              <w:t>元</w:t>
            </w:r>
            <w:r>
              <w:rPr>
                <w:rFonts w:hint="eastAsia"/>
                <w:color w:val="auto"/>
                <w:szCs w:val="21"/>
                <w:highlight w:val="none"/>
                <w:lang w:eastAsia="zh-CN"/>
              </w:rPr>
              <w:t>）</w:t>
            </w:r>
          </w:p>
        </w:tc>
      </w:tr>
      <w:tr w14:paraId="0743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6" w:type="dxa"/>
            <w:vMerge w:val="continue"/>
            <w:vAlign w:val="center"/>
          </w:tcPr>
          <w:p w14:paraId="6273C069">
            <w:pPr>
              <w:jc w:val="center"/>
              <w:rPr>
                <w:rFonts w:hint="eastAsia" w:ascii="宋体" w:hAnsi="宋体" w:cs="宋体"/>
                <w:color w:val="auto"/>
                <w:szCs w:val="21"/>
                <w:highlight w:val="none"/>
              </w:rPr>
            </w:pPr>
          </w:p>
        </w:tc>
        <w:tc>
          <w:tcPr>
            <w:tcW w:w="2175" w:type="dxa"/>
            <w:vMerge w:val="continue"/>
            <w:vAlign w:val="center"/>
          </w:tcPr>
          <w:p w14:paraId="1B2420B1">
            <w:pPr>
              <w:jc w:val="center"/>
              <w:rPr>
                <w:rFonts w:hint="eastAsia" w:ascii="宋体" w:hAnsi="宋体" w:cs="宋体"/>
                <w:color w:val="auto"/>
                <w:szCs w:val="21"/>
                <w:highlight w:val="none"/>
              </w:rPr>
            </w:pPr>
          </w:p>
        </w:tc>
        <w:tc>
          <w:tcPr>
            <w:tcW w:w="1213" w:type="dxa"/>
            <w:vMerge w:val="continue"/>
            <w:vAlign w:val="center"/>
          </w:tcPr>
          <w:p w14:paraId="37539889">
            <w:pPr>
              <w:jc w:val="center"/>
              <w:rPr>
                <w:rFonts w:hint="eastAsia" w:ascii="宋体" w:hAnsi="宋体" w:cs="宋体"/>
                <w:color w:val="auto"/>
                <w:szCs w:val="21"/>
                <w:highlight w:val="none"/>
              </w:rPr>
            </w:pPr>
          </w:p>
        </w:tc>
        <w:tc>
          <w:tcPr>
            <w:tcW w:w="1221" w:type="dxa"/>
            <w:vAlign w:val="center"/>
          </w:tcPr>
          <w:p w14:paraId="6EA3130C">
            <w:pPr>
              <w:jc w:val="center"/>
              <w:rPr>
                <w:rFonts w:hint="default"/>
                <w:color w:val="auto"/>
                <w:szCs w:val="21"/>
                <w:highlight w:val="none"/>
                <w:lang w:val="en-US" w:eastAsia="zh-CN"/>
              </w:rPr>
            </w:pPr>
            <w:r>
              <w:rPr>
                <w:rFonts w:hint="eastAsia"/>
                <w:color w:val="auto"/>
                <w:szCs w:val="21"/>
                <w:highlight w:val="none"/>
                <w:lang w:val="en-US" w:eastAsia="zh-CN"/>
              </w:rPr>
              <w:t>用工费用</w:t>
            </w:r>
          </w:p>
        </w:tc>
        <w:tc>
          <w:tcPr>
            <w:tcW w:w="1226" w:type="dxa"/>
            <w:vAlign w:val="center"/>
          </w:tcPr>
          <w:p w14:paraId="1FDE5496">
            <w:pPr>
              <w:jc w:val="center"/>
              <w:rPr>
                <w:rFonts w:hint="default"/>
                <w:color w:val="auto"/>
                <w:szCs w:val="21"/>
                <w:highlight w:val="none"/>
                <w:lang w:val="en-US" w:eastAsia="zh-CN"/>
              </w:rPr>
            </w:pPr>
            <w:r>
              <w:rPr>
                <w:rFonts w:hint="eastAsia"/>
                <w:color w:val="auto"/>
                <w:szCs w:val="21"/>
                <w:highlight w:val="none"/>
                <w:lang w:val="en-US" w:eastAsia="zh-CN"/>
              </w:rPr>
              <w:t>管理费</w:t>
            </w:r>
          </w:p>
        </w:tc>
        <w:tc>
          <w:tcPr>
            <w:tcW w:w="1218" w:type="dxa"/>
            <w:vAlign w:val="center"/>
          </w:tcPr>
          <w:p w14:paraId="615EF0CF">
            <w:pPr>
              <w:jc w:val="center"/>
              <w:rPr>
                <w:rFonts w:hint="default"/>
                <w:color w:val="auto"/>
                <w:szCs w:val="21"/>
                <w:highlight w:val="none"/>
                <w:lang w:val="en-US" w:eastAsia="zh-CN"/>
              </w:rPr>
            </w:pPr>
            <w:r>
              <w:rPr>
                <w:rFonts w:hint="eastAsia"/>
                <w:color w:val="auto"/>
                <w:szCs w:val="21"/>
                <w:highlight w:val="none"/>
                <w:lang w:val="en-US" w:eastAsia="zh-CN"/>
              </w:rPr>
              <w:t>税金</w:t>
            </w:r>
          </w:p>
        </w:tc>
        <w:tc>
          <w:tcPr>
            <w:tcW w:w="1377" w:type="dxa"/>
            <w:vMerge w:val="continue"/>
            <w:vAlign w:val="center"/>
          </w:tcPr>
          <w:p w14:paraId="31E61ACE">
            <w:pPr>
              <w:jc w:val="center"/>
              <w:rPr>
                <w:rFonts w:hint="eastAsia" w:ascii="宋体" w:hAnsi="宋体" w:cs="宋体"/>
                <w:color w:val="auto"/>
                <w:szCs w:val="21"/>
                <w:highlight w:val="none"/>
              </w:rPr>
            </w:pPr>
          </w:p>
        </w:tc>
      </w:tr>
      <w:tr w14:paraId="1E2E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6" w:type="dxa"/>
            <w:vAlign w:val="center"/>
          </w:tcPr>
          <w:p w14:paraId="61F35186">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175" w:type="dxa"/>
            <w:vAlign w:val="center"/>
          </w:tcPr>
          <w:p w14:paraId="632FF909">
            <w:pPr>
              <w:adjustRightInd/>
              <w:spacing w:line="560" w:lineRule="exact"/>
              <w:jc w:val="center"/>
              <w:rPr>
                <w:rFonts w:hint="eastAsia" w:ascii="宋体" w:hAnsi="宋体" w:cs="宋体"/>
                <w:color w:val="auto"/>
                <w:szCs w:val="21"/>
                <w:highlight w:val="none"/>
              </w:rPr>
            </w:pPr>
          </w:p>
        </w:tc>
        <w:tc>
          <w:tcPr>
            <w:tcW w:w="1213" w:type="dxa"/>
            <w:vAlign w:val="center"/>
          </w:tcPr>
          <w:p w14:paraId="788C7EEA">
            <w:pPr>
              <w:adjustRightInd/>
              <w:spacing w:line="560" w:lineRule="exact"/>
              <w:jc w:val="center"/>
              <w:rPr>
                <w:rFonts w:hint="eastAsia" w:ascii="宋体" w:hAnsi="宋体" w:cs="宋体"/>
                <w:color w:val="auto"/>
                <w:szCs w:val="21"/>
                <w:highlight w:val="none"/>
              </w:rPr>
            </w:pPr>
          </w:p>
        </w:tc>
        <w:tc>
          <w:tcPr>
            <w:tcW w:w="1221" w:type="dxa"/>
            <w:vAlign w:val="center"/>
          </w:tcPr>
          <w:p w14:paraId="7FC27D54">
            <w:pPr>
              <w:jc w:val="center"/>
              <w:rPr>
                <w:rFonts w:hint="eastAsia"/>
                <w:color w:val="auto"/>
                <w:szCs w:val="21"/>
                <w:highlight w:val="none"/>
              </w:rPr>
            </w:pPr>
          </w:p>
        </w:tc>
        <w:tc>
          <w:tcPr>
            <w:tcW w:w="1226" w:type="dxa"/>
            <w:vAlign w:val="center"/>
          </w:tcPr>
          <w:p w14:paraId="7D4BA543">
            <w:pPr>
              <w:jc w:val="center"/>
              <w:rPr>
                <w:rFonts w:hint="eastAsia"/>
                <w:color w:val="auto"/>
                <w:szCs w:val="21"/>
                <w:highlight w:val="none"/>
              </w:rPr>
            </w:pPr>
          </w:p>
        </w:tc>
        <w:tc>
          <w:tcPr>
            <w:tcW w:w="1218" w:type="dxa"/>
            <w:vAlign w:val="center"/>
          </w:tcPr>
          <w:p w14:paraId="1224A698">
            <w:pPr>
              <w:jc w:val="center"/>
              <w:rPr>
                <w:rFonts w:hint="eastAsia"/>
                <w:color w:val="auto"/>
                <w:szCs w:val="21"/>
                <w:highlight w:val="none"/>
              </w:rPr>
            </w:pPr>
          </w:p>
        </w:tc>
        <w:tc>
          <w:tcPr>
            <w:tcW w:w="1377" w:type="dxa"/>
            <w:vAlign w:val="center"/>
          </w:tcPr>
          <w:p w14:paraId="756BE609">
            <w:pPr>
              <w:jc w:val="center"/>
              <w:rPr>
                <w:rFonts w:hint="eastAsia" w:ascii="宋体" w:hAnsi="宋体" w:cs="宋体"/>
                <w:color w:val="auto"/>
                <w:szCs w:val="21"/>
                <w:highlight w:val="none"/>
              </w:rPr>
            </w:pPr>
          </w:p>
        </w:tc>
      </w:tr>
      <w:tr w14:paraId="46B8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6" w:type="dxa"/>
            <w:vAlign w:val="center"/>
          </w:tcPr>
          <w:p w14:paraId="1078A6E1">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w:t>
            </w:r>
          </w:p>
        </w:tc>
        <w:tc>
          <w:tcPr>
            <w:tcW w:w="2175" w:type="dxa"/>
            <w:vAlign w:val="center"/>
          </w:tcPr>
          <w:p w14:paraId="1769C81F">
            <w:pPr>
              <w:adjustRightInd/>
              <w:spacing w:line="560" w:lineRule="exact"/>
              <w:jc w:val="center"/>
              <w:rPr>
                <w:rFonts w:hint="eastAsia" w:ascii="宋体" w:hAnsi="宋体" w:eastAsia="宋体" w:cs="宋体"/>
                <w:color w:val="auto"/>
                <w:kern w:val="2"/>
                <w:sz w:val="21"/>
                <w:szCs w:val="21"/>
                <w:highlight w:val="none"/>
                <w:lang w:val="en-US" w:eastAsia="zh-CN" w:bidi="ar-SA"/>
              </w:rPr>
            </w:pPr>
          </w:p>
        </w:tc>
        <w:tc>
          <w:tcPr>
            <w:tcW w:w="1213" w:type="dxa"/>
            <w:vAlign w:val="center"/>
          </w:tcPr>
          <w:p w14:paraId="4E941CEE">
            <w:pPr>
              <w:adjustRightInd/>
              <w:spacing w:line="560" w:lineRule="exact"/>
              <w:jc w:val="center"/>
              <w:rPr>
                <w:rFonts w:hint="eastAsia" w:ascii="宋体" w:hAnsi="宋体" w:eastAsia="宋体" w:cs="宋体"/>
                <w:color w:val="auto"/>
                <w:kern w:val="2"/>
                <w:sz w:val="21"/>
                <w:szCs w:val="21"/>
                <w:highlight w:val="none"/>
                <w:lang w:val="en-US" w:eastAsia="zh-CN" w:bidi="ar-SA"/>
              </w:rPr>
            </w:pPr>
          </w:p>
        </w:tc>
        <w:tc>
          <w:tcPr>
            <w:tcW w:w="1221" w:type="dxa"/>
            <w:vAlign w:val="center"/>
          </w:tcPr>
          <w:p w14:paraId="278C0295">
            <w:pPr>
              <w:jc w:val="center"/>
              <w:rPr>
                <w:rFonts w:hint="eastAsia"/>
                <w:color w:val="auto"/>
                <w:szCs w:val="21"/>
                <w:highlight w:val="none"/>
              </w:rPr>
            </w:pPr>
          </w:p>
        </w:tc>
        <w:tc>
          <w:tcPr>
            <w:tcW w:w="1226" w:type="dxa"/>
            <w:vAlign w:val="center"/>
          </w:tcPr>
          <w:p w14:paraId="54AD735C">
            <w:pPr>
              <w:jc w:val="center"/>
              <w:rPr>
                <w:rFonts w:hint="eastAsia"/>
                <w:color w:val="auto"/>
                <w:szCs w:val="21"/>
                <w:highlight w:val="none"/>
              </w:rPr>
            </w:pPr>
          </w:p>
        </w:tc>
        <w:tc>
          <w:tcPr>
            <w:tcW w:w="1218" w:type="dxa"/>
            <w:vAlign w:val="center"/>
          </w:tcPr>
          <w:p w14:paraId="5FC1ED5D">
            <w:pPr>
              <w:jc w:val="center"/>
              <w:rPr>
                <w:rFonts w:hint="eastAsia"/>
                <w:color w:val="auto"/>
                <w:szCs w:val="21"/>
                <w:highlight w:val="none"/>
              </w:rPr>
            </w:pPr>
          </w:p>
        </w:tc>
        <w:tc>
          <w:tcPr>
            <w:tcW w:w="1377" w:type="dxa"/>
            <w:vAlign w:val="center"/>
          </w:tcPr>
          <w:p w14:paraId="0FBC0F84">
            <w:pPr>
              <w:jc w:val="center"/>
              <w:rPr>
                <w:rFonts w:hint="eastAsia" w:ascii="宋体" w:hAnsi="宋体" w:cs="宋体"/>
                <w:color w:val="auto"/>
                <w:szCs w:val="21"/>
                <w:highlight w:val="none"/>
              </w:rPr>
            </w:pPr>
          </w:p>
        </w:tc>
      </w:tr>
      <w:tr w14:paraId="76D7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6" w:type="dxa"/>
            <w:vAlign w:val="center"/>
          </w:tcPr>
          <w:p w14:paraId="75A3805F">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w:t>
            </w:r>
          </w:p>
        </w:tc>
        <w:tc>
          <w:tcPr>
            <w:tcW w:w="2175" w:type="dxa"/>
            <w:vAlign w:val="center"/>
          </w:tcPr>
          <w:p w14:paraId="65A7E5B0">
            <w:pPr>
              <w:adjustRightInd/>
              <w:spacing w:line="560" w:lineRule="exact"/>
              <w:jc w:val="center"/>
              <w:rPr>
                <w:rFonts w:hint="eastAsia" w:ascii="宋体" w:hAnsi="宋体" w:eastAsia="宋体" w:cs="宋体"/>
                <w:color w:val="auto"/>
                <w:kern w:val="2"/>
                <w:sz w:val="21"/>
                <w:szCs w:val="21"/>
                <w:highlight w:val="none"/>
                <w:lang w:val="en-US" w:eastAsia="zh-CN" w:bidi="ar-SA"/>
              </w:rPr>
            </w:pPr>
          </w:p>
        </w:tc>
        <w:tc>
          <w:tcPr>
            <w:tcW w:w="1213" w:type="dxa"/>
            <w:vAlign w:val="center"/>
          </w:tcPr>
          <w:p w14:paraId="3015004A">
            <w:pPr>
              <w:adjustRightInd/>
              <w:spacing w:line="560" w:lineRule="exact"/>
              <w:jc w:val="center"/>
              <w:rPr>
                <w:rFonts w:hint="eastAsia" w:ascii="宋体" w:hAnsi="宋体" w:eastAsia="宋体" w:cs="宋体"/>
                <w:color w:val="auto"/>
                <w:kern w:val="2"/>
                <w:sz w:val="21"/>
                <w:szCs w:val="21"/>
                <w:highlight w:val="none"/>
                <w:lang w:val="en-US" w:eastAsia="zh-CN" w:bidi="ar-SA"/>
              </w:rPr>
            </w:pPr>
          </w:p>
        </w:tc>
        <w:tc>
          <w:tcPr>
            <w:tcW w:w="1221" w:type="dxa"/>
            <w:vAlign w:val="center"/>
          </w:tcPr>
          <w:p w14:paraId="1F41B1F2">
            <w:pPr>
              <w:jc w:val="center"/>
              <w:rPr>
                <w:rFonts w:hint="eastAsia"/>
                <w:color w:val="auto"/>
                <w:szCs w:val="21"/>
                <w:highlight w:val="none"/>
              </w:rPr>
            </w:pPr>
          </w:p>
        </w:tc>
        <w:tc>
          <w:tcPr>
            <w:tcW w:w="1226" w:type="dxa"/>
            <w:vAlign w:val="center"/>
          </w:tcPr>
          <w:p w14:paraId="67104531">
            <w:pPr>
              <w:jc w:val="center"/>
              <w:rPr>
                <w:rFonts w:hint="eastAsia"/>
                <w:color w:val="auto"/>
                <w:szCs w:val="21"/>
                <w:highlight w:val="none"/>
              </w:rPr>
            </w:pPr>
          </w:p>
        </w:tc>
        <w:tc>
          <w:tcPr>
            <w:tcW w:w="1218" w:type="dxa"/>
            <w:vAlign w:val="center"/>
          </w:tcPr>
          <w:p w14:paraId="1A332F0D">
            <w:pPr>
              <w:jc w:val="center"/>
              <w:rPr>
                <w:rFonts w:hint="eastAsia"/>
                <w:color w:val="auto"/>
                <w:szCs w:val="21"/>
                <w:highlight w:val="none"/>
              </w:rPr>
            </w:pPr>
          </w:p>
        </w:tc>
        <w:tc>
          <w:tcPr>
            <w:tcW w:w="1377" w:type="dxa"/>
            <w:vAlign w:val="center"/>
          </w:tcPr>
          <w:p w14:paraId="32DB2C09">
            <w:pPr>
              <w:jc w:val="center"/>
              <w:rPr>
                <w:rFonts w:hint="eastAsia" w:ascii="宋体" w:hAnsi="宋体" w:cs="宋体"/>
                <w:color w:val="auto"/>
                <w:szCs w:val="21"/>
                <w:highlight w:val="none"/>
              </w:rPr>
            </w:pPr>
          </w:p>
        </w:tc>
      </w:tr>
      <w:tr w14:paraId="1AC1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6" w:type="dxa"/>
            <w:vAlign w:val="center"/>
          </w:tcPr>
          <w:p w14:paraId="67C3299B">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2175" w:type="dxa"/>
            <w:vAlign w:val="center"/>
          </w:tcPr>
          <w:p w14:paraId="474936D9">
            <w:pPr>
              <w:adjustRightInd/>
              <w:spacing w:line="560" w:lineRule="exact"/>
              <w:jc w:val="center"/>
              <w:rPr>
                <w:rFonts w:hint="eastAsia" w:ascii="宋体" w:hAnsi="宋体" w:eastAsia="宋体" w:cs="宋体"/>
                <w:color w:val="auto"/>
                <w:kern w:val="2"/>
                <w:sz w:val="21"/>
                <w:szCs w:val="21"/>
                <w:highlight w:val="none"/>
                <w:lang w:val="en-US" w:eastAsia="zh-CN" w:bidi="ar-SA"/>
              </w:rPr>
            </w:pPr>
          </w:p>
        </w:tc>
        <w:tc>
          <w:tcPr>
            <w:tcW w:w="1213" w:type="dxa"/>
            <w:vAlign w:val="center"/>
          </w:tcPr>
          <w:p w14:paraId="001CF00D">
            <w:pPr>
              <w:adjustRightInd/>
              <w:spacing w:line="560" w:lineRule="exact"/>
              <w:jc w:val="center"/>
              <w:rPr>
                <w:rFonts w:hint="eastAsia" w:ascii="宋体" w:hAnsi="宋体" w:eastAsia="宋体" w:cs="宋体"/>
                <w:color w:val="auto"/>
                <w:kern w:val="2"/>
                <w:sz w:val="21"/>
                <w:szCs w:val="21"/>
                <w:highlight w:val="none"/>
                <w:lang w:val="en-US" w:eastAsia="zh-CN" w:bidi="ar-SA"/>
              </w:rPr>
            </w:pPr>
          </w:p>
        </w:tc>
        <w:tc>
          <w:tcPr>
            <w:tcW w:w="1221" w:type="dxa"/>
            <w:vAlign w:val="center"/>
          </w:tcPr>
          <w:p w14:paraId="08475ADF">
            <w:pPr>
              <w:jc w:val="center"/>
              <w:rPr>
                <w:rFonts w:hint="eastAsia"/>
                <w:color w:val="auto"/>
                <w:szCs w:val="21"/>
                <w:highlight w:val="none"/>
              </w:rPr>
            </w:pPr>
          </w:p>
        </w:tc>
        <w:tc>
          <w:tcPr>
            <w:tcW w:w="1226" w:type="dxa"/>
            <w:vAlign w:val="center"/>
          </w:tcPr>
          <w:p w14:paraId="29B33133">
            <w:pPr>
              <w:jc w:val="center"/>
              <w:rPr>
                <w:rFonts w:hint="eastAsia"/>
                <w:color w:val="auto"/>
                <w:szCs w:val="21"/>
                <w:highlight w:val="none"/>
              </w:rPr>
            </w:pPr>
          </w:p>
        </w:tc>
        <w:tc>
          <w:tcPr>
            <w:tcW w:w="1218" w:type="dxa"/>
            <w:vAlign w:val="center"/>
          </w:tcPr>
          <w:p w14:paraId="0556D5FA">
            <w:pPr>
              <w:jc w:val="center"/>
              <w:rPr>
                <w:rFonts w:hint="eastAsia"/>
                <w:color w:val="auto"/>
                <w:szCs w:val="21"/>
                <w:highlight w:val="none"/>
              </w:rPr>
            </w:pPr>
          </w:p>
        </w:tc>
        <w:tc>
          <w:tcPr>
            <w:tcW w:w="1377" w:type="dxa"/>
            <w:vAlign w:val="center"/>
          </w:tcPr>
          <w:p w14:paraId="3E92E6EB">
            <w:pPr>
              <w:jc w:val="center"/>
              <w:rPr>
                <w:rFonts w:hint="eastAsia" w:ascii="宋体" w:hAnsi="宋体" w:cs="宋体"/>
                <w:color w:val="auto"/>
                <w:szCs w:val="21"/>
                <w:highlight w:val="none"/>
              </w:rPr>
            </w:pPr>
          </w:p>
        </w:tc>
      </w:tr>
      <w:tr w14:paraId="6705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114" w:type="dxa"/>
            <w:gridSpan w:val="3"/>
            <w:vAlign w:val="center"/>
          </w:tcPr>
          <w:p w14:paraId="6CB9874F">
            <w:pPr>
              <w:jc w:val="center"/>
              <w:rPr>
                <w:rFonts w:hint="eastAsia"/>
                <w:color w:val="auto"/>
                <w:szCs w:val="21"/>
                <w:highlight w:val="none"/>
              </w:rPr>
            </w:pPr>
            <w:r>
              <w:rPr>
                <w:rFonts w:hint="eastAsia"/>
                <w:color w:val="auto"/>
                <w:szCs w:val="21"/>
                <w:highlight w:val="none"/>
              </w:rPr>
              <w:t>合计（元/年）</w:t>
            </w:r>
          </w:p>
        </w:tc>
        <w:tc>
          <w:tcPr>
            <w:tcW w:w="5042" w:type="dxa"/>
            <w:gridSpan w:val="4"/>
            <w:vAlign w:val="center"/>
          </w:tcPr>
          <w:p w14:paraId="03CC935B">
            <w:pPr>
              <w:jc w:val="center"/>
              <w:rPr>
                <w:rFonts w:hint="eastAsia"/>
                <w:color w:val="auto"/>
                <w:szCs w:val="21"/>
                <w:highlight w:val="none"/>
              </w:rPr>
            </w:pPr>
          </w:p>
        </w:tc>
      </w:tr>
    </w:tbl>
    <w:p w14:paraId="5F9CE765">
      <w:pPr>
        <w:pStyle w:val="33"/>
        <w:snapToGrid w:val="0"/>
        <w:rPr>
          <w:rFonts w:hint="default" w:hAnsi="宋体" w:eastAsia="宋体" w:cs="宋体"/>
          <w:color w:val="auto"/>
          <w:highlight w:val="none"/>
          <w:lang w:val="en-US" w:eastAsia="zh-CN"/>
        </w:rPr>
      </w:pPr>
    </w:p>
    <w:p w14:paraId="571EC9DC">
      <w:pPr>
        <w:rPr>
          <w:rFonts w:hint="eastAsia"/>
          <w:color w:val="auto"/>
          <w:highlight w:val="none"/>
        </w:rPr>
      </w:pPr>
    </w:p>
    <w:p w14:paraId="68784FD4">
      <w:pPr>
        <w:snapToGrid w:val="0"/>
        <w:spacing w:line="360" w:lineRule="auto"/>
        <w:ind w:firstLine="420" w:firstLineChars="200"/>
        <w:jc w:val="left"/>
        <w:rPr>
          <w:rFonts w:hint="default" w:ascii="宋体" w:hAnsi="宋体" w:eastAsia="宋体" w:cs="宋体"/>
          <w:color w:val="auto"/>
          <w:szCs w:val="21"/>
          <w:highlight w:val="none"/>
          <w:lang w:val="en-US" w:eastAsia="zh-CN"/>
        </w:rPr>
      </w:pPr>
    </w:p>
    <w:p w14:paraId="63CD6C25">
      <w:pPr>
        <w:pStyle w:val="2"/>
        <w:rPr>
          <w:color w:val="auto"/>
          <w:highlight w:val="none"/>
          <w:lang w:val="zh-CN"/>
        </w:rPr>
      </w:pPr>
    </w:p>
    <w:p w14:paraId="2B87C0E9">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供应商名称（电子签名）：                                                                                                                                                                           </w:t>
      </w:r>
    </w:p>
    <w:p w14:paraId="2CDFE402">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C44BA44">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7BFE35EB">
      <w:pPr>
        <w:pStyle w:val="693"/>
        <w:keepNext w:val="0"/>
        <w:pageBreakBefore w:val="0"/>
        <w:tabs>
          <w:tab w:val="clear" w:pos="720"/>
        </w:tabs>
        <w:snapToGrid w:val="0"/>
        <w:spacing w:before="120" w:after="120"/>
        <w:ind w:firstLine="643"/>
        <w:outlineLvl w:val="9"/>
        <w:rPr>
          <w:rFonts w:hint="eastAsia" w:ascii="宋体" w:hAnsi="宋体" w:eastAsia="宋体" w:cs="宋体"/>
          <w:b w:val="0"/>
          <w:color w:val="auto"/>
          <w:sz w:val="32"/>
          <w:szCs w:val="32"/>
          <w:highlight w:val="none"/>
        </w:rPr>
      </w:pPr>
    </w:p>
    <w:p w14:paraId="00ED2101">
      <w:pPr>
        <w:spacing w:line="360" w:lineRule="auto"/>
        <w:ind w:right="420" w:firstLine="3614" w:firstLineChars="1000"/>
        <w:rPr>
          <w:rFonts w:hint="eastAsia" w:ascii="宋体" w:hAnsi="宋体" w:eastAsia="宋体" w:cs="宋体"/>
          <w:b/>
          <w:color w:val="auto"/>
          <w:kern w:val="0"/>
          <w:sz w:val="36"/>
          <w:szCs w:val="36"/>
          <w:highlight w:val="none"/>
        </w:rPr>
      </w:pPr>
    </w:p>
    <w:p w14:paraId="18FF91B2">
      <w:pPr>
        <w:spacing w:line="360" w:lineRule="auto"/>
        <w:ind w:right="420" w:firstLine="3614" w:firstLineChars="1000"/>
        <w:rPr>
          <w:rFonts w:hint="eastAsia" w:ascii="宋体" w:hAnsi="宋体" w:eastAsia="宋体" w:cs="宋体"/>
          <w:b/>
          <w:color w:val="auto"/>
          <w:kern w:val="0"/>
          <w:sz w:val="36"/>
          <w:szCs w:val="36"/>
          <w:highlight w:val="none"/>
        </w:rPr>
      </w:pPr>
    </w:p>
    <w:p w14:paraId="1029186D">
      <w:pPr>
        <w:spacing w:line="360" w:lineRule="auto"/>
        <w:ind w:right="420" w:firstLine="3614" w:firstLineChars="1000"/>
        <w:rPr>
          <w:rFonts w:hint="eastAsia" w:ascii="宋体" w:hAnsi="宋体" w:eastAsia="宋体" w:cs="宋体"/>
          <w:b/>
          <w:color w:val="auto"/>
          <w:kern w:val="0"/>
          <w:sz w:val="36"/>
          <w:szCs w:val="36"/>
          <w:highlight w:val="none"/>
        </w:rPr>
      </w:pPr>
    </w:p>
    <w:p w14:paraId="58B3C70D">
      <w:pPr>
        <w:spacing w:line="360" w:lineRule="auto"/>
        <w:ind w:right="420" w:firstLine="3614" w:firstLineChars="1000"/>
        <w:rPr>
          <w:rFonts w:hint="eastAsia" w:ascii="宋体" w:hAnsi="宋体" w:eastAsia="宋体" w:cs="宋体"/>
          <w:b/>
          <w:color w:val="auto"/>
          <w:kern w:val="0"/>
          <w:sz w:val="36"/>
          <w:szCs w:val="36"/>
          <w:highlight w:val="none"/>
        </w:rPr>
      </w:pPr>
    </w:p>
    <w:p w14:paraId="39311A5D">
      <w:pPr>
        <w:spacing w:line="360" w:lineRule="auto"/>
        <w:ind w:right="420" w:firstLine="3614" w:firstLineChars="1000"/>
        <w:rPr>
          <w:rFonts w:hint="eastAsia" w:ascii="宋体" w:hAnsi="宋体" w:eastAsia="宋体" w:cs="宋体"/>
          <w:b/>
          <w:color w:val="auto"/>
          <w:kern w:val="0"/>
          <w:sz w:val="36"/>
          <w:szCs w:val="36"/>
          <w:highlight w:val="none"/>
        </w:rPr>
      </w:pPr>
    </w:p>
    <w:p w14:paraId="74A29952">
      <w:pPr>
        <w:spacing w:line="360" w:lineRule="auto"/>
        <w:ind w:right="420" w:firstLine="3614" w:firstLineChars="1000"/>
        <w:rPr>
          <w:rFonts w:hint="eastAsia" w:ascii="宋体" w:hAnsi="宋体" w:eastAsia="宋体" w:cs="宋体"/>
          <w:b/>
          <w:color w:val="auto"/>
          <w:kern w:val="0"/>
          <w:sz w:val="36"/>
          <w:szCs w:val="36"/>
          <w:highlight w:val="none"/>
        </w:rPr>
      </w:pPr>
    </w:p>
    <w:p w14:paraId="3808F9C3">
      <w:pPr>
        <w:rPr>
          <w:rFonts w:hint="eastAsia" w:ascii="宋体" w:hAnsi="宋体" w:eastAsia="宋体" w:cs="宋体"/>
          <w:color w:val="auto"/>
          <w:highlight w:val="none"/>
        </w:rPr>
      </w:pPr>
    </w:p>
    <w:p w14:paraId="32261079">
      <w:pPr>
        <w:jc w:val="center"/>
        <w:rPr>
          <w:rFonts w:hint="eastAsia" w:ascii="宋体" w:hAnsi="宋体" w:eastAsia="宋体" w:cs="宋体"/>
          <w:b/>
          <w:bCs/>
          <w:color w:val="auto"/>
          <w:sz w:val="44"/>
          <w:szCs w:val="44"/>
          <w:highlight w:val="none"/>
        </w:rPr>
      </w:pPr>
      <w:bookmarkStart w:id="562" w:name="_Toc465665161"/>
      <w:bookmarkStart w:id="563" w:name="_Toc20847"/>
      <w:r>
        <w:rPr>
          <w:rFonts w:hint="eastAsia" w:ascii="宋体" w:hAnsi="宋体" w:eastAsia="宋体" w:cs="宋体"/>
          <w:b/>
          <w:bCs/>
          <w:color w:val="auto"/>
          <w:sz w:val="44"/>
          <w:szCs w:val="44"/>
          <w:highlight w:val="none"/>
        </w:rPr>
        <w:t>附件</w:t>
      </w:r>
      <w:bookmarkEnd w:id="562"/>
      <w:bookmarkEnd w:id="563"/>
    </w:p>
    <w:p w14:paraId="469168F9">
      <w:pPr>
        <w:spacing w:line="360" w:lineRule="auto"/>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14:paraId="51FD25B0">
      <w:pPr>
        <w:spacing w:line="360" w:lineRule="auto"/>
        <w:jc w:val="center"/>
        <w:rPr>
          <w:rFonts w:hint="eastAsia" w:ascii="宋体" w:hAnsi="宋体" w:eastAsia="宋体" w:cs="宋体"/>
          <w:b/>
          <w:color w:val="auto"/>
          <w:spacing w:val="6"/>
          <w:sz w:val="32"/>
          <w:szCs w:val="32"/>
          <w:highlight w:val="none"/>
        </w:rPr>
      </w:pPr>
      <w:bookmarkStart w:id="564" w:name="OLE_LINK13"/>
      <w:bookmarkStart w:id="565" w:name="OLE_LINK14"/>
      <w:r>
        <w:rPr>
          <w:rFonts w:hint="eastAsia" w:ascii="宋体" w:hAnsi="宋体" w:eastAsia="宋体" w:cs="宋体"/>
          <w:b/>
          <w:color w:val="auto"/>
          <w:spacing w:val="6"/>
          <w:sz w:val="32"/>
          <w:szCs w:val="32"/>
          <w:highlight w:val="none"/>
        </w:rPr>
        <w:t>残疾人福利性单位声明函</w:t>
      </w:r>
    </w:p>
    <w:bookmarkEnd w:id="564"/>
    <w:bookmarkEnd w:id="565"/>
    <w:p w14:paraId="47C695D8">
      <w:pPr>
        <w:spacing w:line="360" w:lineRule="auto"/>
        <w:rPr>
          <w:rFonts w:hint="eastAsia" w:ascii="宋体" w:hAnsi="宋体" w:eastAsia="宋体" w:cs="宋体"/>
          <w:b/>
          <w:color w:val="auto"/>
          <w:spacing w:val="6"/>
          <w:sz w:val="30"/>
          <w:szCs w:val="30"/>
          <w:highlight w:val="none"/>
        </w:rPr>
      </w:pPr>
    </w:p>
    <w:p w14:paraId="10F523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单位的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0400A0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DC4DF95">
      <w:pPr>
        <w:spacing w:line="360" w:lineRule="auto"/>
        <w:ind w:firstLine="480" w:firstLineChars="200"/>
        <w:rPr>
          <w:rFonts w:hint="eastAsia" w:ascii="宋体" w:hAnsi="宋体" w:eastAsia="宋体" w:cs="宋体"/>
          <w:color w:val="auto"/>
          <w:sz w:val="24"/>
          <w:highlight w:val="none"/>
        </w:rPr>
      </w:pPr>
    </w:p>
    <w:p w14:paraId="4C2B96B7">
      <w:pPr>
        <w:spacing w:line="360" w:lineRule="auto"/>
        <w:ind w:firstLine="480" w:firstLineChars="200"/>
        <w:rPr>
          <w:rFonts w:hint="eastAsia" w:ascii="宋体" w:hAnsi="宋体" w:eastAsia="宋体" w:cs="宋体"/>
          <w:color w:val="auto"/>
          <w:sz w:val="24"/>
          <w:highlight w:val="none"/>
        </w:rPr>
      </w:pPr>
    </w:p>
    <w:p w14:paraId="0AA00D11">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w:t>
      </w:r>
      <w:r>
        <w:rPr>
          <w:rFonts w:hint="eastAsia" w:ascii="宋体" w:hAnsi="宋体" w:eastAsia="宋体" w:cs="宋体"/>
          <w:color w:val="auto"/>
          <w:kern w:val="0"/>
          <w:sz w:val="24"/>
          <w:highlight w:val="none"/>
        </w:rPr>
        <w:t>章/公章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w:t>
      </w:r>
    </w:p>
    <w:p w14:paraId="2882BEE5">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20FC5750">
      <w:pPr>
        <w:spacing w:line="360" w:lineRule="auto"/>
        <w:ind w:firstLine="480" w:firstLineChars="200"/>
        <w:rPr>
          <w:rFonts w:hint="eastAsia" w:ascii="宋体" w:hAnsi="宋体" w:eastAsia="宋体" w:cs="宋体"/>
          <w:color w:val="auto"/>
          <w:sz w:val="24"/>
          <w:highlight w:val="none"/>
        </w:rPr>
      </w:pPr>
    </w:p>
    <w:p w14:paraId="681FB26B">
      <w:pPr>
        <w:spacing w:line="360" w:lineRule="auto"/>
        <w:ind w:firstLine="420" w:firstLineChars="200"/>
        <w:rPr>
          <w:rFonts w:hint="eastAsia" w:ascii="宋体" w:hAnsi="宋体" w:eastAsia="宋体" w:cs="宋体"/>
          <w:color w:val="auto"/>
          <w:highlight w:val="none"/>
        </w:rPr>
      </w:pPr>
    </w:p>
    <w:p w14:paraId="6DA327BD">
      <w:pPr>
        <w:spacing w:line="360" w:lineRule="auto"/>
        <w:ind w:firstLine="360" w:firstLineChars="200"/>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备注：享受政府采购支持政策的残疾人福利性单位应当同时满足以下条件：</w:t>
      </w:r>
    </w:p>
    <w:p w14:paraId="0C5547C4">
      <w:pPr>
        <w:spacing w:line="360" w:lineRule="auto"/>
        <w:ind w:firstLine="360" w:firstLineChars="200"/>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（一）安置的残疾人占本单位在职职工人数的比例不低于25%（含25%），并且安置的残疾人人数不少于10人（含10人）；</w:t>
      </w:r>
    </w:p>
    <w:p w14:paraId="195A52E6">
      <w:pPr>
        <w:spacing w:line="360" w:lineRule="auto"/>
        <w:ind w:firstLine="360" w:firstLineChars="200"/>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（二）依法与安置的每位残疾人签订了一年以上（含一年）的劳动合同或服务协议；</w:t>
      </w:r>
    </w:p>
    <w:p w14:paraId="3C91B51E">
      <w:pPr>
        <w:spacing w:line="360" w:lineRule="auto"/>
        <w:ind w:firstLine="360" w:firstLineChars="200"/>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（三）为安置的每位残疾人按月足额缴纳了基本养老保险、基本医疗保险、失业保险、工伤保险和生育保险等社会保险费；</w:t>
      </w:r>
    </w:p>
    <w:p w14:paraId="106470B0">
      <w:pPr>
        <w:spacing w:line="360" w:lineRule="auto"/>
        <w:ind w:firstLine="360" w:firstLineChars="200"/>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（四）通过银行等金融机构向安置的每位残疾人，按月支付了不低于单位所在区县适用的经省级人民政府批准的月最低工资标准的工资；</w:t>
      </w:r>
    </w:p>
    <w:p w14:paraId="169C22E6">
      <w:pPr>
        <w:spacing w:line="360" w:lineRule="auto"/>
        <w:ind w:firstLine="360" w:firstLineChars="200"/>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（五）提供本单位制造的货物、承担的工程或者服务（以下简称产品），或者提供其他残疾人福利性单位制造的货物（不包括使用非残疾人福利性单位注册商标的货物）。</w:t>
      </w:r>
    </w:p>
    <w:p w14:paraId="029A04C7">
      <w:pPr>
        <w:spacing w:line="360" w:lineRule="auto"/>
        <w:ind w:firstLine="360" w:firstLineChars="200"/>
        <w:rPr>
          <w:rFonts w:hint="eastAsia" w:ascii="宋体" w:hAnsi="宋体" w:eastAsia="宋体" w:cs="宋体"/>
          <w:color w:val="auto"/>
          <w:highlight w:val="none"/>
        </w:rPr>
      </w:pPr>
      <w:r>
        <w:rPr>
          <w:rFonts w:hint="eastAsia" w:ascii="宋体" w:hAnsi="宋体" w:cs="宋体"/>
          <w:color w:val="auto"/>
          <w:sz w:val="18"/>
          <w:szCs w:val="18"/>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4787DF">
      <w:pPr>
        <w:rPr>
          <w:rFonts w:hint="eastAsia" w:ascii="宋体" w:hAnsi="宋体" w:eastAsia="宋体" w:cs="宋体"/>
          <w:color w:val="auto"/>
          <w:highlight w:val="none"/>
        </w:rPr>
      </w:pPr>
    </w:p>
    <w:p w14:paraId="139FCBCB">
      <w:pPr>
        <w:pStyle w:val="63"/>
        <w:ind w:firstLine="420"/>
        <w:rPr>
          <w:rFonts w:hint="eastAsia" w:ascii="宋体" w:hAnsi="宋体" w:eastAsia="宋体" w:cs="宋体"/>
          <w:color w:val="auto"/>
          <w:highlight w:val="none"/>
        </w:rPr>
      </w:pPr>
    </w:p>
    <w:p w14:paraId="48825885">
      <w:pPr>
        <w:autoSpaceDE w:val="0"/>
        <w:autoSpaceDN w:val="0"/>
        <w:jc w:val="center"/>
        <w:rPr>
          <w:rFonts w:hint="eastAsia" w:ascii="宋体" w:hAnsi="宋体" w:eastAsia="宋体" w:cs="宋体"/>
          <w:b/>
          <w:color w:val="auto"/>
          <w:spacing w:val="6"/>
          <w:sz w:val="32"/>
          <w:szCs w:val="32"/>
          <w:highlight w:val="none"/>
        </w:rPr>
      </w:pPr>
    </w:p>
    <w:p w14:paraId="16B74130">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附件2：</w:t>
      </w:r>
      <w:r>
        <w:rPr>
          <w:rFonts w:hint="eastAsia" w:ascii="宋体" w:hAnsi="宋体" w:eastAsia="宋体" w:cs="宋体"/>
          <w:b/>
          <w:bCs/>
          <w:color w:val="auto"/>
          <w:sz w:val="32"/>
          <w:szCs w:val="32"/>
          <w:highlight w:val="none"/>
        </w:rPr>
        <w:t>业务专用章使用说明函</w:t>
      </w:r>
    </w:p>
    <w:p w14:paraId="5AAF8328">
      <w:pPr>
        <w:spacing w:line="360" w:lineRule="auto"/>
        <w:rPr>
          <w:rFonts w:hint="eastAsia" w:ascii="宋体" w:hAnsi="宋体" w:eastAsia="宋体" w:cs="宋体"/>
          <w:color w:val="auto"/>
          <w:sz w:val="24"/>
          <w:highlight w:val="none"/>
          <w:u w:val="single"/>
        </w:rPr>
      </w:pPr>
    </w:p>
    <w:p w14:paraId="4F219F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（采购人）、（采购代理机构）：</w:t>
      </w:r>
    </w:p>
    <w:p w14:paraId="295165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0A3839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72645560">
      <w:pPr>
        <w:spacing w:line="360" w:lineRule="auto"/>
        <w:ind w:firstLine="494"/>
        <w:rPr>
          <w:rFonts w:hint="eastAsia" w:ascii="宋体" w:hAnsi="宋体" w:eastAsia="宋体" w:cs="宋体"/>
          <w:color w:val="auto"/>
          <w:sz w:val="24"/>
          <w:highlight w:val="none"/>
        </w:rPr>
      </w:pPr>
    </w:p>
    <w:p w14:paraId="594B9BE4">
      <w:pPr>
        <w:spacing w:line="360" w:lineRule="auto"/>
        <w:ind w:firstLine="494"/>
        <w:rPr>
          <w:rFonts w:hint="eastAsia" w:ascii="宋体" w:hAnsi="宋体" w:eastAsia="宋体" w:cs="宋体"/>
          <w:color w:val="auto"/>
          <w:sz w:val="24"/>
          <w:highlight w:val="none"/>
        </w:rPr>
      </w:pPr>
    </w:p>
    <w:p w14:paraId="56E58F83">
      <w:pPr>
        <w:spacing w:line="360" w:lineRule="auto"/>
        <w:ind w:firstLine="494"/>
        <w:rPr>
          <w:rFonts w:hint="eastAsia" w:ascii="宋体" w:hAnsi="宋体" w:eastAsia="宋体" w:cs="宋体"/>
          <w:color w:val="auto"/>
          <w:sz w:val="24"/>
          <w:highlight w:val="none"/>
        </w:rPr>
      </w:pPr>
    </w:p>
    <w:p w14:paraId="72D7B778">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6AC5A2F9">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54FBB9F7">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46A146AB">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61BC34DF">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ILD+2LwIAAH8EAAAOAAAAAAAAAAEAIAAAACcBAABkcnMvZTJvRG9jLnht&#10;bFBLBQYAAAAABgAGAFkBAADIBQAAAAA=&#10;">
                <v:fill on="t" focussize="0,0"/>
                <v:stroke color="#000000" miterlimit="2" joinstyle="miter"/>
                <v:imagedata o:title=""/>
                <o:lock v:ext="edit" aspectratio="f"/>
                <v:textbox>
                  <w:txbxContent>
                    <w:p w14:paraId="61BC34DF">
                      <w:pPr>
                        <w:jc w:val="center"/>
                      </w:pP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2AA24C1F">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2AA24C1F">
                      <w:pPr>
                        <w:jc w:val="center"/>
                      </w:pPr>
                    </w:p>
                  </w:txbxContent>
                </v:textbox>
              </v:rect>
            </w:pict>
          </mc:Fallback>
        </mc:AlternateContent>
      </w:r>
      <w:r>
        <w:rPr>
          <w:rFonts w:hint="eastAsia" w:ascii="宋体" w:hAnsi="宋体" w:eastAsia="宋体" w:cs="宋体"/>
          <w:color w:val="auto"/>
          <w:sz w:val="24"/>
          <w:highlight w:val="none"/>
        </w:rPr>
        <w:t>投标单位法定名称章（印模）                投标单位“XX专用章”（印模）</w:t>
      </w:r>
    </w:p>
    <w:p w14:paraId="08BAC7F5">
      <w:pPr>
        <w:autoSpaceDE w:val="0"/>
        <w:autoSpaceDN w:val="0"/>
        <w:jc w:val="center"/>
        <w:rPr>
          <w:rFonts w:hint="eastAsia" w:ascii="宋体" w:hAnsi="宋体" w:eastAsia="宋体" w:cs="宋体"/>
          <w:b/>
          <w:color w:val="auto"/>
          <w:spacing w:val="6"/>
          <w:sz w:val="32"/>
          <w:szCs w:val="32"/>
          <w:highlight w:val="none"/>
        </w:rPr>
      </w:pPr>
    </w:p>
    <w:p w14:paraId="75E767E8">
      <w:pPr>
        <w:autoSpaceDE w:val="0"/>
        <w:autoSpaceDN w:val="0"/>
        <w:jc w:val="center"/>
        <w:rPr>
          <w:rFonts w:hint="eastAsia" w:ascii="宋体" w:hAnsi="宋体" w:eastAsia="宋体" w:cs="宋体"/>
          <w:b/>
          <w:color w:val="auto"/>
          <w:spacing w:val="6"/>
          <w:sz w:val="32"/>
          <w:szCs w:val="32"/>
          <w:highlight w:val="none"/>
        </w:rPr>
      </w:pPr>
    </w:p>
    <w:p w14:paraId="4A36C817">
      <w:pPr>
        <w:autoSpaceDE w:val="0"/>
        <w:autoSpaceDN w:val="0"/>
        <w:jc w:val="center"/>
        <w:rPr>
          <w:rFonts w:hint="eastAsia" w:ascii="宋体" w:hAnsi="宋体" w:eastAsia="宋体" w:cs="宋体"/>
          <w:b/>
          <w:color w:val="auto"/>
          <w:spacing w:val="6"/>
          <w:sz w:val="32"/>
          <w:szCs w:val="32"/>
          <w:highlight w:val="none"/>
        </w:rPr>
      </w:pPr>
    </w:p>
    <w:p w14:paraId="18306BFF">
      <w:pPr>
        <w:autoSpaceDE w:val="0"/>
        <w:autoSpaceDN w:val="0"/>
        <w:jc w:val="center"/>
        <w:rPr>
          <w:rFonts w:hint="eastAsia" w:ascii="宋体" w:hAnsi="宋体" w:eastAsia="宋体" w:cs="宋体"/>
          <w:b/>
          <w:color w:val="auto"/>
          <w:spacing w:val="6"/>
          <w:sz w:val="32"/>
          <w:szCs w:val="32"/>
          <w:highlight w:val="none"/>
        </w:rPr>
      </w:pPr>
    </w:p>
    <w:p w14:paraId="7B7761DE">
      <w:pPr>
        <w:autoSpaceDE w:val="0"/>
        <w:autoSpaceDN w:val="0"/>
        <w:jc w:val="center"/>
        <w:rPr>
          <w:rFonts w:hint="eastAsia" w:ascii="宋体" w:hAnsi="宋体" w:eastAsia="宋体" w:cs="宋体"/>
          <w:b/>
          <w:color w:val="auto"/>
          <w:spacing w:val="6"/>
          <w:sz w:val="32"/>
          <w:szCs w:val="32"/>
          <w:highlight w:val="none"/>
        </w:rPr>
      </w:pPr>
    </w:p>
    <w:p w14:paraId="5571C854">
      <w:pPr>
        <w:autoSpaceDE w:val="0"/>
        <w:autoSpaceDN w:val="0"/>
        <w:jc w:val="center"/>
        <w:rPr>
          <w:rFonts w:hint="eastAsia" w:ascii="宋体" w:hAnsi="宋体" w:eastAsia="宋体" w:cs="宋体"/>
          <w:b/>
          <w:color w:val="auto"/>
          <w:spacing w:val="6"/>
          <w:sz w:val="32"/>
          <w:szCs w:val="32"/>
          <w:highlight w:val="none"/>
        </w:rPr>
      </w:pPr>
    </w:p>
    <w:p w14:paraId="69F31284">
      <w:pPr>
        <w:autoSpaceDE w:val="0"/>
        <w:autoSpaceDN w:val="0"/>
        <w:jc w:val="center"/>
        <w:rPr>
          <w:rFonts w:hint="eastAsia" w:ascii="宋体" w:hAnsi="宋体" w:eastAsia="宋体" w:cs="宋体"/>
          <w:b/>
          <w:color w:val="auto"/>
          <w:spacing w:val="6"/>
          <w:sz w:val="32"/>
          <w:szCs w:val="32"/>
          <w:highlight w:val="none"/>
        </w:rPr>
      </w:pPr>
    </w:p>
    <w:p w14:paraId="1C734085">
      <w:pPr>
        <w:autoSpaceDE w:val="0"/>
        <w:autoSpaceDN w:val="0"/>
        <w:jc w:val="center"/>
        <w:rPr>
          <w:rFonts w:hint="eastAsia" w:ascii="宋体" w:hAnsi="宋体" w:eastAsia="宋体" w:cs="宋体"/>
          <w:b/>
          <w:color w:val="auto"/>
          <w:spacing w:val="6"/>
          <w:sz w:val="32"/>
          <w:szCs w:val="32"/>
          <w:highlight w:val="none"/>
        </w:rPr>
      </w:pPr>
    </w:p>
    <w:p w14:paraId="1166E500">
      <w:pPr>
        <w:autoSpaceDE w:val="0"/>
        <w:autoSpaceDN w:val="0"/>
        <w:jc w:val="center"/>
        <w:rPr>
          <w:rFonts w:hint="eastAsia" w:ascii="宋体" w:hAnsi="宋体" w:eastAsia="宋体" w:cs="宋体"/>
          <w:b/>
          <w:color w:val="auto"/>
          <w:spacing w:val="6"/>
          <w:sz w:val="32"/>
          <w:szCs w:val="32"/>
          <w:highlight w:val="none"/>
        </w:rPr>
      </w:pPr>
    </w:p>
    <w:p w14:paraId="1F62B2DC">
      <w:pPr>
        <w:autoSpaceDE w:val="0"/>
        <w:autoSpaceDN w:val="0"/>
        <w:jc w:val="center"/>
        <w:rPr>
          <w:rFonts w:hint="eastAsia" w:ascii="宋体" w:hAnsi="宋体" w:eastAsia="宋体" w:cs="宋体"/>
          <w:b/>
          <w:color w:val="auto"/>
          <w:spacing w:val="6"/>
          <w:sz w:val="32"/>
          <w:szCs w:val="32"/>
          <w:highlight w:val="none"/>
        </w:rPr>
      </w:pPr>
    </w:p>
    <w:p w14:paraId="364FB929">
      <w:pPr>
        <w:autoSpaceDE w:val="0"/>
        <w:autoSpaceDN w:val="0"/>
        <w:jc w:val="center"/>
        <w:rPr>
          <w:rFonts w:hint="eastAsia" w:ascii="宋体" w:hAnsi="宋体" w:eastAsia="宋体" w:cs="宋体"/>
          <w:b/>
          <w:color w:val="auto"/>
          <w:spacing w:val="6"/>
          <w:sz w:val="32"/>
          <w:szCs w:val="32"/>
          <w:highlight w:val="none"/>
        </w:rPr>
      </w:pPr>
    </w:p>
    <w:p w14:paraId="1E48BA7C">
      <w:pPr>
        <w:autoSpaceDE w:val="0"/>
        <w:autoSpaceDN w:val="0"/>
        <w:jc w:val="center"/>
        <w:rPr>
          <w:rFonts w:hint="eastAsia" w:ascii="宋体" w:hAnsi="宋体" w:eastAsia="宋体" w:cs="宋体"/>
          <w:b/>
          <w:color w:val="auto"/>
          <w:spacing w:val="6"/>
          <w:sz w:val="32"/>
          <w:szCs w:val="32"/>
          <w:highlight w:val="none"/>
        </w:rPr>
      </w:pPr>
    </w:p>
    <w:p w14:paraId="3178B10E">
      <w:pPr>
        <w:autoSpaceDE w:val="0"/>
        <w:autoSpaceDN w:val="0"/>
        <w:jc w:val="center"/>
        <w:rPr>
          <w:rFonts w:hint="eastAsia" w:ascii="宋体" w:hAnsi="宋体" w:eastAsia="宋体" w:cs="宋体"/>
          <w:b/>
          <w:color w:val="auto"/>
          <w:spacing w:val="6"/>
          <w:sz w:val="32"/>
          <w:szCs w:val="32"/>
          <w:highlight w:val="none"/>
        </w:rPr>
      </w:pPr>
    </w:p>
    <w:p w14:paraId="63DF64D1">
      <w:pPr>
        <w:autoSpaceDE w:val="0"/>
        <w:autoSpaceDN w:val="0"/>
        <w:jc w:val="center"/>
        <w:rPr>
          <w:rFonts w:hint="eastAsia" w:ascii="宋体" w:hAnsi="宋体" w:eastAsia="宋体" w:cs="宋体"/>
          <w:b/>
          <w:color w:val="auto"/>
          <w:spacing w:val="6"/>
          <w:sz w:val="32"/>
          <w:szCs w:val="32"/>
          <w:highlight w:val="none"/>
        </w:rPr>
      </w:pPr>
    </w:p>
    <w:p w14:paraId="43367760">
      <w:pPr>
        <w:autoSpaceDE w:val="0"/>
        <w:autoSpaceDN w:val="0"/>
        <w:jc w:val="center"/>
        <w:rPr>
          <w:rFonts w:hint="eastAsia" w:ascii="宋体" w:hAnsi="宋体" w:eastAsia="宋体" w:cs="宋体"/>
          <w:b/>
          <w:color w:val="auto"/>
          <w:spacing w:val="6"/>
          <w:sz w:val="32"/>
          <w:szCs w:val="32"/>
          <w:highlight w:val="none"/>
        </w:rPr>
      </w:pPr>
    </w:p>
    <w:p w14:paraId="7A444D44">
      <w:pPr>
        <w:jc w:val="center"/>
        <w:rPr>
          <w:rFonts w:hint="eastAsia" w:ascii="宋体" w:hAnsi="宋体" w:eastAsia="宋体" w:cs="宋体"/>
          <w:b/>
          <w:bCs/>
          <w:color w:val="auto"/>
          <w:sz w:val="32"/>
          <w:szCs w:val="32"/>
          <w:highlight w:val="none"/>
        </w:rPr>
      </w:pPr>
      <w:bookmarkStart w:id="566" w:name="_Toc27865"/>
    </w:p>
    <w:p w14:paraId="4538AF0C">
      <w:pPr>
        <w:jc w:val="center"/>
        <w:rPr>
          <w:rFonts w:hint="eastAsia" w:ascii="宋体" w:hAnsi="宋体" w:eastAsia="宋体" w:cs="宋体"/>
          <w:b/>
          <w:bCs/>
          <w:color w:val="auto"/>
          <w:sz w:val="32"/>
          <w:szCs w:val="32"/>
          <w:highlight w:val="none"/>
        </w:rPr>
      </w:pPr>
    </w:p>
    <w:p w14:paraId="208222C2">
      <w:pPr>
        <w:jc w:val="center"/>
        <w:rPr>
          <w:rFonts w:hint="eastAsia" w:ascii="宋体" w:hAnsi="宋体" w:eastAsia="宋体" w:cs="宋体"/>
          <w:b/>
          <w:bCs/>
          <w:color w:val="auto"/>
          <w:sz w:val="32"/>
          <w:szCs w:val="32"/>
          <w:highlight w:val="none"/>
        </w:rPr>
      </w:pPr>
    </w:p>
    <w:p w14:paraId="32BA4412">
      <w:pPr>
        <w:jc w:val="center"/>
        <w:rPr>
          <w:rFonts w:hint="eastAsia" w:ascii="宋体" w:hAnsi="宋体" w:eastAsia="宋体" w:cs="宋体"/>
          <w:b/>
          <w:bCs/>
          <w:color w:val="auto"/>
          <w:sz w:val="32"/>
          <w:szCs w:val="32"/>
          <w:highlight w:val="none"/>
        </w:rPr>
      </w:pPr>
    </w:p>
    <w:p w14:paraId="5D8EE93D">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附件3：联合协议</w:t>
      </w:r>
      <w:bookmarkEnd w:id="566"/>
    </w:p>
    <w:p w14:paraId="3CB20EF9">
      <w:pPr>
        <w:pStyle w:val="63"/>
        <w:ind w:firstLine="420"/>
        <w:rPr>
          <w:rFonts w:hint="eastAsia" w:ascii="宋体" w:hAnsi="宋体" w:eastAsia="宋体" w:cs="宋体"/>
          <w:color w:val="auto"/>
          <w:highlight w:val="none"/>
        </w:rPr>
      </w:pPr>
    </w:p>
    <w:p w14:paraId="2392B4FE">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4315D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cs="宋体"/>
          <w:color w:val="auto"/>
          <w:kern w:val="0"/>
          <w:sz w:val="24"/>
          <w:highlight w:val="none"/>
          <w:lang w:val="zh-CN"/>
        </w:rPr>
        <w:t xml:space="preserve">投标。 </w:t>
      </w:r>
    </w:p>
    <w:p w14:paraId="50A196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EBD006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lang w:val="zh-CN"/>
        </w:rPr>
        <w:t>等均对联合投标各方产生约束力。</w:t>
      </w:r>
    </w:p>
    <w:p w14:paraId="1D3CDA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544159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B5CAD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645835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33A4C64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9365B2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ascii="宋体" w:hAnsi="宋体" w:cs="宋体"/>
          <w:color w:val="auto"/>
          <w:kern w:val="0"/>
          <w:sz w:val="24"/>
          <w:highlight w:val="none"/>
          <w:lang w:val="en-US" w:eastAsia="zh-CN"/>
        </w:rPr>
        <w:t>服务</w:t>
      </w:r>
      <w:r>
        <w:rPr>
          <w:rFonts w:hint="eastAsia" w:ascii="宋体" w:hAnsi="宋体" w:cs="宋体"/>
          <w:color w:val="auto"/>
          <w:kern w:val="0"/>
          <w:sz w:val="24"/>
          <w:highlight w:val="none"/>
        </w:rPr>
        <w:t>由小微企业</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02870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34404FB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35481DA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3B95CE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65ECA1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5BE9FB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92315D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w:t>
      </w:r>
      <w:r>
        <w:rPr>
          <w:rFonts w:hint="eastAsia" w:ascii="宋体" w:hAnsi="宋体" w:cs="宋体"/>
          <w:color w:val="auto"/>
          <w:kern w:val="0"/>
          <w:sz w:val="24"/>
          <w:highlight w:val="none"/>
          <w:lang w:val="en-US" w:eastAsia="zh-CN"/>
        </w:rPr>
        <w:t>电子签章/公章</w:t>
      </w:r>
      <w:r>
        <w:rPr>
          <w:rFonts w:hint="eastAsia" w:ascii="宋体" w:hAnsi="宋体" w:cs="宋体"/>
          <w:color w:val="auto"/>
          <w:kern w:val="0"/>
          <w:sz w:val="24"/>
          <w:highlight w:val="none"/>
          <w:lang w:val="zh-CN"/>
        </w:rPr>
        <w:t>)：</w:t>
      </w:r>
    </w:p>
    <w:p w14:paraId="7F04F09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w:t>
      </w:r>
      <w:r>
        <w:rPr>
          <w:rFonts w:hint="eastAsia" w:ascii="宋体" w:hAnsi="宋体" w:cs="宋体"/>
          <w:color w:val="auto"/>
          <w:kern w:val="0"/>
          <w:sz w:val="24"/>
          <w:highlight w:val="none"/>
          <w:lang w:val="en-US" w:eastAsia="zh-CN"/>
        </w:rPr>
        <w:t>电子签章/公章</w:t>
      </w:r>
      <w:r>
        <w:rPr>
          <w:rFonts w:hint="eastAsia" w:ascii="宋体" w:hAnsi="宋体" w:cs="宋体"/>
          <w:color w:val="auto"/>
          <w:kern w:val="0"/>
          <w:sz w:val="24"/>
          <w:highlight w:val="none"/>
          <w:lang w:val="zh-CN"/>
        </w:rPr>
        <w:t>)：</w:t>
      </w:r>
    </w:p>
    <w:p w14:paraId="4A79D50F">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FDC15AF">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9ECA1CE">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注：按本格式和要求提供。</w:t>
      </w:r>
    </w:p>
    <w:p w14:paraId="27960F1C">
      <w:pPr>
        <w:autoSpaceDE w:val="0"/>
        <w:autoSpaceDN w:val="0"/>
        <w:jc w:val="center"/>
        <w:rPr>
          <w:rFonts w:hint="eastAsia" w:ascii="宋体" w:hAnsi="宋体" w:eastAsia="宋体" w:cs="宋体"/>
          <w:b/>
          <w:color w:val="auto"/>
          <w:spacing w:val="6"/>
          <w:sz w:val="32"/>
          <w:szCs w:val="32"/>
          <w:highlight w:val="none"/>
        </w:rPr>
      </w:pPr>
    </w:p>
    <w:p w14:paraId="578F30D2">
      <w:pPr>
        <w:autoSpaceDE w:val="0"/>
        <w:autoSpaceDN w:val="0"/>
        <w:jc w:val="center"/>
        <w:rPr>
          <w:rFonts w:hint="eastAsia" w:ascii="宋体" w:hAnsi="宋体" w:eastAsia="宋体" w:cs="宋体"/>
          <w:b/>
          <w:color w:val="auto"/>
          <w:spacing w:val="6"/>
          <w:sz w:val="32"/>
          <w:szCs w:val="32"/>
          <w:highlight w:val="none"/>
        </w:rPr>
      </w:pPr>
    </w:p>
    <w:p w14:paraId="39F236FB">
      <w:pPr>
        <w:autoSpaceDE w:val="0"/>
        <w:autoSpaceDN w:val="0"/>
        <w:jc w:val="center"/>
        <w:rPr>
          <w:rFonts w:hint="eastAsia" w:ascii="宋体" w:hAnsi="宋体" w:eastAsia="宋体" w:cs="宋体"/>
          <w:b/>
          <w:color w:val="auto"/>
          <w:spacing w:val="6"/>
          <w:sz w:val="32"/>
          <w:szCs w:val="32"/>
          <w:highlight w:val="none"/>
        </w:rPr>
      </w:pPr>
    </w:p>
    <w:p w14:paraId="36515ADD">
      <w:pPr>
        <w:autoSpaceDE w:val="0"/>
        <w:autoSpaceDN w:val="0"/>
        <w:jc w:val="center"/>
        <w:rPr>
          <w:rFonts w:hint="eastAsia" w:ascii="宋体" w:hAnsi="宋体" w:eastAsia="宋体" w:cs="宋体"/>
          <w:b/>
          <w:color w:val="auto"/>
          <w:spacing w:val="6"/>
          <w:sz w:val="32"/>
          <w:szCs w:val="32"/>
          <w:highlight w:val="none"/>
        </w:rPr>
      </w:pPr>
    </w:p>
    <w:p w14:paraId="5FF0FC34">
      <w:pPr>
        <w:autoSpaceDE w:val="0"/>
        <w:autoSpaceDN w:val="0"/>
        <w:jc w:val="center"/>
        <w:rPr>
          <w:rFonts w:hint="eastAsia" w:ascii="宋体" w:hAnsi="宋体" w:eastAsia="宋体" w:cs="宋体"/>
          <w:b/>
          <w:color w:val="auto"/>
          <w:spacing w:val="6"/>
          <w:sz w:val="32"/>
          <w:szCs w:val="32"/>
          <w:highlight w:val="none"/>
        </w:rPr>
      </w:pPr>
    </w:p>
    <w:p w14:paraId="7C8DCD40">
      <w:pPr>
        <w:autoSpaceDE w:val="0"/>
        <w:autoSpaceDN w:val="0"/>
        <w:jc w:val="center"/>
        <w:rPr>
          <w:rFonts w:hint="eastAsia" w:ascii="宋体" w:hAnsi="宋体" w:eastAsia="宋体" w:cs="宋体"/>
          <w:b/>
          <w:color w:val="auto"/>
          <w:spacing w:val="6"/>
          <w:sz w:val="32"/>
          <w:szCs w:val="32"/>
          <w:highlight w:val="none"/>
        </w:rPr>
      </w:pPr>
    </w:p>
    <w:p w14:paraId="4970DCAE">
      <w:pPr>
        <w:autoSpaceDE w:val="0"/>
        <w:autoSpaceDN w:val="0"/>
        <w:jc w:val="center"/>
        <w:rPr>
          <w:rFonts w:hint="eastAsia" w:ascii="宋体" w:hAnsi="宋体" w:eastAsia="宋体" w:cs="宋体"/>
          <w:b/>
          <w:color w:val="auto"/>
          <w:spacing w:val="6"/>
          <w:sz w:val="32"/>
          <w:szCs w:val="32"/>
          <w:highlight w:val="none"/>
        </w:rPr>
      </w:pPr>
    </w:p>
    <w:p w14:paraId="549C7DE1">
      <w:pPr>
        <w:autoSpaceDE w:val="0"/>
        <w:autoSpaceDN w:val="0"/>
        <w:jc w:val="center"/>
        <w:rPr>
          <w:rFonts w:hint="eastAsia" w:ascii="宋体" w:hAnsi="宋体" w:eastAsia="宋体" w:cs="宋体"/>
          <w:b/>
          <w:color w:val="auto"/>
          <w:spacing w:val="6"/>
          <w:sz w:val="32"/>
          <w:szCs w:val="32"/>
          <w:highlight w:val="none"/>
        </w:rPr>
      </w:pPr>
    </w:p>
    <w:p w14:paraId="3255D7E2">
      <w:pPr>
        <w:autoSpaceDE w:val="0"/>
        <w:autoSpaceDN w:val="0"/>
        <w:jc w:val="center"/>
        <w:rPr>
          <w:rFonts w:hint="eastAsia" w:ascii="宋体" w:hAnsi="宋体" w:eastAsia="宋体" w:cs="宋体"/>
          <w:b/>
          <w:color w:val="auto"/>
          <w:spacing w:val="6"/>
          <w:sz w:val="32"/>
          <w:szCs w:val="32"/>
          <w:highlight w:val="none"/>
        </w:rPr>
      </w:pPr>
    </w:p>
    <w:p w14:paraId="32B835F1">
      <w:pPr>
        <w:autoSpaceDE w:val="0"/>
        <w:autoSpaceDN w:val="0"/>
        <w:jc w:val="center"/>
        <w:rPr>
          <w:rFonts w:hint="eastAsia" w:ascii="宋体" w:hAnsi="宋体" w:eastAsia="宋体" w:cs="宋体"/>
          <w:b/>
          <w:color w:val="auto"/>
          <w:spacing w:val="6"/>
          <w:sz w:val="32"/>
          <w:szCs w:val="32"/>
          <w:highlight w:val="none"/>
        </w:rPr>
      </w:pPr>
    </w:p>
    <w:p w14:paraId="140991F8">
      <w:pPr>
        <w:autoSpaceDE w:val="0"/>
        <w:autoSpaceDN w:val="0"/>
        <w:jc w:val="center"/>
        <w:rPr>
          <w:rFonts w:hint="eastAsia" w:ascii="宋体" w:hAnsi="宋体" w:eastAsia="宋体" w:cs="宋体"/>
          <w:b/>
          <w:color w:val="auto"/>
          <w:spacing w:val="6"/>
          <w:sz w:val="32"/>
          <w:szCs w:val="32"/>
          <w:highlight w:val="none"/>
        </w:rPr>
      </w:pPr>
    </w:p>
    <w:p w14:paraId="3A16FA41">
      <w:pPr>
        <w:autoSpaceDE w:val="0"/>
        <w:autoSpaceDN w:val="0"/>
        <w:jc w:val="center"/>
        <w:rPr>
          <w:rFonts w:hint="eastAsia" w:ascii="宋体" w:hAnsi="宋体" w:eastAsia="宋体" w:cs="宋体"/>
          <w:b/>
          <w:color w:val="auto"/>
          <w:spacing w:val="6"/>
          <w:sz w:val="32"/>
          <w:szCs w:val="32"/>
          <w:highlight w:val="none"/>
        </w:rPr>
      </w:pPr>
    </w:p>
    <w:p w14:paraId="1CE9B6B1">
      <w:pPr>
        <w:autoSpaceDE w:val="0"/>
        <w:autoSpaceDN w:val="0"/>
        <w:jc w:val="center"/>
        <w:rPr>
          <w:rFonts w:hint="eastAsia" w:ascii="宋体" w:hAnsi="宋体" w:eastAsia="宋体" w:cs="宋体"/>
          <w:b/>
          <w:color w:val="auto"/>
          <w:spacing w:val="6"/>
          <w:sz w:val="32"/>
          <w:szCs w:val="32"/>
          <w:highlight w:val="none"/>
        </w:rPr>
      </w:pPr>
    </w:p>
    <w:p w14:paraId="22F6859A">
      <w:pPr>
        <w:autoSpaceDE w:val="0"/>
        <w:autoSpaceDN w:val="0"/>
        <w:jc w:val="center"/>
        <w:rPr>
          <w:rFonts w:hint="eastAsia" w:ascii="宋体" w:hAnsi="宋体" w:eastAsia="宋体" w:cs="宋体"/>
          <w:b/>
          <w:color w:val="auto"/>
          <w:spacing w:val="6"/>
          <w:sz w:val="32"/>
          <w:szCs w:val="32"/>
          <w:highlight w:val="none"/>
        </w:rPr>
      </w:pPr>
    </w:p>
    <w:p w14:paraId="0E7D6F77">
      <w:pPr>
        <w:autoSpaceDE w:val="0"/>
        <w:autoSpaceDN w:val="0"/>
        <w:jc w:val="center"/>
        <w:rPr>
          <w:rFonts w:hint="eastAsia" w:ascii="宋体" w:hAnsi="宋体" w:eastAsia="宋体" w:cs="宋体"/>
          <w:b/>
          <w:color w:val="auto"/>
          <w:spacing w:val="6"/>
          <w:sz w:val="32"/>
          <w:szCs w:val="32"/>
          <w:highlight w:val="none"/>
        </w:rPr>
      </w:pPr>
    </w:p>
    <w:p w14:paraId="098AB0AB">
      <w:pPr>
        <w:pStyle w:val="3"/>
        <w:rPr>
          <w:rFonts w:hint="eastAsia"/>
          <w:color w:val="auto"/>
          <w:highlight w:val="none"/>
        </w:rPr>
      </w:pPr>
    </w:p>
    <w:p w14:paraId="20EF989D">
      <w:pPr>
        <w:autoSpaceDE w:val="0"/>
        <w:autoSpaceDN w:val="0"/>
        <w:jc w:val="center"/>
        <w:rPr>
          <w:rFonts w:hint="eastAsia" w:ascii="宋体" w:hAnsi="宋体" w:eastAsia="宋体" w:cs="宋体"/>
          <w:b/>
          <w:color w:val="auto"/>
          <w:spacing w:val="6"/>
          <w:sz w:val="32"/>
          <w:szCs w:val="32"/>
          <w:highlight w:val="none"/>
        </w:rPr>
      </w:pPr>
    </w:p>
    <w:p w14:paraId="6C3EB2CF">
      <w:pPr>
        <w:autoSpaceDE w:val="0"/>
        <w:autoSpaceDN w:val="0"/>
        <w:jc w:val="center"/>
        <w:rPr>
          <w:rFonts w:hint="eastAsia" w:ascii="宋体" w:hAnsi="宋体" w:eastAsia="宋体" w:cs="宋体"/>
          <w:b/>
          <w:color w:val="auto"/>
          <w:spacing w:val="6"/>
          <w:sz w:val="32"/>
          <w:szCs w:val="32"/>
          <w:highlight w:val="none"/>
        </w:rPr>
      </w:pPr>
    </w:p>
    <w:p w14:paraId="72A9A78B">
      <w:pPr>
        <w:autoSpaceDE w:val="0"/>
        <w:autoSpaceDN w:val="0"/>
        <w:jc w:val="center"/>
        <w:rPr>
          <w:rFonts w:hint="eastAsia" w:ascii="宋体" w:hAnsi="宋体" w:eastAsia="宋体" w:cs="宋体"/>
          <w:b/>
          <w:color w:val="auto"/>
          <w:spacing w:val="6"/>
          <w:sz w:val="32"/>
          <w:szCs w:val="32"/>
          <w:highlight w:val="none"/>
        </w:rPr>
      </w:pPr>
    </w:p>
    <w:p w14:paraId="6C321E56">
      <w:pPr>
        <w:autoSpaceDE w:val="0"/>
        <w:autoSpaceDN w:val="0"/>
        <w:jc w:val="center"/>
        <w:rPr>
          <w:rFonts w:hint="eastAsia" w:ascii="宋体" w:hAnsi="宋体" w:eastAsia="宋体" w:cs="宋体"/>
          <w:b/>
          <w:color w:val="auto"/>
          <w:spacing w:val="6"/>
          <w:sz w:val="32"/>
          <w:szCs w:val="32"/>
          <w:highlight w:val="none"/>
        </w:rPr>
      </w:pPr>
    </w:p>
    <w:p w14:paraId="545E994E">
      <w:pPr>
        <w:autoSpaceDE w:val="0"/>
        <w:autoSpaceDN w:val="0"/>
        <w:jc w:val="center"/>
        <w:rPr>
          <w:rFonts w:hint="eastAsia" w:ascii="宋体" w:hAnsi="宋体" w:eastAsia="宋体" w:cs="宋体"/>
          <w:b/>
          <w:color w:val="auto"/>
          <w:spacing w:val="6"/>
          <w:sz w:val="32"/>
          <w:szCs w:val="32"/>
          <w:highlight w:val="none"/>
        </w:rPr>
      </w:pPr>
    </w:p>
    <w:p w14:paraId="137858C1">
      <w:pPr>
        <w:autoSpaceDE w:val="0"/>
        <w:autoSpaceDN w:val="0"/>
        <w:jc w:val="center"/>
        <w:rPr>
          <w:rFonts w:hint="eastAsia" w:ascii="宋体" w:hAnsi="宋体" w:eastAsia="宋体" w:cs="宋体"/>
          <w:b/>
          <w:color w:val="auto"/>
          <w:spacing w:val="6"/>
          <w:sz w:val="32"/>
          <w:szCs w:val="32"/>
          <w:highlight w:val="none"/>
        </w:rPr>
      </w:pPr>
    </w:p>
    <w:p w14:paraId="4C505BEC">
      <w:pPr>
        <w:pStyle w:val="63"/>
        <w:rPr>
          <w:rFonts w:hint="eastAsia"/>
          <w:color w:val="auto"/>
          <w:highlight w:val="none"/>
        </w:rPr>
      </w:pPr>
    </w:p>
    <w:p w14:paraId="68476AD4">
      <w:pPr>
        <w:autoSpaceDE w:val="0"/>
        <w:autoSpaceDN w:val="0"/>
        <w:jc w:val="both"/>
        <w:rPr>
          <w:rFonts w:hint="eastAsia" w:ascii="宋体" w:hAnsi="宋体" w:eastAsia="宋体" w:cs="宋体"/>
          <w:b/>
          <w:color w:val="auto"/>
          <w:spacing w:val="6"/>
          <w:sz w:val="32"/>
          <w:szCs w:val="32"/>
          <w:highlight w:val="none"/>
        </w:rPr>
      </w:pPr>
    </w:p>
    <w:p w14:paraId="76D74392">
      <w:pPr>
        <w:jc w:val="center"/>
        <w:rPr>
          <w:rFonts w:hint="eastAsia" w:ascii="宋体" w:hAnsi="宋体" w:eastAsia="宋体" w:cs="宋体"/>
          <w:b/>
          <w:bCs/>
          <w:color w:val="auto"/>
          <w:sz w:val="32"/>
          <w:szCs w:val="32"/>
          <w:highlight w:val="none"/>
        </w:rPr>
      </w:pPr>
      <w:bookmarkStart w:id="567" w:name="_Toc22286"/>
    </w:p>
    <w:p w14:paraId="58826FB6">
      <w:pPr>
        <w:jc w:val="center"/>
        <w:rPr>
          <w:rFonts w:hint="eastAsia" w:ascii="宋体" w:hAnsi="宋体" w:eastAsia="宋体" w:cs="宋体"/>
          <w:b/>
          <w:bCs/>
          <w:color w:val="auto"/>
          <w:sz w:val="32"/>
          <w:szCs w:val="32"/>
          <w:highlight w:val="none"/>
        </w:rPr>
      </w:pPr>
    </w:p>
    <w:p w14:paraId="30BCF68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附件4：分包意向协议</w:t>
      </w:r>
      <w:bookmarkEnd w:id="567"/>
    </w:p>
    <w:p w14:paraId="0677637D">
      <w:pPr>
        <w:pStyle w:val="63"/>
        <w:ind w:firstLine="420"/>
        <w:rPr>
          <w:rFonts w:hint="eastAsia" w:ascii="宋体" w:hAnsi="宋体" w:eastAsia="宋体" w:cs="宋体"/>
          <w:color w:val="auto"/>
          <w:highlight w:val="none"/>
        </w:rPr>
      </w:pPr>
    </w:p>
    <w:p w14:paraId="215FF6FB">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277BBF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6F68067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73882B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17467DF">
      <w:pPr>
        <w:pStyle w:val="5"/>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32002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B94856A">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ascii="宋体" w:hAnsi="宋体"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ascii="宋体" w:hAnsi="宋体" w:cs="宋体"/>
          <w:color w:val="auto"/>
          <w:kern w:val="0"/>
          <w:sz w:val="24"/>
          <w:highlight w:val="none"/>
          <w:u w:val="single"/>
          <w:lang w:val="en-US" w:eastAsia="zh-CN"/>
        </w:rPr>
        <w:t>提供</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99666CB">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800399B">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4C17157">
      <w:pPr>
        <w:snapToGrid w:val="0"/>
        <w:spacing w:line="24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6D9A39E">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4F2462C">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3204B89">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A2717EB">
      <w:pPr>
        <w:snapToGrid w:val="0"/>
        <w:spacing w:line="24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A4E6534">
      <w:pPr>
        <w:snapToGrid w:val="0"/>
        <w:spacing w:line="24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F7F6C8D">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66003E5">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29861FB">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3F9C187">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ascii="宋体" w:hAnsi="宋体" w:cs="宋体"/>
          <w:color w:val="auto"/>
          <w:kern w:val="0"/>
          <w:sz w:val="24"/>
          <w:highlight w:val="none"/>
          <w:lang w:val="en-US" w:eastAsia="zh-CN"/>
        </w:rPr>
        <w:t>电子签章/公章</w:t>
      </w:r>
      <w:r>
        <w:rPr>
          <w:rFonts w:hint="eastAsia" w:ascii="宋体" w:hAnsi="宋体" w:cs="宋体"/>
          <w:color w:val="auto"/>
          <w:kern w:val="0"/>
          <w:sz w:val="24"/>
          <w:highlight w:val="none"/>
          <w:lang w:val="zh-CN"/>
        </w:rPr>
        <w:t>)：</w:t>
      </w:r>
    </w:p>
    <w:p w14:paraId="2717B505">
      <w:pPr>
        <w:snapToGrid w:val="0"/>
        <w:spacing w:line="360" w:lineRule="auto"/>
        <w:ind w:firstLine="5280" w:firstLineChars="2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ascii="宋体" w:hAnsi="宋体" w:cs="宋体"/>
          <w:color w:val="auto"/>
          <w:kern w:val="0"/>
          <w:sz w:val="24"/>
          <w:highlight w:val="none"/>
          <w:lang w:val="en-US" w:eastAsia="zh-CN"/>
        </w:rPr>
        <w:t>电子签章/公章</w:t>
      </w:r>
      <w:r>
        <w:rPr>
          <w:rFonts w:hint="eastAsia" w:ascii="宋体" w:hAnsi="宋体" w:cs="宋体"/>
          <w:color w:val="auto"/>
          <w:kern w:val="0"/>
          <w:sz w:val="24"/>
          <w:highlight w:val="none"/>
          <w:lang w:val="zh-CN"/>
        </w:rPr>
        <w:t>)：</w:t>
      </w:r>
    </w:p>
    <w:p w14:paraId="5454F47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9ACFC0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9E96B2B">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注：按本格式和要求提供。</w:t>
      </w:r>
    </w:p>
    <w:p w14:paraId="278A21F9">
      <w:pPr>
        <w:autoSpaceDE w:val="0"/>
        <w:autoSpaceDN w:val="0"/>
        <w:jc w:val="center"/>
        <w:rPr>
          <w:rFonts w:hint="eastAsia" w:ascii="宋体" w:hAnsi="宋体" w:eastAsia="宋体" w:cs="宋体"/>
          <w:b/>
          <w:color w:val="auto"/>
          <w:spacing w:val="6"/>
          <w:sz w:val="32"/>
          <w:szCs w:val="32"/>
          <w:highlight w:val="none"/>
        </w:rPr>
      </w:pPr>
    </w:p>
    <w:p w14:paraId="36F5FA15">
      <w:pPr>
        <w:jc w:val="center"/>
        <w:rPr>
          <w:rFonts w:hint="eastAsia" w:ascii="宋体" w:hAnsi="宋体" w:eastAsia="宋体" w:cs="宋体"/>
          <w:b/>
          <w:bCs/>
          <w:color w:val="auto"/>
          <w:sz w:val="32"/>
          <w:szCs w:val="32"/>
          <w:highlight w:val="none"/>
        </w:rPr>
      </w:pPr>
      <w:bookmarkStart w:id="568" w:name="_Toc3460"/>
      <w:r>
        <w:rPr>
          <w:rFonts w:hint="eastAsia" w:ascii="宋体" w:hAnsi="宋体" w:eastAsia="宋体" w:cs="宋体"/>
          <w:b/>
          <w:bCs/>
          <w:color w:val="auto"/>
          <w:sz w:val="32"/>
          <w:szCs w:val="32"/>
          <w:highlight w:val="none"/>
        </w:rPr>
        <w:t>附件5：中小企业声明函</w:t>
      </w:r>
      <w:bookmarkEnd w:id="568"/>
    </w:p>
    <w:p w14:paraId="35119B6A">
      <w:pPr>
        <w:spacing w:line="360" w:lineRule="auto"/>
        <w:jc w:val="center"/>
        <w:rPr>
          <w:rFonts w:hint="eastAsia" w:ascii="宋体" w:hAnsi="宋体" w:eastAsia="宋体" w:cs="宋体"/>
          <w:color w:val="auto"/>
          <w:sz w:val="24"/>
          <w:highlight w:val="none"/>
          <w:u w:val="single"/>
        </w:rPr>
      </w:pPr>
    </w:p>
    <w:p w14:paraId="5C0A367A">
      <w:pPr>
        <w:spacing w:line="360" w:lineRule="auto"/>
        <w:jc w:val="cente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中小企业声明函（服务）</w:t>
      </w:r>
    </w:p>
    <w:p w14:paraId="41574DBC">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3CCF94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bCs/>
          <w:color w:val="auto"/>
          <w:sz w:val="24"/>
          <w:highlight w:val="none"/>
          <w:lang w:eastAsia="zh-CN"/>
        </w:rPr>
        <w:t>人力资源服务外包</w:t>
      </w:r>
      <w:r>
        <w:rPr>
          <w:rFonts w:hint="eastAsia" w:ascii="宋体" w:hAnsi="宋体" w:eastAsia="宋体" w:cs="宋体"/>
          <w:color w:val="auto"/>
          <w:sz w:val="24"/>
          <w:highlight w:val="none"/>
        </w:rPr>
        <w:t>，属于</w:t>
      </w:r>
      <w:r>
        <w:rPr>
          <w:rFonts w:hint="eastAsia" w:ascii="宋体" w:hAnsi="宋体" w:eastAsia="宋体" w:cs="宋体"/>
          <w:b w:val="0"/>
          <w:bCs w:val="0"/>
          <w:color w:val="auto"/>
          <w:sz w:val="24"/>
          <w:szCs w:val="24"/>
          <w:highlight w:val="none"/>
          <w:lang w:val="en-US"/>
        </w:rPr>
        <w:t>租赁和商务服务业</w:t>
      </w:r>
      <w:r>
        <w:rPr>
          <w:rFonts w:hint="eastAsia" w:ascii="宋体" w:hAnsi="宋体" w:eastAsia="宋体" w:cs="宋体"/>
          <w:color w:val="auto"/>
          <w:sz w:val="24"/>
          <w:highlight w:val="none"/>
        </w:rPr>
        <w:t xml:space="preserve">；承建（承接）企业为 </w:t>
      </w:r>
      <w:r>
        <w:rPr>
          <w:rFonts w:hint="eastAsia" w:ascii="宋体" w:hAnsi="宋体" w:eastAsia="宋体" w:cs="宋体"/>
          <w:color w:val="auto"/>
          <w:sz w:val="24"/>
          <w:highlight w:val="none"/>
          <w:u w:val="single"/>
        </w:rPr>
        <w:t>（企业名称）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（中型企业、小型企业、微型企业） </w:t>
      </w:r>
      <w:r>
        <w:rPr>
          <w:rFonts w:hint="eastAsia" w:ascii="宋体" w:hAnsi="宋体" w:eastAsia="宋体" w:cs="宋体"/>
          <w:color w:val="auto"/>
          <w:sz w:val="24"/>
          <w:highlight w:val="none"/>
        </w:rPr>
        <w:t>；</w:t>
      </w:r>
    </w:p>
    <w:p w14:paraId="7992CE1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F3122D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9AFBA3D">
      <w:pPr>
        <w:spacing w:line="360" w:lineRule="auto"/>
        <w:ind w:right="176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投标人名称（电子签名）：</w:t>
      </w:r>
    </w:p>
    <w:p w14:paraId="5541C4A2">
      <w:pPr>
        <w:spacing w:line="360" w:lineRule="auto"/>
        <w:ind w:right="1120"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48E47077">
      <w:pPr>
        <w:spacing w:line="360" w:lineRule="auto"/>
        <w:ind w:firstLine="310"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从业人员、营业收入、资产总额填报上一年度数据，无上一年度数据的新成立企业可不填报。</w:t>
      </w:r>
    </w:p>
    <w:p w14:paraId="137EA0A5">
      <w:pPr>
        <w:spacing w:line="360" w:lineRule="auto"/>
        <w:ind w:right="420"/>
        <w:rPr>
          <w:rFonts w:hint="eastAsia" w:ascii="宋体" w:hAnsi="宋体" w:eastAsia="宋体" w:cs="宋体"/>
          <w:color w:val="auto"/>
          <w:sz w:val="24"/>
          <w:highlight w:val="none"/>
        </w:rPr>
      </w:pPr>
    </w:p>
    <w:p w14:paraId="2AE20755">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w:t>
      </w:r>
    </w:p>
    <w:p w14:paraId="289E4712">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6A2FAB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74E68B4">
      <w:pPr>
        <w:pStyle w:val="2"/>
        <w:rPr>
          <w:rFonts w:hint="eastAsia"/>
        </w:rPr>
      </w:pPr>
      <w:r>
        <w:rPr>
          <w:rFonts w:hint="eastAsia" w:ascii="宋体" w:hAnsi="宋体" w:eastAsia="宋体" w:cs="宋体"/>
          <w:b w:val="0"/>
          <w:bCs w:val="0"/>
          <w:color w:val="auto"/>
          <w:sz w:val="24"/>
          <w:szCs w:val="24"/>
          <w:highlight w:val="none"/>
          <w:lang w:val="en-US"/>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7CF8D2">
      <w:pPr>
        <w:spacing w:line="360" w:lineRule="auto"/>
        <w:jc w:val="center"/>
        <w:rPr>
          <w:rFonts w:hint="eastAsia" w:ascii="宋体" w:hAnsi="宋体" w:eastAsia="宋体" w:cs="宋体"/>
          <w:b/>
          <w:color w:val="auto"/>
          <w:sz w:val="32"/>
          <w:szCs w:val="32"/>
          <w:highlight w:val="none"/>
        </w:rPr>
      </w:pPr>
    </w:p>
    <w:p w14:paraId="43DF6BCC">
      <w:pPr>
        <w:spacing w:line="360" w:lineRule="auto"/>
        <w:jc w:val="center"/>
        <w:rPr>
          <w:rFonts w:hint="eastAsia" w:ascii="宋体" w:hAnsi="宋体" w:eastAsia="宋体" w:cs="宋体"/>
          <w:b/>
          <w:color w:val="auto"/>
          <w:sz w:val="32"/>
          <w:szCs w:val="32"/>
          <w:highlight w:val="none"/>
        </w:rPr>
      </w:pPr>
    </w:p>
    <w:p w14:paraId="225251F6">
      <w:pPr>
        <w:spacing w:line="360" w:lineRule="auto"/>
        <w:jc w:val="center"/>
        <w:rPr>
          <w:rFonts w:hint="eastAsia" w:ascii="宋体" w:hAnsi="宋体" w:eastAsia="宋体" w:cs="宋体"/>
          <w:b/>
          <w:color w:val="auto"/>
          <w:sz w:val="32"/>
          <w:szCs w:val="32"/>
          <w:highlight w:val="none"/>
        </w:rPr>
      </w:pPr>
    </w:p>
    <w:p w14:paraId="332C3D60">
      <w:pPr>
        <w:spacing w:line="360" w:lineRule="auto"/>
        <w:jc w:val="center"/>
        <w:rPr>
          <w:rFonts w:hint="eastAsia" w:ascii="宋体" w:hAnsi="宋体" w:eastAsia="宋体" w:cs="宋体"/>
          <w:b/>
          <w:color w:val="auto"/>
          <w:sz w:val="32"/>
          <w:szCs w:val="32"/>
          <w:highlight w:val="none"/>
        </w:rPr>
      </w:pPr>
    </w:p>
    <w:p w14:paraId="4332282B">
      <w:pPr>
        <w:pStyle w:val="63"/>
        <w:rPr>
          <w:rFonts w:hint="eastAsia" w:ascii="宋体" w:hAnsi="宋体" w:eastAsia="宋体" w:cs="宋体"/>
          <w:b/>
          <w:color w:val="auto"/>
          <w:sz w:val="32"/>
          <w:szCs w:val="32"/>
          <w:highlight w:val="none"/>
        </w:rPr>
      </w:pPr>
    </w:p>
    <w:p w14:paraId="2A4C60DB">
      <w:pPr>
        <w:rPr>
          <w:rFonts w:hint="eastAsia" w:ascii="宋体" w:hAnsi="宋体" w:eastAsia="宋体" w:cs="宋体"/>
          <w:b/>
          <w:color w:val="auto"/>
          <w:sz w:val="32"/>
          <w:szCs w:val="32"/>
          <w:highlight w:val="none"/>
        </w:rPr>
      </w:pPr>
    </w:p>
    <w:p w14:paraId="26E6F8BA">
      <w:pPr>
        <w:pStyle w:val="63"/>
        <w:rPr>
          <w:rFonts w:hint="eastAsia" w:ascii="宋体" w:hAnsi="宋体" w:eastAsia="宋体" w:cs="宋体"/>
          <w:b/>
          <w:color w:val="auto"/>
          <w:sz w:val="32"/>
          <w:szCs w:val="32"/>
          <w:highlight w:val="none"/>
        </w:rPr>
      </w:pPr>
    </w:p>
    <w:p w14:paraId="2169D4DB">
      <w:pPr>
        <w:rPr>
          <w:rFonts w:hint="eastAsia" w:ascii="宋体" w:hAnsi="宋体" w:eastAsia="宋体" w:cs="宋体"/>
          <w:b/>
          <w:color w:val="auto"/>
          <w:sz w:val="32"/>
          <w:szCs w:val="32"/>
          <w:highlight w:val="none"/>
        </w:rPr>
      </w:pPr>
    </w:p>
    <w:p w14:paraId="04A78CF2">
      <w:pPr>
        <w:pStyle w:val="63"/>
        <w:rPr>
          <w:rFonts w:hint="eastAsia" w:ascii="宋体" w:hAnsi="宋体" w:eastAsia="宋体" w:cs="宋体"/>
          <w:b/>
          <w:color w:val="auto"/>
          <w:sz w:val="32"/>
          <w:szCs w:val="32"/>
          <w:highlight w:val="none"/>
        </w:rPr>
      </w:pPr>
    </w:p>
    <w:p w14:paraId="751743A8">
      <w:pPr>
        <w:rPr>
          <w:rFonts w:hint="eastAsia" w:ascii="宋体" w:hAnsi="宋体" w:eastAsia="宋体" w:cs="宋体"/>
          <w:b/>
          <w:color w:val="auto"/>
          <w:sz w:val="32"/>
          <w:szCs w:val="32"/>
          <w:highlight w:val="none"/>
        </w:rPr>
      </w:pPr>
    </w:p>
    <w:p w14:paraId="155B8520">
      <w:pPr>
        <w:pStyle w:val="63"/>
        <w:rPr>
          <w:rFonts w:hint="eastAsia" w:ascii="宋体" w:hAnsi="宋体" w:eastAsia="宋体" w:cs="宋体"/>
          <w:b/>
          <w:color w:val="auto"/>
          <w:sz w:val="32"/>
          <w:szCs w:val="32"/>
          <w:highlight w:val="none"/>
        </w:rPr>
      </w:pPr>
    </w:p>
    <w:p w14:paraId="7D1A50E7">
      <w:pPr>
        <w:rPr>
          <w:rFonts w:hint="eastAsia" w:ascii="宋体" w:hAnsi="宋体" w:eastAsia="宋体" w:cs="宋体"/>
          <w:b/>
          <w:color w:val="auto"/>
          <w:sz w:val="32"/>
          <w:szCs w:val="32"/>
          <w:highlight w:val="none"/>
        </w:rPr>
      </w:pPr>
    </w:p>
    <w:p w14:paraId="6DB8D93A">
      <w:pPr>
        <w:pStyle w:val="63"/>
        <w:rPr>
          <w:rFonts w:hint="eastAsia" w:ascii="宋体" w:hAnsi="宋体" w:eastAsia="宋体" w:cs="宋体"/>
          <w:b/>
          <w:color w:val="auto"/>
          <w:sz w:val="32"/>
          <w:szCs w:val="32"/>
          <w:highlight w:val="none"/>
        </w:rPr>
      </w:pPr>
    </w:p>
    <w:p w14:paraId="72C90A52">
      <w:pPr>
        <w:rPr>
          <w:rFonts w:hint="eastAsia" w:ascii="宋体" w:hAnsi="宋体" w:eastAsia="宋体" w:cs="宋体"/>
          <w:b/>
          <w:color w:val="auto"/>
          <w:sz w:val="32"/>
          <w:szCs w:val="32"/>
          <w:highlight w:val="none"/>
        </w:rPr>
      </w:pPr>
    </w:p>
    <w:p w14:paraId="7B84F60B">
      <w:pPr>
        <w:pStyle w:val="63"/>
        <w:rPr>
          <w:rFonts w:hint="eastAsia" w:ascii="宋体" w:hAnsi="宋体" w:eastAsia="宋体" w:cs="宋体"/>
          <w:b/>
          <w:color w:val="auto"/>
          <w:sz w:val="32"/>
          <w:szCs w:val="32"/>
          <w:highlight w:val="none"/>
        </w:rPr>
      </w:pPr>
    </w:p>
    <w:p w14:paraId="71033A32">
      <w:pPr>
        <w:rPr>
          <w:rFonts w:hint="eastAsia" w:ascii="宋体" w:hAnsi="宋体" w:eastAsia="宋体" w:cs="宋体"/>
          <w:b/>
          <w:color w:val="auto"/>
          <w:sz w:val="32"/>
          <w:szCs w:val="32"/>
          <w:highlight w:val="none"/>
        </w:rPr>
      </w:pPr>
    </w:p>
    <w:p w14:paraId="35EF4A09">
      <w:pPr>
        <w:pStyle w:val="63"/>
        <w:rPr>
          <w:rFonts w:hint="eastAsia" w:ascii="宋体" w:hAnsi="宋体" w:eastAsia="宋体" w:cs="宋体"/>
          <w:b/>
          <w:color w:val="auto"/>
          <w:sz w:val="32"/>
          <w:szCs w:val="32"/>
          <w:highlight w:val="none"/>
        </w:rPr>
      </w:pPr>
    </w:p>
    <w:p w14:paraId="08956217">
      <w:pPr>
        <w:rPr>
          <w:rFonts w:hint="eastAsia" w:ascii="宋体" w:hAnsi="宋体" w:eastAsia="宋体" w:cs="宋体"/>
          <w:b/>
          <w:color w:val="auto"/>
          <w:sz w:val="32"/>
          <w:szCs w:val="32"/>
          <w:highlight w:val="none"/>
        </w:rPr>
      </w:pPr>
    </w:p>
    <w:p w14:paraId="1F8997DC">
      <w:pPr>
        <w:pStyle w:val="63"/>
        <w:rPr>
          <w:rFonts w:hint="eastAsia" w:ascii="宋体" w:hAnsi="宋体" w:eastAsia="宋体" w:cs="宋体"/>
          <w:b/>
          <w:color w:val="auto"/>
          <w:sz w:val="32"/>
          <w:szCs w:val="32"/>
          <w:highlight w:val="none"/>
        </w:rPr>
      </w:pPr>
    </w:p>
    <w:p w14:paraId="67C6DEAA">
      <w:pPr>
        <w:spacing w:line="360" w:lineRule="auto"/>
        <w:rPr>
          <w:rFonts w:hint="eastAsia" w:ascii="宋体" w:hAnsi="宋体" w:eastAsia="宋体" w:cs="宋体"/>
          <w:bCs/>
          <w:color w:val="auto"/>
          <w:sz w:val="24"/>
          <w:highlight w:val="none"/>
        </w:rPr>
      </w:pPr>
    </w:p>
    <w:sectPr>
      <w:headerReference r:id="rId20" w:type="first"/>
      <w:footerReference r:id="rId23" w:type="first"/>
      <w:headerReference r:id="rId19" w:type="default"/>
      <w:footerReference r:id="rId21" w:type="default"/>
      <w:footerReference r:id="rId22" w:type="even"/>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方正公文小标宋"/>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71F7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195B">
    <w:pPr>
      <w:pStyle w:val="40"/>
      <w:framePr w:wrap="around" w:vAnchor="text" w:hAnchor="margin" w:xAlign="right" w:y="1"/>
      <w:rPr>
        <w:rStyle w:val="74"/>
      </w:rPr>
    </w:pPr>
    <w:r>
      <w:fldChar w:fldCharType="begin"/>
    </w:r>
    <w:r>
      <w:rPr>
        <w:rStyle w:val="74"/>
      </w:rPr>
      <w:instrText xml:space="preserve">PAGE  </w:instrText>
    </w:r>
    <w:r>
      <w:fldChar w:fldCharType="end"/>
    </w:r>
  </w:p>
  <w:p w14:paraId="40236E6E">
    <w:pPr>
      <w:pStyle w:val="4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0B11">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69" w:name="_Toc131845147"/>
    <w:bookmarkStart w:id="570" w:name="_Toc164085800"/>
    <w:bookmarkStart w:id="571" w:name="_Toc36110187"/>
    <w:bookmarkStart w:id="572" w:name="_Toc91899912"/>
    <w:r>
      <w:rPr>
        <w:rFonts w:hint="eastAsia" w:ascii="仿宋_GB2312" w:eastAsia="仿宋_GB2312"/>
        <w:kern w:val="0"/>
        <w:szCs w:val="21"/>
      </w:rPr>
      <w:t xml:space="preserve"> 页</w:t>
    </w:r>
    <w:bookmarkEnd w:id="569"/>
    <w:bookmarkEnd w:id="570"/>
    <w:bookmarkEnd w:id="571"/>
    <w:bookmarkEnd w:id="57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750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223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B277BA7">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21D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F1E22B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9921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A2BFD2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28A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E88CB0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286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4D2CC21">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09B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D9C026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1BF9C">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7664">
    <w:pPr>
      <w:pStyle w:val="42"/>
      <w:pBdr>
        <w:bottom w:val="single" w:color="auto" w:sz="6" w:space="4"/>
      </w:pBdr>
      <w:jc w:val="right"/>
    </w:pPr>
    <w:r>
      <w:rPr>
        <w:rFonts w:hint="eastAsia"/>
      </w:rPr>
      <w:t xml:space="preserve">            </w:t>
    </w:r>
    <w:r>
      <w:t>政府采购公开招标文件</w:t>
    </w:r>
  </w:p>
  <w:p w14:paraId="6CAA9DD9">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AC8C">
    <w:pPr>
      <w:pStyle w:val="42"/>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FB6B">
    <w:pPr>
      <w:pStyle w:val="42"/>
      <w:pBdr>
        <w:bottom w:val="none" w:color="auto" w:sz="0" w:space="1"/>
      </w:pBd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5F91">
    <w:pPr>
      <w:pStyle w:val="42"/>
      <w:jc w:val="right"/>
      <w:rPr>
        <w:rFonts w:ascii="仿宋_GB2312" w:eastAsia="仿宋_GB2312"/>
        <w:b/>
        <w:i/>
        <w:u w:val="single"/>
      </w:rPr>
    </w:pPr>
    <w:r>
      <w:rPr>
        <w:rFonts w:hint="eastAsia"/>
      </w:rPr>
      <w:t xml:space="preserve">                                </w:t>
    </w:r>
    <w:r>
      <w:t>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1E4C">
    <w:pPr>
      <w:pStyle w:val="42"/>
    </w:pPr>
    <w:r>
      <w:rPr>
        <w:rFonts w:hint="eastAsia"/>
      </w:rPr>
      <w:t xml:space="preserve">        </w:t>
    </w:r>
  </w:p>
  <w:p w14:paraId="1B0DEAB1">
    <w:pPr>
      <w:pStyle w:val="42"/>
    </w:pPr>
    <w:r>
      <w:rPr>
        <w:rFonts w:hint="eastAsia"/>
      </w:rPr>
      <w:t xml:space="preserve">                                                                  </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58A6">
    <w:pPr>
      <w:pStyle w:val="42"/>
      <w:rPr>
        <w:rFonts w:ascii="仿宋_GB2312" w:eastAsia="仿宋_GB2312"/>
        <w:b/>
        <w:i/>
        <w:u w:val="single"/>
      </w:rPr>
    </w:pPr>
    <w:r>
      <w:t></w:t>
    </w:r>
    <w:r>
      <w:rPr>
        <w:rFonts w:hint="eastAsia"/>
      </w:rPr>
      <w:t xml:space="preserve">                                                </w:t>
    </w:r>
    <w:r>
      <w:t xml:space="preserve"> 政府采购公开招标文件</w:t>
    </w:r>
  </w:p>
  <w:p w14:paraId="3F70514B">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1CA5">
    <w:pPr>
      <w:pStyle w:val="42"/>
      <w:jc w:val="right"/>
    </w:pPr>
    <w:r>
      <w:t></w:t>
    </w:r>
    <w:r>
      <w:rPr>
        <w:rFonts w:hint="eastAsia"/>
      </w:rPr>
      <w:t xml:space="preserve">                                                                    </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C017">
    <w:pPr>
      <w:pStyle w:val="42"/>
      <w:jc w:val="right"/>
      <w:rPr>
        <w:rFonts w:ascii="仿宋_GB2312" w:eastAsia="仿宋_GB2312"/>
        <w:b/>
        <w:i/>
        <w:u w:val="single"/>
      </w:rPr>
    </w:pPr>
    <w:r>
      <w:rPr>
        <w:rFonts w:hint="eastAsia"/>
      </w:rPr>
      <w:t xml:space="preserve">                                  </w:t>
    </w:r>
    <w:r>
      <w:t>政府采购公开招标文件</w:t>
    </w:r>
  </w:p>
  <w:p w14:paraId="5BC69B62">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29B35">
    <w:pPr>
      <w:pStyle w:val="42"/>
      <w:jc w:val="right"/>
    </w:pPr>
    <w:r>
      <w:rPr>
        <w:rFonts w:hint="eastAsia"/>
      </w:rPr>
      <w:t xml:space="preserve">                                                                                                        </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3153">
    <w:pPr>
      <w:pStyle w:val="42"/>
      <w:jc w:val="right"/>
      <w:rPr>
        <w:rFonts w:ascii="仿宋_GB2312" w:eastAsia="仿宋_GB2312"/>
        <w:b/>
        <w:i/>
        <w:iCs/>
        <w:u w:val="single"/>
      </w:rPr>
    </w:pP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80F08"/>
    <w:multiLevelType w:val="singleLevel"/>
    <w:tmpl w:val="F5E80F08"/>
    <w:lvl w:ilvl="0" w:tentative="0">
      <w:start w:val="23"/>
      <w:numFmt w:val="decimal"/>
      <w:suff w:val="space"/>
      <w:lvlText w:val="%1."/>
      <w:lvlJc w:val="left"/>
    </w:lvl>
  </w:abstractNum>
  <w:abstractNum w:abstractNumId="1">
    <w:nsid w:val="023A4B59"/>
    <w:multiLevelType w:val="singleLevel"/>
    <w:tmpl w:val="023A4B59"/>
    <w:lvl w:ilvl="0" w:tentative="0">
      <w:start w:val="1"/>
      <w:numFmt w:val="decimal"/>
      <w:lvlText w:val="%1."/>
      <w:lvlJc w:val="left"/>
      <w:pPr>
        <w:tabs>
          <w:tab w:val="left" w:pos="312"/>
        </w:tabs>
      </w:pPr>
    </w:lvl>
  </w:abstractNum>
  <w:abstractNum w:abstractNumId="2">
    <w:nsid w:val="0D43D065"/>
    <w:multiLevelType w:val="singleLevel"/>
    <w:tmpl w:val="0D43D065"/>
    <w:lvl w:ilvl="0" w:tentative="0">
      <w:start w:val="1"/>
      <w:numFmt w:val="chineseCounting"/>
      <w:suff w:val="nothing"/>
      <w:lvlText w:val="%1、"/>
      <w:lvlJc w:val="left"/>
      <w:rPr>
        <w:rFonts w:hint="eastAsia"/>
      </w:rPr>
    </w:lvl>
  </w:abstractNum>
  <w:abstractNum w:abstractNumId="3">
    <w:nsid w:val="3B500D3E"/>
    <w:multiLevelType w:val="singleLevel"/>
    <w:tmpl w:val="3B500D3E"/>
    <w:lvl w:ilvl="0" w:tentative="0">
      <w:start w:val="1"/>
      <w:numFmt w:val="decimal"/>
      <w:suff w:val="nothing"/>
      <w:lvlText w:val="%1、"/>
      <w:lvlJc w:val="left"/>
    </w:lvl>
  </w:abstractNum>
  <w:abstractNum w:abstractNumId="4">
    <w:nsid w:val="466C01F9"/>
    <w:multiLevelType w:val="singleLevel"/>
    <w:tmpl w:val="466C01F9"/>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xODcyYWIxMmZlMWY5MDRjYmIyYTIyOGY2MGIxMWEifQ=="/>
  </w:docVars>
  <w:rsids>
    <w:rsidRoot w:val="00172A27"/>
    <w:rsid w:val="00000451"/>
    <w:rsid w:val="0000108B"/>
    <w:rsid w:val="0000133D"/>
    <w:rsid w:val="00001509"/>
    <w:rsid w:val="000032B2"/>
    <w:rsid w:val="0000363B"/>
    <w:rsid w:val="00004A29"/>
    <w:rsid w:val="000058BD"/>
    <w:rsid w:val="00006109"/>
    <w:rsid w:val="00006150"/>
    <w:rsid w:val="000063E8"/>
    <w:rsid w:val="00006725"/>
    <w:rsid w:val="0000675E"/>
    <w:rsid w:val="00007CAA"/>
    <w:rsid w:val="00010FE9"/>
    <w:rsid w:val="0001122F"/>
    <w:rsid w:val="00011A4B"/>
    <w:rsid w:val="00012251"/>
    <w:rsid w:val="0001337C"/>
    <w:rsid w:val="000138C4"/>
    <w:rsid w:val="00013B57"/>
    <w:rsid w:val="00013C1F"/>
    <w:rsid w:val="00013F31"/>
    <w:rsid w:val="000140D8"/>
    <w:rsid w:val="00014530"/>
    <w:rsid w:val="00014BBC"/>
    <w:rsid w:val="000150EE"/>
    <w:rsid w:val="00015826"/>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277D1"/>
    <w:rsid w:val="00030572"/>
    <w:rsid w:val="00030A97"/>
    <w:rsid w:val="00030CB3"/>
    <w:rsid w:val="0003206A"/>
    <w:rsid w:val="000326A7"/>
    <w:rsid w:val="00032EA0"/>
    <w:rsid w:val="0003314B"/>
    <w:rsid w:val="000331B0"/>
    <w:rsid w:val="0003353E"/>
    <w:rsid w:val="000336D4"/>
    <w:rsid w:val="00034FA7"/>
    <w:rsid w:val="0003533D"/>
    <w:rsid w:val="000357E4"/>
    <w:rsid w:val="00035ACA"/>
    <w:rsid w:val="00036C29"/>
    <w:rsid w:val="00037B93"/>
    <w:rsid w:val="00037F3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698"/>
    <w:rsid w:val="00056791"/>
    <w:rsid w:val="00056868"/>
    <w:rsid w:val="00056876"/>
    <w:rsid w:val="000568DF"/>
    <w:rsid w:val="000576D1"/>
    <w:rsid w:val="000578A3"/>
    <w:rsid w:val="00057D4C"/>
    <w:rsid w:val="00060C48"/>
    <w:rsid w:val="00061A3C"/>
    <w:rsid w:val="00061C48"/>
    <w:rsid w:val="00064278"/>
    <w:rsid w:val="000646CA"/>
    <w:rsid w:val="000665C4"/>
    <w:rsid w:val="00067821"/>
    <w:rsid w:val="0006785E"/>
    <w:rsid w:val="00067C86"/>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EF7"/>
    <w:rsid w:val="00092FE9"/>
    <w:rsid w:val="000936BF"/>
    <w:rsid w:val="0009382F"/>
    <w:rsid w:val="00093A30"/>
    <w:rsid w:val="00093E26"/>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A767A"/>
    <w:rsid w:val="000B0E04"/>
    <w:rsid w:val="000B268D"/>
    <w:rsid w:val="000B291B"/>
    <w:rsid w:val="000B41D6"/>
    <w:rsid w:val="000B456C"/>
    <w:rsid w:val="000B45B9"/>
    <w:rsid w:val="000B47CE"/>
    <w:rsid w:val="000B4B56"/>
    <w:rsid w:val="000B4C62"/>
    <w:rsid w:val="000B541D"/>
    <w:rsid w:val="000B54C1"/>
    <w:rsid w:val="000B5553"/>
    <w:rsid w:val="000B5FE8"/>
    <w:rsid w:val="000B61DC"/>
    <w:rsid w:val="000B666E"/>
    <w:rsid w:val="000C0A43"/>
    <w:rsid w:val="000C0CB1"/>
    <w:rsid w:val="000C1411"/>
    <w:rsid w:val="000C146A"/>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059B"/>
    <w:rsid w:val="000D11E5"/>
    <w:rsid w:val="000D19E8"/>
    <w:rsid w:val="000D1FA1"/>
    <w:rsid w:val="000D2834"/>
    <w:rsid w:val="000D2CAC"/>
    <w:rsid w:val="000D34C8"/>
    <w:rsid w:val="000D34FD"/>
    <w:rsid w:val="000D3BE5"/>
    <w:rsid w:val="000D3C37"/>
    <w:rsid w:val="000D453A"/>
    <w:rsid w:val="000D4AFA"/>
    <w:rsid w:val="000D5EA6"/>
    <w:rsid w:val="000D5F00"/>
    <w:rsid w:val="000D6C36"/>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A6"/>
    <w:rsid w:val="000E6AE1"/>
    <w:rsid w:val="000E7142"/>
    <w:rsid w:val="000E7632"/>
    <w:rsid w:val="000E7737"/>
    <w:rsid w:val="000E7739"/>
    <w:rsid w:val="000E77EE"/>
    <w:rsid w:val="000F131E"/>
    <w:rsid w:val="000F1604"/>
    <w:rsid w:val="000F287A"/>
    <w:rsid w:val="000F2940"/>
    <w:rsid w:val="000F2AB3"/>
    <w:rsid w:val="000F3D08"/>
    <w:rsid w:val="000F4495"/>
    <w:rsid w:val="000F4A05"/>
    <w:rsid w:val="000F4AA8"/>
    <w:rsid w:val="000F4AEA"/>
    <w:rsid w:val="000F4E67"/>
    <w:rsid w:val="000F4E88"/>
    <w:rsid w:val="000F505B"/>
    <w:rsid w:val="000F5677"/>
    <w:rsid w:val="000F5DDB"/>
    <w:rsid w:val="000F628E"/>
    <w:rsid w:val="000F64CC"/>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7CD"/>
    <w:rsid w:val="00111C7D"/>
    <w:rsid w:val="00112038"/>
    <w:rsid w:val="001127FF"/>
    <w:rsid w:val="00112B0B"/>
    <w:rsid w:val="00112EB5"/>
    <w:rsid w:val="0011313D"/>
    <w:rsid w:val="0011383E"/>
    <w:rsid w:val="00113EE3"/>
    <w:rsid w:val="00114847"/>
    <w:rsid w:val="0011585B"/>
    <w:rsid w:val="00115B1A"/>
    <w:rsid w:val="001160FF"/>
    <w:rsid w:val="001164F4"/>
    <w:rsid w:val="001168F8"/>
    <w:rsid w:val="001176FF"/>
    <w:rsid w:val="0012153F"/>
    <w:rsid w:val="0012159D"/>
    <w:rsid w:val="00121804"/>
    <w:rsid w:val="00121B2F"/>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08"/>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C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336"/>
    <w:rsid w:val="00151820"/>
    <w:rsid w:val="00151B2F"/>
    <w:rsid w:val="001524DC"/>
    <w:rsid w:val="001525E5"/>
    <w:rsid w:val="00153859"/>
    <w:rsid w:val="00153915"/>
    <w:rsid w:val="001539F0"/>
    <w:rsid w:val="00154BBA"/>
    <w:rsid w:val="00155B95"/>
    <w:rsid w:val="00156853"/>
    <w:rsid w:val="00157432"/>
    <w:rsid w:val="0016110B"/>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8F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95E"/>
    <w:rsid w:val="00180A47"/>
    <w:rsid w:val="001815A7"/>
    <w:rsid w:val="001827B7"/>
    <w:rsid w:val="001827EF"/>
    <w:rsid w:val="00182982"/>
    <w:rsid w:val="001829BC"/>
    <w:rsid w:val="00182D68"/>
    <w:rsid w:val="00183031"/>
    <w:rsid w:val="00183468"/>
    <w:rsid w:val="0018397E"/>
    <w:rsid w:val="00184466"/>
    <w:rsid w:val="00184DBF"/>
    <w:rsid w:val="001852A8"/>
    <w:rsid w:val="001856EF"/>
    <w:rsid w:val="00185C0F"/>
    <w:rsid w:val="001861E3"/>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8D"/>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4130"/>
    <w:rsid w:val="001C6047"/>
    <w:rsid w:val="001C631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D5F3A"/>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47B5"/>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5A55"/>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3227"/>
    <w:rsid w:val="00223C0B"/>
    <w:rsid w:val="00224037"/>
    <w:rsid w:val="002244E4"/>
    <w:rsid w:val="00224D2A"/>
    <w:rsid w:val="00224D8D"/>
    <w:rsid w:val="00224E41"/>
    <w:rsid w:val="0022555A"/>
    <w:rsid w:val="00227214"/>
    <w:rsid w:val="00227D34"/>
    <w:rsid w:val="00227DDC"/>
    <w:rsid w:val="0023079F"/>
    <w:rsid w:val="00230E46"/>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93"/>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3EFE"/>
    <w:rsid w:val="002542F8"/>
    <w:rsid w:val="002543EF"/>
    <w:rsid w:val="00254F2A"/>
    <w:rsid w:val="0025559A"/>
    <w:rsid w:val="00255784"/>
    <w:rsid w:val="00255A29"/>
    <w:rsid w:val="0025631F"/>
    <w:rsid w:val="002565AD"/>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2A"/>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4CE0"/>
    <w:rsid w:val="002851A5"/>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9FE"/>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134"/>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987"/>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624"/>
    <w:rsid w:val="003519CD"/>
    <w:rsid w:val="00351A3A"/>
    <w:rsid w:val="0035455F"/>
    <w:rsid w:val="00355D75"/>
    <w:rsid w:val="00355D8F"/>
    <w:rsid w:val="00356A73"/>
    <w:rsid w:val="00356FF0"/>
    <w:rsid w:val="003577EF"/>
    <w:rsid w:val="00357A3A"/>
    <w:rsid w:val="00357A60"/>
    <w:rsid w:val="00360304"/>
    <w:rsid w:val="00360A78"/>
    <w:rsid w:val="00360EF9"/>
    <w:rsid w:val="00361750"/>
    <w:rsid w:val="00363894"/>
    <w:rsid w:val="00363B2A"/>
    <w:rsid w:val="00363BF1"/>
    <w:rsid w:val="00366779"/>
    <w:rsid w:val="003668E5"/>
    <w:rsid w:val="003669C8"/>
    <w:rsid w:val="00366CEB"/>
    <w:rsid w:val="003672B3"/>
    <w:rsid w:val="003676DF"/>
    <w:rsid w:val="0036775D"/>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6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72E"/>
    <w:rsid w:val="003B0A3A"/>
    <w:rsid w:val="003B0A6B"/>
    <w:rsid w:val="003B0D79"/>
    <w:rsid w:val="003B2930"/>
    <w:rsid w:val="003B31A7"/>
    <w:rsid w:val="003B4587"/>
    <w:rsid w:val="003B4B51"/>
    <w:rsid w:val="003B4FE1"/>
    <w:rsid w:val="003B514E"/>
    <w:rsid w:val="003B5531"/>
    <w:rsid w:val="003B636A"/>
    <w:rsid w:val="003B667B"/>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0EF4"/>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0DB1"/>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3B7"/>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AD4"/>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0C13"/>
    <w:rsid w:val="0044105D"/>
    <w:rsid w:val="00441424"/>
    <w:rsid w:val="00442731"/>
    <w:rsid w:val="00442C12"/>
    <w:rsid w:val="00442C2F"/>
    <w:rsid w:val="004434DF"/>
    <w:rsid w:val="0044354B"/>
    <w:rsid w:val="0044493E"/>
    <w:rsid w:val="00444A1F"/>
    <w:rsid w:val="00444FC6"/>
    <w:rsid w:val="00445874"/>
    <w:rsid w:val="00445C38"/>
    <w:rsid w:val="0044686B"/>
    <w:rsid w:val="004475F7"/>
    <w:rsid w:val="0045057B"/>
    <w:rsid w:val="0045069B"/>
    <w:rsid w:val="00450873"/>
    <w:rsid w:val="00450B22"/>
    <w:rsid w:val="00451709"/>
    <w:rsid w:val="004518FA"/>
    <w:rsid w:val="00451A02"/>
    <w:rsid w:val="0045277C"/>
    <w:rsid w:val="0045328A"/>
    <w:rsid w:val="00453507"/>
    <w:rsid w:val="00453592"/>
    <w:rsid w:val="004543AB"/>
    <w:rsid w:val="004543D1"/>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A4D"/>
    <w:rsid w:val="00461F80"/>
    <w:rsid w:val="0046238F"/>
    <w:rsid w:val="0046240D"/>
    <w:rsid w:val="00462898"/>
    <w:rsid w:val="00462D84"/>
    <w:rsid w:val="00463208"/>
    <w:rsid w:val="00463576"/>
    <w:rsid w:val="00463683"/>
    <w:rsid w:val="004636D6"/>
    <w:rsid w:val="0046399D"/>
    <w:rsid w:val="00463D23"/>
    <w:rsid w:val="00463EA4"/>
    <w:rsid w:val="00465A21"/>
    <w:rsid w:val="00465B77"/>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644"/>
    <w:rsid w:val="004978C1"/>
    <w:rsid w:val="00497AAD"/>
    <w:rsid w:val="00497BD7"/>
    <w:rsid w:val="00497D1A"/>
    <w:rsid w:val="00497F94"/>
    <w:rsid w:val="004A00C9"/>
    <w:rsid w:val="004A03D0"/>
    <w:rsid w:val="004A1049"/>
    <w:rsid w:val="004A1AFA"/>
    <w:rsid w:val="004A1EA7"/>
    <w:rsid w:val="004A26F5"/>
    <w:rsid w:val="004A2EF8"/>
    <w:rsid w:val="004A3A21"/>
    <w:rsid w:val="004A3B20"/>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945"/>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015"/>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DE7"/>
    <w:rsid w:val="004F1F9E"/>
    <w:rsid w:val="004F2B72"/>
    <w:rsid w:val="004F2CB6"/>
    <w:rsid w:val="004F2E6E"/>
    <w:rsid w:val="004F3015"/>
    <w:rsid w:val="004F313F"/>
    <w:rsid w:val="004F34E2"/>
    <w:rsid w:val="004F367F"/>
    <w:rsid w:val="004F3EEF"/>
    <w:rsid w:val="004F43A7"/>
    <w:rsid w:val="004F447B"/>
    <w:rsid w:val="004F497C"/>
    <w:rsid w:val="004F4EF3"/>
    <w:rsid w:val="004F4FAC"/>
    <w:rsid w:val="004F4FE8"/>
    <w:rsid w:val="004F501F"/>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228"/>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6EB7"/>
    <w:rsid w:val="00517AC8"/>
    <w:rsid w:val="00517C3E"/>
    <w:rsid w:val="005207D8"/>
    <w:rsid w:val="005208FC"/>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9DD"/>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B76"/>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3746"/>
    <w:rsid w:val="00594437"/>
    <w:rsid w:val="00594B70"/>
    <w:rsid w:val="00594DCA"/>
    <w:rsid w:val="00596CFA"/>
    <w:rsid w:val="00596EC6"/>
    <w:rsid w:val="005975CE"/>
    <w:rsid w:val="005A0088"/>
    <w:rsid w:val="005A04F6"/>
    <w:rsid w:val="005A0AF8"/>
    <w:rsid w:val="005A1039"/>
    <w:rsid w:val="005A14F0"/>
    <w:rsid w:val="005A1861"/>
    <w:rsid w:val="005A1A31"/>
    <w:rsid w:val="005A1FE2"/>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384"/>
    <w:rsid w:val="005A7703"/>
    <w:rsid w:val="005A7986"/>
    <w:rsid w:val="005A7A32"/>
    <w:rsid w:val="005A7F85"/>
    <w:rsid w:val="005B00DD"/>
    <w:rsid w:val="005B01C0"/>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6F9"/>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5A9"/>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D6C"/>
    <w:rsid w:val="0061098D"/>
    <w:rsid w:val="00610B78"/>
    <w:rsid w:val="00610D7B"/>
    <w:rsid w:val="006115EF"/>
    <w:rsid w:val="00611B59"/>
    <w:rsid w:val="00611FBA"/>
    <w:rsid w:val="00612098"/>
    <w:rsid w:val="0061272A"/>
    <w:rsid w:val="0061299E"/>
    <w:rsid w:val="006130D0"/>
    <w:rsid w:val="0061355D"/>
    <w:rsid w:val="006139F7"/>
    <w:rsid w:val="00613AA2"/>
    <w:rsid w:val="006143A0"/>
    <w:rsid w:val="00614906"/>
    <w:rsid w:val="0061517F"/>
    <w:rsid w:val="00615276"/>
    <w:rsid w:val="006155F1"/>
    <w:rsid w:val="00615846"/>
    <w:rsid w:val="006160F0"/>
    <w:rsid w:val="0061618F"/>
    <w:rsid w:val="0061624B"/>
    <w:rsid w:val="006166AD"/>
    <w:rsid w:val="00616C1E"/>
    <w:rsid w:val="00616DEC"/>
    <w:rsid w:val="00617EFC"/>
    <w:rsid w:val="00620055"/>
    <w:rsid w:val="00620336"/>
    <w:rsid w:val="006204B3"/>
    <w:rsid w:val="006204C2"/>
    <w:rsid w:val="006212D3"/>
    <w:rsid w:val="00621639"/>
    <w:rsid w:val="00622B22"/>
    <w:rsid w:val="00622F67"/>
    <w:rsid w:val="00623571"/>
    <w:rsid w:val="00623A5E"/>
    <w:rsid w:val="00623FE0"/>
    <w:rsid w:val="00625008"/>
    <w:rsid w:val="006250F6"/>
    <w:rsid w:val="0062548B"/>
    <w:rsid w:val="006257A3"/>
    <w:rsid w:val="00626710"/>
    <w:rsid w:val="00626930"/>
    <w:rsid w:val="00626AD3"/>
    <w:rsid w:val="00626BAC"/>
    <w:rsid w:val="006271C3"/>
    <w:rsid w:val="00627B14"/>
    <w:rsid w:val="0063001E"/>
    <w:rsid w:val="00630023"/>
    <w:rsid w:val="0063053C"/>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140"/>
    <w:rsid w:val="00636AC1"/>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27C"/>
    <w:rsid w:val="006673B9"/>
    <w:rsid w:val="0066781E"/>
    <w:rsid w:val="0066790C"/>
    <w:rsid w:val="00667FF0"/>
    <w:rsid w:val="00670C7C"/>
    <w:rsid w:val="00671480"/>
    <w:rsid w:val="006717E7"/>
    <w:rsid w:val="00671FD5"/>
    <w:rsid w:val="006720BC"/>
    <w:rsid w:val="00672906"/>
    <w:rsid w:val="00672C73"/>
    <w:rsid w:val="00673B64"/>
    <w:rsid w:val="006746F6"/>
    <w:rsid w:val="00674DBD"/>
    <w:rsid w:val="00674E95"/>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371"/>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9CC"/>
    <w:rsid w:val="006B0C76"/>
    <w:rsid w:val="006B0DA2"/>
    <w:rsid w:val="006B0F70"/>
    <w:rsid w:val="006B10B1"/>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BDA"/>
    <w:rsid w:val="006C4D02"/>
    <w:rsid w:val="006C53A4"/>
    <w:rsid w:val="006C54DF"/>
    <w:rsid w:val="006C5D5D"/>
    <w:rsid w:val="006C627E"/>
    <w:rsid w:val="006C6303"/>
    <w:rsid w:val="006C6A51"/>
    <w:rsid w:val="006C6EBD"/>
    <w:rsid w:val="006C78D5"/>
    <w:rsid w:val="006C79D5"/>
    <w:rsid w:val="006C7E04"/>
    <w:rsid w:val="006C7F79"/>
    <w:rsid w:val="006D0004"/>
    <w:rsid w:val="006D015F"/>
    <w:rsid w:val="006D060E"/>
    <w:rsid w:val="006D0681"/>
    <w:rsid w:val="006D0A80"/>
    <w:rsid w:val="006D0AE8"/>
    <w:rsid w:val="006D135C"/>
    <w:rsid w:val="006D2696"/>
    <w:rsid w:val="006D2F72"/>
    <w:rsid w:val="006D43C1"/>
    <w:rsid w:val="006D5442"/>
    <w:rsid w:val="006D6E4E"/>
    <w:rsid w:val="006D7392"/>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62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CB7"/>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84F"/>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4FE2"/>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07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0A"/>
    <w:rsid w:val="00756D69"/>
    <w:rsid w:val="00757029"/>
    <w:rsid w:val="007571FD"/>
    <w:rsid w:val="0075723D"/>
    <w:rsid w:val="007602D4"/>
    <w:rsid w:val="00760A5A"/>
    <w:rsid w:val="00760D96"/>
    <w:rsid w:val="0076124A"/>
    <w:rsid w:val="0076161B"/>
    <w:rsid w:val="0076182A"/>
    <w:rsid w:val="00761950"/>
    <w:rsid w:val="00761B62"/>
    <w:rsid w:val="00761CB5"/>
    <w:rsid w:val="0076216B"/>
    <w:rsid w:val="00762948"/>
    <w:rsid w:val="00762A81"/>
    <w:rsid w:val="00762BD2"/>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15A"/>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7D6"/>
    <w:rsid w:val="007B48FB"/>
    <w:rsid w:val="007B497D"/>
    <w:rsid w:val="007B4EE9"/>
    <w:rsid w:val="007B5234"/>
    <w:rsid w:val="007B530C"/>
    <w:rsid w:val="007B54C7"/>
    <w:rsid w:val="007B5637"/>
    <w:rsid w:val="007B5DC5"/>
    <w:rsid w:val="007B5F32"/>
    <w:rsid w:val="007B63FC"/>
    <w:rsid w:val="007B6708"/>
    <w:rsid w:val="007B6C20"/>
    <w:rsid w:val="007B6E8D"/>
    <w:rsid w:val="007B7963"/>
    <w:rsid w:val="007C029E"/>
    <w:rsid w:val="007C0636"/>
    <w:rsid w:val="007C10E4"/>
    <w:rsid w:val="007C17B4"/>
    <w:rsid w:val="007C20F8"/>
    <w:rsid w:val="007C21C5"/>
    <w:rsid w:val="007C2229"/>
    <w:rsid w:val="007C2313"/>
    <w:rsid w:val="007C2B8F"/>
    <w:rsid w:val="007C2D47"/>
    <w:rsid w:val="007C3590"/>
    <w:rsid w:val="007C387A"/>
    <w:rsid w:val="007C3A0D"/>
    <w:rsid w:val="007C3EB0"/>
    <w:rsid w:val="007C43D6"/>
    <w:rsid w:val="007C47FF"/>
    <w:rsid w:val="007C60A8"/>
    <w:rsid w:val="007C660F"/>
    <w:rsid w:val="007C6626"/>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354A"/>
    <w:rsid w:val="007E41A4"/>
    <w:rsid w:val="007E43E3"/>
    <w:rsid w:val="007E54B8"/>
    <w:rsid w:val="007E5D12"/>
    <w:rsid w:val="007E6420"/>
    <w:rsid w:val="007E677F"/>
    <w:rsid w:val="007E6B25"/>
    <w:rsid w:val="007E6E06"/>
    <w:rsid w:val="007E6F4A"/>
    <w:rsid w:val="007E79CC"/>
    <w:rsid w:val="007F004B"/>
    <w:rsid w:val="007F1124"/>
    <w:rsid w:val="007F152D"/>
    <w:rsid w:val="007F1CE7"/>
    <w:rsid w:val="007F20C4"/>
    <w:rsid w:val="007F20EE"/>
    <w:rsid w:val="007F23D8"/>
    <w:rsid w:val="007F307A"/>
    <w:rsid w:val="007F30C6"/>
    <w:rsid w:val="007F336F"/>
    <w:rsid w:val="007F38FD"/>
    <w:rsid w:val="007F3C18"/>
    <w:rsid w:val="007F4318"/>
    <w:rsid w:val="007F4709"/>
    <w:rsid w:val="007F4720"/>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0C3E"/>
    <w:rsid w:val="00821271"/>
    <w:rsid w:val="00821306"/>
    <w:rsid w:val="008213D9"/>
    <w:rsid w:val="008216CE"/>
    <w:rsid w:val="008218AE"/>
    <w:rsid w:val="00821C0B"/>
    <w:rsid w:val="00821D85"/>
    <w:rsid w:val="00821E47"/>
    <w:rsid w:val="008220F6"/>
    <w:rsid w:val="00822456"/>
    <w:rsid w:val="00823819"/>
    <w:rsid w:val="00823C4B"/>
    <w:rsid w:val="00824181"/>
    <w:rsid w:val="0082427D"/>
    <w:rsid w:val="00825441"/>
    <w:rsid w:val="00826855"/>
    <w:rsid w:val="00826AB4"/>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69FD"/>
    <w:rsid w:val="008379FF"/>
    <w:rsid w:val="00837D3D"/>
    <w:rsid w:val="00837E9B"/>
    <w:rsid w:val="008404AA"/>
    <w:rsid w:val="008406D7"/>
    <w:rsid w:val="0084074F"/>
    <w:rsid w:val="008407BA"/>
    <w:rsid w:val="00840AA3"/>
    <w:rsid w:val="00840AAC"/>
    <w:rsid w:val="0084101C"/>
    <w:rsid w:val="0084181B"/>
    <w:rsid w:val="00841F29"/>
    <w:rsid w:val="008425C6"/>
    <w:rsid w:val="008425CC"/>
    <w:rsid w:val="00842804"/>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AE2"/>
    <w:rsid w:val="00865C3D"/>
    <w:rsid w:val="00865F4C"/>
    <w:rsid w:val="00866426"/>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194F"/>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289E"/>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2EBE"/>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B7E3E"/>
    <w:rsid w:val="008C0325"/>
    <w:rsid w:val="008C094A"/>
    <w:rsid w:val="008C1570"/>
    <w:rsid w:val="008C1792"/>
    <w:rsid w:val="008C17B2"/>
    <w:rsid w:val="008C1E3E"/>
    <w:rsid w:val="008C2059"/>
    <w:rsid w:val="008C217F"/>
    <w:rsid w:val="008C21D0"/>
    <w:rsid w:val="008C2DBC"/>
    <w:rsid w:val="008C3A4E"/>
    <w:rsid w:val="008C3EFD"/>
    <w:rsid w:val="008C5371"/>
    <w:rsid w:val="008C623D"/>
    <w:rsid w:val="008C65F4"/>
    <w:rsid w:val="008C6683"/>
    <w:rsid w:val="008C6E0C"/>
    <w:rsid w:val="008C7273"/>
    <w:rsid w:val="008C78F8"/>
    <w:rsid w:val="008C7FF7"/>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7AE"/>
    <w:rsid w:val="008E6A39"/>
    <w:rsid w:val="008E76BB"/>
    <w:rsid w:val="008F0302"/>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E1F"/>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7B7"/>
    <w:rsid w:val="00941B13"/>
    <w:rsid w:val="0094215C"/>
    <w:rsid w:val="00942F8E"/>
    <w:rsid w:val="00943543"/>
    <w:rsid w:val="009441DB"/>
    <w:rsid w:val="00944834"/>
    <w:rsid w:val="00946128"/>
    <w:rsid w:val="0094633F"/>
    <w:rsid w:val="00947BA5"/>
    <w:rsid w:val="00950785"/>
    <w:rsid w:val="00950805"/>
    <w:rsid w:val="009514BA"/>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676BF"/>
    <w:rsid w:val="0097025C"/>
    <w:rsid w:val="00971415"/>
    <w:rsid w:val="009716D8"/>
    <w:rsid w:val="00971EC6"/>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0B5D"/>
    <w:rsid w:val="009810BE"/>
    <w:rsid w:val="009817BC"/>
    <w:rsid w:val="009819A7"/>
    <w:rsid w:val="00981D21"/>
    <w:rsid w:val="0098220A"/>
    <w:rsid w:val="00982E75"/>
    <w:rsid w:val="00983005"/>
    <w:rsid w:val="00983337"/>
    <w:rsid w:val="009836AA"/>
    <w:rsid w:val="009846BF"/>
    <w:rsid w:val="00984C2C"/>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5A0"/>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9B7"/>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B09"/>
    <w:rsid w:val="009D03B7"/>
    <w:rsid w:val="009D07AD"/>
    <w:rsid w:val="009D0824"/>
    <w:rsid w:val="009D1172"/>
    <w:rsid w:val="009D13CC"/>
    <w:rsid w:val="009D1654"/>
    <w:rsid w:val="009D1AAC"/>
    <w:rsid w:val="009D1BDB"/>
    <w:rsid w:val="009D298F"/>
    <w:rsid w:val="009D2F9C"/>
    <w:rsid w:val="009D4207"/>
    <w:rsid w:val="009D4C04"/>
    <w:rsid w:val="009D4E4A"/>
    <w:rsid w:val="009D5130"/>
    <w:rsid w:val="009D53D1"/>
    <w:rsid w:val="009D53FB"/>
    <w:rsid w:val="009D56A4"/>
    <w:rsid w:val="009D5887"/>
    <w:rsid w:val="009D6081"/>
    <w:rsid w:val="009D678C"/>
    <w:rsid w:val="009D6B9A"/>
    <w:rsid w:val="009D6D30"/>
    <w:rsid w:val="009D7523"/>
    <w:rsid w:val="009D76B5"/>
    <w:rsid w:val="009D7AF1"/>
    <w:rsid w:val="009D7BC7"/>
    <w:rsid w:val="009D7FAC"/>
    <w:rsid w:val="009E0109"/>
    <w:rsid w:val="009E0342"/>
    <w:rsid w:val="009E046C"/>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4F41"/>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BB2"/>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10C"/>
    <w:rsid w:val="00A254AB"/>
    <w:rsid w:val="00A259F2"/>
    <w:rsid w:val="00A266CC"/>
    <w:rsid w:val="00A26DB4"/>
    <w:rsid w:val="00A27425"/>
    <w:rsid w:val="00A2786B"/>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060"/>
    <w:rsid w:val="00A65EFB"/>
    <w:rsid w:val="00A66E28"/>
    <w:rsid w:val="00A67429"/>
    <w:rsid w:val="00A677E7"/>
    <w:rsid w:val="00A67CE9"/>
    <w:rsid w:val="00A67F6C"/>
    <w:rsid w:val="00A70590"/>
    <w:rsid w:val="00A7062E"/>
    <w:rsid w:val="00A70834"/>
    <w:rsid w:val="00A71542"/>
    <w:rsid w:val="00A7171F"/>
    <w:rsid w:val="00A71FA0"/>
    <w:rsid w:val="00A71FBD"/>
    <w:rsid w:val="00A72727"/>
    <w:rsid w:val="00A727D8"/>
    <w:rsid w:val="00A72C1A"/>
    <w:rsid w:val="00A732FB"/>
    <w:rsid w:val="00A7463E"/>
    <w:rsid w:val="00A75185"/>
    <w:rsid w:val="00A75889"/>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6D57"/>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26CB"/>
    <w:rsid w:val="00AB3466"/>
    <w:rsid w:val="00AB38B2"/>
    <w:rsid w:val="00AB3BBB"/>
    <w:rsid w:val="00AB408C"/>
    <w:rsid w:val="00AB40DD"/>
    <w:rsid w:val="00AB43AF"/>
    <w:rsid w:val="00AB4E41"/>
    <w:rsid w:val="00AB5EB1"/>
    <w:rsid w:val="00AB6003"/>
    <w:rsid w:val="00AB759A"/>
    <w:rsid w:val="00AB7B06"/>
    <w:rsid w:val="00AB7EAA"/>
    <w:rsid w:val="00AC034B"/>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2F4"/>
    <w:rsid w:val="00AD3DA6"/>
    <w:rsid w:val="00AD3F3C"/>
    <w:rsid w:val="00AD447E"/>
    <w:rsid w:val="00AD4B2F"/>
    <w:rsid w:val="00AD5F0A"/>
    <w:rsid w:val="00AD6453"/>
    <w:rsid w:val="00AD6A5B"/>
    <w:rsid w:val="00AD6B4F"/>
    <w:rsid w:val="00AD6D19"/>
    <w:rsid w:val="00AD7812"/>
    <w:rsid w:val="00AD7C42"/>
    <w:rsid w:val="00AD7CFA"/>
    <w:rsid w:val="00AE05B6"/>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A9B"/>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EFC"/>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3437"/>
    <w:rsid w:val="00B241D5"/>
    <w:rsid w:val="00B24BE9"/>
    <w:rsid w:val="00B2547E"/>
    <w:rsid w:val="00B2551D"/>
    <w:rsid w:val="00B25F8C"/>
    <w:rsid w:val="00B260BE"/>
    <w:rsid w:val="00B26677"/>
    <w:rsid w:val="00B26A96"/>
    <w:rsid w:val="00B26C61"/>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039"/>
    <w:rsid w:val="00B51520"/>
    <w:rsid w:val="00B515C3"/>
    <w:rsid w:val="00B517C2"/>
    <w:rsid w:val="00B518CE"/>
    <w:rsid w:val="00B51F56"/>
    <w:rsid w:val="00B52234"/>
    <w:rsid w:val="00B53623"/>
    <w:rsid w:val="00B53D1D"/>
    <w:rsid w:val="00B53E98"/>
    <w:rsid w:val="00B53F9B"/>
    <w:rsid w:val="00B54B19"/>
    <w:rsid w:val="00B54E2D"/>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0A35"/>
    <w:rsid w:val="00B81173"/>
    <w:rsid w:val="00B81274"/>
    <w:rsid w:val="00B815D3"/>
    <w:rsid w:val="00B81742"/>
    <w:rsid w:val="00B817B5"/>
    <w:rsid w:val="00B81898"/>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764"/>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1BAD"/>
    <w:rsid w:val="00BF2021"/>
    <w:rsid w:val="00BF21D4"/>
    <w:rsid w:val="00BF2DDC"/>
    <w:rsid w:val="00BF32DE"/>
    <w:rsid w:val="00BF4A15"/>
    <w:rsid w:val="00BF4E0E"/>
    <w:rsid w:val="00BF4E27"/>
    <w:rsid w:val="00BF4F7C"/>
    <w:rsid w:val="00BF537B"/>
    <w:rsid w:val="00BF5901"/>
    <w:rsid w:val="00BF5D1F"/>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5F9A"/>
    <w:rsid w:val="00C36B2C"/>
    <w:rsid w:val="00C3701A"/>
    <w:rsid w:val="00C3784D"/>
    <w:rsid w:val="00C379EF"/>
    <w:rsid w:val="00C379F5"/>
    <w:rsid w:val="00C405C8"/>
    <w:rsid w:val="00C40C2F"/>
    <w:rsid w:val="00C415AC"/>
    <w:rsid w:val="00C4297A"/>
    <w:rsid w:val="00C4360C"/>
    <w:rsid w:val="00C438F6"/>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2F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297"/>
    <w:rsid w:val="00C95853"/>
    <w:rsid w:val="00C95C2F"/>
    <w:rsid w:val="00C95F87"/>
    <w:rsid w:val="00C96035"/>
    <w:rsid w:val="00C968EF"/>
    <w:rsid w:val="00C96F31"/>
    <w:rsid w:val="00C972CE"/>
    <w:rsid w:val="00CA0492"/>
    <w:rsid w:val="00CA05B0"/>
    <w:rsid w:val="00CA0632"/>
    <w:rsid w:val="00CA0A04"/>
    <w:rsid w:val="00CA2528"/>
    <w:rsid w:val="00CA33D8"/>
    <w:rsid w:val="00CA3CAB"/>
    <w:rsid w:val="00CA3FC0"/>
    <w:rsid w:val="00CA5685"/>
    <w:rsid w:val="00CA6A2E"/>
    <w:rsid w:val="00CA6B56"/>
    <w:rsid w:val="00CA6FA9"/>
    <w:rsid w:val="00CA7D3E"/>
    <w:rsid w:val="00CB0317"/>
    <w:rsid w:val="00CB0662"/>
    <w:rsid w:val="00CB0A82"/>
    <w:rsid w:val="00CB0F2F"/>
    <w:rsid w:val="00CB0F76"/>
    <w:rsid w:val="00CB1556"/>
    <w:rsid w:val="00CB1E8D"/>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3617"/>
    <w:rsid w:val="00CC4701"/>
    <w:rsid w:val="00CC56B4"/>
    <w:rsid w:val="00CC5F95"/>
    <w:rsid w:val="00CC642A"/>
    <w:rsid w:val="00CC6AC7"/>
    <w:rsid w:val="00CC733D"/>
    <w:rsid w:val="00CC7617"/>
    <w:rsid w:val="00CC7E0D"/>
    <w:rsid w:val="00CC7E97"/>
    <w:rsid w:val="00CD00EB"/>
    <w:rsid w:val="00CD1255"/>
    <w:rsid w:val="00CD1358"/>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7A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3D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BEE"/>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3FA9"/>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2F5"/>
    <w:rsid w:val="00D71ABC"/>
    <w:rsid w:val="00D71D50"/>
    <w:rsid w:val="00D721C5"/>
    <w:rsid w:val="00D72454"/>
    <w:rsid w:val="00D72691"/>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9A8"/>
    <w:rsid w:val="00D85FDE"/>
    <w:rsid w:val="00D8665E"/>
    <w:rsid w:val="00D869C1"/>
    <w:rsid w:val="00D86EC6"/>
    <w:rsid w:val="00D87418"/>
    <w:rsid w:val="00D87A39"/>
    <w:rsid w:val="00D87CF8"/>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1F47"/>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24FC"/>
    <w:rsid w:val="00DC32FC"/>
    <w:rsid w:val="00DC3755"/>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6FD5"/>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0E9"/>
    <w:rsid w:val="00DF3798"/>
    <w:rsid w:val="00DF4C81"/>
    <w:rsid w:val="00DF4FF1"/>
    <w:rsid w:val="00DF56A3"/>
    <w:rsid w:val="00DF57F5"/>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0B0"/>
    <w:rsid w:val="00E0479F"/>
    <w:rsid w:val="00E04816"/>
    <w:rsid w:val="00E04982"/>
    <w:rsid w:val="00E04D6A"/>
    <w:rsid w:val="00E058DB"/>
    <w:rsid w:val="00E05950"/>
    <w:rsid w:val="00E05CD4"/>
    <w:rsid w:val="00E05DE8"/>
    <w:rsid w:val="00E06100"/>
    <w:rsid w:val="00E0614E"/>
    <w:rsid w:val="00E06B45"/>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3F7"/>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0E4B"/>
    <w:rsid w:val="00E510CF"/>
    <w:rsid w:val="00E510D8"/>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19E"/>
    <w:rsid w:val="00E6185F"/>
    <w:rsid w:val="00E61D32"/>
    <w:rsid w:val="00E627F3"/>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4F9C"/>
    <w:rsid w:val="00E75667"/>
    <w:rsid w:val="00E756D3"/>
    <w:rsid w:val="00E75A5A"/>
    <w:rsid w:val="00E75D2C"/>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2A2"/>
    <w:rsid w:val="00EA1ACC"/>
    <w:rsid w:val="00EA29E4"/>
    <w:rsid w:val="00EA2E21"/>
    <w:rsid w:val="00EA2EAA"/>
    <w:rsid w:val="00EA380C"/>
    <w:rsid w:val="00EA4FC5"/>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24A"/>
    <w:rsid w:val="00ED18B1"/>
    <w:rsid w:val="00ED1ADE"/>
    <w:rsid w:val="00ED3692"/>
    <w:rsid w:val="00ED4A77"/>
    <w:rsid w:val="00ED4B6E"/>
    <w:rsid w:val="00ED55B3"/>
    <w:rsid w:val="00ED5981"/>
    <w:rsid w:val="00ED613A"/>
    <w:rsid w:val="00ED6514"/>
    <w:rsid w:val="00ED66B2"/>
    <w:rsid w:val="00ED71BA"/>
    <w:rsid w:val="00ED728F"/>
    <w:rsid w:val="00ED73A1"/>
    <w:rsid w:val="00ED7CA2"/>
    <w:rsid w:val="00EE04F9"/>
    <w:rsid w:val="00EE05E0"/>
    <w:rsid w:val="00EE0FF6"/>
    <w:rsid w:val="00EE13DA"/>
    <w:rsid w:val="00EE13EF"/>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764"/>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5A"/>
    <w:rsid w:val="00F16B86"/>
    <w:rsid w:val="00F16E1A"/>
    <w:rsid w:val="00F16F92"/>
    <w:rsid w:val="00F175FE"/>
    <w:rsid w:val="00F17C3E"/>
    <w:rsid w:val="00F20197"/>
    <w:rsid w:val="00F20369"/>
    <w:rsid w:val="00F20607"/>
    <w:rsid w:val="00F208BB"/>
    <w:rsid w:val="00F20C9E"/>
    <w:rsid w:val="00F20E2D"/>
    <w:rsid w:val="00F213D8"/>
    <w:rsid w:val="00F21A5D"/>
    <w:rsid w:val="00F21C13"/>
    <w:rsid w:val="00F22362"/>
    <w:rsid w:val="00F22796"/>
    <w:rsid w:val="00F2296A"/>
    <w:rsid w:val="00F22D87"/>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D1A"/>
    <w:rsid w:val="00F27E44"/>
    <w:rsid w:val="00F30313"/>
    <w:rsid w:val="00F303BC"/>
    <w:rsid w:val="00F30472"/>
    <w:rsid w:val="00F31052"/>
    <w:rsid w:val="00F318A1"/>
    <w:rsid w:val="00F31CF5"/>
    <w:rsid w:val="00F31DBE"/>
    <w:rsid w:val="00F3265C"/>
    <w:rsid w:val="00F32C4A"/>
    <w:rsid w:val="00F3306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3C43"/>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0E3"/>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AF3"/>
    <w:rsid w:val="00F74C0C"/>
    <w:rsid w:val="00F758E1"/>
    <w:rsid w:val="00F75BB5"/>
    <w:rsid w:val="00F75FD5"/>
    <w:rsid w:val="00F7604C"/>
    <w:rsid w:val="00F773A9"/>
    <w:rsid w:val="00F8056E"/>
    <w:rsid w:val="00F805B7"/>
    <w:rsid w:val="00F810C1"/>
    <w:rsid w:val="00F81501"/>
    <w:rsid w:val="00F81623"/>
    <w:rsid w:val="00F81D25"/>
    <w:rsid w:val="00F8245C"/>
    <w:rsid w:val="00F82928"/>
    <w:rsid w:val="00F829B9"/>
    <w:rsid w:val="00F829E3"/>
    <w:rsid w:val="00F83045"/>
    <w:rsid w:val="00F83615"/>
    <w:rsid w:val="00F8384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710"/>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25C2"/>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9F7441"/>
    <w:rsid w:val="01B37585"/>
    <w:rsid w:val="01D55165"/>
    <w:rsid w:val="01DF6BF8"/>
    <w:rsid w:val="01EC074D"/>
    <w:rsid w:val="01EC2C57"/>
    <w:rsid w:val="025760E2"/>
    <w:rsid w:val="025F0711"/>
    <w:rsid w:val="026972E5"/>
    <w:rsid w:val="026B2E25"/>
    <w:rsid w:val="02824D4D"/>
    <w:rsid w:val="02DC4B10"/>
    <w:rsid w:val="02DD76CE"/>
    <w:rsid w:val="02F36323"/>
    <w:rsid w:val="02F5619C"/>
    <w:rsid w:val="0326446A"/>
    <w:rsid w:val="032D5555"/>
    <w:rsid w:val="032F04D8"/>
    <w:rsid w:val="036634D2"/>
    <w:rsid w:val="03835E0E"/>
    <w:rsid w:val="03A6718F"/>
    <w:rsid w:val="03DD35E4"/>
    <w:rsid w:val="03F84D6E"/>
    <w:rsid w:val="04076900"/>
    <w:rsid w:val="041A5A3B"/>
    <w:rsid w:val="042311BA"/>
    <w:rsid w:val="042B157A"/>
    <w:rsid w:val="043F600F"/>
    <w:rsid w:val="046D6863"/>
    <w:rsid w:val="047042B5"/>
    <w:rsid w:val="04823BA5"/>
    <w:rsid w:val="048F763B"/>
    <w:rsid w:val="049F330E"/>
    <w:rsid w:val="04AA775C"/>
    <w:rsid w:val="04AF1889"/>
    <w:rsid w:val="04C1758B"/>
    <w:rsid w:val="04F66F48"/>
    <w:rsid w:val="05251E14"/>
    <w:rsid w:val="05281990"/>
    <w:rsid w:val="053F4B49"/>
    <w:rsid w:val="05A16594"/>
    <w:rsid w:val="05A7762D"/>
    <w:rsid w:val="060E2E9D"/>
    <w:rsid w:val="060E5941"/>
    <w:rsid w:val="06110FAF"/>
    <w:rsid w:val="06493CA7"/>
    <w:rsid w:val="065A6178"/>
    <w:rsid w:val="066F1CF3"/>
    <w:rsid w:val="06832990"/>
    <w:rsid w:val="06930BB8"/>
    <w:rsid w:val="06AA2100"/>
    <w:rsid w:val="06C31B85"/>
    <w:rsid w:val="06C831BB"/>
    <w:rsid w:val="06DB44D3"/>
    <w:rsid w:val="06F135BD"/>
    <w:rsid w:val="06F757F2"/>
    <w:rsid w:val="071D53FA"/>
    <w:rsid w:val="07245D42"/>
    <w:rsid w:val="07264C62"/>
    <w:rsid w:val="0779354C"/>
    <w:rsid w:val="07D915D0"/>
    <w:rsid w:val="07E37F3A"/>
    <w:rsid w:val="08061376"/>
    <w:rsid w:val="08346591"/>
    <w:rsid w:val="08452D77"/>
    <w:rsid w:val="086401F8"/>
    <w:rsid w:val="08751CAA"/>
    <w:rsid w:val="087E4C40"/>
    <w:rsid w:val="089B773C"/>
    <w:rsid w:val="08A871D0"/>
    <w:rsid w:val="08C77EDE"/>
    <w:rsid w:val="08D66AD6"/>
    <w:rsid w:val="08DA33A3"/>
    <w:rsid w:val="08DE42D1"/>
    <w:rsid w:val="08E80F13"/>
    <w:rsid w:val="091C3E62"/>
    <w:rsid w:val="0922336B"/>
    <w:rsid w:val="09335624"/>
    <w:rsid w:val="0944690F"/>
    <w:rsid w:val="09535675"/>
    <w:rsid w:val="095E1B17"/>
    <w:rsid w:val="095F057D"/>
    <w:rsid w:val="09642282"/>
    <w:rsid w:val="096914CD"/>
    <w:rsid w:val="09733572"/>
    <w:rsid w:val="09772C16"/>
    <w:rsid w:val="097E5D15"/>
    <w:rsid w:val="098353B5"/>
    <w:rsid w:val="09A92330"/>
    <w:rsid w:val="09B06B87"/>
    <w:rsid w:val="09B77DC6"/>
    <w:rsid w:val="09C13146"/>
    <w:rsid w:val="09E04166"/>
    <w:rsid w:val="0A1C0718"/>
    <w:rsid w:val="0A3E7710"/>
    <w:rsid w:val="0A5B7E63"/>
    <w:rsid w:val="0A8F6BA7"/>
    <w:rsid w:val="0AA374A5"/>
    <w:rsid w:val="0AAB7649"/>
    <w:rsid w:val="0ABC5606"/>
    <w:rsid w:val="0B2A2AF4"/>
    <w:rsid w:val="0B30404E"/>
    <w:rsid w:val="0B4C6C14"/>
    <w:rsid w:val="0B4E4579"/>
    <w:rsid w:val="0B547599"/>
    <w:rsid w:val="0B56788B"/>
    <w:rsid w:val="0B631A88"/>
    <w:rsid w:val="0B683D45"/>
    <w:rsid w:val="0B7F3F11"/>
    <w:rsid w:val="0B884417"/>
    <w:rsid w:val="0BEE69CD"/>
    <w:rsid w:val="0BF6188C"/>
    <w:rsid w:val="0BF73C91"/>
    <w:rsid w:val="0C170175"/>
    <w:rsid w:val="0C571A41"/>
    <w:rsid w:val="0C5C1171"/>
    <w:rsid w:val="0C5E1CBC"/>
    <w:rsid w:val="0C615B50"/>
    <w:rsid w:val="0C8445DA"/>
    <w:rsid w:val="0C87121B"/>
    <w:rsid w:val="0CC007F7"/>
    <w:rsid w:val="0CC617AC"/>
    <w:rsid w:val="0CD01471"/>
    <w:rsid w:val="0CDC69F0"/>
    <w:rsid w:val="0CE618DF"/>
    <w:rsid w:val="0CFE707A"/>
    <w:rsid w:val="0D063BDA"/>
    <w:rsid w:val="0D08375F"/>
    <w:rsid w:val="0D184CFB"/>
    <w:rsid w:val="0D451FD9"/>
    <w:rsid w:val="0D4A7419"/>
    <w:rsid w:val="0D50643D"/>
    <w:rsid w:val="0D7E386E"/>
    <w:rsid w:val="0D827401"/>
    <w:rsid w:val="0D84094E"/>
    <w:rsid w:val="0D8A00E9"/>
    <w:rsid w:val="0D8D589E"/>
    <w:rsid w:val="0DA01C73"/>
    <w:rsid w:val="0DD63300"/>
    <w:rsid w:val="0DD77E52"/>
    <w:rsid w:val="0DED5C96"/>
    <w:rsid w:val="0DF50604"/>
    <w:rsid w:val="0DF702FE"/>
    <w:rsid w:val="0E060E51"/>
    <w:rsid w:val="0E3D5C5E"/>
    <w:rsid w:val="0E5604B2"/>
    <w:rsid w:val="0E6D5D79"/>
    <w:rsid w:val="0E72396F"/>
    <w:rsid w:val="0E9D0089"/>
    <w:rsid w:val="0EB803EE"/>
    <w:rsid w:val="0EF94D4B"/>
    <w:rsid w:val="0F044271"/>
    <w:rsid w:val="0F1B3A42"/>
    <w:rsid w:val="0F4958DC"/>
    <w:rsid w:val="0F515DF7"/>
    <w:rsid w:val="0F596BA8"/>
    <w:rsid w:val="0F6248D2"/>
    <w:rsid w:val="0F693536"/>
    <w:rsid w:val="0F7B0511"/>
    <w:rsid w:val="0F7B76D9"/>
    <w:rsid w:val="0F816ACD"/>
    <w:rsid w:val="0F981FBA"/>
    <w:rsid w:val="0F9832DB"/>
    <w:rsid w:val="0FBF3FD2"/>
    <w:rsid w:val="0FBF7FF3"/>
    <w:rsid w:val="0FCE5613"/>
    <w:rsid w:val="0FF84A54"/>
    <w:rsid w:val="100B74F4"/>
    <w:rsid w:val="10646583"/>
    <w:rsid w:val="107D4B15"/>
    <w:rsid w:val="108A3C80"/>
    <w:rsid w:val="10B84EDA"/>
    <w:rsid w:val="10BC1AFF"/>
    <w:rsid w:val="10C26171"/>
    <w:rsid w:val="10F33360"/>
    <w:rsid w:val="10FC16EA"/>
    <w:rsid w:val="110F1D40"/>
    <w:rsid w:val="11266F33"/>
    <w:rsid w:val="114333A1"/>
    <w:rsid w:val="118963A1"/>
    <w:rsid w:val="11C6522A"/>
    <w:rsid w:val="11E104CC"/>
    <w:rsid w:val="11E20309"/>
    <w:rsid w:val="11FC55B2"/>
    <w:rsid w:val="12020614"/>
    <w:rsid w:val="12255233"/>
    <w:rsid w:val="12530213"/>
    <w:rsid w:val="12540540"/>
    <w:rsid w:val="127723A9"/>
    <w:rsid w:val="12862074"/>
    <w:rsid w:val="12883966"/>
    <w:rsid w:val="128C71CF"/>
    <w:rsid w:val="129E45B4"/>
    <w:rsid w:val="12D81596"/>
    <w:rsid w:val="13072A44"/>
    <w:rsid w:val="133F1DBD"/>
    <w:rsid w:val="135F4BE2"/>
    <w:rsid w:val="136B1121"/>
    <w:rsid w:val="139B1A0A"/>
    <w:rsid w:val="139C0C57"/>
    <w:rsid w:val="139D25C7"/>
    <w:rsid w:val="13BF3CE4"/>
    <w:rsid w:val="13ED41C3"/>
    <w:rsid w:val="13F67F03"/>
    <w:rsid w:val="141008D8"/>
    <w:rsid w:val="14125FE6"/>
    <w:rsid w:val="142C45C0"/>
    <w:rsid w:val="14622D5B"/>
    <w:rsid w:val="14663BA9"/>
    <w:rsid w:val="146D271E"/>
    <w:rsid w:val="14982588"/>
    <w:rsid w:val="149A5AD9"/>
    <w:rsid w:val="14A7619D"/>
    <w:rsid w:val="14C75B2D"/>
    <w:rsid w:val="14DF59DC"/>
    <w:rsid w:val="150536C3"/>
    <w:rsid w:val="15073979"/>
    <w:rsid w:val="1507466E"/>
    <w:rsid w:val="150C1963"/>
    <w:rsid w:val="151447A0"/>
    <w:rsid w:val="154A6454"/>
    <w:rsid w:val="155B669F"/>
    <w:rsid w:val="155C2C83"/>
    <w:rsid w:val="15762120"/>
    <w:rsid w:val="1579432B"/>
    <w:rsid w:val="16575097"/>
    <w:rsid w:val="16A8729C"/>
    <w:rsid w:val="16B33777"/>
    <w:rsid w:val="16BC70A7"/>
    <w:rsid w:val="16C6339E"/>
    <w:rsid w:val="16CB5E0C"/>
    <w:rsid w:val="1716227E"/>
    <w:rsid w:val="172F2D79"/>
    <w:rsid w:val="1749510D"/>
    <w:rsid w:val="17557BEF"/>
    <w:rsid w:val="176C1162"/>
    <w:rsid w:val="178426F3"/>
    <w:rsid w:val="17CA355D"/>
    <w:rsid w:val="17D1049D"/>
    <w:rsid w:val="17D349C1"/>
    <w:rsid w:val="17DD00AB"/>
    <w:rsid w:val="18244F26"/>
    <w:rsid w:val="1830729E"/>
    <w:rsid w:val="1854746C"/>
    <w:rsid w:val="1870062C"/>
    <w:rsid w:val="18817102"/>
    <w:rsid w:val="18830A15"/>
    <w:rsid w:val="18852B28"/>
    <w:rsid w:val="188B5321"/>
    <w:rsid w:val="18E13BCB"/>
    <w:rsid w:val="18E503C1"/>
    <w:rsid w:val="18E63059"/>
    <w:rsid w:val="19102702"/>
    <w:rsid w:val="19103A8C"/>
    <w:rsid w:val="1911005A"/>
    <w:rsid w:val="19932372"/>
    <w:rsid w:val="19A20DD5"/>
    <w:rsid w:val="19AE03F1"/>
    <w:rsid w:val="19B87632"/>
    <w:rsid w:val="1A071A03"/>
    <w:rsid w:val="1A1F16AE"/>
    <w:rsid w:val="1A3B5C77"/>
    <w:rsid w:val="1A984BAD"/>
    <w:rsid w:val="1AB8220E"/>
    <w:rsid w:val="1AC30B72"/>
    <w:rsid w:val="1ADE10DB"/>
    <w:rsid w:val="1AE4166C"/>
    <w:rsid w:val="1AF06CFB"/>
    <w:rsid w:val="1AF11B8D"/>
    <w:rsid w:val="1B11359C"/>
    <w:rsid w:val="1B116C4A"/>
    <w:rsid w:val="1B2A271F"/>
    <w:rsid w:val="1B530544"/>
    <w:rsid w:val="1B713184"/>
    <w:rsid w:val="1BA209CF"/>
    <w:rsid w:val="1BB4777D"/>
    <w:rsid w:val="1BD75AB8"/>
    <w:rsid w:val="1C0459C2"/>
    <w:rsid w:val="1C1B3B4A"/>
    <w:rsid w:val="1C88086E"/>
    <w:rsid w:val="1CB1232E"/>
    <w:rsid w:val="1CBD41DC"/>
    <w:rsid w:val="1CCF528E"/>
    <w:rsid w:val="1CD22F05"/>
    <w:rsid w:val="1CE50760"/>
    <w:rsid w:val="1CE81333"/>
    <w:rsid w:val="1D266CE1"/>
    <w:rsid w:val="1D352737"/>
    <w:rsid w:val="1D3963AF"/>
    <w:rsid w:val="1D3E6EE1"/>
    <w:rsid w:val="1D4A664D"/>
    <w:rsid w:val="1D6A673C"/>
    <w:rsid w:val="1D9247AE"/>
    <w:rsid w:val="1DB567EC"/>
    <w:rsid w:val="1DD24BCB"/>
    <w:rsid w:val="1DF51A98"/>
    <w:rsid w:val="1E01086B"/>
    <w:rsid w:val="1E051CD9"/>
    <w:rsid w:val="1E3D060F"/>
    <w:rsid w:val="1E3F7D2E"/>
    <w:rsid w:val="1E4134E4"/>
    <w:rsid w:val="1E5062B3"/>
    <w:rsid w:val="1E523514"/>
    <w:rsid w:val="1E714A66"/>
    <w:rsid w:val="1E802593"/>
    <w:rsid w:val="1E8B6156"/>
    <w:rsid w:val="1EA703CC"/>
    <w:rsid w:val="1EB7330C"/>
    <w:rsid w:val="1EC24C8C"/>
    <w:rsid w:val="1ECE4BF1"/>
    <w:rsid w:val="1F0A0FF3"/>
    <w:rsid w:val="1F0F015E"/>
    <w:rsid w:val="1F5771FF"/>
    <w:rsid w:val="1F6E48F0"/>
    <w:rsid w:val="1F744118"/>
    <w:rsid w:val="1F847BBA"/>
    <w:rsid w:val="1FB87851"/>
    <w:rsid w:val="1FD52574"/>
    <w:rsid w:val="1FE868A9"/>
    <w:rsid w:val="20034907"/>
    <w:rsid w:val="20173E4B"/>
    <w:rsid w:val="20425A41"/>
    <w:rsid w:val="204E48BC"/>
    <w:rsid w:val="208921B3"/>
    <w:rsid w:val="20973DEB"/>
    <w:rsid w:val="20B26522"/>
    <w:rsid w:val="20B44310"/>
    <w:rsid w:val="20B471F2"/>
    <w:rsid w:val="20F566C0"/>
    <w:rsid w:val="211116EB"/>
    <w:rsid w:val="216133FC"/>
    <w:rsid w:val="21D56769"/>
    <w:rsid w:val="21E52EF3"/>
    <w:rsid w:val="21F7307A"/>
    <w:rsid w:val="21FB5D7B"/>
    <w:rsid w:val="22015E94"/>
    <w:rsid w:val="220B1C3D"/>
    <w:rsid w:val="22113D91"/>
    <w:rsid w:val="221D1D20"/>
    <w:rsid w:val="22334A87"/>
    <w:rsid w:val="225B2CCF"/>
    <w:rsid w:val="227028F7"/>
    <w:rsid w:val="22BE6801"/>
    <w:rsid w:val="22F015DA"/>
    <w:rsid w:val="22FD4356"/>
    <w:rsid w:val="230D17D3"/>
    <w:rsid w:val="23307C29"/>
    <w:rsid w:val="233500BF"/>
    <w:rsid w:val="23377FF7"/>
    <w:rsid w:val="234F5BD5"/>
    <w:rsid w:val="236B425F"/>
    <w:rsid w:val="237D2742"/>
    <w:rsid w:val="23836192"/>
    <w:rsid w:val="23901F29"/>
    <w:rsid w:val="2390567C"/>
    <w:rsid w:val="239C0061"/>
    <w:rsid w:val="23AA76D2"/>
    <w:rsid w:val="23B908A4"/>
    <w:rsid w:val="23E9009E"/>
    <w:rsid w:val="23E95BEF"/>
    <w:rsid w:val="23E96F21"/>
    <w:rsid w:val="23FD0064"/>
    <w:rsid w:val="24415BC1"/>
    <w:rsid w:val="244E649F"/>
    <w:rsid w:val="245375B0"/>
    <w:rsid w:val="24642C0A"/>
    <w:rsid w:val="24970DA1"/>
    <w:rsid w:val="24B22173"/>
    <w:rsid w:val="24B95AD9"/>
    <w:rsid w:val="24BE24DA"/>
    <w:rsid w:val="24C85C3F"/>
    <w:rsid w:val="24CF5825"/>
    <w:rsid w:val="24D663E6"/>
    <w:rsid w:val="24D77F2B"/>
    <w:rsid w:val="250215C6"/>
    <w:rsid w:val="25547746"/>
    <w:rsid w:val="256902C0"/>
    <w:rsid w:val="2585779A"/>
    <w:rsid w:val="258B00E2"/>
    <w:rsid w:val="25A416A2"/>
    <w:rsid w:val="25A917A6"/>
    <w:rsid w:val="25BE27CC"/>
    <w:rsid w:val="25F74A5C"/>
    <w:rsid w:val="26077CDC"/>
    <w:rsid w:val="2628662C"/>
    <w:rsid w:val="262D45DE"/>
    <w:rsid w:val="26871DC8"/>
    <w:rsid w:val="26A53EF9"/>
    <w:rsid w:val="26A94201"/>
    <w:rsid w:val="26AC274F"/>
    <w:rsid w:val="26AE6CBB"/>
    <w:rsid w:val="26C661F6"/>
    <w:rsid w:val="27044656"/>
    <w:rsid w:val="27044A29"/>
    <w:rsid w:val="271D34C8"/>
    <w:rsid w:val="273F7692"/>
    <w:rsid w:val="276142BF"/>
    <w:rsid w:val="27783712"/>
    <w:rsid w:val="27907362"/>
    <w:rsid w:val="27945FB5"/>
    <w:rsid w:val="27C543F8"/>
    <w:rsid w:val="27E70AD2"/>
    <w:rsid w:val="28333E1D"/>
    <w:rsid w:val="284321AC"/>
    <w:rsid w:val="28454BD6"/>
    <w:rsid w:val="28455253"/>
    <w:rsid w:val="28551971"/>
    <w:rsid w:val="285B1C53"/>
    <w:rsid w:val="289F7086"/>
    <w:rsid w:val="28A000C2"/>
    <w:rsid w:val="28C122CB"/>
    <w:rsid w:val="28C32028"/>
    <w:rsid w:val="28CC490F"/>
    <w:rsid w:val="28DE40AA"/>
    <w:rsid w:val="29345E77"/>
    <w:rsid w:val="293B2743"/>
    <w:rsid w:val="294C65AD"/>
    <w:rsid w:val="295F71E3"/>
    <w:rsid w:val="2964062C"/>
    <w:rsid w:val="29806583"/>
    <w:rsid w:val="298B3C4C"/>
    <w:rsid w:val="29F26D24"/>
    <w:rsid w:val="2A15033F"/>
    <w:rsid w:val="2A1662C1"/>
    <w:rsid w:val="2A1C7367"/>
    <w:rsid w:val="2A2815FA"/>
    <w:rsid w:val="2A5B023B"/>
    <w:rsid w:val="2A6D6092"/>
    <w:rsid w:val="2A7D76B4"/>
    <w:rsid w:val="2B09293F"/>
    <w:rsid w:val="2B437463"/>
    <w:rsid w:val="2B46191B"/>
    <w:rsid w:val="2B67513D"/>
    <w:rsid w:val="2B7807EE"/>
    <w:rsid w:val="2BA50BF7"/>
    <w:rsid w:val="2BBF00EC"/>
    <w:rsid w:val="2BC37CFD"/>
    <w:rsid w:val="2BD5237F"/>
    <w:rsid w:val="2BE536CE"/>
    <w:rsid w:val="2BE758D9"/>
    <w:rsid w:val="2BF346BB"/>
    <w:rsid w:val="2C09049E"/>
    <w:rsid w:val="2C0A653C"/>
    <w:rsid w:val="2C191F85"/>
    <w:rsid w:val="2C1B109A"/>
    <w:rsid w:val="2C9B5D2F"/>
    <w:rsid w:val="2CC46C34"/>
    <w:rsid w:val="2CE82D6F"/>
    <w:rsid w:val="2D064A5B"/>
    <w:rsid w:val="2D343236"/>
    <w:rsid w:val="2D575011"/>
    <w:rsid w:val="2D694E4D"/>
    <w:rsid w:val="2D701A3D"/>
    <w:rsid w:val="2DD15014"/>
    <w:rsid w:val="2DF72DE4"/>
    <w:rsid w:val="2E0220AF"/>
    <w:rsid w:val="2E1D349F"/>
    <w:rsid w:val="2E4B082A"/>
    <w:rsid w:val="2E5D4E86"/>
    <w:rsid w:val="2E5D790B"/>
    <w:rsid w:val="2E9A3C18"/>
    <w:rsid w:val="2EBB0FEE"/>
    <w:rsid w:val="2EC63002"/>
    <w:rsid w:val="2EFD5523"/>
    <w:rsid w:val="2F0A6B38"/>
    <w:rsid w:val="2F2C4161"/>
    <w:rsid w:val="2F340199"/>
    <w:rsid w:val="2F3A3B86"/>
    <w:rsid w:val="2F692789"/>
    <w:rsid w:val="2F946CCB"/>
    <w:rsid w:val="2F9E23BE"/>
    <w:rsid w:val="2FBC6931"/>
    <w:rsid w:val="2FD25781"/>
    <w:rsid w:val="2FDC745C"/>
    <w:rsid w:val="2FE204FD"/>
    <w:rsid w:val="2FFD7934"/>
    <w:rsid w:val="30733ACD"/>
    <w:rsid w:val="308C3862"/>
    <w:rsid w:val="309379D8"/>
    <w:rsid w:val="30A270F7"/>
    <w:rsid w:val="30DA221E"/>
    <w:rsid w:val="30DF1478"/>
    <w:rsid w:val="30EC586F"/>
    <w:rsid w:val="316D2048"/>
    <w:rsid w:val="319C6071"/>
    <w:rsid w:val="31AC537E"/>
    <w:rsid w:val="31B01CD5"/>
    <w:rsid w:val="31E3679B"/>
    <w:rsid w:val="31E732FD"/>
    <w:rsid w:val="31EE15A0"/>
    <w:rsid w:val="32174209"/>
    <w:rsid w:val="32517576"/>
    <w:rsid w:val="32B23C2D"/>
    <w:rsid w:val="32BE5C2C"/>
    <w:rsid w:val="32CD7542"/>
    <w:rsid w:val="32FB6478"/>
    <w:rsid w:val="33263B3F"/>
    <w:rsid w:val="33452CD8"/>
    <w:rsid w:val="335D7E9A"/>
    <w:rsid w:val="336963EB"/>
    <w:rsid w:val="336D7DE0"/>
    <w:rsid w:val="33816EEB"/>
    <w:rsid w:val="3391283C"/>
    <w:rsid w:val="33AD2BD0"/>
    <w:rsid w:val="33EB55CD"/>
    <w:rsid w:val="33EC4C02"/>
    <w:rsid w:val="33FB7DDF"/>
    <w:rsid w:val="340D2360"/>
    <w:rsid w:val="3410665D"/>
    <w:rsid w:val="34211214"/>
    <w:rsid w:val="342E63AB"/>
    <w:rsid w:val="34950E68"/>
    <w:rsid w:val="34986E94"/>
    <w:rsid w:val="34AF62C9"/>
    <w:rsid w:val="34CB4388"/>
    <w:rsid w:val="34FA6E12"/>
    <w:rsid w:val="35142462"/>
    <w:rsid w:val="351F6D34"/>
    <w:rsid w:val="35252FFA"/>
    <w:rsid w:val="354D7158"/>
    <w:rsid w:val="358D5588"/>
    <w:rsid w:val="363A3B40"/>
    <w:rsid w:val="3648573E"/>
    <w:rsid w:val="365302AE"/>
    <w:rsid w:val="36607A0A"/>
    <w:rsid w:val="366E227C"/>
    <w:rsid w:val="366F2E0D"/>
    <w:rsid w:val="367B6A5C"/>
    <w:rsid w:val="368F75DA"/>
    <w:rsid w:val="36A74ADA"/>
    <w:rsid w:val="36AD60D5"/>
    <w:rsid w:val="36B224F9"/>
    <w:rsid w:val="36C11399"/>
    <w:rsid w:val="36EC0CC9"/>
    <w:rsid w:val="373F410B"/>
    <w:rsid w:val="375F2D76"/>
    <w:rsid w:val="37EE7094"/>
    <w:rsid w:val="38174ABC"/>
    <w:rsid w:val="38296C89"/>
    <w:rsid w:val="383002EB"/>
    <w:rsid w:val="38586797"/>
    <w:rsid w:val="385D15DF"/>
    <w:rsid w:val="389F6046"/>
    <w:rsid w:val="38A23095"/>
    <w:rsid w:val="38BC0149"/>
    <w:rsid w:val="38D87D1C"/>
    <w:rsid w:val="38F565D5"/>
    <w:rsid w:val="390C2363"/>
    <w:rsid w:val="39636459"/>
    <w:rsid w:val="396B7F6C"/>
    <w:rsid w:val="39B417A9"/>
    <w:rsid w:val="39C76CC8"/>
    <w:rsid w:val="39FC5695"/>
    <w:rsid w:val="3A006D8E"/>
    <w:rsid w:val="3A3651E5"/>
    <w:rsid w:val="3A744481"/>
    <w:rsid w:val="3A8C7BEF"/>
    <w:rsid w:val="3A906246"/>
    <w:rsid w:val="3A9C574C"/>
    <w:rsid w:val="3AF55B82"/>
    <w:rsid w:val="3B1B5CFC"/>
    <w:rsid w:val="3B2349B7"/>
    <w:rsid w:val="3B616CFF"/>
    <w:rsid w:val="3B6259F6"/>
    <w:rsid w:val="3B7A2E48"/>
    <w:rsid w:val="3B976654"/>
    <w:rsid w:val="3BC01EFC"/>
    <w:rsid w:val="3BCA786A"/>
    <w:rsid w:val="3BD31E2F"/>
    <w:rsid w:val="3BE42827"/>
    <w:rsid w:val="3BF15831"/>
    <w:rsid w:val="3C096CF7"/>
    <w:rsid w:val="3C105946"/>
    <w:rsid w:val="3C1934F8"/>
    <w:rsid w:val="3C471448"/>
    <w:rsid w:val="3C5F759A"/>
    <w:rsid w:val="3C6C525A"/>
    <w:rsid w:val="3CCE23CB"/>
    <w:rsid w:val="3CD17D17"/>
    <w:rsid w:val="3CDC0F86"/>
    <w:rsid w:val="3D254C96"/>
    <w:rsid w:val="3D3B70B7"/>
    <w:rsid w:val="3D3C7F39"/>
    <w:rsid w:val="3D440F09"/>
    <w:rsid w:val="3D4504A0"/>
    <w:rsid w:val="3D7529B0"/>
    <w:rsid w:val="3D8734BB"/>
    <w:rsid w:val="3D9A11D4"/>
    <w:rsid w:val="3DA16D89"/>
    <w:rsid w:val="3DA364BE"/>
    <w:rsid w:val="3DC7210E"/>
    <w:rsid w:val="3DDE4973"/>
    <w:rsid w:val="3DE041CB"/>
    <w:rsid w:val="3DF65BBA"/>
    <w:rsid w:val="3E0D48F6"/>
    <w:rsid w:val="3E1868B4"/>
    <w:rsid w:val="3E1E24DE"/>
    <w:rsid w:val="3E377251"/>
    <w:rsid w:val="3E42664B"/>
    <w:rsid w:val="3E5A7334"/>
    <w:rsid w:val="3E7B5D6B"/>
    <w:rsid w:val="3E843E66"/>
    <w:rsid w:val="3E8D2C8C"/>
    <w:rsid w:val="3E8F51FE"/>
    <w:rsid w:val="3E926F87"/>
    <w:rsid w:val="3E9A59DE"/>
    <w:rsid w:val="3EAF4836"/>
    <w:rsid w:val="3EBD5269"/>
    <w:rsid w:val="3EC33DFA"/>
    <w:rsid w:val="3EEE05D4"/>
    <w:rsid w:val="3F060E16"/>
    <w:rsid w:val="3F1D1096"/>
    <w:rsid w:val="3F2F0234"/>
    <w:rsid w:val="3F4A21EA"/>
    <w:rsid w:val="3F56268D"/>
    <w:rsid w:val="3F632CDC"/>
    <w:rsid w:val="3F6363FE"/>
    <w:rsid w:val="3F756B8F"/>
    <w:rsid w:val="3F95482B"/>
    <w:rsid w:val="3FA66E58"/>
    <w:rsid w:val="3FD91995"/>
    <w:rsid w:val="3FFE0C8A"/>
    <w:rsid w:val="40045C0D"/>
    <w:rsid w:val="4019356B"/>
    <w:rsid w:val="40592157"/>
    <w:rsid w:val="405E7761"/>
    <w:rsid w:val="406E1CAE"/>
    <w:rsid w:val="40A0133A"/>
    <w:rsid w:val="40C31A53"/>
    <w:rsid w:val="40FF545D"/>
    <w:rsid w:val="410067C8"/>
    <w:rsid w:val="410127AD"/>
    <w:rsid w:val="41140732"/>
    <w:rsid w:val="416055A7"/>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0D1E45"/>
    <w:rsid w:val="448E1AF3"/>
    <w:rsid w:val="449101DD"/>
    <w:rsid w:val="44DE1391"/>
    <w:rsid w:val="45152F78"/>
    <w:rsid w:val="451B225C"/>
    <w:rsid w:val="452410C9"/>
    <w:rsid w:val="45317DFB"/>
    <w:rsid w:val="456D3CE4"/>
    <w:rsid w:val="4579042C"/>
    <w:rsid w:val="457F0571"/>
    <w:rsid w:val="45851176"/>
    <w:rsid w:val="45C63B94"/>
    <w:rsid w:val="46010B45"/>
    <w:rsid w:val="460E7DA5"/>
    <w:rsid w:val="46284975"/>
    <w:rsid w:val="46422483"/>
    <w:rsid w:val="465054AF"/>
    <w:rsid w:val="4659254A"/>
    <w:rsid w:val="465A78CC"/>
    <w:rsid w:val="465B0637"/>
    <w:rsid w:val="465E3F0D"/>
    <w:rsid w:val="466A16E6"/>
    <w:rsid w:val="46893F2B"/>
    <w:rsid w:val="46C42D7F"/>
    <w:rsid w:val="46C4686E"/>
    <w:rsid w:val="46F838C8"/>
    <w:rsid w:val="477B778F"/>
    <w:rsid w:val="478203EC"/>
    <w:rsid w:val="479C2541"/>
    <w:rsid w:val="47A4019F"/>
    <w:rsid w:val="47B025FA"/>
    <w:rsid w:val="47E5299D"/>
    <w:rsid w:val="4809698F"/>
    <w:rsid w:val="4811697D"/>
    <w:rsid w:val="486B60A2"/>
    <w:rsid w:val="487A3E25"/>
    <w:rsid w:val="488B5503"/>
    <w:rsid w:val="48937E21"/>
    <w:rsid w:val="489A0361"/>
    <w:rsid w:val="48B94FF3"/>
    <w:rsid w:val="48C55B35"/>
    <w:rsid w:val="48E37AAB"/>
    <w:rsid w:val="48F00C4D"/>
    <w:rsid w:val="48FD4B4C"/>
    <w:rsid w:val="490A68E0"/>
    <w:rsid w:val="491055FE"/>
    <w:rsid w:val="49461599"/>
    <w:rsid w:val="495F5B3E"/>
    <w:rsid w:val="496F77D7"/>
    <w:rsid w:val="497654FD"/>
    <w:rsid w:val="49B00A5E"/>
    <w:rsid w:val="49B64211"/>
    <w:rsid w:val="49F6167F"/>
    <w:rsid w:val="4A064FA0"/>
    <w:rsid w:val="4A16615C"/>
    <w:rsid w:val="4A2B189B"/>
    <w:rsid w:val="4A311A26"/>
    <w:rsid w:val="4A4424D7"/>
    <w:rsid w:val="4A8810AE"/>
    <w:rsid w:val="4AB82D0F"/>
    <w:rsid w:val="4AEB7664"/>
    <w:rsid w:val="4AEE54D1"/>
    <w:rsid w:val="4AFD7C19"/>
    <w:rsid w:val="4B0567D1"/>
    <w:rsid w:val="4B236AAE"/>
    <w:rsid w:val="4B707271"/>
    <w:rsid w:val="4B9739F7"/>
    <w:rsid w:val="4BE85FBF"/>
    <w:rsid w:val="4BEE2503"/>
    <w:rsid w:val="4C040B0A"/>
    <w:rsid w:val="4C245A30"/>
    <w:rsid w:val="4C3677AE"/>
    <w:rsid w:val="4C651C47"/>
    <w:rsid w:val="4C79589B"/>
    <w:rsid w:val="4CB6685F"/>
    <w:rsid w:val="4CC367FE"/>
    <w:rsid w:val="4CC9311B"/>
    <w:rsid w:val="4CE75EFE"/>
    <w:rsid w:val="4D077F3C"/>
    <w:rsid w:val="4D123355"/>
    <w:rsid w:val="4D2A3B31"/>
    <w:rsid w:val="4D2F7A0C"/>
    <w:rsid w:val="4D312C52"/>
    <w:rsid w:val="4D905305"/>
    <w:rsid w:val="4D964A72"/>
    <w:rsid w:val="4D9C1254"/>
    <w:rsid w:val="4DC457BC"/>
    <w:rsid w:val="4DE43B34"/>
    <w:rsid w:val="4E697925"/>
    <w:rsid w:val="4E793892"/>
    <w:rsid w:val="4E7D3FF0"/>
    <w:rsid w:val="4E800872"/>
    <w:rsid w:val="4E903B48"/>
    <w:rsid w:val="4EC569ED"/>
    <w:rsid w:val="4ED50EA1"/>
    <w:rsid w:val="4EEC050C"/>
    <w:rsid w:val="4F104EC3"/>
    <w:rsid w:val="4F47354A"/>
    <w:rsid w:val="4F911C54"/>
    <w:rsid w:val="4F9F07C7"/>
    <w:rsid w:val="4FE625E0"/>
    <w:rsid w:val="5021480F"/>
    <w:rsid w:val="50962ECB"/>
    <w:rsid w:val="50A42E38"/>
    <w:rsid w:val="50A4577F"/>
    <w:rsid w:val="50B45146"/>
    <w:rsid w:val="50B73D1F"/>
    <w:rsid w:val="50BD5BC9"/>
    <w:rsid w:val="50C11EEE"/>
    <w:rsid w:val="50DA6E92"/>
    <w:rsid w:val="50E97CFC"/>
    <w:rsid w:val="50FA4028"/>
    <w:rsid w:val="510D65B7"/>
    <w:rsid w:val="511157AB"/>
    <w:rsid w:val="5142540C"/>
    <w:rsid w:val="515F4F84"/>
    <w:rsid w:val="518832C8"/>
    <w:rsid w:val="519D3C50"/>
    <w:rsid w:val="51A0432A"/>
    <w:rsid w:val="51A86090"/>
    <w:rsid w:val="51B21E71"/>
    <w:rsid w:val="51B7396D"/>
    <w:rsid w:val="522E4CC3"/>
    <w:rsid w:val="5244713B"/>
    <w:rsid w:val="52615633"/>
    <w:rsid w:val="526F4DE4"/>
    <w:rsid w:val="52953287"/>
    <w:rsid w:val="52977FD4"/>
    <w:rsid w:val="52A25790"/>
    <w:rsid w:val="52A96B6F"/>
    <w:rsid w:val="52B24242"/>
    <w:rsid w:val="52B45975"/>
    <w:rsid w:val="52B7716F"/>
    <w:rsid w:val="52D8548B"/>
    <w:rsid w:val="52D94AA4"/>
    <w:rsid w:val="52EA3A62"/>
    <w:rsid w:val="52F50BB8"/>
    <w:rsid w:val="53097272"/>
    <w:rsid w:val="531427E9"/>
    <w:rsid w:val="532A1589"/>
    <w:rsid w:val="53457398"/>
    <w:rsid w:val="53544462"/>
    <w:rsid w:val="5397158E"/>
    <w:rsid w:val="54013861"/>
    <w:rsid w:val="54487265"/>
    <w:rsid w:val="544D6070"/>
    <w:rsid w:val="54605E1E"/>
    <w:rsid w:val="54B3506A"/>
    <w:rsid w:val="54B5148C"/>
    <w:rsid w:val="54CA0D16"/>
    <w:rsid w:val="54DD4057"/>
    <w:rsid w:val="54E7490F"/>
    <w:rsid w:val="550764A4"/>
    <w:rsid w:val="550B2BF6"/>
    <w:rsid w:val="55214EB5"/>
    <w:rsid w:val="55364EFD"/>
    <w:rsid w:val="555D4828"/>
    <w:rsid w:val="55751113"/>
    <w:rsid w:val="55752584"/>
    <w:rsid w:val="557A4C8B"/>
    <w:rsid w:val="558931E1"/>
    <w:rsid w:val="55923347"/>
    <w:rsid w:val="55925180"/>
    <w:rsid w:val="55983B1B"/>
    <w:rsid w:val="55A8376B"/>
    <w:rsid w:val="55DC29B6"/>
    <w:rsid w:val="55DD4241"/>
    <w:rsid w:val="566B6D1E"/>
    <w:rsid w:val="56995020"/>
    <w:rsid w:val="56AF0257"/>
    <w:rsid w:val="56B96E9E"/>
    <w:rsid w:val="56C06B76"/>
    <w:rsid w:val="56E9366F"/>
    <w:rsid w:val="56EF188E"/>
    <w:rsid w:val="56F73FDE"/>
    <w:rsid w:val="57032A2C"/>
    <w:rsid w:val="570F5219"/>
    <w:rsid w:val="57364D9D"/>
    <w:rsid w:val="575D12B5"/>
    <w:rsid w:val="575D6537"/>
    <w:rsid w:val="57610A87"/>
    <w:rsid w:val="577B1140"/>
    <w:rsid w:val="577B7F21"/>
    <w:rsid w:val="577F181B"/>
    <w:rsid w:val="57921984"/>
    <w:rsid w:val="579737F0"/>
    <w:rsid w:val="57AB7B30"/>
    <w:rsid w:val="57AC0DFA"/>
    <w:rsid w:val="57AF5251"/>
    <w:rsid w:val="57B26373"/>
    <w:rsid w:val="57B63F04"/>
    <w:rsid w:val="57CD20C2"/>
    <w:rsid w:val="57D675AB"/>
    <w:rsid w:val="57D73717"/>
    <w:rsid w:val="57D95FDD"/>
    <w:rsid w:val="58331046"/>
    <w:rsid w:val="58917D2F"/>
    <w:rsid w:val="5894085C"/>
    <w:rsid w:val="58AE4F0C"/>
    <w:rsid w:val="58B85899"/>
    <w:rsid w:val="58E363A9"/>
    <w:rsid w:val="59166304"/>
    <w:rsid w:val="591C799B"/>
    <w:rsid w:val="595E1678"/>
    <w:rsid w:val="596D5BD4"/>
    <w:rsid w:val="597E3DD8"/>
    <w:rsid w:val="59903B8F"/>
    <w:rsid w:val="599C648A"/>
    <w:rsid w:val="59B461B6"/>
    <w:rsid w:val="59CF36D6"/>
    <w:rsid w:val="59D30192"/>
    <w:rsid w:val="59F80043"/>
    <w:rsid w:val="5A09252F"/>
    <w:rsid w:val="5A0B2778"/>
    <w:rsid w:val="5A2A7C7B"/>
    <w:rsid w:val="5A3A25F5"/>
    <w:rsid w:val="5A3E2560"/>
    <w:rsid w:val="5A4D0442"/>
    <w:rsid w:val="5A5D3B6E"/>
    <w:rsid w:val="5A637A76"/>
    <w:rsid w:val="5A6D33BA"/>
    <w:rsid w:val="5A755E29"/>
    <w:rsid w:val="5A792B1F"/>
    <w:rsid w:val="5A874767"/>
    <w:rsid w:val="5AA85BE2"/>
    <w:rsid w:val="5AAD6F28"/>
    <w:rsid w:val="5AD63A24"/>
    <w:rsid w:val="5B136BEB"/>
    <w:rsid w:val="5B2E1A1D"/>
    <w:rsid w:val="5B5F2706"/>
    <w:rsid w:val="5B6E782E"/>
    <w:rsid w:val="5B7163B2"/>
    <w:rsid w:val="5B7E289C"/>
    <w:rsid w:val="5B843A1C"/>
    <w:rsid w:val="5B873E3F"/>
    <w:rsid w:val="5BDF44D5"/>
    <w:rsid w:val="5BF42884"/>
    <w:rsid w:val="5C02690E"/>
    <w:rsid w:val="5C196DA7"/>
    <w:rsid w:val="5C2A048C"/>
    <w:rsid w:val="5C470762"/>
    <w:rsid w:val="5C80234E"/>
    <w:rsid w:val="5C8A680C"/>
    <w:rsid w:val="5CB92C5A"/>
    <w:rsid w:val="5D0C4701"/>
    <w:rsid w:val="5D0F0395"/>
    <w:rsid w:val="5D221076"/>
    <w:rsid w:val="5D397964"/>
    <w:rsid w:val="5D5A391C"/>
    <w:rsid w:val="5D5F10C0"/>
    <w:rsid w:val="5D891B7B"/>
    <w:rsid w:val="5DAD38EE"/>
    <w:rsid w:val="5DB85AE5"/>
    <w:rsid w:val="5E006862"/>
    <w:rsid w:val="5E0207B9"/>
    <w:rsid w:val="5E1436C8"/>
    <w:rsid w:val="5E1834A1"/>
    <w:rsid w:val="5E261785"/>
    <w:rsid w:val="5E2A2B00"/>
    <w:rsid w:val="5E341674"/>
    <w:rsid w:val="5E4A7017"/>
    <w:rsid w:val="5E552BBA"/>
    <w:rsid w:val="5E611C10"/>
    <w:rsid w:val="5E7A0F3F"/>
    <w:rsid w:val="5EBF2114"/>
    <w:rsid w:val="5EFC7377"/>
    <w:rsid w:val="5F06174D"/>
    <w:rsid w:val="5F1D65AC"/>
    <w:rsid w:val="5F3A3602"/>
    <w:rsid w:val="5F45733B"/>
    <w:rsid w:val="5F6277C6"/>
    <w:rsid w:val="5F6D0B1D"/>
    <w:rsid w:val="5F8D0B82"/>
    <w:rsid w:val="5F8E4742"/>
    <w:rsid w:val="5F9C368D"/>
    <w:rsid w:val="5FBF7663"/>
    <w:rsid w:val="5FCC5339"/>
    <w:rsid w:val="5FE34A5B"/>
    <w:rsid w:val="5FFE1E36"/>
    <w:rsid w:val="60232584"/>
    <w:rsid w:val="607330CE"/>
    <w:rsid w:val="60825176"/>
    <w:rsid w:val="609F2AC4"/>
    <w:rsid w:val="60FA2EE8"/>
    <w:rsid w:val="61054A27"/>
    <w:rsid w:val="610A52BC"/>
    <w:rsid w:val="611D2366"/>
    <w:rsid w:val="61203B05"/>
    <w:rsid w:val="61421856"/>
    <w:rsid w:val="61423DE9"/>
    <w:rsid w:val="615227C4"/>
    <w:rsid w:val="61654E3F"/>
    <w:rsid w:val="6182292A"/>
    <w:rsid w:val="619F7F92"/>
    <w:rsid w:val="61E3588B"/>
    <w:rsid w:val="61E81EE3"/>
    <w:rsid w:val="61F94C26"/>
    <w:rsid w:val="62000E56"/>
    <w:rsid w:val="62052A92"/>
    <w:rsid w:val="624F3E49"/>
    <w:rsid w:val="62632286"/>
    <w:rsid w:val="626F3D04"/>
    <w:rsid w:val="62770C42"/>
    <w:rsid w:val="627E4805"/>
    <w:rsid w:val="62885958"/>
    <w:rsid w:val="62946B85"/>
    <w:rsid w:val="62F40B65"/>
    <w:rsid w:val="62FC2CFE"/>
    <w:rsid w:val="63024505"/>
    <w:rsid w:val="631808D5"/>
    <w:rsid w:val="635600A5"/>
    <w:rsid w:val="635B1DB5"/>
    <w:rsid w:val="63711FED"/>
    <w:rsid w:val="63880DDC"/>
    <w:rsid w:val="638D750D"/>
    <w:rsid w:val="63AC6CC0"/>
    <w:rsid w:val="64055776"/>
    <w:rsid w:val="640D6D46"/>
    <w:rsid w:val="64240056"/>
    <w:rsid w:val="64320B95"/>
    <w:rsid w:val="643E143A"/>
    <w:rsid w:val="643F3837"/>
    <w:rsid w:val="64491666"/>
    <w:rsid w:val="644A70FB"/>
    <w:rsid w:val="646507D9"/>
    <w:rsid w:val="648B6EEF"/>
    <w:rsid w:val="64AD0F72"/>
    <w:rsid w:val="64C158BF"/>
    <w:rsid w:val="64CE2EAA"/>
    <w:rsid w:val="64ED427D"/>
    <w:rsid w:val="653C3090"/>
    <w:rsid w:val="655956E7"/>
    <w:rsid w:val="65854376"/>
    <w:rsid w:val="658767BE"/>
    <w:rsid w:val="65892531"/>
    <w:rsid w:val="65A60391"/>
    <w:rsid w:val="65A72520"/>
    <w:rsid w:val="65B12E03"/>
    <w:rsid w:val="65C23955"/>
    <w:rsid w:val="65D063A8"/>
    <w:rsid w:val="66195831"/>
    <w:rsid w:val="662E75B1"/>
    <w:rsid w:val="66342C2E"/>
    <w:rsid w:val="663E784C"/>
    <w:rsid w:val="668B6A45"/>
    <w:rsid w:val="66993D4C"/>
    <w:rsid w:val="671372D5"/>
    <w:rsid w:val="672F3F24"/>
    <w:rsid w:val="673E055F"/>
    <w:rsid w:val="67551CE3"/>
    <w:rsid w:val="678A34B3"/>
    <w:rsid w:val="67A22552"/>
    <w:rsid w:val="67B22DCC"/>
    <w:rsid w:val="67BE71AA"/>
    <w:rsid w:val="67D90273"/>
    <w:rsid w:val="67DE5875"/>
    <w:rsid w:val="67E55852"/>
    <w:rsid w:val="67EB1AB4"/>
    <w:rsid w:val="67FA1285"/>
    <w:rsid w:val="68466B73"/>
    <w:rsid w:val="68551F4F"/>
    <w:rsid w:val="685E051B"/>
    <w:rsid w:val="68637725"/>
    <w:rsid w:val="68761223"/>
    <w:rsid w:val="687C10C9"/>
    <w:rsid w:val="68840C16"/>
    <w:rsid w:val="68876EFB"/>
    <w:rsid w:val="68884654"/>
    <w:rsid w:val="689F444F"/>
    <w:rsid w:val="68B96DBB"/>
    <w:rsid w:val="68CA2805"/>
    <w:rsid w:val="68E937A3"/>
    <w:rsid w:val="68EF0FB9"/>
    <w:rsid w:val="68F85C19"/>
    <w:rsid w:val="691A6EBB"/>
    <w:rsid w:val="693C0B16"/>
    <w:rsid w:val="693E15D3"/>
    <w:rsid w:val="694D261B"/>
    <w:rsid w:val="69623E63"/>
    <w:rsid w:val="69627681"/>
    <w:rsid w:val="6977531D"/>
    <w:rsid w:val="699660BF"/>
    <w:rsid w:val="69AD47E6"/>
    <w:rsid w:val="69CC2BFF"/>
    <w:rsid w:val="69FD55B8"/>
    <w:rsid w:val="6A0B1C62"/>
    <w:rsid w:val="6A207577"/>
    <w:rsid w:val="6A2406C8"/>
    <w:rsid w:val="6ADE0BD1"/>
    <w:rsid w:val="6AE26D4D"/>
    <w:rsid w:val="6AE96859"/>
    <w:rsid w:val="6AF24A22"/>
    <w:rsid w:val="6B0B1EA0"/>
    <w:rsid w:val="6B0D3056"/>
    <w:rsid w:val="6B147746"/>
    <w:rsid w:val="6B24787C"/>
    <w:rsid w:val="6B573233"/>
    <w:rsid w:val="6B5B6274"/>
    <w:rsid w:val="6B785296"/>
    <w:rsid w:val="6B885481"/>
    <w:rsid w:val="6B935D53"/>
    <w:rsid w:val="6BB63C86"/>
    <w:rsid w:val="6BB838E4"/>
    <w:rsid w:val="6BD17F7D"/>
    <w:rsid w:val="6C196F71"/>
    <w:rsid w:val="6C226FCB"/>
    <w:rsid w:val="6C31226F"/>
    <w:rsid w:val="6C552F0B"/>
    <w:rsid w:val="6C6121CE"/>
    <w:rsid w:val="6C8C67B7"/>
    <w:rsid w:val="6C9D744C"/>
    <w:rsid w:val="6D167928"/>
    <w:rsid w:val="6D1B17E1"/>
    <w:rsid w:val="6D26299B"/>
    <w:rsid w:val="6D4772EC"/>
    <w:rsid w:val="6D7C5DA3"/>
    <w:rsid w:val="6D9078AF"/>
    <w:rsid w:val="6DAA3FEF"/>
    <w:rsid w:val="6DC0172B"/>
    <w:rsid w:val="6DCA3D94"/>
    <w:rsid w:val="6DCB690C"/>
    <w:rsid w:val="6DD41A5B"/>
    <w:rsid w:val="6DF43C2E"/>
    <w:rsid w:val="6DF51CA3"/>
    <w:rsid w:val="6E6A3579"/>
    <w:rsid w:val="6E8335BD"/>
    <w:rsid w:val="6E8E12EF"/>
    <w:rsid w:val="6E972936"/>
    <w:rsid w:val="6EB45F8B"/>
    <w:rsid w:val="6EC569CF"/>
    <w:rsid w:val="6ED446C5"/>
    <w:rsid w:val="6ED76777"/>
    <w:rsid w:val="6EF103BD"/>
    <w:rsid w:val="6F112763"/>
    <w:rsid w:val="6F2A7D94"/>
    <w:rsid w:val="6F732088"/>
    <w:rsid w:val="6F8331F1"/>
    <w:rsid w:val="6FAE1A09"/>
    <w:rsid w:val="6FD21E73"/>
    <w:rsid w:val="6FD75BF8"/>
    <w:rsid w:val="6FE006C6"/>
    <w:rsid w:val="707723D0"/>
    <w:rsid w:val="70915369"/>
    <w:rsid w:val="70EF6CDD"/>
    <w:rsid w:val="70F5661B"/>
    <w:rsid w:val="7123730B"/>
    <w:rsid w:val="71360107"/>
    <w:rsid w:val="713B688E"/>
    <w:rsid w:val="719B21CC"/>
    <w:rsid w:val="71C0067F"/>
    <w:rsid w:val="71D43752"/>
    <w:rsid w:val="71F1796A"/>
    <w:rsid w:val="72136B1E"/>
    <w:rsid w:val="72154626"/>
    <w:rsid w:val="72262B5D"/>
    <w:rsid w:val="72283FF7"/>
    <w:rsid w:val="722E7212"/>
    <w:rsid w:val="723A0474"/>
    <w:rsid w:val="723D3F2A"/>
    <w:rsid w:val="724D02FF"/>
    <w:rsid w:val="725923E4"/>
    <w:rsid w:val="72864BF7"/>
    <w:rsid w:val="729023FC"/>
    <w:rsid w:val="72F04A5B"/>
    <w:rsid w:val="73033792"/>
    <w:rsid w:val="730D35B3"/>
    <w:rsid w:val="73A244D6"/>
    <w:rsid w:val="73A35740"/>
    <w:rsid w:val="73C0646E"/>
    <w:rsid w:val="742222F5"/>
    <w:rsid w:val="744245F4"/>
    <w:rsid w:val="74476126"/>
    <w:rsid w:val="74706664"/>
    <w:rsid w:val="747F3682"/>
    <w:rsid w:val="7480340D"/>
    <w:rsid w:val="749C4185"/>
    <w:rsid w:val="74AB0DCE"/>
    <w:rsid w:val="74FA645E"/>
    <w:rsid w:val="75067759"/>
    <w:rsid w:val="751D0C5C"/>
    <w:rsid w:val="752E6DCD"/>
    <w:rsid w:val="75481CC7"/>
    <w:rsid w:val="7551380D"/>
    <w:rsid w:val="75600BE5"/>
    <w:rsid w:val="7564475C"/>
    <w:rsid w:val="75752F8D"/>
    <w:rsid w:val="7583797F"/>
    <w:rsid w:val="75AD564C"/>
    <w:rsid w:val="75C80BC8"/>
    <w:rsid w:val="75D20F1D"/>
    <w:rsid w:val="75DA2C18"/>
    <w:rsid w:val="75F54412"/>
    <w:rsid w:val="76005381"/>
    <w:rsid w:val="761D08E0"/>
    <w:rsid w:val="765D347C"/>
    <w:rsid w:val="76826699"/>
    <w:rsid w:val="76AC673B"/>
    <w:rsid w:val="76C87133"/>
    <w:rsid w:val="76CD08D5"/>
    <w:rsid w:val="76DB4B92"/>
    <w:rsid w:val="76EA36A3"/>
    <w:rsid w:val="77052AA4"/>
    <w:rsid w:val="770E0AD4"/>
    <w:rsid w:val="7711659E"/>
    <w:rsid w:val="77136511"/>
    <w:rsid w:val="77340A39"/>
    <w:rsid w:val="77351FD0"/>
    <w:rsid w:val="77472422"/>
    <w:rsid w:val="774906E0"/>
    <w:rsid w:val="777F31F2"/>
    <w:rsid w:val="77D01FB6"/>
    <w:rsid w:val="77D1700D"/>
    <w:rsid w:val="77E00F67"/>
    <w:rsid w:val="77EC04CC"/>
    <w:rsid w:val="77EE6736"/>
    <w:rsid w:val="78267E28"/>
    <w:rsid w:val="78483B2E"/>
    <w:rsid w:val="78775729"/>
    <w:rsid w:val="787C1AF2"/>
    <w:rsid w:val="78A42DB0"/>
    <w:rsid w:val="78A656AB"/>
    <w:rsid w:val="78B2245C"/>
    <w:rsid w:val="78E172CC"/>
    <w:rsid w:val="78EA1D1F"/>
    <w:rsid w:val="78F64A8E"/>
    <w:rsid w:val="7904172F"/>
    <w:rsid w:val="790F7E27"/>
    <w:rsid w:val="792A231A"/>
    <w:rsid w:val="79316829"/>
    <w:rsid w:val="79534C4C"/>
    <w:rsid w:val="797E66A9"/>
    <w:rsid w:val="798518A4"/>
    <w:rsid w:val="79A97383"/>
    <w:rsid w:val="79E27E8B"/>
    <w:rsid w:val="79F850CE"/>
    <w:rsid w:val="79FD443C"/>
    <w:rsid w:val="7A1D1975"/>
    <w:rsid w:val="7A282137"/>
    <w:rsid w:val="7A3E5150"/>
    <w:rsid w:val="7A4670D6"/>
    <w:rsid w:val="7A534B63"/>
    <w:rsid w:val="7A5600FC"/>
    <w:rsid w:val="7A615382"/>
    <w:rsid w:val="7A67303B"/>
    <w:rsid w:val="7A6A3623"/>
    <w:rsid w:val="7A8C48BA"/>
    <w:rsid w:val="7AAB1D04"/>
    <w:rsid w:val="7ABA4368"/>
    <w:rsid w:val="7AD05746"/>
    <w:rsid w:val="7AD16427"/>
    <w:rsid w:val="7B0363F4"/>
    <w:rsid w:val="7B18734E"/>
    <w:rsid w:val="7B257FFD"/>
    <w:rsid w:val="7B3236AC"/>
    <w:rsid w:val="7B343476"/>
    <w:rsid w:val="7B3467F9"/>
    <w:rsid w:val="7B5A2978"/>
    <w:rsid w:val="7B5A7E4C"/>
    <w:rsid w:val="7B667AF9"/>
    <w:rsid w:val="7B7468F8"/>
    <w:rsid w:val="7BCB7664"/>
    <w:rsid w:val="7BEE0103"/>
    <w:rsid w:val="7C0A0FE4"/>
    <w:rsid w:val="7C254906"/>
    <w:rsid w:val="7C492337"/>
    <w:rsid w:val="7C590818"/>
    <w:rsid w:val="7C653614"/>
    <w:rsid w:val="7C7C10F6"/>
    <w:rsid w:val="7C853BEA"/>
    <w:rsid w:val="7C881368"/>
    <w:rsid w:val="7CE27788"/>
    <w:rsid w:val="7CF609AC"/>
    <w:rsid w:val="7D0C32F1"/>
    <w:rsid w:val="7D0F408D"/>
    <w:rsid w:val="7D2C59D4"/>
    <w:rsid w:val="7D3E3D70"/>
    <w:rsid w:val="7D491C6C"/>
    <w:rsid w:val="7D5429C0"/>
    <w:rsid w:val="7D6E6D43"/>
    <w:rsid w:val="7D9B6BA2"/>
    <w:rsid w:val="7DB57A34"/>
    <w:rsid w:val="7DC510DA"/>
    <w:rsid w:val="7DC6485A"/>
    <w:rsid w:val="7DD81BC4"/>
    <w:rsid w:val="7DE60973"/>
    <w:rsid w:val="7DEF0916"/>
    <w:rsid w:val="7E1E5218"/>
    <w:rsid w:val="7E4F632A"/>
    <w:rsid w:val="7E9A4E1F"/>
    <w:rsid w:val="7EA7723A"/>
    <w:rsid w:val="7ED674AE"/>
    <w:rsid w:val="7EF56FBB"/>
    <w:rsid w:val="7F036E12"/>
    <w:rsid w:val="7F0768EB"/>
    <w:rsid w:val="7F143BEC"/>
    <w:rsid w:val="7F2FB9CF"/>
    <w:rsid w:val="7F715AF2"/>
    <w:rsid w:val="7F7D3AD1"/>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324"/>
    <w:qFormat/>
    <w:uiPriority w:val="0"/>
    <w:pPr>
      <w:ind w:firstLine="420"/>
    </w:pPr>
    <w:rPr>
      <w:rFonts w:hAnsi="Calibri" w:cs="Times New Roman"/>
      <w:snapToGrid/>
      <w:szCs w:val="20"/>
    </w:rPr>
  </w:style>
  <w:style w:type="paragraph" w:styleId="3">
    <w:name w:val="Body Text"/>
    <w:basedOn w:val="1"/>
    <w:next w:val="2"/>
    <w:link w:val="433"/>
    <w:qFormat/>
    <w:uiPriority w:val="0"/>
    <w:pPr>
      <w:autoSpaceDE w:val="0"/>
      <w:autoSpaceDN w:val="0"/>
      <w:spacing w:line="360" w:lineRule="auto"/>
    </w:pPr>
    <w:rPr>
      <w:rFonts w:ascii="宋体" w:hAnsi="Arial" w:cs="Arial"/>
      <w:snapToGrid w:val="0"/>
      <w:sz w:val="24"/>
      <w:szCs w:val="21"/>
      <w:lang w:val="zh-CN"/>
    </w:rPr>
  </w:style>
  <w:style w:type="paragraph" w:styleId="7">
    <w:name w:val="Normal Indent"/>
    <w:basedOn w:val="1"/>
    <w:link w:val="196"/>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2"/>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5"/>
    <w:qFormat/>
    <w:uiPriority w:val="0"/>
    <w:pPr>
      <w:shd w:val="clear" w:color="auto" w:fill="000080"/>
    </w:pPr>
  </w:style>
  <w:style w:type="paragraph" w:styleId="21">
    <w:name w:val="annotation text"/>
    <w:basedOn w:val="1"/>
    <w:link w:val="347"/>
    <w:qFormat/>
    <w:uiPriority w:val="99"/>
    <w:pPr>
      <w:jc w:val="left"/>
    </w:pPr>
  </w:style>
  <w:style w:type="paragraph" w:styleId="22">
    <w:name w:val="Salutation"/>
    <w:basedOn w:val="1"/>
    <w:next w:val="1"/>
    <w:link w:val="301"/>
    <w:qFormat/>
    <w:uiPriority w:val="0"/>
    <w:rPr>
      <w:rFonts w:ascii="仿宋_GB2312" w:eastAsia="仿宋_GB2312"/>
      <w:sz w:val="28"/>
      <w:szCs w:val="20"/>
    </w:rPr>
  </w:style>
  <w:style w:type="paragraph" w:styleId="23">
    <w:name w:val="Body Text 3"/>
    <w:basedOn w:val="1"/>
    <w:link w:val="333"/>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Indent"/>
    <w:basedOn w:val="1"/>
    <w:next w:val="1"/>
    <w:link w:val="268"/>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8"/>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4"/>
    <w:qFormat/>
    <w:uiPriority w:val="0"/>
    <w:pPr>
      <w:ind w:left="100" w:leftChars="2500"/>
    </w:pPr>
    <w:rPr>
      <w:rFonts w:ascii="宋体"/>
      <w:sz w:val="24"/>
      <w:szCs w:val="21"/>
      <w:lang w:val="zh-CN"/>
    </w:rPr>
  </w:style>
  <w:style w:type="paragraph" w:styleId="37">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91"/>
    <w:qFormat/>
    <w:uiPriority w:val="0"/>
    <w:rPr>
      <w:sz w:val="18"/>
      <w:szCs w:val="18"/>
    </w:rPr>
  </w:style>
  <w:style w:type="paragraph" w:styleId="40">
    <w:name w:val="footer"/>
    <w:basedOn w:val="1"/>
    <w:link w:val="386"/>
    <w:qFormat/>
    <w:uiPriority w:val="0"/>
    <w:pPr>
      <w:tabs>
        <w:tab w:val="center" w:pos="4153"/>
        <w:tab w:val="right" w:pos="8306"/>
      </w:tabs>
      <w:snapToGrid w:val="0"/>
      <w:jc w:val="left"/>
    </w:pPr>
    <w:rPr>
      <w:sz w:val="18"/>
      <w:szCs w:val="18"/>
    </w:rPr>
  </w:style>
  <w:style w:type="paragraph" w:styleId="41">
    <w:name w:val="envelope return"/>
    <w:basedOn w:val="1"/>
    <w:qFormat/>
    <w:uiPriority w:val="0"/>
    <w:pPr>
      <w:snapToGrid w:val="0"/>
    </w:pPr>
    <w:rPr>
      <w:rFonts w:ascii="Arial" w:hAnsi="Arial"/>
    </w:rPr>
  </w:style>
  <w:style w:type="paragraph" w:styleId="42">
    <w:name w:val="header"/>
    <w:basedOn w:val="1"/>
    <w:next w:val="43"/>
    <w:link w:val="395"/>
    <w:qFormat/>
    <w:uiPriority w:val="99"/>
    <w:pPr>
      <w:pBdr>
        <w:bottom w:val="single" w:color="auto" w:sz="6" w:space="1"/>
      </w:pBdr>
      <w:tabs>
        <w:tab w:val="center" w:pos="4153"/>
        <w:tab w:val="right" w:pos="8306"/>
      </w:tabs>
      <w:snapToGrid w:val="0"/>
      <w:jc w:val="center"/>
    </w:pPr>
    <w:rPr>
      <w:sz w:val="18"/>
      <w:szCs w:val="18"/>
    </w:rPr>
  </w:style>
  <w:style w:type="paragraph" w:customStyle="1" w:styleId="4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styleId="44">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7"/>
    <w:link w:val="313"/>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8"/>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5"/>
    <w:qFormat/>
    <w:uiPriority w:val="0"/>
    <w:pPr>
      <w:spacing w:after="120" w:line="480" w:lineRule="auto"/>
    </w:pPr>
  </w:style>
  <w:style w:type="paragraph" w:styleId="59">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9"/>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1"/>
    <w:next w:val="21"/>
    <w:link w:val="99"/>
    <w:qFormat/>
    <w:uiPriority w:val="0"/>
    <w:rPr>
      <w:b/>
      <w:bCs/>
    </w:rPr>
  </w:style>
  <w:style w:type="paragraph" w:styleId="63">
    <w:name w:val="Body Text First Indent 2"/>
    <w:basedOn w:val="25"/>
    <w:next w:val="1"/>
    <w:link w:val="124"/>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basedOn w:val="71"/>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_Style 3"/>
    <w:basedOn w:val="1"/>
    <w:qFormat/>
    <w:uiPriority w:val="0"/>
    <w:pPr>
      <w:adjustRightInd/>
      <w:ind w:firstLine="420" w:firstLineChars="200"/>
    </w:pPr>
    <w:rPr>
      <w:rFonts w:eastAsia="仿宋_GB2312"/>
      <w:sz w:val="28"/>
    </w:rPr>
  </w:style>
  <w:style w:type="paragraph" w:styleId="83">
    <w:name w:val="No Spacing"/>
    <w:basedOn w:val="1"/>
    <w:link w:val="932"/>
    <w:qFormat/>
    <w:uiPriority w:val="99"/>
    <w:rPr>
      <w:szCs w:val="22"/>
    </w:rPr>
  </w:style>
  <w:style w:type="paragraph" w:customStyle="1" w:styleId="84">
    <w:name w:val="样式3"/>
    <w:basedOn w:val="33"/>
    <w:next w:val="1"/>
    <w:qFormat/>
    <w:uiPriority w:val="0"/>
    <w:pPr>
      <w:tabs>
        <w:tab w:val="left" w:pos="2790"/>
        <w:tab w:val="left" w:pos="4230"/>
      </w:tabs>
      <w:spacing w:before="312" w:beforeLines="100"/>
      <w:jc w:val="left"/>
    </w:p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字符"/>
    <w:link w:val="62"/>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文本首行缩进 2 字符"/>
    <w:link w:val="63"/>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71"/>
    <w:qFormat/>
    <w:uiPriority w:val="0"/>
    <w:rPr>
      <w:rFonts w:ascii="Arial" w:hAnsi="Arial" w:eastAsia="黑体" w:cs="Arial"/>
      <w:snapToGrid w:val="0"/>
      <w:kern w:val="0"/>
      <w:szCs w:val="21"/>
    </w:rPr>
  </w:style>
  <w:style w:type="character" w:customStyle="1" w:styleId="128">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line="360" w:lineRule="auto"/>
      <w:ind w:firstLine="510" w:firstLineChars="200"/>
    </w:pPr>
    <w:rPr>
      <w:sz w:val="24"/>
      <w:szCs w:val="20"/>
    </w:rPr>
  </w:style>
  <w:style w:type="character" w:customStyle="1" w:styleId="135">
    <w:name w:val="Char Char24"/>
    <w:qFormat/>
    <w:uiPriority w:val="6"/>
    <w:rPr>
      <w:kern w:val="1"/>
      <w:sz w:val="21"/>
    </w:rPr>
  </w:style>
  <w:style w:type="character" w:customStyle="1" w:styleId="136">
    <w:name w:val="副标题 字符"/>
    <w:link w:val="49"/>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semiHidden/>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locked/>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字符"/>
    <w:link w:val="10"/>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locked/>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0"/>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locked/>
    <w:uiPriority w:val="0"/>
    <w:rPr>
      <w:rFonts w:ascii="宋体" w:hAnsi="宋体" w:eastAsia="宋体"/>
      <w:kern w:val="2"/>
      <w:sz w:val="24"/>
      <w:lang w:val="en-US" w:eastAsia="zh-CN" w:bidi="ar-SA"/>
    </w:rPr>
  </w:style>
  <w:style w:type="character" w:customStyle="1" w:styleId="169">
    <w:name w:val="标题 2 字符"/>
    <w:qFormat/>
    <w:uiPriority w:val="0"/>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5"/>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字符"/>
    <w:link w:val="36"/>
    <w:qFormat/>
    <w:uiPriority w:val="0"/>
    <w:rPr>
      <w:rFonts w:ascii="宋体"/>
      <w:kern w:val="2"/>
      <w:sz w:val="24"/>
      <w:szCs w:val="21"/>
      <w:lang w:val="zh-CN"/>
    </w:rPr>
  </w:style>
  <w:style w:type="character" w:customStyle="1" w:styleId="185">
    <w:name w:val="标题 9 字符"/>
    <w:link w:val="13"/>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0"/>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字符1"/>
    <w:link w:val="39"/>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字符2"/>
    <w:link w:val="7"/>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字符"/>
    <w:link w:val="20"/>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71"/>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字符"/>
    <w:link w:val="30"/>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8"/>
    <w:link w:val="22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字符"/>
    <w:link w:val="18"/>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238"/>
    <w:qFormat/>
    <w:uiPriority w:val="0"/>
    <w:rPr>
      <w:rFonts w:ascii="仿宋_GB2312" w:eastAsia="仿宋_GB2312" w:cs="仿宋_GB2312"/>
      <w:color w:val="000000"/>
      <w:sz w:val="24"/>
      <w:szCs w:val="24"/>
      <w:lang w:val="en-US" w:eastAsia="zh-CN" w:bidi="ar-SA"/>
    </w:rPr>
  </w:style>
  <w:style w:type="paragraph" w:customStyle="1" w:styleId="238">
    <w:name w:val="Default"/>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34"/>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字符1"/>
    <w:link w:val="25"/>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字符1"/>
    <w:link w:val="4"/>
    <w:qFormat/>
    <w:uiPriority w:val="9"/>
    <w:rPr>
      <w:b/>
      <w:bCs/>
      <w:kern w:val="44"/>
      <w:sz w:val="44"/>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字符"/>
    <w:link w:val="61"/>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字符"/>
    <w:link w:val="9"/>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字符"/>
    <w:link w:val="22"/>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字符"/>
    <w:link w:val="59"/>
    <w:qFormat/>
    <w:uiPriority w:val="0"/>
    <w:rPr>
      <w:rFonts w:ascii="黑体" w:hAnsi="Courier New" w:eastAsia="黑体"/>
    </w:rPr>
  </w:style>
  <w:style w:type="character" w:customStyle="1" w:styleId="305">
    <w:name w:val="正文文本 2 字符1"/>
    <w:link w:val="58"/>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8"/>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字符"/>
    <w:link w:val="11"/>
    <w:qFormat/>
    <w:uiPriority w:val="0"/>
    <w:rPr>
      <w:b/>
      <w:bCs/>
      <w:kern w:val="2"/>
      <w:sz w:val="24"/>
      <w:szCs w:val="24"/>
    </w:rPr>
  </w:style>
  <w:style w:type="character" w:customStyle="1" w:styleId="311">
    <w:name w:val="正文文本缩进 2 字符"/>
    <w:link w:val="37"/>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字符"/>
    <w:link w:val="52"/>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文本首行缩进 字符"/>
    <w:link w:val="2"/>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字符1"/>
    <w:link w:val="8"/>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字符"/>
    <w:link w:val="23"/>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字符1"/>
    <w:link w:val="21"/>
    <w:qFormat/>
    <w:uiPriority w:val="0"/>
    <w:rPr>
      <w:kern w:val="2"/>
      <w:sz w:val="21"/>
      <w:szCs w:val="24"/>
    </w:rPr>
  </w:style>
  <w:style w:type="character" w:customStyle="1" w:styleId="348">
    <w:name w:val="签名 字符"/>
    <w:link w:val="44"/>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字符"/>
    <w:link w:val="12"/>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字符"/>
    <w:link w:val="55"/>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字符2"/>
    <w:link w:val="40"/>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字符2"/>
    <w:link w:val="42"/>
    <w:qFormat/>
    <w:uiPriority w:val="99"/>
    <w:rPr>
      <w:rFonts w:ascii="Times New Roman" w:hAnsi="Times New Roman" w:eastAsia="宋体"/>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71"/>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0"/>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7"/>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字符"/>
    <w:link w:val="3"/>
    <w:qFormat/>
    <w:uiPriority w:val="0"/>
    <w:rPr>
      <w:rFonts w:ascii="宋体" w:hAnsi="Arial" w:eastAsia="宋体" w:cs="Arial"/>
      <w:snapToGrid w:val="0"/>
      <w:kern w:val="2"/>
      <w:sz w:val="24"/>
      <w:szCs w:val="21"/>
      <w:lang w:val="zh-CN" w:eastAsia="zh-CN" w:bidi="ar-SA"/>
    </w:rPr>
  </w:style>
  <w:style w:type="character" w:customStyle="1" w:styleId="434">
    <w:name w:val="gray6"/>
    <w:basedOn w:val="71"/>
    <w:qFormat/>
    <w:uiPriority w:val="0"/>
    <w:rPr>
      <w:rFonts w:ascii="Arial" w:hAnsi="Arial" w:eastAsia="黑体" w:cs="Arial"/>
      <w:snapToGrid w:val="0"/>
      <w:kern w:val="0"/>
      <w:szCs w:val="21"/>
    </w:rPr>
  </w:style>
  <w:style w:type="character" w:customStyle="1" w:styleId="435">
    <w:name w:val="hui"/>
    <w:basedOn w:val="71"/>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8"/>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5"/>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6"/>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9"/>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6"/>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8"/>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8"/>
    <w:next w:val="238"/>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8"/>
    <w:next w:val="238"/>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8"/>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4"/>
    <w:qFormat/>
    <w:uiPriority w:val="0"/>
    <w:pPr>
      <w:tabs>
        <w:tab w:val="left" w:pos="840"/>
      </w:tabs>
      <w:adjustRightInd/>
      <w:ind w:left="840" w:hanging="420"/>
    </w:pPr>
  </w:style>
  <w:style w:type="paragraph" w:customStyle="1" w:styleId="626">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8"/>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6"/>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6"/>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40"/>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5"/>
    <w:next w:val="640"/>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4"/>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43"/>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2"/>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9"/>
    <w:qFormat/>
    <w:uiPriority w:val="0"/>
    <w:rPr>
      <w:b w:val="0"/>
      <w:sz w:val="20"/>
    </w:rPr>
  </w:style>
  <w:style w:type="paragraph" w:customStyle="1" w:styleId="893">
    <w:name w:val="正文首行缩进1"/>
    <w:basedOn w:val="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9"/>
    <w:next w:val="1"/>
    <w:qFormat/>
    <w:uiPriority w:val="0"/>
    <w:pPr>
      <w:tabs>
        <w:tab w:val="left" w:pos="1080"/>
      </w:tabs>
      <w:ind w:left="1080" w:hanging="1080"/>
    </w:pPr>
  </w:style>
  <w:style w:type="paragraph" w:customStyle="1" w:styleId="896">
    <w:name w:val="数字标题1"/>
    <w:basedOn w:val="4"/>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6"/>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8"/>
    <w:qFormat/>
    <w:uiPriority w:val="0"/>
    <w:rPr>
      <w:kern w:val="2"/>
      <w:sz w:val="21"/>
      <w:szCs w:val="24"/>
      <w:lang w:val="zh-CN"/>
    </w:rPr>
  </w:style>
  <w:style w:type="character" w:customStyle="1" w:styleId="932">
    <w:name w:val="无间隔 字符"/>
    <w:link w:val="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61"/>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WPSOffice手动目录 1"/>
    <w:qFormat/>
    <w:uiPriority w:val="0"/>
    <w:rPr>
      <w:rFonts w:ascii="Times New Roman" w:hAnsi="Times New Roman" w:eastAsia="宋体" w:cs="Times New Roman"/>
      <w:lang w:val="en-US" w:eastAsia="zh-CN" w:bidi="ar-SA"/>
    </w:rPr>
  </w:style>
  <w:style w:type="paragraph" w:customStyle="1" w:styleId="9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66">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967">
    <w:name w:val="Unresolved Mention"/>
    <w:basedOn w:val="71"/>
    <w:semiHidden/>
    <w:unhideWhenUsed/>
    <w:qFormat/>
    <w:uiPriority w:val="99"/>
    <w:rPr>
      <w:color w:val="605E5C"/>
      <w:shd w:val="clear" w:color="auto" w:fill="E1DFDD"/>
    </w:rPr>
  </w:style>
  <w:style w:type="paragraph" w:customStyle="1" w:styleId="9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9">
    <w:name w:val="Body Text First Indent 21"/>
    <w:basedOn w:val="970"/>
    <w:qFormat/>
    <w:uiPriority w:val="0"/>
    <w:pPr>
      <w:ind w:left="420" w:leftChars="200" w:firstLine="420"/>
    </w:pPr>
    <w:rPr>
      <w:szCs w:val="21"/>
    </w:rPr>
  </w:style>
  <w:style w:type="paragraph" w:customStyle="1" w:styleId="970">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79</Pages>
  <Words>2497</Words>
  <Characters>2907</Characters>
  <Lines>51</Lines>
  <Paragraphs>73</Paragraphs>
  <TotalTime>2</TotalTime>
  <ScaleCrop>false</ScaleCrop>
  <LinksUpToDate>false</LinksUpToDate>
  <CharactersWithSpaces>3169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2023-03-27T23:50:00Z</dcterms:created>
  <dc:creator>玥</dc:creator>
  <cp:lastModifiedBy>蒋海佳</cp:lastModifiedBy>
  <cp:lastPrinted>2021-12-28T03:06:00Z</cp:lastPrinted>
  <dcterms:modified xsi:type="dcterms:W3CDTF">2026-05-15T06:31:17Z</dcterms:modified>
  <dc:title>杭州市市民卡扩大发卡工程</dc:title>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427324A6E1904F089856A71AB0BE964E_13</vt:lpwstr>
  </property>
  <property fmtid="{D5CDD505-2E9C-101B-9397-08002B2CF9AE}" pid="5" name="KSOTemplateDocerSaveRecord">
    <vt:lpwstr>eyJoZGlkIjoiODAxODcyYWIxMmZlMWY5MDRjYmIyYTIyOGY2MGIxMWEiLCJ1c2VySWQiOiI0MTU0MjQ2NTAifQ==</vt:lpwstr>
  </property>
</Properties>
</file>