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9F7B0">
      <w:pPr>
        <w:spacing w:line="319" w:lineRule="auto"/>
        <w:jc w:val="center"/>
        <w:rPr>
          <w:rFonts w:hint="eastAsia" w:ascii="微软雅黑" w:hAnsi="微软雅黑" w:eastAsia="微软雅黑" w:cs="微软雅黑"/>
          <w:b/>
          <w:bCs/>
          <w:snapToGrid w:val="0"/>
          <w:color w:val="auto"/>
          <w:spacing w:val="8"/>
          <w:kern w:val="0"/>
          <w:sz w:val="43"/>
          <w:szCs w:val="43"/>
          <w:highlight w:val="none"/>
          <w:lang w:eastAsia="zh-CN" w:bidi="ar-SA"/>
        </w:rPr>
      </w:pPr>
      <w:r>
        <w:rPr>
          <w:rFonts w:hint="eastAsia" w:ascii="微软雅黑" w:hAnsi="微软雅黑" w:eastAsia="微软雅黑" w:cs="微软雅黑"/>
          <w:b/>
          <w:bCs/>
          <w:snapToGrid w:val="0"/>
          <w:color w:val="auto"/>
          <w:spacing w:val="8"/>
          <w:kern w:val="0"/>
          <w:sz w:val="43"/>
          <w:szCs w:val="43"/>
          <w:highlight w:val="none"/>
          <w:lang w:eastAsia="zh-CN" w:bidi="ar-SA"/>
        </w:rPr>
        <w:t>喀什地区伽师县紧密型县域医共体建设项目</w:t>
      </w:r>
    </w:p>
    <w:p w14:paraId="0E2FA6D1">
      <w:pPr>
        <w:spacing w:line="319" w:lineRule="auto"/>
        <w:jc w:val="center"/>
        <w:rPr>
          <w:rFonts w:hint="default" w:ascii="微软雅黑" w:hAnsi="微软雅黑" w:eastAsia="微软雅黑" w:cs="微软雅黑"/>
          <w:b/>
          <w:bCs/>
          <w:snapToGrid w:val="0"/>
          <w:color w:val="auto"/>
          <w:spacing w:val="8"/>
          <w:kern w:val="0"/>
          <w:sz w:val="43"/>
          <w:szCs w:val="43"/>
          <w:highlight w:val="none"/>
          <w:lang w:val="en-US" w:eastAsia="zh-CN" w:bidi="ar-SA"/>
        </w:rPr>
      </w:pPr>
      <w:r>
        <w:rPr>
          <w:rFonts w:hint="eastAsia" w:ascii="微软雅黑" w:hAnsi="微软雅黑" w:eastAsia="微软雅黑" w:cs="微软雅黑"/>
          <w:b/>
          <w:bCs/>
          <w:snapToGrid w:val="0"/>
          <w:color w:val="auto"/>
          <w:spacing w:val="8"/>
          <w:kern w:val="0"/>
          <w:sz w:val="43"/>
          <w:szCs w:val="43"/>
          <w:highlight w:val="none"/>
          <w:lang w:eastAsia="zh-CN" w:bidi="ar-SA"/>
        </w:rPr>
        <w:t>(第一批)</w:t>
      </w:r>
    </w:p>
    <w:p w14:paraId="6F9FD89B">
      <w:pPr>
        <w:spacing w:line="319" w:lineRule="auto"/>
        <w:jc w:val="center"/>
        <w:rPr>
          <w:rFonts w:hint="eastAsia" w:ascii="微软雅黑" w:hAnsi="微软雅黑" w:eastAsia="微软雅黑" w:cs="微软雅黑"/>
          <w:b/>
          <w:bCs/>
          <w:snapToGrid w:val="0"/>
          <w:color w:val="auto"/>
          <w:spacing w:val="8"/>
          <w:kern w:val="0"/>
          <w:sz w:val="43"/>
          <w:szCs w:val="43"/>
          <w:highlight w:val="none"/>
          <w:lang w:val="en-US" w:eastAsia="zh-CN" w:bidi="ar-SA"/>
        </w:rPr>
      </w:pPr>
    </w:p>
    <w:p w14:paraId="10E56232">
      <w:pPr>
        <w:spacing w:line="319" w:lineRule="auto"/>
        <w:jc w:val="center"/>
        <w:rPr>
          <w:rFonts w:hint="eastAsia" w:ascii="微软雅黑" w:hAnsi="微软雅黑" w:eastAsia="微软雅黑" w:cs="微软雅黑"/>
          <w:b/>
          <w:bCs/>
          <w:snapToGrid w:val="0"/>
          <w:color w:val="auto"/>
          <w:spacing w:val="8"/>
          <w:kern w:val="0"/>
          <w:sz w:val="43"/>
          <w:szCs w:val="43"/>
          <w:highlight w:val="none"/>
          <w:lang w:val="en-US" w:eastAsia="zh-CN" w:bidi="ar-SA"/>
        </w:rPr>
      </w:pPr>
      <w:r>
        <w:rPr>
          <w:rFonts w:hint="eastAsia" w:ascii="微软雅黑" w:hAnsi="微软雅黑" w:eastAsia="微软雅黑" w:cs="微软雅黑"/>
          <w:b/>
          <w:bCs/>
          <w:snapToGrid w:val="0"/>
          <w:color w:val="auto"/>
          <w:spacing w:val="8"/>
          <w:kern w:val="0"/>
          <w:sz w:val="43"/>
          <w:szCs w:val="43"/>
          <w:highlight w:val="none"/>
          <w:lang w:val="en-US" w:eastAsia="zh-CN" w:bidi="ar-SA"/>
        </w:rPr>
        <w:t>公开招标</w:t>
      </w:r>
    </w:p>
    <w:p w14:paraId="163EFA4D">
      <w:pPr>
        <w:pStyle w:val="5"/>
        <w:spacing w:before="150" w:line="230" w:lineRule="auto"/>
        <w:jc w:val="center"/>
        <w:rPr>
          <w:b/>
          <w:bCs/>
          <w:color w:val="auto"/>
          <w:spacing w:val="13"/>
          <w:sz w:val="35"/>
          <w:szCs w:val="35"/>
          <w:highlight w:val="none"/>
        </w:rPr>
      </w:pPr>
    </w:p>
    <w:p w14:paraId="6CE38CF5">
      <w:pPr>
        <w:pStyle w:val="5"/>
        <w:spacing w:before="150" w:line="230" w:lineRule="auto"/>
        <w:jc w:val="center"/>
        <w:rPr>
          <w:rFonts w:hint="eastAsia" w:eastAsia="微软雅黑"/>
          <w:color w:val="auto"/>
          <w:sz w:val="35"/>
          <w:szCs w:val="35"/>
          <w:highlight w:val="none"/>
          <w:lang w:eastAsia="zh-CN"/>
        </w:rPr>
      </w:pPr>
      <w:r>
        <w:rPr>
          <w:b/>
          <w:bCs/>
          <w:color w:val="auto"/>
          <w:spacing w:val="13"/>
          <w:sz w:val="35"/>
          <w:szCs w:val="35"/>
          <w:highlight w:val="none"/>
        </w:rPr>
        <w:t>项目编号：</w:t>
      </w:r>
      <w:r>
        <w:rPr>
          <w:rFonts w:hint="eastAsia"/>
          <w:b/>
          <w:bCs/>
          <w:color w:val="auto"/>
          <w:spacing w:val="13"/>
          <w:sz w:val="35"/>
          <w:szCs w:val="35"/>
          <w:highlight w:val="none"/>
          <w:lang w:eastAsia="zh-CN"/>
        </w:rPr>
        <w:t>XBZX-GK-2026-019</w:t>
      </w:r>
    </w:p>
    <w:p w14:paraId="4DC46CF6">
      <w:pPr>
        <w:spacing w:line="298" w:lineRule="auto"/>
        <w:rPr>
          <w:rFonts w:ascii="Arial"/>
          <w:color w:val="auto"/>
          <w:sz w:val="21"/>
          <w:highlight w:val="none"/>
        </w:rPr>
      </w:pPr>
    </w:p>
    <w:p w14:paraId="6844344D">
      <w:pPr>
        <w:spacing w:line="298" w:lineRule="auto"/>
        <w:rPr>
          <w:rFonts w:ascii="Arial"/>
          <w:color w:val="auto"/>
          <w:sz w:val="21"/>
          <w:highlight w:val="none"/>
        </w:rPr>
      </w:pPr>
    </w:p>
    <w:p w14:paraId="7B36CD0D">
      <w:pPr>
        <w:spacing w:line="298" w:lineRule="auto"/>
        <w:rPr>
          <w:rFonts w:ascii="Arial"/>
          <w:color w:val="auto"/>
          <w:sz w:val="21"/>
          <w:highlight w:val="none"/>
        </w:rPr>
      </w:pPr>
    </w:p>
    <w:p w14:paraId="61001478">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214"/>
        <w:textAlignment w:val="baseline"/>
        <w:rPr>
          <w:rFonts w:hint="eastAsia" w:eastAsia="微软雅黑"/>
          <w:color w:val="auto"/>
          <w:highlight w:val="none"/>
          <w:lang w:eastAsia="zh-CN"/>
        </w:rPr>
      </w:pPr>
      <w:r>
        <w:rPr>
          <w:b/>
          <w:bCs/>
          <w:color w:val="auto"/>
          <w:spacing w:val="-1"/>
          <w:highlight w:val="none"/>
        </w:rPr>
        <w:t>采购单位名称：</w:t>
      </w:r>
      <w:r>
        <w:rPr>
          <w:rFonts w:hint="eastAsia"/>
          <w:b/>
          <w:bCs/>
          <w:color w:val="auto"/>
          <w:spacing w:val="-1"/>
          <w:highlight w:val="none"/>
          <w:lang w:eastAsia="zh-CN"/>
        </w:rPr>
        <w:t>伽师县人民医院</w:t>
      </w:r>
    </w:p>
    <w:p w14:paraId="30A30772">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215"/>
        <w:textAlignment w:val="baseline"/>
        <w:rPr>
          <w:rFonts w:hint="default" w:eastAsia="微软雅黑"/>
          <w:color w:val="auto"/>
          <w:highlight w:val="none"/>
          <w:lang w:val="en-US" w:eastAsia="zh-CN"/>
        </w:rPr>
      </w:pPr>
      <w:r>
        <w:rPr>
          <w:b/>
          <w:bCs/>
          <w:color w:val="auto"/>
          <w:spacing w:val="-1"/>
          <w:highlight w:val="none"/>
        </w:rPr>
        <w:t>联系人：</w:t>
      </w:r>
      <w:r>
        <w:rPr>
          <w:rFonts w:hint="eastAsia"/>
          <w:b/>
          <w:bCs/>
          <w:color w:val="auto"/>
          <w:spacing w:val="-1"/>
          <w:highlight w:val="none"/>
          <w:lang w:val="en-US" w:eastAsia="zh-CN"/>
        </w:rPr>
        <w:t>申彩红</w:t>
      </w:r>
    </w:p>
    <w:p w14:paraId="195613D3">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215"/>
        <w:textAlignment w:val="baseline"/>
        <w:rPr>
          <w:rFonts w:hint="default" w:eastAsia="微软雅黑"/>
          <w:color w:val="auto"/>
          <w:highlight w:val="none"/>
          <w:lang w:val="en-US" w:eastAsia="zh-CN"/>
        </w:rPr>
      </w:pPr>
      <w:r>
        <w:rPr>
          <w:b/>
          <w:bCs/>
          <w:color w:val="auto"/>
          <w:spacing w:val="-2"/>
          <w:highlight w:val="none"/>
        </w:rPr>
        <w:t>联系电话：</w:t>
      </w:r>
      <w:r>
        <w:rPr>
          <w:rFonts w:hint="eastAsia"/>
          <w:b/>
          <w:bCs/>
          <w:color w:val="auto"/>
          <w:spacing w:val="-2"/>
          <w:highlight w:val="none"/>
          <w:lang w:val="en-US" w:eastAsia="zh-CN"/>
        </w:rPr>
        <w:t>18799559096</w:t>
      </w:r>
    </w:p>
    <w:p w14:paraId="0BA305C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1914A05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078F4D0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3D440095">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215"/>
        <w:textAlignment w:val="baseline"/>
        <w:rPr>
          <w:rFonts w:hint="default" w:eastAsia="微软雅黑"/>
          <w:color w:val="auto"/>
          <w:highlight w:val="none"/>
          <w:u w:val="none"/>
          <w:lang w:eastAsia="zh-CN"/>
        </w:rPr>
      </w:pPr>
      <w:r>
        <w:rPr>
          <w:b/>
          <w:bCs/>
          <w:color w:val="auto"/>
          <w:spacing w:val="-1"/>
          <w:highlight w:val="none"/>
        </w:rPr>
        <w:t>代理机构名称：</w:t>
      </w:r>
      <w:r>
        <w:rPr>
          <w:rFonts w:hint="eastAsia"/>
          <w:b/>
          <w:bCs/>
          <w:color w:val="auto"/>
          <w:spacing w:val="-1"/>
          <w:highlight w:val="none"/>
          <w:u w:val="none"/>
          <w:lang w:eastAsia="zh-CN"/>
        </w:rPr>
        <w:t>新疆西北中信项目管理有限公司</w:t>
      </w:r>
    </w:p>
    <w:p w14:paraId="1F8324C9">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215"/>
        <w:textAlignment w:val="baseline"/>
        <w:rPr>
          <w:rFonts w:hint="default" w:eastAsia="微软雅黑"/>
          <w:color w:val="auto"/>
          <w:highlight w:val="none"/>
          <w:lang w:eastAsia="zh-CN"/>
        </w:rPr>
      </w:pPr>
      <w:r>
        <w:rPr>
          <w:b/>
          <w:bCs/>
          <w:color w:val="auto"/>
          <w:highlight w:val="none"/>
        </w:rPr>
        <w:t>联系人：</w:t>
      </w:r>
      <w:r>
        <w:rPr>
          <w:rFonts w:hint="eastAsia"/>
          <w:b/>
          <w:bCs/>
          <w:color w:val="auto"/>
          <w:highlight w:val="none"/>
          <w:lang w:eastAsia="zh-CN"/>
        </w:rPr>
        <w:t>姚鹏、牛国栋、曹忠孝</w:t>
      </w:r>
    </w:p>
    <w:p w14:paraId="3F62D1AB">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215"/>
        <w:textAlignment w:val="baseline"/>
        <w:rPr>
          <w:rFonts w:hint="default" w:eastAsia="微软雅黑"/>
          <w:color w:val="auto"/>
          <w:highlight w:val="none"/>
          <w:lang w:eastAsia="zh-CN"/>
        </w:rPr>
      </w:pPr>
      <w:r>
        <w:rPr>
          <w:b/>
          <w:bCs/>
          <w:color w:val="auto"/>
          <w:spacing w:val="-4"/>
          <w:highlight w:val="none"/>
        </w:rPr>
        <w:t>联系电话：</w:t>
      </w:r>
      <w:r>
        <w:rPr>
          <w:rFonts w:hint="eastAsia"/>
          <w:b/>
          <w:bCs/>
          <w:color w:val="auto"/>
          <w:spacing w:val="-4"/>
          <w:highlight w:val="none"/>
          <w:lang w:eastAsia="zh-CN"/>
        </w:rPr>
        <w:t>19190009309</w:t>
      </w:r>
    </w:p>
    <w:p w14:paraId="78B0A961">
      <w:pPr>
        <w:spacing w:line="261" w:lineRule="auto"/>
        <w:rPr>
          <w:rFonts w:ascii="Arial"/>
          <w:color w:val="auto"/>
          <w:sz w:val="21"/>
          <w:highlight w:val="none"/>
        </w:rPr>
      </w:pPr>
    </w:p>
    <w:p w14:paraId="2CDE64C0">
      <w:pPr>
        <w:spacing w:line="261" w:lineRule="auto"/>
        <w:rPr>
          <w:rFonts w:ascii="Arial"/>
          <w:color w:val="auto"/>
          <w:sz w:val="21"/>
          <w:highlight w:val="none"/>
        </w:rPr>
      </w:pPr>
    </w:p>
    <w:p w14:paraId="762C97CA">
      <w:pPr>
        <w:spacing w:line="261" w:lineRule="auto"/>
        <w:rPr>
          <w:rFonts w:ascii="Arial"/>
          <w:color w:val="auto"/>
          <w:sz w:val="21"/>
          <w:highlight w:val="none"/>
        </w:rPr>
      </w:pPr>
    </w:p>
    <w:p w14:paraId="018D046C">
      <w:pPr>
        <w:spacing w:line="261" w:lineRule="auto"/>
        <w:rPr>
          <w:rFonts w:ascii="Arial"/>
          <w:color w:val="auto"/>
          <w:sz w:val="21"/>
          <w:highlight w:val="none"/>
        </w:rPr>
      </w:pPr>
    </w:p>
    <w:p w14:paraId="2335B659">
      <w:pPr>
        <w:spacing w:line="261" w:lineRule="auto"/>
        <w:rPr>
          <w:rFonts w:ascii="Arial"/>
          <w:color w:val="auto"/>
          <w:sz w:val="21"/>
          <w:highlight w:val="none"/>
        </w:rPr>
      </w:pPr>
    </w:p>
    <w:p w14:paraId="27E61525">
      <w:pPr>
        <w:pStyle w:val="5"/>
        <w:spacing w:before="121" w:line="183" w:lineRule="auto"/>
        <w:ind w:left="3574"/>
        <w:rPr>
          <w:rFonts w:hint="eastAsia" w:eastAsia="微软雅黑"/>
          <w:color w:val="auto"/>
          <w:highlight w:val="none"/>
          <w:lang w:eastAsia="zh-CN"/>
        </w:rPr>
      </w:pPr>
      <w:r>
        <w:rPr>
          <w:rFonts w:hint="eastAsia"/>
          <w:b/>
          <w:bCs/>
          <w:color w:val="auto"/>
          <w:spacing w:val="-5"/>
          <w:highlight w:val="none"/>
          <w:lang w:eastAsia="zh-CN"/>
        </w:rPr>
        <w:t>2026年6月</w:t>
      </w:r>
    </w:p>
    <w:p w14:paraId="2EACCD99">
      <w:pPr>
        <w:spacing w:line="183" w:lineRule="auto"/>
        <w:rPr>
          <w:color w:val="auto"/>
          <w:highlight w:val="none"/>
        </w:rPr>
        <w:sectPr>
          <w:footerReference r:id="rId5" w:type="default"/>
          <w:pgSz w:w="11906" w:h="16839"/>
          <w:pgMar w:top="1417" w:right="1417" w:bottom="1417" w:left="1417" w:header="0" w:footer="992" w:gutter="0"/>
          <w:pgBorders>
            <w:top w:val="none" w:sz="0" w:space="0"/>
            <w:left w:val="none" w:sz="0" w:space="0"/>
            <w:bottom w:val="none" w:sz="0" w:space="0"/>
            <w:right w:val="none" w:sz="0" w:space="0"/>
          </w:pgBorders>
          <w:cols w:space="720" w:num="1"/>
        </w:sectPr>
      </w:pPr>
    </w:p>
    <w:sdt>
      <w:sdtPr>
        <w:rPr>
          <w:rFonts w:ascii="宋体" w:hAnsi="宋体" w:eastAsia="宋体" w:cs="Arial"/>
          <w:b/>
          <w:bCs/>
          <w:snapToGrid w:val="0"/>
          <w:color w:val="auto"/>
          <w:kern w:val="0"/>
          <w:sz w:val="180"/>
          <w:szCs w:val="180"/>
          <w:highlight w:val="none"/>
          <w:lang w:val="en-US" w:eastAsia="en-US" w:bidi="ar-SA"/>
        </w:rPr>
        <w:id w:val="147476893"/>
        <w15:color w:val="DBDBDB"/>
        <w:docPartObj>
          <w:docPartGallery w:val="Table of Contents"/>
          <w:docPartUnique/>
        </w:docPartObj>
      </w:sdtPr>
      <w:sdtEndPr>
        <w:rPr>
          <w:rFonts w:ascii="宋体" w:hAnsi="宋体" w:eastAsia="宋体" w:cs="宋体"/>
          <w:b/>
          <w:bCs/>
          <w:snapToGrid w:val="0"/>
          <w:color w:val="auto"/>
          <w:kern w:val="0"/>
          <w:sz w:val="21"/>
          <w:szCs w:val="28"/>
          <w:highlight w:val="none"/>
          <w:lang w:val="en-US" w:eastAsia="en-US" w:bidi="ar-SA"/>
        </w:rPr>
      </w:sdtEndPr>
      <w:sdtContent>
        <w:p w14:paraId="3C6FA380">
          <w:pPr>
            <w:spacing w:before="0" w:beforeLines="0" w:after="0" w:afterLines="0" w:line="240" w:lineRule="auto"/>
            <w:ind w:left="0" w:leftChars="0" w:right="0" w:rightChars="0" w:firstLine="0" w:firstLineChars="0"/>
            <w:jc w:val="center"/>
            <w:rPr>
              <w:b/>
              <w:bCs/>
              <w:color w:val="auto"/>
              <w:sz w:val="44"/>
              <w:szCs w:val="44"/>
              <w:highlight w:val="none"/>
            </w:rPr>
          </w:pPr>
          <w:r>
            <w:rPr>
              <w:rFonts w:ascii="宋体" w:hAnsi="宋体" w:eastAsia="宋体"/>
              <w:b/>
              <w:bCs/>
              <w:color w:val="auto"/>
              <w:sz w:val="44"/>
              <w:szCs w:val="44"/>
              <w:highlight w:val="none"/>
            </w:rPr>
            <w:t>目</w:t>
          </w:r>
          <w:r>
            <w:rPr>
              <w:rFonts w:hint="eastAsia" w:ascii="宋体" w:hAnsi="宋体" w:eastAsia="宋体"/>
              <w:b/>
              <w:bCs/>
              <w:color w:val="auto"/>
              <w:sz w:val="44"/>
              <w:szCs w:val="44"/>
              <w:highlight w:val="none"/>
              <w:lang w:val="en-US" w:eastAsia="zh-CN"/>
            </w:rPr>
            <w:t xml:space="preserve">   </w:t>
          </w:r>
          <w:r>
            <w:rPr>
              <w:rFonts w:ascii="宋体" w:hAnsi="宋体" w:eastAsia="宋体"/>
              <w:b/>
              <w:bCs/>
              <w:color w:val="auto"/>
              <w:sz w:val="44"/>
              <w:szCs w:val="44"/>
              <w:highlight w:val="none"/>
            </w:rPr>
            <w:t>录</w:t>
          </w:r>
        </w:p>
        <w:p w14:paraId="477CC7E3">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val="0"/>
              <w:bCs w:val="0"/>
              <w:color w:val="auto"/>
              <w:sz w:val="44"/>
              <w:szCs w:val="44"/>
              <w:highlight w:val="none"/>
            </w:rPr>
            <w:fldChar w:fldCharType="begin"/>
          </w:r>
          <w:r>
            <w:rPr>
              <w:rFonts w:hint="eastAsia" w:ascii="微软雅黑" w:hAnsi="微软雅黑" w:eastAsia="微软雅黑" w:cs="微软雅黑"/>
              <w:b w:val="0"/>
              <w:bCs w:val="0"/>
              <w:color w:val="auto"/>
              <w:sz w:val="44"/>
              <w:szCs w:val="44"/>
              <w:highlight w:val="none"/>
            </w:rPr>
            <w:instrText xml:space="preserve">TOC \o "1-1" \h \u </w:instrText>
          </w:r>
          <w:r>
            <w:rPr>
              <w:rFonts w:hint="eastAsia" w:ascii="微软雅黑" w:hAnsi="微软雅黑" w:eastAsia="微软雅黑" w:cs="微软雅黑"/>
              <w:b w:val="0"/>
              <w:bCs w:val="0"/>
              <w:color w:val="auto"/>
              <w:sz w:val="44"/>
              <w:szCs w:val="44"/>
              <w:highlight w:val="none"/>
            </w:rPr>
            <w:fldChar w:fldCharType="separate"/>
          </w: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_Toc25764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13"/>
              <w:sz w:val="40"/>
              <w:szCs w:val="52"/>
              <w:highlight w:val="none"/>
              <w14:textOutline w14:w="5793" w14:cap="sq" w14:cmpd="sng">
                <w14:solidFill>
                  <w14:srgbClr w14:val="000000"/>
                </w14:solidFill>
                <w14:prstDash w14:val="solid"/>
                <w14:bevel/>
              </w14:textOutline>
            </w:rPr>
            <w:t>第1章投标人须知</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_Toc25764 </w:instrText>
          </w:r>
          <w:r>
            <w:rPr>
              <w:b/>
              <w:bCs/>
              <w:color w:val="auto"/>
              <w:sz w:val="40"/>
              <w:szCs w:val="40"/>
              <w:highlight w:val="none"/>
            </w:rPr>
            <w:fldChar w:fldCharType="separate"/>
          </w:r>
          <w:r>
            <w:rPr>
              <w:b/>
              <w:bCs/>
              <w:color w:val="auto"/>
              <w:sz w:val="40"/>
              <w:szCs w:val="40"/>
              <w:highlight w:val="none"/>
            </w:rPr>
            <w:t>1</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49B5001F">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_Toc27133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13"/>
              <w:sz w:val="40"/>
              <w:szCs w:val="52"/>
              <w:highlight w:val="none"/>
              <w14:textOutline w14:w="5793" w14:cap="sq" w14:cmpd="sng">
                <w14:solidFill>
                  <w14:srgbClr w14:val="000000"/>
                </w14:solidFill>
                <w14:prstDash w14:val="solid"/>
                <w14:bevel/>
              </w14:textOutline>
            </w:rPr>
            <w:t>第2章投标文件格式</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_Toc27133 </w:instrText>
          </w:r>
          <w:r>
            <w:rPr>
              <w:b/>
              <w:bCs/>
              <w:color w:val="auto"/>
              <w:sz w:val="40"/>
              <w:szCs w:val="40"/>
              <w:highlight w:val="none"/>
            </w:rPr>
            <w:fldChar w:fldCharType="separate"/>
          </w:r>
          <w:r>
            <w:rPr>
              <w:b/>
              <w:bCs/>
              <w:color w:val="auto"/>
              <w:sz w:val="40"/>
              <w:szCs w:val="40"/>
              <w:highlight w:val="none"/>
            </w:rPr>
            <w:t>29</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7F1627D8">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_Toc11204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8"/>
              <w:sz w:val="40"/>
              <w:szCs w:val="52"/>
              <w:highlight w:val="none"/>
              <w14:textOutline w14:w="5793" w14:cap="sq" w14:cmpd="sng">
                <w14:solidFill>
                  <w14:srgbClr w14:val="000000"/>
                </w14:solidFill>
                <w14:prstDash w14:val="solid"/>
                <w14:bevel/>
              </w14:textOutline>
            </w:rPr>
            <w:t>第3章投标邀请</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_Toc11204 </w:instrText>
          </w:r>
          <w:r>
            <w:rPr>
              <w:b/>
              <w:bCs/>
              <w:color w:val="auto"/>
              <w:sz w:val="40"/>
              <w:szCs w:val="40"/>
              <w:highlight w:val="none"/>
            </w:rPr>
            <w:fldChar w:fldCharType="separate"/>
          </w:r>
          <w:r>
            <w:rPr>
              <w:b/>
              <w:bCs/>
              <w:color w:val="auto"/>
              <w:sz w:val="40"/>
              <w:szCs w:val="40"/>
              <w:highlight w:val="none"/>
            </w:rPr>
            <w:t>57</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14A90E58">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_Toc22652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9"/>
              <w:sz w:val="40"/>
              <w:szCs w:val="52"/>
              <w:highlight w:val="none"/>
              <w14:textOutline w14:w="5793" w14:cap="sq" w14:cmpd="sng">
                <w14:solidFill>
                  <w14:srgbClr w14:val="000000"/>
                </w14:solidFill>
                <w14:prstDash w14:val="solid"/>
                <w14:bevel/>
              </w14:textOutline>
            </w:rPr>
            <w:t>第4章投标人须知资料表</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_Toc22652 </w:instrText>
          </w:r>
          <w:r>
            <w:rPr>
              <w:b/>
              <w:bCs/>
              <w:color w:val="auto"/>
              <w:sz w:val="40"/>
              <w:szCs w:val="40"/>
              <w:highlight w:val="none"/>
            </w:rPr>
            <w:fldChar w:fldCharType="separate"/>
          </w:r>
          <w:r>
            <w:rPr>
              <w:b/>
              <w:bCs/>
              <w:color w:val="auto"/>
              <w:sz w:val="40"/>
              <w:szCs w:val="40"/>
              <w:highlight w:val="none"/>
            </w:rPr>
            <w:t>60</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054095AB">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_Toc1888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8"/>
              <w:sz w:val="40"/>
              <w:szCs w:val="52"/>
              <w:highlight w:val="none"/>
              <w14:textOutline w14:w="5793" w14:cap="sq" w14:cmpd="sng">
                <w14:solidFill>
                  <w14:srgbClr w14:val="000000"/>
                </w14:solidFill>
                <w14:prstDash w14:val="solid"/>
                <w14:bevel/>
              </w14:textOutline>
            </w:rPr>
            <w:t>第5章采购需求</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_Toc1888 </w:instrText>
          </w:r>
          <w:r>
            <w:rPr>
              <w:b/>
              <w:bCs/>
              <w:color w:val="auto"/>
              <w:sz w:val="40"/>
              <w:szCs w:val="40"/>
              <w:highlight w:val="none"/>
            </w:rPr>
            <w:fldChar w:fldCharType="separate"/>
          </w:r>
          <w:r>
            <w:rPr>
              <w:b/>
              <w:bCs/>
              <w:color w:val="auto"/>
              <w:sz w:val="40"/>
              <w:szCs w:val="40"/>
              <w:highlight w:val="none"/>
            </w:rPr>
            <w:t>68</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61187927">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_Toc27130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9"/>
              <w:sz w:val="40"/>
              <w:szCs w:val="52"/>
              <w:highlight w:val="none"/>
              <w14:textOutline w14:w="5793" w14:cap="sq" w14:cmpd="sng">
                <w14:solidFill>
                  <w14:srgbClr w14:val="000000"/>
                </w14:solidFill>
                <w14:prstDash w14:val="solid"/>
                <w14:bevel/>
              </w14:textOutline>
            </w:rPr>
            <w:t>第6章评标方法和标准</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_Toc27130 </w:instrText>
          </w:r>
          <w:r>
            <w:rPr>
              <w:b/>
              <w:bCs/>
              <w:color w:val="auto"/>
              <w:sz w:val="40"/>
              <w:szCs w:val="40"/>
              <w:highlight w:val="none"/>
            </w:rPr>
            <w:fldChar w:fldCharType="separate"/>
          </w:r>
          <w:r>
            <w:rPr>
              <w:b/>
              <w:bCs/>
              <w:color w:val="auto"/>
              <w:sz w:val="40"/>
              <w:szCs w:val="40"/>
              <w:highlight w:val="none"/>
            </w:rPr>
            <w:t>82</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297F5A6D">
          <w:pPr>
            <w:pStyle w:val="14"/>
            <w:tabs>
              <w:tab w:val="right" w:leader="dot" w:pos="9064"/>
            </w:tabs>
            <w:spacing w:line="600" w:lineRule="auto"/>
            <w:rPr>
              <w:b/>
              <w:bCs/>
              <w:color w:val="auto"/>
              <w:sz w:val="40"/>
              <w:szCs w:val="40"/>
              <w:highlight w:val="none"/>
            </w:rPr>
          </w:pPr>
          <w:r>
            <w:rPr>
              <w:rFonts w:hint="eastAsia" w:ascii="微软雅黑" w:hAnsi="微软雅黑" w:eastAsia="微软雅黑" w:cs="微软雅黑"/>
              <w:b/>
              <w:bCs/>
              <w:color w:val="auto"/>
              <w:sz w:val="40"/>
              <w:szCs w:val="144"/>
              <w:highlight w:val="none"/>
            </w:rPr>
            <w:fldChar w:fldCharType="begin"/>
          </w:r>
          <w:r>
            <w:rPr>
              <w:rFonts w:hint="eastAsia" w:ascii="微软雅黑" w:hAnsi="微软雅黑" w:eastAsia="微软雅黑" w:cs="微软雅黑"/>
              <w:b/>
              <w:bCs/>
              <w:color w:val="auto"/>
              <w:sz w:val="40"/>
              <w:szCs w:val="144"/>
              <w:highlight w:val="none"/>
            </w:rPr>
            <w:instrText xml:space="preserve"> HYPERLINK \l _Toc16740 </w:instrText>
          </w:r>
          <w:r>
            <w:rPr>
              <w:rFonts w:hint="eastAsia" w:ascii="微软雅黑" w:hAnsi="微软雅黑" w:eastAsia="微软雅黑" w:cs="微软雅黑"/>
              <w:b/>
              <w:bCs/>
              <w:color w:val="auto"/>
              <w:sz w:val="40"/>
              <w:szCs w:val="144"/>
              <w:highlight w:val="none"/>
            </w:rPr>
            <w:fldChar w:fldCharType="separate"/>
          </w:r>
          <w:r>
            <w:rPr>
              <w:rFonts w:ascii="宋体" w:hAnsi="宋体" w:eastAsia="宋体" w:cs="宋体"/>
              <w:b/>
              <w:bCs/>
              <w:color w:val="auto"/>
              <w:spacing w:val="9"/>
              <w:sz w:val="40"/>
              <w:szCs w:val="52"/>
              <w:highlight w:val="none"/>
              <w14:textOutline w14:w="5793" w14:cap="sq" w14:cmpd="sng">
                <w14:solidFill>
                  <w14:srgbClr w14:val="000000"/>
                </w14:solidFill>
                <w14:prstDash w14:val="solid"/>
                <w14:bevel/>
              </w14:textOutline>
            </w:rPr>
            <w:t>第7章政府采购合同</w:t>
          </w:r>
          <w:r>
            <w:rPr>
              <w:b/>
              <w:bCs/>
              <w:color w:val="auto"/>
              <w:sz w:val="40"/>
              <w:szCs w:val="40"/>
              <w:highlight w:val="none"/>
            </w:rPr>
            <w:tab/>
          </w:r>
          <w:r>
            <w:rPr>
              <w:b/>
              <w:bCs/>
              <w:color w:val="auto"/>
              <w:sz w:val="40"/>
              <w:szCs w:val="40"/>
              <w:highlight w:val="none"/>
            </w:rPr>
            <w:fldChar w:fldCharType="begin"/>
          </w:r>
          <w:r>
            <w:rPr>
              <w:b/>
              <w:bCs/>
              <w:color w:val="auto"/>
              <w:sz w:val="40"/>
              <w:szCs w:val="40"/>
              <w:highlight w:val="none"/>
            </w:rPr>
            <w:instrText xml:space="preserve"> PAGEREF _Toc16740 </w:instrText>
          </w:r>
          <w:r>
            <w:rPr>
              <w:b/>
              <w:bCs/>
              <w:color w:val="auto"/>
              <w:sz w:val="40"/>
              <w:szCs w:val="40"/>
              <w:highlight w:val="none"/>
            </w:rPr>
            <w:fldChar w:fldCharType="separate"/>
          </w:r>
          <w:r>
            <w:rPr>
              <w:b/>
              <w:bCs/>
              <w:color w:val="auto"/>
              <w:sz w:val="40"/>
              <w:szCs w:val="40"/>
              <w:highlight w:val="none"/>
            </w:rPr>
            <w:t>90</w:t>
          </w:r>
          <w:r>
            <w:rPr>
              <w:b/>
              <w:bCs/>
              <w:color w:val="auto"/>
              <w:sz w:val="40"/>
              <w:szCs w:val="40"/>
              <w:highlight w:val="none"/>
            </w:rPr>
            <w:fldChar w:fldCharType="end"/>
          </w:r>
          <w:r>
            <w:rPr>
              <w:rFonts w:hint="eastAsia" w:ascii="微软雅黑" w:hAnsi="微软雅黑" w:eastAsia="微软雅黑" w:cs="微软雅黑"/>
              <w:b/>
              <w:bCs/>
              <w:color w:val="auto"/>
              <w:sz w:val="40"/>
              <w:szCs w:val="144"/>
              <w:highlight w:val="none"/>
            </w:rPr>
            <w:fldChar w:fldCharType="end"/>
          </w:r>
        </w:p>
        <w:p w14:paraId="5EE4B233">
          <w:pPr>
            <w:pStyle w:val="14"/>
            <w:tabs>
              <w:tab w:val="right" w:leader="dot" w:pos="9064"/>
            </w:tabs>
            <w:rPr>
              <w:color w:val="auto"/>
              <w:highlight w:val="none"/>
            </w:rPr>
          </w:pPr>
        </w:p>
        <w:p w14:paraId="68736E7D">
          <w:pPr>
            <w:spacing w:line="600" w:lineRule="auto"/>
            <w:rPr>
              <w:rFonts w:ascii="宋体" w:hAnsi="宋体" w:eastAsia="宋体" w:cs="宋体"/>
              <w:snapToGrid w:val="0"/>
              <w:color w:val="auto"/>
              <w:kern w:val="0"/>
              <w:sz w:val="21"/>
              <w:szCs w:val="28"/>
              <w:highlight w:val="none"/>
              <w:lang w:val="en-US" w:eastAsia="en-US" w:bidi="ar-SA"/>
            </w:rPr>
          </w:pPr>
          <w:r>
            <w:rPr>
              <w:rFonts w:hint="eastAsia" w:ascii="微软雅黑" w:hAnsi="微软雅黑" w:eastAsia="微软雅黑" w:cs="微软雅黑"/>
              <w:bCs w:val="0"/>
              <w:color w:val="auto"/>
              <w:szCs w:val="44"/>
              <w:highlight w:val="none"/>
            </w:rPr>
            <w:fldChar w:fldCharType="end"/>
          </w:r>
        </w:p>
      </w:sdtContent>
    </w:sdt>
    <w:p w14:paraId="3EB76FA9">
      <w:pPr>
        <w:spacing w:line="219" w:lineRule="auto"/>
        <w:rPr>
          <w:rFonts w:ascii="宋体" w:hAnsi="宋体" w:eastAsia="宋体" w:cs="宋体"/>
          <w:snapToGrid w:val="0"/>
          <w:color w:val="auto"/>
          <w:kern w:val="0"/>
          <w:sz w:val="21"/>
          <w:szCs w:val="28"/>
          <w:highlight w:val="none"/>
          <w:lang w:val="en-US" w:eastAsia="en-US" w:bidi="ar-SA"/>
        </w:rPr>
        <w:sectPr>
          <w:footerReference r:id="rId6" w:type="default"/>
          <w:pgSz w:w="11906" w:h="16839"/>
          <w:pgMar w:top="1417" w:right="1417" w:bottom="1417" w:left="1417" w:header="0" w:footer="992" w:gutter="0"/>
          <w:pgBorders>
            <w:top w:val="none" w:sz="0" w:space="0"/>
            <w:left w:val="none" w:sz="0" w:space="0"/>
            <w:bottom w:val="none" w:sz="0" w:space="0"/>
            <w:right w:val="none" w:sz="0" w:space="0"/>
          </w:pgBorders>
          <w:cols w:space="720" w:num="1"/>
        </w:sectPr>
      </w:pPr>
    </w:p>
    <w:p w14:paraId="3A073A6C">
      <w:pPr>
        <w:spacing w:before="63" w:line="224" w:lineRule="auto"/>
        <w:ind w:left="3578"/>
        <w:outlineLvl w:val="0"/>
        <w:rPr>
          <w:rFonts w:ascii="宋体" w:hAnsi="宋体" w:eastAsia="宋体" w:cs="宋体"/>
          <w:color w:val="auto"/>
          <w:sz w:val="31"/>
          <w:szCs w:val="31"/>
          <w:highlight w:val="none"/>
        </w:rPr>
      </w:pPr>
      <w:bookmarkStart w:id="0" w:name="bookmark2"/>
      <w:bookmarkEnd w:id="0"/>
      <w:bookmarkStart w:id="1" w:name="_Toc25764"/>
      <w:r>
        <w:rPr>
          <w:rFonts w:ascii="宋体" w:hAnsi="宋体" w:eastAsia="宋体" w:cs="宋体"/>
          <w:color w:val="auto"/>
          <w:spacing w:val="13"/>
          <w:sz w:val="31"/>
          <w:szCs w:val="31"/>
          <w:highlight w:val="none"/>
          <w14:textOutline w14:w="5793" w14:cap="sq" w14:cmpd="sng">
            <w14:solidFill>
              <w14:srgbClr w14:val="000000"/>
            </w14:solidFill>
            <w14:prstDash w14:val="solid"/>
            <w14:bevel/>
          </w14:textOutline>
        </w:rPr>
        <w:t>第1章投标人须知</w:t>
      </w:r>
      <w:bookmarkEnd w:id="1"/>
    </w:p>
    <w:p w14:paraId="4D560985">
      <w:pPr>
        <w:spacing w:before="263" w:line="221" w:lineRule="auto"/>
        <w:ind w:left="4512"/>
        <w:outlineLvl w:val="1"/>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一、总则</w:t>
      </w:r>
    </w:p>
    <w:p w14:paraId="3A93CA9E">
      <w:pPr>
        <w:spacing w:before="289" w:line="219"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1.采购人、采购代理机构及投标人</w:t>
      </w:r>
    </w:p>
    <w:p w14:paraId="3C661A04">
      <w:pPr>
        <w:spacing w:before="291" w:line="624" w:lineRule="exact"/>
        <w:jc w:val="right"/>
        <w:rPr>
          <w:rFonts w:ascii="宋体" w:hAnsi="宋体" w:eastAsia="宋体" w:cs="宋体"/>
          <w:color w:val="auto"/>
          <w:sz w:val="28"/>
          <w:szCs w:val="28"/>
          <w:highlight w:val="none"/>
        </w:rPr>
      </w:pPr>
      <w:r>
        <w:rPr>
          <w:rFonts w:ascii="宋体" w:hAnsi="宋体" w:eastAsia="宋体" w:cs="宋体"/>
          <w:color w:val="auto"/>
          <w:spacing w:val="-7"/>
          <w:position w:val="26"/>
          <w:sz w:val="28"/>
          <w:szCs w:val="28"/>
          <w:highlight w:val="none"/>
        </w:rPr>
        <w:t>1.1采购人：是指依法开展政府采购</w:t>
      </w:r>
      <w:r>
        <w:rPr>
          <w:rFonts w:ascii="宋体" w:hAnsi="宋体" w:eastAsia="宋体" w:cs="宋体"/>
          <w:color w:val="auto"/>
          <w:spacing w:val="-8"/>
          <w:position w:val="26"/>
          <w:sz w:val="28"/>
          <w:szCs w:val="28"/>
          <w:highlight w:val="none"/>
        </w:rPr>
        <w:t>活动的国家机关、事业单位、团体组织。</w:t>
      </w:r>
    </w:p>
    <w:p w14:paraId="584FD59D">
      <w:pPr>
        <w:spacing w:line="219" w:lineRule="auto"/>
        <w:ind w:left="88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本项目的采购人见</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w:t>
      </w:r>
    </w:p>
    <w:p w14:paraId="023F74EF">
      <w:pPr>
        <w:spacing w:before="291" w:line="624" w:lineRule="exact"/>
        <w:ind w:left="2"/>
        <w:rPr>
          <w:rFonts w:ascii="宋体" w:hAnsi="宋体" w:eastAsia="宋体" w:cs="宋体"/>
          <w:color w:val="auto"/>
          <w:sz w:val="28"/>
          <w:szCs w:val="28"/>
          <w:highlight w:val="none"/>
        </w:rPr>
      </w:pPr>
      <w:r>
        <w:rPr>
          <w:rFonts w:ascii="宋体" w:hAnsi="宋体" w:eastAsia="宋体" w:cs="宋体"/>
          <w:color w:val="auto"/>
          <w:spacing w:val="5"/>
          <w:position w:val="26"/>
          <w:sz w:val="28"/>
          <w:szCs w:val="28"/>
          <w:highlight w:val="none"/>
        </w:rPr>
        <w:t>1.2采购代理机构：是指集中采购机构或从事采购代理业务的社会中介机</w:t>
      </w:r>
    </w:p>
    <w:p w14:paraId="0993C078">
      <w:pPr>
        <w:spacing w:before="1" w:line="219" w:lineRule="auto"/>
        <w:ind w:left="88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构。本项目的采购代理机构见</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w:t>
      </w:r>
    </w:p>
    <w:p w14:paraId="4743A7F0">
      <w:pPr>
        <w:spacing w:before="291" w:line="624" w:lineRule="exact"/>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1.3投标人：是指向采购人提供货物、工程或者服务的法人、非法人组织或</w:t>
      </w:r>
    </w:p>
    <w:p w14:paraId="7043560F">
      <w:pPr>
        <w:spacing w:before="1" w:line="219" w:lineRule="auto"/>
        <w:ind w:left="103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者自然人。本项目的投标人须满足以下条件：</w:t>
      </w:r>
    </w:p>
    <w:p w14:paraId="2C66C15D">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1.3.1在中华人民共和国境内注册，能够独立承担民事责任，有生产或供应</w:t>
      </w:r>
    </w:p>
    <w:p w14:paraId="5296F9AE">
      <w:pPr>
        <w:spacing w:before="291" w:line="219" w:lineRule="auto"/>
        <w:ind w:left="981"/>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能力的本国投标人。</w:t>
      </w:r>
    </w:p>
    <w:p w14:paraId="459BA0A2">
      <w:pPr>
        <w:spacing w:before="292" w:line="219" w:lineRule="auto"/>
        <w:jc w:val="right"/>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1.3.2具备《中华人民共和国政府采购法》第二十二条关于投标人条件的规定，</w:t>
      </w:r>
    </w:p>
    <w:p w14:paraId="457E2C44">
      <w:pPr>
        <w:spacing w:before="292" w:line="219" w:lineRule="auto"/>
        <w:ind w:left="102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遵守本项目采购人本级和上级财政部门政府采购的有关规定。</w:t>
      </w:r>
    </w:p>
    <w:p w14:paraId="07860DE0">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1.3.3以采购代理机构认可的方式获得了本项目的招标文件。</w:t>
      </w:r>
    </w:p>
    <w:p w14:paraId="676D9F8C">
      <w:pPr>
        <w:spacing w:before="291" w:line="220"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1.3.4符合</w:t>
      </w:r>
      <w:r>
        <w:rPr>
          <w:rFonts w:ascii="宋体" w:hAnsi="宋体" w:eastAsia="宋体" w:cs="宋体"/>
          <w:color w:val="auto"/>
          <w:spacing w:val="-2"/>
          <w:sz w:val="28"/>
          <w:szCs w:val="28"/>
          <w:highlight w:val="none"/>
          <w:u w:val="single" w:color="auto"/>
        </w:rPr>
        <w:t>投标人须知资料表</w:t>
      </w:r>
      <w:r>
        <w:rPr>
          <w:rFonts w:ascii="宋体" w:hAnsi="宋体" w:eastAsia="宋体" w:cs="宋体"/>
          <w:color w:val="auto"/>
          <w:spacing w:val="-2"/>
          <w:sz w:val="28"/>
          <w:szCs w:val="28"/>
          <w:highlight w:val="none"/>
        </w:rPr>
        <w:t>中规定的其他要求。</w:t>
      </w:r>
    </w:p>
    <w:p w14:paraId="3DA836C8">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1.3.5若</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中写明专门面向中小企业采购的，如投</w:t>
      </w:r>
      <w:r>
        <w:rPr>
          <w:rFonts w:ascii="宋体" w:hAnsi="宋体" w:eastAsia="宋体" w:cs="宋体"/>
          <w:color w:val="auto"/>
          <w:spacing w:val="-2"/>
          <w:sz w:val="28"/>
          <w:szCs w:val="28"/>
          <w:highlight w:val="none"/>
        </w:rPr>
        <w:t>标人为非中</w:t>
      </w:r>
    </w:p>
    <w:p w14:paraId="0AAA293E">
      <w:pPr>
        <w:spacing w:before="292" w:line="220" w:lineRule="auto"/>
        <w:ind w:left="103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小企业，其投标将被认定为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009343B1">
      <w:pPr>
        <w:spacing w:before="290" w:line="624" w:lineRule="exact"/>
        <w:ind w:left="1098"/>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若投标人须知资料表中未写明允许采购进口产品，如投标人所投产品</w:t>
      </w:r>
    </w:p>
    <w:p w14:paraId="3CF2211E">
      <w:pPr>
        <w:spacing w:before="1" w:line="219" w:lineRule="auto"/>
        <w:ind w:left="110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为进口产品，其投标将被认定为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p>
    <w:p w14:paraId="20456678">
      <w:pPr>
        <w:spacing w:before="291" w:line="220"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1.4如</w:t>
      </w:r>
      <w:r>
        <w:rPr>
          <w:rFonts w:ascii="宋体" w:hAnsi="宋体" w:eastAsia="宋体" w:cs="宋体"/>
          <w:color w:val="auto"/>
          <w:spacing w:val="-2"/>
          <w:sz w:val="28"/>
          <w:szCs w:val="28"/>
          <w:highlight w:val="none"/>
          <w:u w:val="single" w:color="auto"/>
        </w:rPr>
        <w:t>投标人须知资料表</w:t>
      </w:r>
      <w:r>
        <w:rPr>
          <w:rFonts w:ascii="宋体" w:hAnsi="宋体" w:eastAsia="宋体" w:cs="宋体"/>
          <w:color w:val="auto"/>
          <w:spacing w:val="-2"/>
          <w:sz w:val="28"/>
          <w:szCs w:val="28"/>
          <w:highlight w:val="none"/>
        </w:rPr>
        <w:t>中允许联合体投标，对联合体规定如下：</w:t>
      </w:r>
    </w:p>
    <w:p w14:paraId="52CC4D88">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1.4.1两个以上投标人可以组成一个投标联合体，以一个投标</w:t>
      </w:r>
      <w:r>
        <w:rPr>
          <w:rFonts w:ascii="宋体" w:hAnsi="宋体" w:eastAsia="宋体" w:cs="宋体"/>
          <w:color w:val="auto"/>
          <w:spacing w:val="-2"/>
          <w:sz w:val="28"/>
          <w:szCs w:val="28"/>
          <w:highlight w:val="none"/>
        </w:rPr>
        <w:t>人的身份投标。</w:t>
      </w:r>
    </w:p>
    <w:p w14:paraId="6639CA88">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1.4.2联合体各方均应符合《中华人民共和国政府采购法》第二十</w:t>
      </w:r>
      <w:r>
        <w:rPr>
          <w:rFonts w:ascii="宋体" w:hAnsi="宋体" w:eastAsia="宋体" w:cs="宋体"/>
          <w:color w:val="auto"/>
          <w:spacing w:val="-2"/>
          <w:sz w:val="28"/>
          <w:szCs w:val="28"/>
          <w:highlight w:val="none"/>
        </w:rPr>
        <w:t>二条规定的</w:t>
      </w:r>
    </w:p>
    <w:p w14:paraId="2647BB2A">
      <w:pPr>
        <w:spacing w:before="291" w:line="220" w:lineRule="auto"/>
        <w:ind w:left="1032"/>
        <w:rPr>
          <w:rFonts w:ascii="宋体" w:hAnsi="宋体" w:eastAsia="宋体" w:cs="宋体"/>
          <w:color w:val="auto"/>
          <w:spacing w:val="-4"/>
          <w:sz w:val="28"/>
          <w:szCs w:val="28"/>
          <w:highlight w:val="none"/>
        </w:rPr>
      </w:pPr>
      <w:r>
        <w:rPr>
          <w:rFonts w:ascii="宋体" w:hAnsi="宋体" w:eastAsia="宋体" w:cs="宋体"/>
          <w:color w:val="auto"/>
          <w:spacing w:val="-4"/>
          <w:sz w:val="28"/>
          <w:szCs w:val="28"/>
          <w:highlight w:val="none"/>
        </w:rPr>
        <w:t>条件。</w:t>
      </w:r>
    </w:p>
    <w:p w14:paraId="2FD22962">
      <w:pPr>
        <w:spacing w:before="291"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1.4.3采购人根据采购项目对投标人的特殊要求，联合体中至少应当有一方</w:t>
      </w:r>
    </w:p>
    <w:p w14:paraId="21C4B6D6">
      <w:pPr>
        <w:spacing w:before="291" w:line="220" w:lineRule="auto"/>
        <w:ind w:left="105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符合相关规定。</w:t>
      </w:r>
    </w:p>
    <w:p w14:paraId="4A870BE8">
      <w:pPr>
        <w:spacing w:before="290" w:line="220" w:lineRule="auto"/>
        <w:ind w:left="1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1.4.4联合体各方应签订共同投标协议，明确约定联合体各方承担的工作和</w:t>
      </w:r>
    </w:p>
    <w:p w14:paraId="00F27C58">
      <w:pPr>
        <w:spacing w:before="290" w:line="219" w:lineRule="auto"/>
        <w:jc w:val="right"/>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相应的责任，并将共同投标协议连同投标文件一并提交招</w:t>
      </w:r>
      <w:r>
        <w:rPr>
          <w:rFonts w:ascii="宋体" w:hAnsi="宋体" w:eastAsia="宋体" w:cs="宋体"/>
          <w:color w:val="auto"/>
          <w:spacing w:val="-7"/>
          <w:sz w:val="28"/>
          <w:szCs w:val="28"/>
          <w:highlight w:val="none"/>
        </w:rPr>
        <w:t>标采购单位。</w:t>
      </w:r>
    </w:p>
    <w:p w14:paraId="35264D27">
      <w:pPr>
        <w:spacing w:before="291" w:line="220" w:lineRule="auto"/>
        <w:ind w:left="1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1.4.5大中型企业、其他自然人、法人或者非法人组织与小型、微型企业组</w:t>
      </w:r>
    </w:p>
    <w:p w14:paraId="24052C1A">
      <w:pPr>
        <w:spacing w:before="290" w:line="624" w:lineRule="exact"/>
        <w:ind w:left="1050"/>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成联合体共同参加投标，共同投标协议中应写明小型、微型企业的协</w:t>
      </w:r>
    </w:p>
    <w:p w14:paraId="23FE8683">
      <w:pPr>
        <w:spacing w:before="2" w:line="219" w:lineRule="auto"/>
        <w:ind w:left="105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议合同金额占到共同投标协议投标总金额的比例。</w:t>
      </w:r>
    </w:p>
    <w:p w14:paraId="744C188C">
      <w:pPr>
        <w:spacing w:before="290" w:line="220" w:lineRule="auto"/>
        <w:ind w:left="1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1.4.6联合体中有同类资质的投标人按照联合体分工承担相同工作的，按照</w:t>
      </w:r>
    </w:p>
    <w:p w14:paraId="750D428A">
      <w:pPr>
        <w:spacing w:before="291" w:line="220" w:lineRule="auto"/>
        <w:ind w:left="1059"/>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资质等级较低的投标人确定资质等级。</w:t>
      </w:r>
    </w:p>
    <w:p w14:paraId="14AAB4F6">
      <w:pPr>
        <w:spacing w:before="290" w:line="219" w:lineRule="auto"/>
        <w:ind w:left="1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1.4.7以联合体形式参加政府采购活动的，联合体各方不得再单独参加或者</w:t>
      </w:r>
    </w:p>
    <w:p w14:paraId="2E4D56E3">
      <w:pPr>
        <w:spacing w:before="292" w:line="624" w:lineRule="exact"/>
        <w:ind w:left="1053"/>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与其他投标人另外组成联合体参加本项目投标，否则相关投标将被认</w:t>
      </w:r>
    </w:p>
    <w:p w14:paraId="6FE9D20A">
      <w:pPr>
        <w:spacing w:before="1" w:line="220" w:lineRule="auto"/>
        <w:ind w:left="1054"/>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定为</w:t>
      </w: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3"/>
          <w:sz w:val="28"/>
          <w:szCs w:val="28"/>
          <w:highlight w:val="none"/>
        </w:rPr>
        <w:t>。</w:t>
      </w:r>
    </w:p>
    <w:p w14:paraId="01736951">
      <w:pPr>
        <w:spacing w:before="289" w:line="220" w:lineRule="auto"/>
        <w:ind w:left="1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1.4.8对联合体投标的其他资格要求见</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w:t>
      </w:r>
    </w:p>
    <w:p w14:paraId="25D27136">
      <w:pPr>
        <w:spacing w:before="290" w:line="624" w:lineRule="exact"/>
        <w:ind w:left="17"/>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1.5单位负责人为同一人或者存在直接控股、管理关系的不同投标人，其相</w:t>
      </w:r>
    </w:p>
    <w:p w14:paraId="65EF862D">
      <w:pPr>
        <w:spacing w:before="2" w:line="219" w:lineRule="auto"/>
        <w:ind w:left="105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关投标将被认定为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79947269">
      <w:pPr>
        <w:spacing w:before="292" w:line="411" w:lineRule="auto"/>
        <w:ind w:left="1049" w:right="98" w:hanging="103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1.6为本项目提供过整体设计、规范编制或者项目管理、监理、检测等服</w:t>
      </w:r>
      <w:r>
        <w:rPr>
          <w:rFonts w:ascii="宋体" w:hAnsi="宋体" w:eastAsia="宋体" w:cs="宋体"/>
          <w:color w:val="auto"/>
          <w:spacing w:val="-1"/>
          <w:sz w:val="28"/>
          <w:szCs w:val="28"/>
          <w:highlight w:val="none"/>
        </w:rPr>
        <w:t>务的投标人，不得再参加本项目上述服务以外的其他采购活动。否则</w:t>
      </w:r>
    </w:p>
    <w:p w14:paraId="0DD93F92">
      <w:pPr>
        <w:spacing w:before="1" w:line="219" w:lineRule="auto"/>
        <w:ind w:left="104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其投标将被认定为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2C982E79">
      <w:pPr>
        <w:spacing w:before="291" w:line="219" w:lineRule="auto"/>
        <w:ind w:left="1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1.7投标人在投标过程中不得向采购人提供或给</w:t>
      </w:r>
      <w:r>
        <w:rPr>
          <w:rFonts w:ascii="宋体" w:hAnsi="宋体" w:eastAsia="宋体" w:cs="宋体"/>
          <w:color w:val="auto"/>
          <w:spacing w:val="-2"/>
          <w:sz w:val="28"/>
          <w:szCs w:val="28"/>
          <w:highlight w:val="none"/>
        </w:rPr>
        <w:t>予影响其正常决策行为的</w:t>
      </w:r>
    </w:p>
    <w:p w14:paraId="6938709B">
      <w:pPr>
        <w:spacing w:before="291" w:line="219" w:lineRule="auto"/>
        <w:ind w:left="1046"/>
        <w:rPr>
          <w:rFonts w:ascii="宋体" w:hAnsi="宋体" w:eastAsia="宋体" w:cs="宋体"/>
          <w:color w:val="auto"/>
          <w:sz w:val="28"/>
          <w:szCs w:val="28"/>
          <w:highlight w:val="none"/>
        </w:rPr>
      </w:pPr>
      <w:r>
        <w:rPr>
          <w:rFonts w:ascii="宋体" w:hAnsi="宋体" w:eastAsia="宋体" w:cs="宋体"/>
          <w:color w:val="auto"/>
          <w:sz w:val="28"/>
          <w:szCs w:val="28"/>
          <w:highlight w:val="none"/>
        </w:rPr>
        <w:t>任何有价值物品或服务。一经发现，其投标将被</w:t>
      </w:r>
      <w:r>
        <w:rPr>
          <w:rFonts w:ascii="宋体" w:hAnsi="宋体" w:eastAsia="宋体" w:cs="宋体"/>
          <w:color w:val="auto"/>
          <w:spacing w:val="-1"/>
          <w:sz w:val="28"/>
          <w:szCs w:val="28"/>
          <w:highlight w:val="none"/>
        </w:rPr>
        <w:t>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6542A99A">
      <w:pPr>
        <w:spacing w:before="292" w:line="220" w:lineRule="auto"/>
        <w:outlineLvl w:val="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2.资金来源</w:t>
      </w:r>
    </w:p>
    <w:p w14:paraId="3FFBCE45">
      <w:pPr>
        <w:spacing w:before="290" w:line="624" w:lineRule="exact"/>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2.1本项目的采购人已获得足以支付</w:t>
      </w:r>
      <w:r>
        <w:rPr>
          <w:rFonts w:ascii="宋体" w:hAnsi="宋体" w:eastAsia="宋体" w:cs="宋体"/>
          <w:color w:val="auto"/>
          <w:spacing w:val="1"/>
          <w:position w:val="26"/>
          <w:sz w:val="28"/>
          <w:szCs w:val="28"/>
          <w:highlight w:val="none"/>
        </w:rPr>
        <w:t>本次招标后所签订的合同项下的资金</w:t>
      </w:r>
    </w:p>
    <w:p w14:paraId="36ED8C30">
      <w:pPr>
        <w:spacing w:before="1" w:line="219" w:lineRule="auto"/>
        <w:ind w:left="105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（包括财政性资金和本项目采购中无法与财政性资金分割的非财政性</w:t>
      </w:r>
    </w:p>
    <w:p w14:paraId="799FF2AA">
      <w:pPr>
        <w:spacing w:line="219" w:lineRule="auto"/>
        <w:rPr>
          <w:rFonts w:ascii="宋体" w:hAnsi="宋体" w:eastAsia="宋体" w:cs="宋体"/>
          <w:color w:val="auto"/>
          <w:sz w:val="28"/>
          <w:szCs w:val="28"/>
          <w:highlight w:val="none"/>
        </w:rPr>
        <w:sectPr>
          <w:footerReference r:id="rId7" w:type="default"/>
          <w:pgSz w:w="11906" w:h="16839"/>
          <w:pgMar w:top="1172" w:right="1221" w:bottom="1171" w:left="1147" w:header="0" w:footer="992" w:gutter="0"/>
          <w:pgBorders>
            <w:top w:val="none" w:sz="0" w:space="0"/>
            <w:left w:val="none" w:sz="0" w:space="0"/>
            <w:bottom w:val="none" w:sz="0" w:space="0"/>
            <w:right w:val="none" w:sz="0" w:space="0"/>
          </w:pgBorders>
          <w:pgNumType w:fmt="decimal"/>
          <w:cols w:space="720" w:num="1"/>
        </w:sectPr>
      </w:pPr>
    </w:p>
    <w:p w14:paraId="6E9B6483">
      <w:pPr>
        <w:spacing w:before="56" w:line="221" w:lineRule="auto"/>
        <w:ind w:left="1064"/>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资金）。</w:t>
      </w:r>
    </w:p>
    <w:p w14:paraId="1EEA0324">
      <w:pPr>
        <w:spacing w:before="287" w:line="219" w:lineRule="auto"/>
        <w:ind w:left="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2.2项目预算金额和分项或分包最高限价</w:t>
      </w:r>
      <w:r>
        <w:rPr>
          <w:rFonts w:ascii="宋体" w:hAnsi="宋体" w:eastAsia="宋体" w:cs="宋体"/>
          <w:color w:val="auto"/>
          <w:spacing w:val="-1"/>
          <w:sz w:val="28"/>
          <w:szCs w:val="28"/>
          <w:highlight w:val="none"/>
          <w:u w:val="single" w:color="auto"/>
        </w:rPr>
        <w:t>见投标人须知资料</w:t>
      </w:r>
      <w:r>
        <w:rPr>
          <w:rFonts w:ascii="宋体" w:hAnsi="宋体" w:eastAsia="宋体" w:cs="宋体"/>
          <w:color w:val="auto"/>
          <w:spacing w:val="-2"/>
          <w:sz w:val="28"/>
          <w:szCs w:val="28"/>
          <w:highlight w:val="none"/>
          <w:u w:val="single" w:color="auto"/>
        </w:rPr>
        <w:t>表</w:t>
      </w:r>
      <w:r>
        <w:rPr>
          <w:rFonts w:ascii="宋体" w:hAnsi="宋体" w:eastAsia="宋体" w:cs="宋体"/>
          <w:color w:val="auto"/>
          <w:spacing w:val="-2"/>
          <w:sz w:val="28"/>
          <w:szCs w:val="28"/>
          <w:highlight w:val="none"/>
        </w:rPr>
        <w:t>。</w:t>
      </w:r>
    </w:p>
    <w:p w14:paraId="5F3BF279">
      <w:pPr>
        <w:spacing w:before="292" w:line="624" w:lineRule="exact"/>
        <w:jc w:val="right"/>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2.3投标人报价超过招标文件规定的预算金额或者分项、分包最高限价的，其</w:t>
      </w:r>
    </w:p>
    <w:p w14:paraId="59E8A027">
      <w:pPr>
        <w:spacing w:before="1" w:line="219" w:lineRule="auto"/>
        <w:ind w:left="105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0EF4A6A6">
      <w:pPr>
        <w:spacing w:before="290" w:line="221" w:lineRule="auto"/>
        <w:ind w:left="6"/>
        <w:outlineLvl w:val="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3.投标费用</w:t>
      </w:r>
    </w:p>
    <w:p w14:paraId="14F3F3E3">
      <w:pPr>
        <w:spacing w:before="289" w:line="624" w:lineRule="exact"/>
        <w:jc w:val="right"/>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不论投标的结果如何，投标人应承担所有与准备和参加投标有关的费</w:t>
      </w:r>
    </w:p>
    <w:p w14:paraId="6BB72602">
      <w:pPr>
        <w:spacing w:before="1" w:line="221" w:lineRule="auto"/>
        <w:ind w:left="1054"/>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用。</w:t>
      </w:r>
    </w:p>
    <w:p w14:paraId="63964276">
      <w:pPr>
        <w:spacing w:before="288" w:line="220"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4.适用法律</w:t>
      </w:r>
    </w:p>
    <w:p w14:paraId="37045395">
      <w:pPr>
        <w:spacing w:before="293" w:line="411" w:lineRule="auto"/>
        <w:ind w:left="907" w:leftChars="432" w:firstLine="276" w:firstLineChars="100"/>
        <w:rPr>
          <w:rFonts w:ascii="Arial"/>
          <w:color w:val="auto"/>
          <w:sz w:val="21"/>
          <w:highlight w:val="none"/>
        </w:rPr>
      </w:pPr>
      <w:r>
        <w:rPr>
          <w:rFonts w:ascii="宋体" w:hAnsi="宋体" w:eastAsia="宋体" w:cs="宋体"/>
          <w:color w:val="auto"/>
          <w:spacing w:val="-2"/>
          <w:sz w:val="28"/>
          <w:szCs w:val="28"/>
          <w:highlight w:val="none"/>
        </w:rPr>
        <w:t>本项目采购人、采购代理机构、投标人、评标</w:t>
      </w:r>
      <w:r>
        <w:rPr>
          <w:rFonts w:ascii="宋体" w:hAnsi="宋体" w:eastAsia="宋体" w:cs="宋体"/>
          <w:color w:val="auto"/>
          <w:spacing w:val="-3"/>
          <w:sz w:val="28"/>
          <w:szCs w:val="28"/>
          <w:highlight w:val="none"/>
        </w:rPr>
        <w:t>委员会的相关行为均受《中华人民共和国政府采购法》、《中华人民共和国政府采购法实施条例》、中</w:t>
      </w:r>
      <w:r>
        <w:rPr>
          <w:rFonts w:ascii="宋体" w:hAnsi="宋体" w:eastAsia="宋体" w:cs="宋体"/>
          <w:color w:val="auto"/>
          <w:spacing w:val="-1"/>
          <w:sz w:val="28"/>
          <w:szCs w:val="28"/>
          <w:highlight w:val="none"/>
        </w:rPr>
        <w:t>华人民共和国财政部令第87号《政府采购货物和服</w:t>
      </w:r>
      <w:r>
        <w:rPr>
          <w:rFonts w:ascii="宋体" w:hAnsi="宋体" w:eastAsia="宋体" w:cs="宋体"/>
          <w:color w:val="auto"/>
          <w:spacing w:val="-2"/>
          <w:sz w:val="28"/>
          <w:szCs w:val="28"/>
          <w:highlight w:val="none"/>
        </w:rPr>
        <w:t>务招标投标管理办</w:t>
      </w:r>
      <w:r>
        <w:rPr>
          <w:rFonts w:ascii="宋体" w:hAnsi="宋体" w:eastAsia="宋体" w:cs="宋体"/>
          <w:color w:val="auto"/>
          <w:spacing w:val="-3"/>
          <w:sz w:val="28"/>
          <w:szCs w:val="28"/>
          <w:highlight w:val="none"/>
        </w:rPr>
        <w:t>法》及本项目本级和上级财政部门政府采购有关规定的约束，其权利受</w:t>
      </w:r>
      <w:r>
        <w:rPr>
          <w:rFonts w:ascii="宋体" w:hAnsi="宋体" w:eastAsia="宋体" w:cs="宋体"/>
          <w:color w:val="auto"/>
          <w:spacing w:val="-2"/>
          <w:sz w:val="28"/>
          <w:szCs w:val="28"/>
          <w:highlight w:val="none"/>
        </w:rPr>
        <w:t>到上述法律法规的保护。</w:t>
      </w:r>
    </w:p>
    <w:p w14:paraId="2878A4F1">
      <w:pPr>
        <w:spacing w:before="92" w:line="220" w:lineRule="auto"/>
        <w:ind w:left="4251"/>
        <w:outlineLvl w:val="1"/>
        <w:rPr>
          <w:rFonts w:ascii="宋体" w:hAnsi="宋体" w:eastAsia="宋体" w:cs="宋体"/>
          <w:color w:val="auto"/>
          <w:sz w:val="28"/>
          <w:szCs w:val="28"/>
          <w:highlight w:val="none"/>
        </w:rPr>
      </w:pPr>
      <w:bookmarkStart w:id="2" w:name="bookmark3"/>
      <w:bookmarkEnd w:id="2"/>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二、招标文件</w:t>
      </w:r>
    </w:p>
    <w:p w14:paraId="3E3A0B29">
      <w:pPr>
        <w:spacing w:line="273" w:lineRule="auto"/>
        <w:rPr>
          <w:rFonts w:ascii="Arial"/>
          <w:color w:val="auto"/>
          <w:sz w:val="21"/>
          <w:highlight w:val="none"/>
        </w:rPr>
      </w:pPr>
    </w:p>
    <w:p w14:paraId="683E72A6">
      <w:pPr>
        <w:spacing w:before="91" w:line="220" w:lineRule="auto"/>
        <w:ind w:left="6"/>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5.招标文件构成</w:t>
      </w:r>
    </w:p>
    <w:p w14:paraId="5D3AE698">
      <w:pPr>
        <w:spacing w:before="290" w:line="624" w:lineRule="exact"/>
        <w:ind w:left="6"/>
        <w:rPr>
          <w:rFonts w:ascii="宋体" w:hAnsi="宋体" w:eastAsia="宋体" w:cs="宋体"/>
          <w:color w:val="auto"/>
          <w:sz w:val="28"/>
          <w:szCs w:val="28"/>
          <w:highlight w:val="none"/>
        </w:rPr>
      </w:pPr>
      <w:r>
        <w:rPr>
          <w:rFonts w:ascii="宋体" w:hAnsi="宋体" w:eastAsia="宋体" w:cs="宋体"/>
          <w:color w:val="auto"/>
          <w:spacing w:val="-4"/>
          <w:position w:val="26"/>
          <w:sz w:val="28"/>
          <w:szCs w:val="28"/>
          <w:highlight w:val="none"/>
        </w:rPr>
        <w:t>5.1招标文件分为三册共7章，内容如下：</w:t>
      </w:r>
    </w:p>
    <w:p w14:paraId="20998CCB">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第1章投标人须知</w:t>
      </w:r>
    </w:p>
    <w:p w14:paraId="2E38CBE4">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第2章投标文件</w:t>
      </w:r>
    </w:p>
    <w:p w14:paraId="29FC3F4B">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第3章投标邀请</w:t>
      </w:r>
    </w:p>
    <w:p w14:paraId="379D186C">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第4章投标人须知资料表</w:t>
      </w:r>
    </w:p>
    <w:p w14:paraId="0B727F6E">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第5章采购需求</w:t>
      </w:r>
    </w:p>
    <w:p w14:paraId="20E9D6DA">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第6章评标方法和标准</w:t>
      </w:r>
    </w:p>
    <w:p w14:paraId="573E511C">
      <w:pPr>
        <w:keepNext w:val="0"/>
        <w:keepLines w:val="0"/>
        <w:pageBreakBefore w:val="0"/>
        <w:widowControl/>
        <w:kinsoku w:val="0"/>
        <w:wordWrap/>
        <w:overflowPunct/>
        <w:topLinePunct w:val="0"/>
        <w:autoSpaceDE w:val="0"/>
        <w:autoSpaceDN w:val="0"/>
        <w:bidi w:val="0"/>
        <w:adjustRightInd w:val="0"/>
        <w:snapToGrid w:val="0"/>
        <w:spacing w:line="360" w:lineRule="auto"/>
        <w:ind w:left="901"/>
        <w:textAlignment w:val="baseline"/>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第7章政府采购合同格式</w:t>
      </w:r>
    </w:p>
    <w:p w14:paraId="6A5EC90C">
      <w:pPr>
        <w:spacing w:before="291" w:line="219" w:lineRule="auto"/>
        <w:ind w:left="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5.2如本文件的前后内容不一致，以</w:t>
      </w:r>
      <w:r>
        <w:rPr>
          <w:rFonts w:hint="eastAsia" w:ascii="宋体" w:hAnsi="宋体" w:eastAsia="宋体" w:cs="宋体"/>
          <w:color w:val="auto"/>
          <w:spacing w:val="-1"/>
          <w:sz w:val="28"/>
          <w:szCs w:val="28"/>
          <w:highlight w:val="none"/>
          <w:lang w:val="en-US" w:eastAsia="zh-CN"/>
        </w:rPr>
        <w:t>须知前附表</w:t>
      </w:r>
      <w:r>
        <w:rPr>
          <w:rFonts w:ascii="宋体" w:hAnsi="宋体" w:eastAsia="宋体" w:cs="宋体"/>
          <w:color w:val="auto"/>
          <w:spacing w:val="-1"/>
          <w:sz w:val="28"/>
          <w:szCs w:val="28"/>
          <w:highlight w:val="none"/>
        </w:rPr>
        <w:t>为准。</w:t>
      </w:r>
    </w:p>
    <w:p w14:paraId="3D9E02C3">
      <w:pPr>
        <w:spacing w:before="291" w:line="220" w:lineRule="auto"/>
        <w:ind w:left="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5.3投标人应认真阅读招标文件所有的事项、格式、条款和技术规范等。</w:t>
      </w:r>
    </w:p>
    <w:p w14:paraId="5F81E838">
      <w:pPr>
        <w:spacing w:before="292" w:line="411" w:lineRule="auto"/>
        <w:ind w:left="1050" w:right="187" w:firstLine="3"/>
        <w:jc w:val="both"/>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如投标人没有按照招标文件要求提交全部资料，或者投标文件没有对招标文件在各方面都做出实质性响应，可能导致其投标被认定为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w:t>
      </w:r>
    </w:p>
    <w:p w14:paraId="1DDF7136">
      <w:pPr>
        <w:spacing w:before="1" w:line="220" w:lineRule="auto"/>
        <w:ind w:left="1051"/>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无效</w:t>
      </w:r>
      <w:r>
        <w:rPr>
          <w:rFonts w:ascii="宋体" w:hAnsi="宋体" w:eastAsia="宋体" w:cs="宋体"/>
          <w:color w:val="auto"/>
          <w:spacing w:val="-4"/>
          <w:sz w:val="28"/>
          <w:szCs w:val="28"/>
          <w:highlight w:val="none"/>
        </w:rPr>
        <w:t>。</w:t>
      </w:r>
    </w:p>
    <w:p w14:paraId="5BD6133C">
      <w:pPr>
        <w:spacing w:before="289" w:line="220" w:lineRule="auto"/>
        <w:outlineLvl w:val="2"/>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6.招标文件的澄清与修改</w:t>
      </w:r>
    </w:p>
    <w:p w14:paraId="1568DA6C">
      <w:pPr>
        <w:spacing w:before="292" w:line="411" w:lineRule="auto"/>
        <w:ind w:left="978" w:hanging="97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6.1为了保证对招标文件的澄清和修改满足法律的时限要求，任何要求对招标文件进行澄清的投标人，均应在投标截止期十五日前，以书面形式将澄清要求通知采购人或采购代理机构。</w:t>
      </w:r>
    </w:p>
    <w:p w14:paraId="59BD310D">
      <w:pPr>
        <w:spacing w:before="292" w:line="219" w:lineRule="auto"/>
        <w:rPr>
          <w:rFonts w:ascii="宋体" w:hAnsi="宋体" w:eastAsia="宋体" w:cs="宋体"/>
          <w:color w:val="auto"/>
          <w:sz w:val="28"/>
          <w:szCs w:val="28"/>
          <w:highlight w:val="none"/>
        </w:rPr>
      </w:pPr>
      <w:r>
        <w:rPr>
          <w:rFonts w:ascii="宋体" w:hAnsi="宋体" w:eastAsia="宋体" w:cs="宋体"/>
          <w:color w:val="auto"/>
          <w:sz w:val="28"/>
          <w:szCs w:val="28"/>
          <w:highlight w:val="none"/>
        </w:rPr>
        <w:t>6.2采购人可主动地或在解答投标人提出的澄清</w:t>
      </w:r>
      <w:r>
        <w:rPr>
          <w:rFonts w:ascii="宋体" w:hAnsi="宋体" w:eastAsia="宋体" w:cs="宋体"/>
          <w:color w:val="auto"/>
          <w:spacing w:val="-1"/>
          <w:sz w:val="28"/>
          <w:szCs w:val="28"/>
          <w:highlight w:val="none"/>
        </w:rPr>
        <w:t>问题时对招标文件澄清或</w:t>
      </w:r>
    </w:p>
    <w:p w14:paraId="07220C75">
      <w:pPr>
        <w:spacing w:before="292" w:line="624" w:lineRule="exact"/>
        <w:jc w:val="right"/>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修改。采购代理机构将以发布澄清（更正）公告的方式，澄清或</w:t>
      </w:r>
      <w:r>
        <w:rPr>
          <w:rFonts w:ascii="宋体" w:hAnsi="宋体" w:eastAsia="宋体" w:cs="宋体"/>
          <w:color w:val="auto"/>
          <w:spacing w:val="-2"/>
          <w:position w:val="26"/>
          <w:sz w:val="28"/>
          <w:szCs w:val="28"/>
          <w:highlight w:val="none"/>
        </w:rPr>
        <w:t>修改招</w:t>
      </w:r>
    </w:p>
    <w:p w14:paraId="31EB594B">
      <w:pPr>
        <w:spacing w:before="1" w:line="219" w:lineRule="auto"/>
        <w:ind w:left="98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标文件，澄清或修改内容作为招标文件的组成部分。</w:t>
      </w:r>
    </w:p>
    <w:p w14:paraId="5A92969B">
      <w:pPr>
        <w:spacing w:before="292" w:line="411" w:lineRule="auto"/>
        <w:ind w:left="981" w:hanging="98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6.3澄清或者修改的内容可能影响投标文件编制的，采购代理机构将以书面形式通知所有领取招标文件的潜在投标人，并对其具有约</w:t>
      </w:r>
      <w:r>
        <w:rPr>
          <w:rFonts w:ascii="宋体" w:hAnsi="宋体" w:eastAsia="宋体" w:cs="宋体"/>
          <w:color w:val="auto"/>
          <w:spacing w:val="-2"/>
          <w:sz w:val="28"/>
          <w:szCs w:val="28"/>
          <w:highlight w:val="none"/>
        </w:rPr>
        <w:t>束力。投标人</w:t>
      </w:r>
    </w:p>
    <w:p w14:paraId="3F394017">
      <w:pPr>
        <w:spacing w:line="219" w:lineRule="auto"/>
        <w:ind w:left="97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在收到上述通知后，应及时向采购代理机构回函确认。</w:t>
      </w:r>
    </w:p>
    <w:p w14:paraId="13CDB58B">
      <w:pPr>
        <w:spacing w:before="291" w:line="221" w:lineRule="auto"/>
        <w:ind w:left="4"/>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7.投标截止时间的顺延</w:t>
      </w:r>
    </w:p>
    <w:p w14:paraId="180487E5">
      <w:pPr>
        <w:spacing w:before="289" w:line="624" w:lineRule="exact"/>
        <w:ind w:left="1052"/>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为使投标人准备投标时有足够的时间对招标文件的澄清或者修改部分</w:t>
      </w:r>
    </w:p>
    <w:p w14:paraId="721C4F0A">
      <w:pPr>
        <w:spacing w:before="1" w:line="219" w:lineRule="auto"/>
        <w:ind w:left="1046"/>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进行研究，采购人将依法决定是否顺延投标截止时间。</w:t>
      </w:r>
      <w:bookmarkStart w:id="3" w:name="bookmark4"/>
      <w:bookmarkEnd w:id="3"/>
    </w:p>
    <w:p w14:paraId="76B55BD4">
      <w:pPr>
        <w:spacing w:before="1" w:line="219" w:lineRule="auto"/>
        <w:jc w:val="center"/>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三、投标文件的编制</w:t>
      </w:r>
    </w:p>
    <w:p w14:paraId="7223C792">
      <w:pPr>
        <w:spacing w:line="273" w:lineRule="auto"/>
        <w:rPr>
          <w:rFonts w:ascii="Arial"/>
          <w:color w:val="auto"/>
          <w:sz w:val="21"/>
          <w:highlight w:val="none"/>
        </w:rPr>
      </w:pPr>
    </w:p>
    <w:p w14:paraId="294CADC2">
      <w:pPr>
        <w:spacing w:before="91" w:line="220"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8.投标范围及投标文件中标准和计量单位的使用</w:t>
      </w:r>
    </w:p>
    <w:p w14:paraId="09477253">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8.1项目有分包的，投标人可对招标文件其中一个或几个分包进行投标，</w:t>
      </w:r>
      <w:r>
        <w:rPr>
          <w:rFonts w:ascii="宋体" w:hAnsi="宋体" w:eastAsia="宋体" w:cs="宋体"/>
          <w:color w:val="auto"/>
          <w:spacing w:val="-2"/>
          <w:sz w:val="28"/>
          <w:szCs w:val="28"/>
          <w:highlight w:val="none"/>
        </w:rPr>
        <w:t>除非在</w:t>
      </w:r>
      <w:r>
        <w:rPr>
          <w:rFonts w:ascii="宋体" w:hAnsi="宋体" w:eastAsia="宋体" w:cs="宋体"/>
          <w:color w:val="auto"/>
          <w:spacing w:val="-2"/>
          <w:sz w:val="28"/>
          <w:szCs w:val="28"/>
          <w:highlight w:val="none"/>
          <w:u w:val="single" w:color="auto"/>
        </w:rPr>
        <w:t>投标人须知资料表</w:t>
      </w:r>
      <w:r>
        <w:rPr>
          <w:rFonts w:ascii="宋体" w:hAnsi="宋体" w:eastAsia="宋体" w:cs="宋体"/>
          <w:color w:val="auto"/>
          <w:spacing w:val="-2"/>
          <w:sz w:val="28"/>
          <w:szCs w:val="28"/>
          <w:highlight w:val="none"/>
        </w:rPr>
        <w:t>中另有规定。</w:t>
      </w:r>
    </w:p>
    <w:p w14:paraId="613D5BDE">
      <w:pPr>
        <w:spacing w:before="291" w:line="411" w:lineRule="auto"/>
        <w:ind w:left="1053" w:hanging="105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8.2投标人应当对所投分包招标文件中“货物内容及项目要求”所列的所有内</w:t>
      </w:r>
      <w:r>
        <w:rPr>
          <w:rFonts w:ascii="宋体" w:hAnsi="宋体" w:eastAsia="宋体" w:cs="宋体"/>
          <w:color w:val="auto"/>
          <w:spacing w:val="-1"/>
          <w:sz w:val="28"/>
          <w:szCs w:val="28"/>
          <w:highlight w:val="none"/>
        </w:rPr>
        <w:t>容进行投标，如仅响应某一包中的部分内容，其该包投标将被认定为</w:t>
      </w: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3"/>
          <w:sz w:val="28"/>
          <w:szCs w:val="28"/>
          <w:highlight w:val="none"/>
        </w:rPr>
        <w:t>。</w:t>
      </w:r>
    </w:p>
    <w:p w14:paraId="779F41BF">
      <w:pPr>
        <w:spacing w:before="289" w:line="624" w:lineRule="exact"/>
        <w:ind w:left="828" w:hanging="828" w:hangingChars="300"/>
        <w:jc w:val="left"/>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8.3无论招标文件</w:t>
      </w:r>
      <w:r>
        <w:rPr>
          <w:rFonts w:ascii="宋体" w:hAnsi="宋体" w:eastAsia="宋体" w:cs="宋体"/>
          <w:color w:val="auto"/>
          <w:spacing w:val="-2"/>
          <w:position w:val="26"/>
          <w:sz w:val="28"/>
          <w:szCs w:val="28"/>
          <w:highlight w:val="none"/>
          <w14:textOutline w14:w="5103" w14:cap="sq" w14:cmpd="sng">
            <w14:solidFill>
              <w14:srgbClr w14:val="000000"/>
            </w14:solidFill>
            <w14:prstDash w14:val="solid"/>
            <w14:bevel/>
          </w14:textOutline>
        </w:rPr>
        <w:t>第5章采购需求</w:t>
      </w:r>
      <w:r>
        <w:rPr>
          <w:rFonts w:ascii="宋体" w:hAnsi="宋体" w:eastAsia="宋体" w:cs="宋体"/>
          <w:color w:val="auto"/>
          <w:spacing w:val="-2"/>
          <w:position w:val="26"/>
          <w:sz w:val="28"/>
          <w:szCs w:val="28"/>
          <w:highlight w:val="none"/>
        </w:rPr>
        <w:t>中是否要求，投标人所投货物均应符合国家</w:t>
      </w:r>
      <w:r>
        <w:rPr>
          <w:rFonts w:hint="eastAsia" w:ascii="宋体" w:hAnsi="宋体" w:eastAsia="宋体" w:cs="宋体"/>
          <w:color w:val="auto"/>
          <w:spacing w:val="-2"/>
          <w:position w:val="26"/>
          <w:sz w:val="28"/>
          <w:szCs w:val="28"/>
          <w:highlight w:val="none"/>
        </w:rPr>
        <w:t>强制性标准。</w:t>
      </w:r>
    </w:p>
    <w:p w14:paraId="036372EE">
      <w:pPr>
        <w:keepNext w:val="0"/>
        <w:keepLines w:val="0"/>
        <w:pageBreakBefore w:val="0"/>
        <w:widowControl/>
        <w:kinsoku w:val="0"/>
        <w:wordWrap/>
        <w:overflowPunct/>
        <w:topLinePunct w:val="0"/>
        <w:autoSpaceDE w:val="0"/>
        <w:autoSpaceDN w:val="0"/>
        <w:bidi w:val="0"/>
        <w:adjustRightInd w:val="0"/>
        <w:snapToGrid w:val="0"/>
        <w:spacing w:line="360" w:lineRule="auto"/>
        <w:ind w:left="0" w:hanging="834" w:hangingChars="300"/>
        <w:textAlignment w:val="baseline"/>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8.4除招标文件中有特殊要求外，投标文件中所使用的计量单位，应采</w:t>
      </w:r>
      <w:r>
        <w:rPr>
          <w:rFonts w:ascii="宋体" w:hAnsi="宋体" w:eastAsia="宋体" w:cs="宋体"/>
          <w:color w:val="auto"/>
          <w:spacing w:val="-2"/>
          <w:position w:val="26"/>
          <w:sz w:val="28"/>
          <w:szCs w:val="28"/>
          <w:highlight w:val="none"/>
        </w:rPr>
        <w:t>用中华</w:t>
      </w:r>
      <w:r>
        <w:rPr>
          <w:rFonts w:hint="eastAsia" w:ascii="宋体" w:hAnsi="宋体" w:eastAsia="宋体" w:cs="宋体"/>
          <w:color w:val="auto"/>
          <w:spacing w:val="-2"/>
          <w:position w:val="26"/>
          <w:sz w:val="28"/>
          <w:szCs w:val="28"/>
          <w:highlight w:val="none"/>
        </w:rPr>
        <w:t>人民共和国法定计量单位。</w:t>
      </w:r>
    </w:p>
    <w:p w14:paraId="383D700F">
      <w:pPr>
        <w:spacing w:before="290" w:line="220"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9.投标文件构成</w:t>
      </w:r>
    </w:p>
    <w:p w14:paraId="08B5AD00">
      <w:pPr>
        <w:spacing w:before="291" w:line="411" w:lineRule="auto"/>
        <w:ind w:left="0" w:leftChars="0" w:firstLine="220" w:firstLineChars="0"/>
        <w:rPr>
          <w:rFonts w:ascii="宋体" w:hAnsi="宋体" w:eastAsia="宋体" w:cs="宋体"/>
          <w:b/>
          <w:bCs/>
          <w:color w:val="auto"/>
          <w:spacing w:val="-2"/>
          <w:sz w:val="28"/>
          <w:szCs w:val="28"/>
          <w:highlight w:val="none"/>
          <w:u w:val="single"/>
        </w:rPr>
      </w:pPr>
      <w:r>
        <w:rPr>
          <w:rFonts w:ascii="宋体" w:hAnsi="宋体" w:eastAsia="宋体" w:cs="宋体"/>
          <w:b/>
          <w:bCs/>
          <w:color w:val="auto"/>
          <w:spacing w:val="-2"/>
          <w:sz w:val="28"/>
          <w:szCs w:val="28"/>
          <w:highlight w:val="none"/>
          <w:u w:val="single"/>
        </w:rPr>
        <w:t>9.1投标单位应完整地按招标文件提供的投标文件格式及要求编写投标文件，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w:t>
      </w:r>
    </w:p>
    <w:p w14:paraId="79D092FE">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9.2上述文件应按照招标文件规定的格式填写、签署和盖章。</w:t>
      </w:r>
    </w:p>
    <w:p w14:paraId="7771FAFD">
      <w:pPr>
        <w:spacing w:before="291" w:line="220" w:lineRule="auto"/>
        <w:ind w:left="19"/>
        <w:outlineLvl w:val="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10.证明投标标的的合格性和符合招标文件</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规定的投标文件</w:t>
      </w:r>
    </w:p>
    <w:p w14:paraId="32066C99">
      <w:pPr>
        <w:spacing w:before="291" w:line="219" w:lineRule="auto"/>
        <w:jc w:val="right"/>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10.1供应商应提交证明文件，证明其投标内容符合招标文件规定。该证明</w:t>
      </w:r>
    </w:p>
    <w:p w14:paraId="2989812D">
      <w:pPr>
        <w:spacing w:before="291" w:line="220" w:lineRule="auto"/>
        <w:ind w:left="105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文件是投标文件的一部分。</w:t>
      </w:r>
    </w:p>
    <w:p w14:paraId="5EAC43D8">
      <w:pPr>
        <w:spacing w:before="291" w:line="220" w:lineRule="auto"/>
        <w:ind w:left="19"/>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10.2上款所述的证明文件，可以是文字资料、图纸和数据，它包括：</w:t>
      </w:r>
      <w:r>
        <w:rPr>
          <w:rFonts w:ascii="宋体" w:hAnsi="宋体" w:eastAsia="宋体" w:cs="宋体"/>
          <w:color w:val="auto"/>
          <w:spacing w:val="-3"/>
          <w:sz w:val="28"/>
          <w:szCs w:val="28"/>
          <w:highlight w:val="none"/>
        </w:rPr>
        <w:t>10.2.1货物主要技术指标的详细说明；</w:t>
      </w:r>
    </w:p>
    <w:p w14:paraId="071D670D">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10.2.2货物从买方开始使用至招标文件规定的保质</w:t>
      </w:r>
      <w:r>
        <w:rPr>
          <w:rFonts w:ascii="宋体" w:hAnsi="宋体" w:eastAsia="宋体" w:cs="宋体"/>
          <w:color w:val="auto"/>
          <w:spacing w:val="-2"/>
          <w:sz w:val="28"/>
          <w:szCs w:val="28"/>
          <w:highlight w:val="none"/>
        </w:rPr>
        <w:t>期内正常、连续地使用所</w:t>
      </w:r>
    </w:p>
    <w:p w14:paraId="6720ABC3">
      <w:pPr>
        <w:spacing w:before="290" w:line="219" w:lineRule="auto"/>
        <w:jc w:val="right"/>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必须的备件和专用工具清单，包括备件和专用工具的货源及现</w:t>
      </w:r>
      <w:r>
        <w:rPr>
          <w:rFonts w:ascii="宋体" w:hAnsi="宋体" w:eastAsia="宋体" w:cs="宋体"/>
          <w:color w:val="auto"/>
          <w:spacing w:val="-8"/>
          <w:sz w:val="28"/>
          <w:szCs w:val="28"/>
          <w:highlight w:val="none"/>
        </w:rPr>
        <w:t>行价格；</w:t>
      </w:r>
    </w:p>
    <w:p w14:paraId="00EAED55">
      <w:pPr>
        <w:spacing w:before="293" w:line="411" w:lineRule="auto"/>
        <w:ind w:left="1029" w:right="73" w:hanging="102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10.2.3对照招标文件技术规格，逐条说明所提供货物及伴随的工程和</w:t>
      </w:r>
      <w:r>
        <w:rPr>
          <w:rFonts w:ascii="宋体" w:hAnsi="宋体" w:eastAsia="宋体" w:cs="宋体"/>
          <w:color w:val="auto"/>
          <w:spacing w:val="-2"/>
          <w:sz w:val="28"/>
          <w:szCs w:val="28"/>
          <w:highlight w:val="none"/>
        </w:rPr>
        <w:t>货物已</w:t>
      </w:r>
      <w:r>
        <w:rPr>
          <w:rFonts w:ascii="宋体" w:hAnsi="宋体" w:eastAsia="宋体" w:cs="宋体"/>
          <w:color w:val="auto"/>
          <w:sz w:val="28"/>
          <w:szCs w:val="28"/>
          <w:highlight w:val="none"/>
        </w:rPr>
        <w:t>对招标文件的技术规格做出了实质性的响应，或</w:t>
      </w:r>
      <w:r>
        <w:rPr>
          <w:rFonts w:ascii="宋体" w:hAnsi="宋体" w:eastAsia="宋体" w:cs="宋体"/>
          <w:color w:val="auto"/>
          <w:spacing w:val="-1"/>
          <w:sz w:val="28"/>
          <w:szCs w:val="28"/>
          <w:highlight w:val="none"/>
        </w:rPr>
        <w:t>申明与技术规格条文</w:t>
      </w:r>
      <w:r>
        <w:rPr>
          <w:rFonts w:ascii="宋体" w:hAnsi="宋体" w:eastAsia="宋体" w:cs="宋体"/>
          <w:color w:val="auto"/>
          <w:spacing w:val="-5"/>
          <w:sz w:val="28"/>
          <w:szCs w:val="28"/>
          <w:highlight w:val="none"/>
        </w:rPr>
        <w:t>的偏差和例外。</w:t>
      </w:r>
    </w:p>
    <w:p w14:paraId="5A6F6A05">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10.3投标人在投标中可以选用替代牌号或分类号</w:t>
      </w:r>
      <w:r>
        <w:rPr>
          <w:rFonts w:ascii="宋体" w:hAnsi="宋体" w:eastAsia="宋体" w:cs="宋体"/>
          <w:color w:val="auto"/>
          <w:spacing w:val="-2"/>
          <w:sz w:val="28"/>
          <w:szCs w:val="28"/>
          <w:highlight w:val="none"/>
        </w:rPr>
        <w:t>，但这些替代要实质上相</w:t>
      </w:r>
    </w:p>
    <w:p w14:paraId="1D7EE817">
      <w:pPr>
        <w:spacing w:before="291" w:line="624" w:lineRule="exact"/>
        <w:ind w:right="73"/>
        <w:jc w:val="right"/>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当于技术规格的要求。采购人、采购代理机构承诺不以上述参照品牌</w:t>
      </w:r>
    </w:p>
    <w:p w14:paraId="6E66D0DB">
      <w:pPr>
        <w:spacing w:before="1" w:line="219" w:lineRule="auto"/>
        <w:ind w:left="103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型号或分类号作为评标时判定其投标是否有效的标准。</w:t>
      </w:r>
    </w:p>
    <w:p w14:paraId="295EACC2">
      <w:pPr>
        <w:spacing w:before="290" w:line="219" w:lineRule="auto"/>
        <w:outlineLvl w:val="2"/>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11.投标报价</w:t>
      </w:r>
    </w:p>
    <w:p w14:paraId="29D6D1DB">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11.1所有投标均以人民币报价。投标人的投标报价应遵守《中华人民共和</w:t>
      </w:r>
    </w:p>
    <w:p w14:paraId="52409A2A">
      <w:pPr>
        <w:spacing w:before="294" w:line="411" w:lineRule="auto"/>
        <w:ind w:left="1037" w:right="73" w:firstLine="20"/>
        <w:jc w:val="both"/>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国价格法》。同时，根据《中华人民共和国政府采</w:t>
      </w:r>
      <w:r>
        <w:rPr>
          <w:rFonts w:ascii="宋体" w:hAnsi="宋体" w:eastAsia="宋体" w:cs="宋体"/>
          <w:color w:val="auto"/>
          <w:spacing w:val="-2"/>
          <w:sz w:val="28"/>
          <w:szCs w:val="28"/>
          <w:highlight w:val="none"/>
        </w:rPr>
        <w:t>购法》第二条的规</w:t>
      </w:r>
      <w:r>
        <w:rPr>
          <w:rFonts w:ascii="宋体" w:hAnsi="宋体" w:eastAsia="宋体" w:cs="宋体"/>
          <w:color w:val="auto"/>
          <w:spacing w:val="-1"/>
          <w:sz w:val="28"/>
          <w:szCs w:val="28"/>
          <w:highlight w:val="none"/>
        </w:rPr>
        <w:t>定，为保证公平竞争，如有主体投标标的的赠与行为，其投标将被认</w:t>
      </w:r>
      <w:r>
        <w:rPr>
          <w:rFonts w:ascii="宋体" w:hAnsi="宋体" w:eastAsia="宋体" w:cs="宋体"/>
          <w:color w:val="auto"/>
          <w:spacing w:val="-3"/>
          <w:sz w:val="28"/>
          <w:szCs w:val="28"/>
          <w:highlight w:val="none"/>
        </w:rPr>
        <w:t>定为</w:t>
      </w: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3"/>
          <w:sz w:val="28"/>
          <w:szCs w:val="28"/>
          <w:highlight w:val="none"/>
        </w:rPr>
        <w:t>。</w:t>
      </w:r>
    </w:p>
    <w:p w14:paraId="374D09F2">
      <w:pPr>
        <w:spacing w:before="288"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11.2投标人应在投标分项报价表上标明分项服务的价格（如适用</w:t>
      </w:r>
      <w:r>
        <w:rPr>
          <w:rFonts w:ascii="宋体" w:hAnsi="宋体" w:eastAsia="宋体" w:cs="宋体"/>
          <w:color w:val="auto"/>
          <w:spacing w:val="9"/>
          <w:sz w:val="28"/>
          <w:szCs w:val="28"/>
          <w:highlight w:val="none"/>
        </w:rPr>
        <w:t>），</w:t>
      </w:r>
      <w:r>
        <w:rPr>
          <w:rFonts w:ascii="宋体" w:hAnsi="宋体" w:eastAsia="宋体" w:cs="宋体"/>
          <w:color w:val="auto"/>
          <w:spacing w:val="-2"/>
          <w:sz w:val="28"/>
          <w:szCs w:val="28"/>
          <w:highlight w:val="none"/>
        </w:rPr>
        <w:t>并由</w:t>
      </w:r>
    </w:p>
    <w:p w14:paraId="60A34020">
      <w:pPr>
        <w:spacing w:before="293" w:line="220" w:lineRule="auto"/>
        <w:ind w:left="103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法定代表人或其委托代理人签署。</w:t>
      </w:r>
    </w:p>
    <w:p w14:paraId="3C05E14A">
      <w:pPr>
        <w:spacing w:before="289"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11.3投标分项报价表上的价格应按下列方</w:t>
      </w:r>
      <w:r>
        <w:rPr>
          <w:rFonts w:ascii="宋体" w:hAnsi="宋体" w:eastAsia="宋体" w:cs="宋体"/>
          <w:color w:val="auto"/>
          <w:spacing w:val="-2"/>
          <w:sz w:val="28"/>
          <w:szCs w:val="28"/>
          <w:highlight w:val="none"/>
        </w:rPr>
        <w:t>式填写：</w:t>
      </w:r>
    </w:p>
    <w:p w14:paraId="072E4B77">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11.3.1投标货物（包括备品备件、专用工具等）的出厂价（包括已在中国国</w:t>
      </w:r>
    </w:p>
    <w:p w14:paraId="31BA7480">
      <w:pPr>
        <w:spacing w:before="293" w:line="624" w:lineRule="exact"/>
        <w:ind w:right="59"/>
        <w:jc w:val="right"/>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内的进口货物完税后的仓库交货价、展室交货价或货架交货价</w:t>
      </w:r>
      <w:r>
        <w:rPr>
          <w:rFonts w:ascii="宋体" w:hAnsi="宋体" w:eastAsia="宋体" w:cs="宋体"/>
          <w:color w:val="auto"/>
          <w:spacing w:val="-8"/>
          <w:position w:val="26"/>
          <w:sz w:val="28"/>
          <w:szCs w:val="28"/>
          <w:highlight w:val="none"/>
        </w:rPr>
        <w:t>），</w:t>
      </w:r>
      <w:r>
        <w:rPr>
          <w:rFonts w:ascii="宋体" w:hAnsi="宋体" w:eastAsia="宋体" w:cs="宋体"/>
          <w:color w:val="auto"/>
          <w:spacing w:val="-3"/>
          <w:position w:val="26"/>
          <w:sz w:val="28"/>
          <w:szCs w:val="28"/>
          <w:highlight w:val="none"/>
        </w:rPr>
        <w:t>投</w:t>
      </w:r>
    </w:p>
    <w:p w14:paraId="5EF982AA">
      <w:pPr>
        <w:spacing w:line="219" w:lineRule="auto"/>
        <w:ind w:left="110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标货物安装、调试、检验、技术服务和培训等费用；</w:t>
      </w:r>
    </w:p>
    <w:p w14:paraId="4D861C3B">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11.3.2货物运至最终目的地的运输费</w:t>
      </w:r>
      <w:r>
        <w:rPr>
          <w:rFonts w:ascii="宋体" w:hAnsi="宋体" w:eastAsia="宋体" w:cs="宋体"/>
          <w:color w:val="auto"/>
          <w:spacing w:val="-2"/>
          <w:sz w:val="28"/>
          <w:szCs w:val="28"/>
          <w:highlight w:val="none"/>
        </w:rPr>
        <w:t>和保险费用。</w:t>
      </w:r>
    </w:p>
    <w:p w14:paraId="4D041371">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11.4供应商所报的各分项投标单价在合同履行过程中是固定不变的，不得</w:t>
      </w:r>
    </w:p>
    <w:p w14:paraId="028F7531">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以任何理由予以变更。任何包含价格调整要求的投标，其投标将被</w:t>
      </w:r>
      <w:r>
        <w:rPr>
          <w:rFonts w:ascii="宋体" w:hAnsi="宋体" w:eastAsia="宋体" w:cs="宋体"/>
          <w:color w:val="auto"/>
          <w:spacing w:val="-3"/>
          <w:sz w:val="28"/>
          <w:szCs w:val="28"/>
          <w:highlight w:val="none"/>
        </w:rPr>
        <w:t>定为</w:t>
      </w: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3"/>
          <w:sz w:val="28"/>
          <w:szCs w:val="28"/>
          <w:highlight w:val="none"/>
        </w:rPr>
        <w:t>。</w:t>
      </w:r>
    </w:p>
    <w:p w14:paraId="6346167B">
      <w:pPr>
        <w:spacing w:before="288" w:line="219" w:lineRule="auto"/>
        <w:jc w:val="right"/>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11.5每种货物只能有一个投标报价。采购人不接受具有附加条件的报价。</w:t>
      </w:r>
    </w:p>
    <w:p w14:paraId="2D30077D">
      <w:pPr>
        <w:spacing w:before="292" w:line="221" w:lineRule="auto"/>
        <w:ind w:left="12"/>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14:textOutline w14:w="5103" w14:cap="sq" w14:cmpd="sng">
            <w14:solidFill>
              <w14:srgbClr w14:val="000000"/>
            </w14:solidFill>
            <w14:prstDash w14:val="solid"/>
            <w14:bevel/>
          </w14:textOutline>
        </w:rPr>
        <w:t>12.投标保证金</w:t>
      </w:r>
    </w:p>
    <w:p w14:paraId="04BC647B">
      <w:pPr>
        <w:spacing w:before="289" w:line="220" w:lineRule="auto"/>
        <w:jc w:val="right"/>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12.1投标人应提交</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中规定的投</w:t>
      </w:r>
      <w:r>
        <w:rPr>
          <w:rFonts w:ascii="宋体" w:hAnsi="宋体" w:eastAsia="宋体" w:cs="宋体"/>
          <w:color w:val="auto"/>
          <w:spacing w:val="-2"/>
          <w:sz w:val="28"/>
          <w:szCs w:val="28"/>
          <w:highlight w:val="none"/>
        </w:rPr>
        <w:t>标保证金，并作为其投标</w:t>
      </w:r>
    </w:p>
    <w:p w14:paraId="618F0281">
      <w:pPr>
        <w:spacing w:before="290" w:line="220" w:lineRule="auto"/>
        <w:ind w:left="1066"/>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的一部分。</w:t>
      </w:r>
    </w:p>
    <w:p w14:paraId="64EB29C0">
      <w:pPr>
        <w:spacing w:before="290" w:line="624" w:lineRule="exact"/>
        <w:ind w:left="12"/>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12.2投标人存在下列情形的，投标保证金不予退还：</w:t>
      </w:r>
    </w:p>
    <w:p w14:paraId="4EA644F5">
      <w:pPr>
        <w:spacing w:before="1" w:line="219" w:lineRule="auto"/>
        <w:ind w:firstLine="834" w:firstLineChars="30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（1）在投标有效期内，撤销投标的；</w:t>
      </w:r>
    </w:p>
    <w:p w14:paraId="05359DE9">
      <w:pPr>
        <w:spacing w:before="291" w:line="624" w:lineRule="exact"/>
        <w:ind w:left="780"/>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（2）中标后不按本须知第30条的规定与采购人签订合同的；</w:t>
      </w:r>
    </w:p>
    <w:p w14:paraId="0D283012">
      <w:pPr>
        <w:spacing w:line="219" w:lineRule="auto"/>
        <w:ind w:left="78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（3）中标后不按本须知第31条的规定提交履约保证金的；</w:t>
      </w:r>
    </w:p>
    <w:p w14:paraId="60390D9F">
      <w:pPr>
        <w:spacing w:before="291" w:line="624" w:lineRule="exact"/>
        <w:ind w:left="780"/>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（4）中标后不按本须知第32条的规定缴纳中标服务费的；</w:t>
      </w:r>
    </w:p>
    <w:p w14:paraId="249C11CA">
      <w:pPr>
        <w:spacing w:before="2" w:line="219" w:lineRule="auto"/>
        <w:ind w:left="78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（5）存在其他违法违规行为的。</w:t>
      </w:r>
    </w:p>
    <w:p w14:paraId="2270AC92">
      <w:pPr>
        <w:spacing w:before="291" w:line="219" w:lineRule="auto"/>
        <w:jc w:val="right"/>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12.3政府采购信用担保试点范围内的项目，接受符合财政部门规定的政府</w:t>
      </w:r>
    </w:p>
    <w:p w14:paraId="7D4A12E4">
      <w:pPr>
        <w:spacing w:before="292" w:line="219" w:lineRule="auto"/>
        <w:ind w:left="104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采购投标担保函原件。</w:t>
      </w:r>
    </w:p>
    <w:p w14:paraId="4480080F">
      <w:pPr>
        <w:spacing w:before="291" w:line="219" w:lineRule="auto"/>
        <w:jc w:val="right"/>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12.4投标人未按本须知第12.1和12.3条规定提交投标保证金的，其投标</w:t>
      </w:r>
    </w:p>
    <w:p w14:paraId="731C3BAD">
      <w:pPr>
        <w:spacing w:before="292" w:line="220" w:lineRule="auto"/>
        <w:ind w:left="104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6DB7C22D">
      <w:pPr>
        <w:spacing w:before="291" w:line="219" w:lineRule="auto"/>
        <w:ind w:left="1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12.4.1采用电汇形式的，一般可以实时入账；</w:t>
      </w:r>
    </w:p>
    <w:p w14:paraId="5D24ADCA">
      <w:pPr>
        <w:spacing w:before="291" w:line="219" w:lineRule="auto"/>
        <w:jc w:val="right"/>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12.4.2采用支票形式的，投标人则应充分考虑支票入账时间，以确保投标保证</w:t>
      </w:r>
    </w:p>
    <w:p w14:paraId="1BE4ED85">
      <w:pPr>
        <w:spacing w:before="295" w:line="411" w:lineRule="auto"/>
        <w:ind w:left="1114"/>
        <w:jc w:val="both"/>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金能按时进入指定账户。根据银行信息交换和付款时间，支票从递交至实际入账一般需要4-5个工作日。如投标人未及时</w:t>
      </w:r>
      <w:r>
        <w:rPr>
          <w:rFonts w:ascii="宋体" w:hAnsi="宋体" w:eastAsia="宋体" w:cs="宋体"/>
          <w:color w:val="auto"/>
          <w:spacing w:val="-4"/>
          <w:sz w:val="28"/>
          <w:szCs w:val="28"/>
          <w:highlight w:val="none"/>
        </w:rPr>
        <w:t>提交支票或支票</w:t>
      </w:r>
      <w:r>
        <w:rPr>
          <w:rFonts w:ascii="宋体" w:hAnsi="宋体" w:eastAsia="宋体" w:cs="宋体"/>
          <w:color w:val="auto"/>
          <w:spacing w:val="-3"/>
          <w:sz w:val="28"/>
          <w:szCs w:val="28"/>
          <w:highlight w:val="none"/>
        </w:rPr>
        <w:t>不符合银行委托收款要求（如污损、折叠、胶装等</w:t>
      </w:r>
      <w:r>
        <w:rPr>
          <w:rFonts w:ascii="宋体" w:hAnsi="宋体" w:eastAsia="宋体" w:cs="宋体"/>
          <w:color w:val="auto"/>
          <w:sz w:val="28"/>
          <w:szCs w:val="28"/>
          <w:highlight w:val="none"/>
        </w:rPr>
        <w:t>），</w:t>
      </w:r>
      <w:r>
        <w:rPr>
          <w:rFonts w:ascii="宋体" w:hAnsi="宋体" w:eastAsia="宋体" w:cs="宋体"/>
          <w:color w:val="auto"/>
          <w:spacing w:val="-3"/>
          <w:sz w:val="28"/>
          <w:szCs w:val="28"/>
          <w:highlight w:val="none"/>
        </w:rPr>
        <w:t>导致投标保证</w:t>
      </w:r>
      <w:r>
        <w:rPr>
          <w:rFonts w:ascii="宋体" w:hAnsi="宋体" w:eastAsia="宋体" w:cs="宋体"/>
          <w:color w:val="auto"/>
          <w:spacing w:val="1"/>
          <w:sz w:val="28"/>
          <w:szCs w:val="28"/>
          <w:highlight w:val="none"/>
        </w:rPr>
        <w:t>金不能按时进入指定账户的，将按照招标文件的第22.2</w:t>
      </w:r>
      <w:r>
        <w:rPr>
          <w:rFonts w:ascii="宋体" w:hAnsi="宋体" w:eastAsia="宋体" w:cs="宋体"/>
          <w:color w:val="auto"/>
          <w:sz w:val="28"/>
          <w:szCs w:val="28"/>
          <w:highlight w:val="none"/>
        </w:rPr>
        <w:t>条相关规定</w:t>
      </w:r>
    </w:p>
    <w:p w14:paraId="56F130D0">
      <w:pPr>
        <w:spacing w:line="224" w:lineRule="auto"/>
        <w:ind w:left="1118"/>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处理。</w:t>
      </w:r>
    </w:p>
    <w:p w14:paraId="339685A4">
      <w:pPr>
        <w:spacing w:before="284" w:line="220" w:lineRule="auto"/>
        <w:jc w:val="right"/>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12.5联合体投标的，可以由联合体中的一方或者共同提交投标保证</w:t>
      </w:r>
      <w:r>
        <w:rPr>
          <w:rFonts w:ascii="宋体" w:hAnsi="宋体" w:eastAsia="宋体" w:cs="宋体"/>
          <w:color w:val="auto"/>
          <w:spacing w:val="-6"/>
          <w:sz w:val="28"/>
          <w:szCs w:val="28"/>
          <w:highlight w:val="none"/>
        </w:rPr>
        <w:t>金。以一方</w:t>
      </w:r>
    </w:p>
    <w:p w14:paraId="7AD8DA45">
      <w:pPr>
        <w:spacing w:line="220" w:lineRule="auto"/>
        <w:rPr>
          <w:rFonts w:ascii="宋体" w:hAnsi="宋体" w:eastAsia="宋体" w:cs="宋体"/>
          <w:color w:val="auto"/>
          <w:sz w:val="28"/>
          <w:szCs w:val="28"/>
          <w:highlight w:val="none"/>
        </w:rPr>
        <w:sectPr>
          <w:footerReference r:id="rId8" w:type="default"/>
          <w:pgSz w:w="11906" w:h="16839"/>
          <w:pgMar w:top="1172" w:right="1319" w:bottom="1169" w:left="1151" w:header="0" w:footer="992" w:gutter="0"/>
          <w:pgBorders>
            <w:top w:val="none" w:sz="0" w:space="0"/>
            <w:left w:val="none" w:sz="0" w:space="0"/>
            <w:bottom w:val="none" w:sz="0" w:space="0"/>
            <w:right w:val="none" w:sz="0" w:space="0"/>
          </w:pgBorders>
          <w:pgNumType w:fmt="decimal"/>
          <w:cols w:space="720" w:num="1"/>
        </w:sectPr>
      </w:pPr>
    </w:p>
    <w:p w14:paraId="59476F1E">
      <w:pPr>
        <w:spacing w:before="56" w:line="220" w:lineRule="auto"/>
        <w:ind w:left="103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名义提交投标保证金的，对联合体各方均具有约束力。</w:t>
      </w:r>
    </w:p>
    <w:p w14:paraId="742B94CD">
      <w:pPr>
        <w:spacing w:before="289" w:line="221" w:lineRule="auto"/>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12.6</w:t>
      </w: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投标保证金的退还</w:t>
      </w:r>
    </w:p>
    <w:p w14:paraId="72678D69">
      <w:pPr>
        <w:spacing w:before="289" w:line="624" w:lineRule="exact"/>
        <w:rPr>
          <w:rFonts w:ascii="宋体" w:hAnsi="宋体" w:eastAsia="宋体" w:cs="宋体"/>
          <w:color w:val="auto"/>
          <w:sz w:val="28"/>
          <w:szCs w:val="28"/>
          <w:highlight w:val="none"/>
        </w:rPr>
      </w:pPr>
      <w:r>
        <w:rPr>
          <w:rFonts w:ascii="宋体" w:hAnsi="宋体" w:eastAsia="宋体" w:cs="宋体"/>
          <w:color w:val="auto"/>
          <w:spacing w:val="-6"/>
          <w:position w:val="26"/>
          <w:sz w:val="28"/>
          <w:szCs w:val="28"/>
          <w:highlight w:val="none"/>
        </w:rPr>
        <w:t>12.6.1中标人应在与采购人签订合同之日起5个工作</w:t>
      </w:r>
      <w:r>
        <w:rPr>
          <w:rFonts w:ascii="宋体" w:hAnsi="宋体" w:eastAsia="宋体" w:cs="宋体"/>
          <w:color w:val="auto"/>
          <w:spacing w:val="-7"/>
          <w:position w:val="26"/>
          <w:sz w:val="28"/>
          <w:szCs w:val="28"/>
          <w:highlight w:val="none"/>
        </w:rPr>
        <w:t>日内，及时联系保证金收</w:t>
      </w:r>
    </w:p>
    <w:p w14:paraId="4F732A5D">
      <w:pPr>
        <w:spacing w:line="219" w:lineRule="auto"/>
        <w:ind w:left="117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受机构办理投标保证金无息退还手续。</w:t>
      </w:r>
    </w:p>
    <w:p w14:paraId="7F9A6659">
      <w:pPr>
        <w:spacing w:before="292" w:line="411" w:lineRule="auto"/>
        <w:ind w:left="1178" w:right="76" w:hanging="1178"/>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12.6.2未中标投标人的投标保证金将在中标通知书发出之日暨中标结果公告</w:t>
      </w:r>
      <w:r>
        <w:rPr>
          <w:rFonts w:ascii="宋体" w:hAnsi="宋体" w:eastAsia="宋体" w:cs="宋体"/>
          <w:color w:val="auto"/>
          <w:spacing w:val="-6"/>
          <w:sz w:val="28"/>
          <w:szCs w:val="28"/>
          <w:highlight w:val="none"/>
        </w:rPr>
        <w:t>公布之日起5个工作日内无息退还。投标人及时联系保证金收</w:t>
      </w:r>
      <w:r>
        <w:rPr>
          <w:rFonts w:ascii="宋体" w:hAnsi="宋体" w:eastAsia="宋体" w:cs="宋体"/>
          <w:color w:val="auto"/>
          <w:spacing w:val="-7"/>
          <w:sz w:val="28"/>
          <w:szCs w:val="28"/>
          <w:highlight w:val="none"/>
        </w:rPr>
        <w:t>受机构</w:t>
      </w:r>
    </w:p>
    <w:p w14:paraId="440B6068">
      <w:pPr>
        <w:spacing w:before="1" w:line="219" w:lineRule="auto"/>
        <w:ind w:left="117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办理退还投标保证金手续。</w:t>
      </w:r>
    </w:p>
    <w:p w14:paraId="5126BBD2">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12.6.3政府采购投标担保函不予退回。</w:t>
      </w:r>
    </w:p>
    <w:p w14:paraId="1A812099">
      <w:pPr>
        <w:spacing w:before="292" w:line="624" w:lineRule="exact"/>
        <w:rPr>
          <w:rFonts w:ascii="宋体" w:hAnsi="宋体" w:eastAsia="宋体" w:cs="宋体"/>
          <w:color w:val="auto"/>
          <w:sz w:val="28"/>
          <w:szCs w:val="28"/>
          <w:highlight w:val="none"/>
        </w:rPr>
      </w:pPr>
      <w:r>
        <w:rPr>
          <w:rFonts w:ascii="宋体" w:hAnsi="宋体" w:eastAsia="宋体" w:cs="宋体"/>
          <w:color w:val="auto"/>
          <w:spacing w:val="-6"/>
          <w:position w:val="26"/>
          <w:sz w:val="28"/>
          <w:szCs w:val="28"/>
          <w:highlight w:val="none"/>
        </w:rPr>
        <w:t>12.7因投标人自身原因导致无法及时退还的，采购人或采购代理机构将不承担</w:t>
      </w:r>
    </w:p>
    <w:p w14:paraId="591F05E6">
      <w:pPr>
        <w:spacing w:before="1" w:line="219" w:lineRule="auto"/>
        <w:ind w:left="110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相应责任。</w:t>
      </w:r>
    </w:p>
    <w:p w14:paraId="1E11C6DF">
      <w:pPr>
        <w:spacing w:before="290" w:line="221" w:lineRule="auto"/>
        <w:outlineLvl w:val="2"/>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13.投标有效期</w:t>
      </w:r>
    </w:p>
    <w:p w14:paraId="22856380">
      <w:pPr>
        <w:spacing w:before="289"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13.1投标应在</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中规定时间内保</w:t>
      </w:r>
      <w:r>
        <w:rPr>
          <w:rFonts w:ascii="宋体" w:hAnsi="宋体" w:eastAsia="宋体" w:cs="宋体"/>
          <w:color w:val="auto"/>
          <w:spacing w:val="-2"/>
          <w:sz w:val="28"/>
          <w:szCs w:val="28"/>
          <w:highlight w:val="none"/>
        </w:rPr>
        <w:t>持有效。投标有效期不满</w:t>
      </w:r>
    </w:p>
    <w:p w14:paraId="6C4447F4">
      <w:pPr>
        <w:spacing w:before="291" w:line="220" w:lineRule="auto"/>
        <w:ind w:left="103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足要求的投标，其投标将被认定为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2BCB2BB0">
      <w:pPr>
        <w:spacing w:before="290" w:line="219" w:lineRule="auto"/>
        <w:jc w:val="right"/>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13.2为保证有充分时间签订合同，采购人或采购代理机构可根据实际</w:t>
      </w:r>
      <w:r>
        <w:rPr>
          <w:rFonts w:ascii="宋体" w:hAnsi="宋体" w:eastAsia="宋体" w:cs="宋体"/>
          <w:color w:val="auto"/>
          <w:spacing w:val="-8"/>
          <w:sz w:val="28"/>
          <w:szCs w:val="28"/>
          <w:highlight w:val="none"/>
        </w:rPr>
        <w:t>情况，</w:t>
      </w:r>
    </w:p>
    <w:p w14:paraId="75F2B508">
      <w:pPr>
        <w:spacing w:before="294" w:line="411" w:lineRule="auto"/>
        <w:ind w:left="1031" w:right="76" w:hanging="2"/>
        <w:jc w:val="both"/>
        <w:rPr>
          <w:rFonts w:ascii="宋体" w:hAnsi="宋体" w:eastAsia="宋体" w:cs="宋体"/>
          <w:color w:val="auto"/>
          <w:sz w:val="28"/>
          <w:szCs w:val="28"/>
          <w:highlight w:val="none"/>
        </w:rPr>
      </w:pPr>
      <w:r>
        <w:rPr>
          <w:rFonts w:ascii="宋体" w:hAnsi="宋体" w:eastAsia="宋体" w:cs="宋体"/>
          <w:color w:val="auto"/>
          <w:sz w:val="28"/>
          <w:szCs w:val="28"/>
          <w:highlight w:val="none"/>
        </w:rPr>
        <w:t>在原投标有效期截止之前，要求投标人延长投标</w:t>
      </w:r>
      <w:r>
        <w:rPr>
          <w:rFonts w:ascii="宋体" w:hAnsi="宋体" w:eastAsia="宋体" w:cs="宋体"/>
          <w:color w:val="auto"/>
          <w:spacing w:val="-1"/>
          <w:sz w:val="28"/>
          <w:szCs w:val="28"/>
          <w:highlight w:val="none"/>
        </w:rPr>
        <w:t>文件的有效期。接受</w:t>
      </w:r>
      <w:r>
        <w:rPr>
          <w:rFonts w:ascii="宋体" w:hAnsi="宋体" w:eastAsia="宋体" w:cs="宋体"/>
          <w:color w:val="auto"/>
          <w:sz w:val="28"/>
          <w:szCs w:val="28"/>
          <w:highlight w:val="none"/>
        </w:rPr>
        <w:t>该要求的投标人将不会被要求和允许修正其</w:t>
      </w:r>
      <w:r>
        <w:rPr>
          <w:rFonts w:ascii="宋体" w:hAnsi="宋体" w:eastAsia="宋体" w:cs="宋体"/>
          <w:color w:val="auto"/>
          <w:spacing w:val="-1"/>
          <w:sz w:val="28"/>
          <w:szCs w:val="28"/>
          <w:highlight w:val="none"/>
        </w:rPr>
        <w:t>投标，且本须知中有关投</w:t>
      </w:r>
      <w:r>
        <w:rPr>
          <w:rFonts w:ascii="宋体" w:hAnsi="宋体" w:eastAsia="宋体" w:cs="宋体"/>
          <w:color w:val="auto"/>
          <w:sz w:val="28"/>
          <w:szCs w:val="28"/>
          <w:highlight w:val="none"/>
        </w:rPr>
        <w:t>标保证金的要求须在延长的有效期内继续有</w:t>
      </w:r>
      <w:r>
        <w:rPr>
          <w:rFonts w:ascii="宋体" w:hAnsi="宋体" w:eastAsia="宋体" w:cs="宋体"/>
          <w:color w:val="auto"/>
          <w:spacing w:val="-1"/>
          <w:sz w:val="28"/>
          <w:szCs w:val="28"/>
          <w:highlight w:val="none"/>
        </w:rPr>
        <w:t>效。投标人可以拒绝延长</w:t>
      </w:r>
      <w:r>
        <w:rPr>
          <w:rFonts w:ascii="宋体" w:hAnsi="宋体" w:eastAsia="宋体" w:cs="宋体"/>
          <w:color w:val="auto"/>
          <w:sz w:val="28"/>
          <w:szCs w:val="28"/>
          <w:highlight w:val="none"/>
        </w:rPr>
        <w:t>投标有效期的要求，其投标保证金将及时按</w:t>
      </w:r>
      <w:r>
        <w:rPr>
          <w:rFonts w:ascii="宋体" w:hAnsi="宋体" w:eastAsia="宋体" w:cs="宋体"/>
          <w:color w:val="auto"/>
          <w:spacing w:val="-1"/>
          <w:sz w:val="28"/>
          <w:szCs w:val="28"/>
          <w:highlight w:val="none"/>
        </w:rPr>
        <w:t>规定无息退还。上述要求</w:t>
      </w:r>
    </w:p>
    <w:p w14:paraId="23B092C6">
      <w:pPr>
        <w:spacing w:before="1" w:line="219" w:lineRule="auto"/>
        <w:ind w:left="103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和答复都应以书面形式提交。</w:t>
      </w:r>
    </w:p>
    <w:p w14:paraId="25A5254B">
      <w:pPr>
        <w:spacing w:before="296" w:line="219" w:lineRule="auto"/>
        <w:rPr>
          <w:rFonts w:ascii="宋体" w:hAnsi="宋体" w:eastAsia="宋体" w:cs="宋体"/>
          <w:color w:val="auto"/>
          <w:sz w:val="28"/>
          <w:szCs w:val="28"/>
          <w:highlight w:val="none"/>
        </w:rPr>
      </w:pPr>
      <w:r>
        <w:rPr>
          <w:rFonts w:ascii="宋体" w:hAnsi="宋体" w:eastAsia="宋体" w:cs="宋体"/>
          <w:color w:val="auto"/>
          <w:sz w:val="28"/>
          <w:szCs w:val="28"/>
          <w:highlight w:val="none"/>
        </w:rPr>
        <w:t>14.投标</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文件的签署及规定（电子投标以政采云系统</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生成格式为准）</w:t>
      </w:r>
    </w:p>
    <w:p w14:paraId="1878219D">
      <w:pPr>
        <w:spacing w:before="292" w:line="219" w:lineRule="auto"/>
        <w:rPr>
          <w:rFonts w:ascii="宋体" w:hAnsi="宋体" w:eastAsia="宋体" w:cs="宋体"/>
          <w:color w:val="auto"/>
          <w:sz w:val="28"/>
          <w:szCs w:val="28"/>
          <w:highlight w:val="none"/>
        </w:rPr>
      </w:pPr>
      <w:r>
        <w:rPr>
          <w:rFonts w:ascii="宋体" w:hAnsi="宋体" w:eastAsia="宋体" w:cs="宋体"/>
          <w:color w:val="auto"/>
          <w:sz w:val="28"/>
          <w:szCs w:val="28"/>
          <w:highlight w:val="none"/>
        </w:rPr>
        <w:t>14.1</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投标人应按投标人须知资料表中的规定，准备和递交（加密</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上传）电</w:t>
      </w:r>
    </w:p>
    <w:p w14:paraId="2EA174B6">
      <w:pPr>
        <w:spacing w:before="292" w:line="220" w:lineRule="auto"/>
        <w:ind w:left="103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子投标文件。</w:t>
      </w:r>
    </w:p>
    <w:p w14:paraId="34F6D360">
      <w:pPr>
        <w:spacing w:before="291" w:line="219" w:lineRule="auto"/>
        <w:rPr>
          <w:rFonts w:ascii="宋体" w:hAnsi="宋体" w:eastAsia="宋体" w:cs="宋体"/>
          <w:color w:val="auto"/>
          <w:spacing w:val="-2"/>
          <w:sz w:val="28"/>
          <w:szCs w:val="28"/>
          <w:highlight w:val="none"/>
        </w:rPr>
      </w:pPr>
      <w:r>
        <w:rPr>
          <w:rFonts w:ascii="宋体" w:hAnsi="宋体" w:eastAsia="宋体" w:cs="宋体"/>
          <w:color w:val="auto"/>
          <w:spacing w:val="-1"/>
          <w:sz w:val="28"/>
          <w:szCs w:val="28"/>
          <w:highlight w:val="none"/>
        </w:rPr>
        <w:t>14.2所有投标文件应按照招标文件规定的</w:t>
      </w:r>
      <w:r>
        <w:rPr>
          <w:rFonts w:ascii="宋体" w:hAnsi="宋体" w:eastAsia="宋体" w:cs="宋体"/>
          <w:color w:val="auto"/>
          <w:spacing w:val="-2"/>
          <w:sz w:val="28"/>
          <w:szCs w:val="28"/>
          <w:highlight w:val="none"/>
        </w:rPr>
        <w:t>格式填写、签署和盖章。</w:t>
      </w:r>
    </w:p>
    <w:p w14:paraId="031F0A4C">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14.3投标文件因字迹潦草、表达不清或未按照招标文件规定的格式填写、签</w:t>
      </w:r>
    </w:p>
    <w:p w14:paraId="4749EA67">
      <w:pPr>
        <w:spacing w:before="290" w:line="219" w:lineRule="auto"/>
        <w:ind w:left="104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署和盖章所引起的后果由投标人负责。</w:t>
      </w:r>
    </w:p>
    <w:p w14:paraId="6DAE2D0A">
      <w:pPr>
        <w:spacing w:before="91" w:line="220" w:lineRule="auto"/>
        <w:ind w:left="3988"/>
        <w:outlineLvl w:val="1"/>
        <w:rPr>
          <w:rFonts w:ascii="宋体" w:hAnsi="宋体" w:eastAsia="宋体" w:cs="宋体"/>
          <w:color w:val="auto"/>
          <w:sz w:val="28"/>
          <w:szCs w:val="28"/>
          <w:highlight w:val="none"/>
        </w:rPr>
      </w:pPr>
      <w:bookmarkStart w:id="4" w:name="bookmark5"/>
      <w:bookmarkEnd w:id="4"/>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四</w:t>
      </w:r>
      <w:r>
        <w:rPr>
          <w:rFonts w:hint="eastAsia" w:ascii="宋体" w:hAnsi="宋体" w:eastAsia="宋体" w:cs="宋体"/>
          <w:color w:val="auto"/>
          <w:spacing w:val="-4"/>
          <w:sz w:val="28"/>
          <w:szCs w:val="28"/>
          <w:highlight w:val="none"/>
          <w:lang w:eastAsia="zh-CN"/>
          <w14:textOutline w14:w="5103" w14:cap="sq" w14:cmpd="sng">
            <w14:solidFill>
              <w14:srgbClr w14:val="000000"/>
            </w14:solidFill>
            <w14:prstDash w14:val="solid"/>
            <w14:bevel/>
          </w14:textOutline>
        </w:rPr>
        <w:t>、</w:t>
      </w: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投标文件的递交</w:t>
      </w:r>
    </w:p>
    <w:p w14:paraId="4534F65A">
      <w:pPr>
        <w:spacing w:line="273" w:lineRule="auto"/>
        <w:rPr>
          <w:rFonts w:ascii="Arial"/>
          <w:color w:val="auto"/>
          <w:sz w:val="21"/>
          <w:highlight w:val="none"/>
        </w:rPr>
      </w:pPr>
    </w:p>
    <w:p w14:paraId="6BB1C7FB">
      <w:pPr>
        <w:spacing w:before="91" w:line="219" w:lineRule="auto"/>
        <w:ind w:left="18"/>
        <w:outlineLvl w:val="2"/>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15.投标文件的密封和标记</w:t>
      </w:r>
      <w:r>
        <w:rPr>
          <w:rFonts w:ascii="宋体" w:hAnsi="宋体" w:eastAsia="宋体" w:cs="宋体"/>
          <w:color w:val="auto"/>
          <w:sz w:val="28"/>
          <w:szCs w:val="28"/>
          <w:highlight w:val="none"/>
          <w:u w:val="single" w:color="000000"/>
          <w14:textOutline w14:w="5103" w14:cap="sq" w14:cmpd="sng">
            <w14:solidFill>
              <w14:srgbClr w14:val="000000"/>
            </w14:solidFill>
            <w14:prstDash w14:val="solid"/>
            <w14:bevel/>
          </w14:textOutline>
        </w:rPr>
        <w:t>（电子投标以政采云系统生成格式为准）</w:t>
      </w:r>
    </w:p>
    <w:p w14:paraId="5E0A45A4">
      <w:pPr>
        <w:spacing w:before="294" w:line="411" w:lineRule="auto"/>
        <w:ind w:left="834" w:right="2" w:hanging="816"/>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15.1</w:t>
      </w: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为方便评审及进行资格审查，投标人应完整地按招标文件</w:t>
      </w:r>
      <w:r>
        <w:rPr>
          <w:rFonts w:ascii="宋体" w:hAnsi="宋体" w:eastAsia="宋体" w:cs="宋体"/>
          <w:color w:val="auto"/>
          <w:spacing w:val="-4"/>
          <w:sz w:val="28"/>
          <w:szCs w:val="28"/>
          <w:highlight w:val="none"/>
          <w:u w:val="single" w:color="000000"/>
          <w14:textOutline w14:w="5103" w14:cap="sq" w14:cmpd="sng">
            <w14:solidFill>
              <w14:srgbClr w14:val="000000"/>
            </w14:solidFill>
            <w14:prstDash w14:val="solid"/>
            <w14:bevel/>
          </w14:textOutline>
        </w:rPr>
        <w:t>提供的投标文</w:t>
      </w: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件格式及要求编写投标文件，投标人须在投标截止时间前完成在系统上</w:t>
      </w:r>
      <w:r>
        <w:rPr>
          <w:rFonts w:ascii="宋体" w:hAnsi="宋体" w:eastAsia="宋体" w:cs="宋体"/>
          <w:color w:val="auto"/>
          <w:spacing w:val="1"/>
          <w:sz w:val="28"/>
          <w:szCs w:val="28"/>
          <w:highlight w:val="none"/>
          <w:u w:val="single" w:color="000000"/>
          <w14:textOutline w14:w="5103" w14:cap="sq" w14:cmpd="sng">
            <w14:solidFill>
              <w14:srgbClr w14:val="000000"/>
            </w14:solidFill>
            <w14:prstDash w14:val="solid"/>
            <w14:bevel/>
          </w14:textOutline>
        </w:rPr>
        <w:t>传递交电子投标文件。投标人的电子投标文件是经过</w:t>
      </w:r>
      <w:r>
        <w:rPr>
          <w:rFonts w:ascii="宋体" w:hAnsi="宋体" w:eastAsia="宋体" w:cs="宋体"/>
          <w:color w:val="auto"/>
          <w:sz w:val="28"/>
          <w:szCs w:val="28"/>
          <w:highlight w:val="none"/>
          <w:u w:val="single" w:color="000000"/>
          <w14:textOutline w14:w="5103" w14:cap="sq" w14:cmpd="sng">
            <w14:solidFill>
              <w14:srgbClr w14:val="000000"/>
            </w14:solidFill>
            <w14:prstDash w14:val="solid"/>
            <w14:bevel/>
          </w14:textOutline>
        </w:rPr>
        <w:t>CA</w:t>
      </w:r>
      <w:r>
        <w:rPr>
          <w:rFonts w:ascii="宋体" w:hAnsi="宋体" w:eastAsia="宋体" w:cs="宋体"/>
          <w:color w:val="auto"/>
          <w:spacing w:val="1"/>
          <w:sz w:val="28"/>
          <w:szCs w:val="28"/>
          <w:highlight w:val="none"/>
          <w:u w:val="single" w:color="000000"/>
          <w14:textOutline w14:w="5103" w14:cap="sq" w14:cmpd="sng">
            <w14:solidFill>
              <w14:srgbClr w14:val="000000"/>
            </w14:solidFill>
            <w14:prstDash w14:val="solid"/>
            <w14:bevel/>
          </w14:textOutline>
        </w:rPr>
        <w:t>证书加密后上</w:t>
      </w:r>
      <w:r>
        <w:rPr>
          <w:rFonts w:ascii="宋体" w:hAnsi="宋体" w:eastAsia="宋体" w:cs="宋体"/>
          <w:color w:val="auto"/>
          <w:spacing w:val="6"/>
          <w:sz w:val="28"/>
          <w:szCs w:val="28"/>
          <w:highlight w:val="none"/>
          <w:u w:val="single" w:color="000000"/>
          <w14:textOutline w14:w="5103" w14:cap="sq" w14:cmpd="sng">
            <w14:solidFill>
              <w14:srgbClr w14:val="000000"/>
            </w14:solidFill>
            <w14:prstDash w14:val="solid"/>
            <w14:bevel/>
          </w14:textOutline>
        </w:rPr>
        <w:t>传提交的，任何单位或个人均无法在投标截止时间(即投标截止时间)</w:t>
      </w: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之前查看或篡改，不存在泄密风险。（严格按照政采云电子投标流程制</w:t>
      </w:r>
    </w:p>
    <w:p w14:paraId="210405C3">
      <w:pPr>
        <w:spacing w:before="1" w:line="219" w:lineRule="auto"/>
        <w:ind w:left="838"/>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作并上传电子投标文件）。</w:t>
      </w:r>
    </w:p>
    <w:p w14:paraId="11C24984">
      <w:pPr>
        <w:spacing w:before="291" w:line="624" w:lineRule="exact"/>
        <w:jc w:val="right"/>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15.2投标人因自身原因导致电子投标文件无法导入电子评标系统的，该投标</w:t>
      </w:r>
    </w:p>
    <w:p w14:paraId="737DB719">
      <w:pPr>
        <w:spacing w:before="2"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文件视为无效文件。</w:t>
      </w:r>
    </w:p>
    <w:p w14:paraId="3042A259">
      <w:pPr>
        <w:spacing w:before="291" w:line="411" w:lineRule="auto"/>
        <w:ind w:left="24" w:hanging="6"/>
        <w:jc w:val="both"/>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15.3电子投标文件具有法律效力,与其他形式的投标文件在内容和格式上等</w:t>
      </w:r>
      <w:r>
        <w:rPr>
          <w:rFonts w:ascii="宋体" w:hAnsi="宋体" w:eastAsia="宋体" w:cs="宋体"/>
          <w:color w:val="auto"/>
          <w:spacing w:val="-3"/>
          <w:sz w:val="28"/>
          <w:szCs w:val="28"/>
          <w:highlight w:val="none"/>
        </w:rPr>
        <w:t>同，若投标文件与招标文件要求不一致，其内容影响成交结果时，责</w:t>
      </w:r>
      <w:r>
        <w:rPr>
          <w:rFonts w:ascii="宋体" w:hAnsi="宋体" w:eastAsia="宋体" w:cs="宋体"/>
          <w:color w:val="auto"/>
          <w:spacing w:val="-4"/>
          <w:sz w:val="28"/>
          <w:szCs w:val="28"/>
          <w:highlight w:val="none"/>
        </w:rPr>
        <w:t>任由投标</w:t>
      </w:r>
    </w:p>
    <w:p w14:paraId="4453A45A">
      <w:pPr>
        <w:spacing w:before="2"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单位自行承担。</w:t>
      </w:r>
    </w:p>
    <w:p w14:paraId="24800C82">
      <w:pPr>
        <w:spacing w:before="290" w:line="221" w:lineRule="auto"/>
        <w:ind w:left="18"/>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16.投标截止</w:t>
      </w:r>
    </w:p>
    <w:p w14:paraId="1F1D09EC">
      <w:pPr>
        <w:spacing w:before="289" w:line="220" w:lineRule="auto"/>
        <w:ind w:right="2"/>
        <w:jc w:val="right"/>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16.1</w:t>
      </w:r>
      <w:r>
        <w:rPr>
          <w:rFonts w:ascii="宋体" w:hAnsi="宋体" w:eastAsia="宋体" w:cs="宋体"/>
          <w:color w:val="auto"/>
          <w:spacing w:val="1"/>
          <w:sz w:val="28"/>
          <w:szCs w:val="28"/>
          <w:highlight w:val="none"/>
          <w:u w:val="single" w:color="000000"/>
          <w14:textOutline w14:w="5103" w14:cap="sq" w14:cmpd="sng">
            <w14:solidFill>
              <w14:srgbClr w14:val="000000"/>
            </w14:solidFill>
            <w14:prstDash w14:val="solid"/>
            <w14:bevel/>
          </w14:textOutline>
        </w:rPr>
        <w:t>投标人应在投标人须知资料表中规定的</w:t>
      </w:r>
      <w:r>
        <w:rPr>
          <w:rFonts w:ascii="宋体" w:hAnsi="宋体" w:eastAsia="宋体" w:cs="宋体"/>
          <w:color w:val="auto"/>
          <w:sz w:val="28"/>
          <w:szCs w:val="28"/>
          <w:highlight w:val="none"/>
          <w:u w:val="single" w:color="000000"/>
          <w14:textOutline w14:w="5103" w14:cap="sq" w14:cmpd="sng">
            <w14:solidFill>
              <w14:srgbClr w14:val="000000"/>
            </w14:solidFill>
            <w14:prstDash w14:val="solid"/>
            <w14:bevel/>
          </w14:textOutline>
        </w:rPr>
        <w:t>截止时间前，将投标文件递交</w:t>
      </w:r>
    </w:p>
    <w:p w14:paraId="368597A3">
      <w:pPr>
        <w:spacing w:before="291" w:line="411" w:lineRule="auto"/>
        <w:ind w:right="2"/>
        <w:jc w:val="right"/>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到采购公告中规定的地点。解密时间30分钟，逾</w:t>
      </w:r>
      <w:r>
        <w:rPr>
          <w:rFonts w:ascii="宋体" w:hAnsi="宋体" w:eastAsia="宋体" w:cs="宋体"/>
          <w:color w:val="auto"/>
          <w:spacing w:val="2"/>
          <w:sz w:val="28"/>
          <w:szCs w:val="28"/>
          <w:highlight w:val="none"/>
          <w:u w:val="single" w:color="000000"/>
          <w14:textOutline w14:w="5103" w14:cap="sq" w14:cmpd="sng">
            <w14:solidFill>
              <w14:srgbClr w14:val="000000"/>
            </w14:solidFill>
            <w14:prstDash w14:val="solid"/>
            <w14:bevel/>
          </w14:textOutline>
        </w:rPr>
        <w:t>期未解密的视为投</w:t>
      </w:r>
    </w:p>
    <w:p w14:paraId="4C223B17">
      <w:pPr>
        <w:spacing w:before="1" w:line="220" w:lineRule="auto"/>
        <w:ind w:left="1050"/>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u w:val="single" w:color="000000"/>
          <w14:textOutline w14:w="5103" w14:cap="sq" w14:cmpd="sng">
            <w14:solidFill>
              <w14:srgbClr w14:val="000000"/>
            </w14:solidFill>
            <w14:prstDash w14:val="solid"/>
            <w14:bevel/>
          </w14:textOutline>
        </w:rPr>
        <w:t>标无效。</w:t>
      </w:r>
    </w:p>
    <w:p w14:paraId="5A2C23DC">
      <w:pPr>
        <w:spacing w:before="290" w:line="219" w:lineRule="auto"/>
        <w:jc w:val="right"/>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16.2采购人和采购代理机构有权按本须知的规定，延迟投标截止时间。在</w:t>
      </w:r>
    </w:p>
    <w:p w14:paraId="6F487889">
      <w:pPr>
        <w:spacing w:before="291" w:line="219" w:lineRule="auto"/>
        <w:jc w:val="right"/>
        <w:rPr>
          <w:rFonts w:ascii="宋体" w:hAnsi="宋体" w:eastAsia="宋体" w:cs="宋体"/>
          <w:color w:val="auto"/>
          <w:sz w:val="28"/>
          <w:szCs w:val="28"/>
          <w:highlight w:val="none"/>
        </w:rPr>
      </w:pPr>
      <w:r>
        <w:rPr>
          <w:rFonts w:ascii="宋体" w:hAnsi="宋体" w:eastAsia="宋体" w:cs="宋体"/>
          <w:color w:val="auto"/>
          <w:sz w:val="28"/>
          <w:szCs w:val="28"/>
          <w:highlight w:val="none"/>
        </w:rPr>
        <w:t>此情况下，采购人、采购代理机构和投标人</w:t>
      </w:r>
      <w:r>
        <w:rPr>
          <w:rFonts w:ascii="宋体" w:hAnsi="宋体" w:eastAsia="宋体" w:cs="宋体"/>
          <w:color w:val="auto"/>
          <w:spacing w:val="-1"/>
          <w:sz w:val="28"/>
          <w:szCs w:val="28"/>
          <w:highlight w:val="none"/>
        </w:rPr>
        <w:t>受投标截止时间制约的所</w:t>
      </w:r>
    </w:p>
    <w:p w14:paraId="357F6DBC">
      <w:pPr>
        <w:spacing w:line="219" w:lineRule="auto"/>
        <w:rPr>
          <w:rFonts w:ascii="宋体" w:hAnsi="宋体" w:eastAsia="宋体" w:cs="宋体"/>
          <w:color w:val="auto"/>
          <w:sz w:val="28"/>
          <w:szCs w:val="28"/>
          <w:highlight w:val="none"/>
        </w:rPr>
        <w:sectPr>
          <w:footerReference r:id="rId9" w:type="default"/>
          <w:pgSz w:w="11906" w:h="16839"/>
          <w:pgMar w:top="1172" w:right="1319" w:bottom="1171" w:left="1146" w:header="0" w:footer="992" w:gutter="0"/>
          <w:pgBorders>
            <w:top w:val="none" w:sz="0" w:space="0"/>
            <w:left w:val="none" w:sz="0" w:space="0"/>
            <w:bottom w:val="none" w:sz="0" w:space="0"/>
            <w:right w:val="none" w:sz="0" w:space="0"/>
          </w:pgBorders>
          <w:pgNumType w:fmt="decimal"/>
          <w:cols w:space="720" w:num="1"/>
        </w:sectPr>
      </w:pPr>
    </w:p>
    <w:p w14:paraId="0BD4AA47">
      <w:pPr>
        <w:spacing w:before="56" w:line="220" w:lineRule="auto"/>
        <w:ind w:left="103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有权利和义务均应延长至新的截止时间。</w:t>
      </w:r>
    </w:p>
    <w:p w14:paraId="32146C9E">
      <w:pPr>
        <w:spacing w:before="290" w:line="219" w:lineRule="auto"/>
        <w:jc w:val="right"/>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16.3采购人和采购代理机构将拒绝接收在投标截止时间后上传的投标文件。</w:t>
      </w:r>
    </w:p>
    <w:p w14:paraId="765CF21C">
      <w:pPr>
        <w:spacing w:before="291" w:line="220"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17.投标文件的接收、修改与撤回</w:t>
      </w:r>
    </w:p>
    <w:p w14:paraId="2B7B200A">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17.1在投标截止时间后上传投标文件的，采购人和采购代理机构将</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拒绝接</w:t>
      </w:r>
    </w:p>
    <w:p w14:paraId="479DDB1D">
      <w:pPr>
        <w:spacing w:before="291" w:line="220" w:lineRule="auto"/>
        <w:ind w:left="1040"/>
        <w:rPr>
          <w:rFonts w:ascii="宋体" w:hAnsi="宋体" w:eastAsia="宋体" w:cs="宋体"/>
          <w:color w:val="auto"/>
          <w:sz w:val="28"/>
          <w:szCs w:val="28"/>
          <w:highlight w:val="none"/>
        </w:rPr>
      </w:pPr>
      <w:r>
        <w:rPr>
          <w:rFonts w:ascii="宋体" w:hAnsi="宋体" w:eastAsia="宋体" w:cs="宋体"/>
          <w:color w:val="auto"/>
          <w:spacing w:val="-10"/>
          <w:sz w:val="28"/>
          <w:szCs w:val="28"/>
          <w:highlight w:val="none"/>
          <w14:textOutline w14:w="5103" w14:cap="sq" w14:cmpd="sng">
            <w14:solidFill>
              <w14:srgbClr w14:val="000000"/>
            </w14:solidFill>
            <w14:prstDash w14:val="solid"/>
            <w14:bevel/>
          </w14:textOutline>
        </w:rPr>
        <w:t>收</w:t>
      </w:r>
      <w:r>
        <w:rPr>
          <w:rFonts w:ascii="宋体" w:hAnsi="宋体" w:eastAsia="宋体" w:cs="宋体"/>
          <w:color w:val="auto"/>
          <w:spacing w:val="-10"/>
          <w:sz w:val="28"/>
          <w:szCs w:val="28"/>
          <w:highlight w:val="none"/>
        </w:rPr>
        <w:t>。</w:t>
      </w:r>
    </w:p>
    <w:p w14:paraId="1349C523">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17.2采购人或者采购代理机构收到投标文件后，应当如实记载投标文件的</w:t>
      </w:r>
    </w:p>
    <w:p w14:paraId="343DA55B">
      <w:pPr>
        <w:spacing w:before="291" w:line="221" w:lineRule="auto"/>
        <w:ind w:left="102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送达时间和密封情况。</w:t>
      </w:r>
    </w:p>
    <w:p w14:paraId="4C3D0E78">
      <w:pPr>
        <w:spacing w:before="289"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17.3递交投标文件以后，如果投标人要进行修改或撤</w:t>
      </w:r>
      <w:r>
        <w:rPr>
          <w:rFonts w:ascii="宋体" w:hAnsi="宋体" w:eastAsia="宋体" w:cs="宋体"/>
          <w:color w:val="auto"/>
          <w:spacing w:val="-2"/>
          <w:sz w:val="28"/>
          <w:szCs w:val="28"/>
          <w:highlight w:val="none"/>
        </w:rPr>
        <w:t>回投标，须提出书面</w:t>
      </w:r>
    </w:p>
    <w:p w14:paraId="31E77C6F">
      <w:pPr>
        <w:spacing w:before="292" w:line="219" w:lineRule="auto"/>
        <w:ind w:left="106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申请并在投标截止时间前上传至</w:t>
      </w: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新疆政采云平台</w:t>
      </w:r>
    </w:p>
    <w:p w14:paraId="118C2266">
      <w:pPr>
        <w:spacing w:before="293" w:line="411" w:lineRule="auto"/>
        <w:ind w:left="1031" w:right="91" w:hanging="4"/>
        <w:jc w:val="both"/>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https://www.zcygov.cn</w:t>
      </w:r>
      <w:r>
        <w:rPr>
          <w:rFonts w:ascii="宋体" w:hAnsi="宋体" w:eastAsia="宋体" w:cs="宋体"/>
          <w:color w:val="auto"/>
          <w:sz w:val="28"/>
          <w:szCs w:val="28"/>
          <w:highlight w:val="none"/>
        </w:rPr>
        <w:t>，投标人对投标文件的修改或撤回通知应按</w:t>
      </w:r>
      <w:r>
        <w:rPr>
          <w:rFonts w:ascii="宋体" w:hAnsi="宋体" w:eastAsia="宋体" w:cs="宋体"/>
          <w:color w:val="auto"/>
          <w:spacing w:val="-3"/>
          <w:sz w:val="28"/>
          <w:szCs w:val="28"/>
          <w:highlight w:val="none"/>
        </w:rPr>
        <w:t>本须知规定编制、密封、标记。采购人和采购代理机构将予以接收，</w:t>
      </w:r>
    </w:p>
    <w:p w14:paraId="1E7961EA">
      <w:pPr>
        <w:spacing w:before="2" w:line="219" w:lineRule="auto"/>
        <w:ind w:left="103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并视为投标文件的组成部分。</w:t>
      </w:r>
    </w:p>
    <w:p w14:paraId="287C7367">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17.4在投标截止期之后，采购人和采购代理机构不接受投标人主动对其投</w:t>
      </w:r>
    </w:p>
    <w:p w14:paraId="714E1051">
      <w:pPr>
        <w:spacing w:before="292" w:line="220" w:lineRule="auto"/>
        <w:ind w:left="103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标文件做任何修改。</w:t>
      </w:r>
    </w:p>
    <w:p w14:paraId="7FCA92D5">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17.5采购人和采购代理机构对所接收投标文件概不退回。</w:t>
      </w:r>
    </w:p>
    <w:p w14:paraId="1649A523">
      <w:pPr>
        <w:spacing w:before="92" w:line="221" w:lineRule="auto"/>
        <w:ind w:left="4229"/>
        <w:outlineLvl w:val="1"/>
        <w:rPr>
          <w:rFonts w:ascii="宋体" w:hAnsi="宋体" w:eastAsia="宋体" w:cs="宋体"/>
          <w:color w:val="auto"/>
          <w:sz w:val="28"/>
          <w:szCs w:val="28"/>
          <w:highlight w:val="none"/>
        </w:rPr>
      </w:pPr>
      <w:bookmarkStart w:id="5" w:name="bookmark6"/>
      <w:bookmarkEnd w:id="5"/>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五</w:t>
      </w:r>
      <w:r>
        <w:rPr>
          <w:rFonts w:hint="eastAsia" w:ascii="宋体" w:hAnsi="宋体" w:eastAsia="宋体" w:cs="宋体"/>
          <w:color w:val="auto"/>
          <w:spacing w:val="-2"/>
          <w:sz w:val="28"/>
          <w:szCs w:val="28"/>
          <w:highlight w:val="none"/>
          <w:lang w:eastAsia="zh-CN"/>
          <w14:textOutline w14:w="5103" w14:cap="sq" w14:cmpd="sng">
            <w14:solidFill>
              <w14:srgbClr w14:val="000000"/>
            </w14:solidFill>
            <w14:prstDash w14:val="solid"/>
            <w14:bevel/>
          </w14:textOutline>
        </w:rPr>
        <w:t>、</w:t>
      </w: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开标及评标</w:t>
      </w:r>
    </w:p>
    <w:p w14:paraId="2DD638B1">
      <w:pPr>
        <w:spacing w:line="272" w:lineRule="auto"/>
        <w:rPr>
          <w:rFonts w:ascii="Arial"/>
          <w:color w:val="auto"/>
          <w:sz w:val="21"/>
          <w:highlight w:val="none"/>
        </w:rPr>
      </w:pPr>
    </w:p>
    <w:p w14:paraId="7E72A6D1">
      <w:pPr>
        <w:spacing w:before="92" w:line="221" w:lineRule="auto"/>
        <w:outlineLvl w:val="2"/>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14:textOutline w14:w="5103" w14:cap="sq" w14:cmpd="sng">
            <w14:solidFill>
              <w14:srgbClr w14:val="000000"/>
            </w14:solidFill>
            <w14:prstDash w14:val="solid"/>
            <w14:bevel/>
          </w14:textOutline>
        </w:rPr>
        <w:t>18.开标</w:t>
      </w:r>
    </w:p>
    <w:p w14:paraId="7BAD5F57">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18.1采购人和采购代理机构将按</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中规定的开标时间和地</w:t>
      </w:r>
    </w:p>
    <w:p w14:paraId="0AEA1274">
      <w:pPr>
        <w:spacing w:before="291" w:line="624" w:lineRule="exact"/>
        <w:ind w:left="1044"/>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点组织公开开标并邀请所有投标人代表参加。</w:t>
      </w:r>
    </w:p>
    <w:p w14:paraId="24313276">
      <w:pPr>
        <w:spacing w:before="2" w:line="219" w:lineRule="auto"/>
        <w:ind w:left="1103"/>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投标人不足3家的，不得开标。</w:t>
      </w:r>
    </w:p>
    <w:p w14:paraId="1CF4DAFA">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18.2</w:t>
      </w:r>
      <w:r>
        <w:rPr>
          <w:rFonts w:ascii="宋体" w:hAnsi="宋体" w:eastAsia="宋体" w:cs="宋体"/>
          <w:color w:val="auto"/>
          <w:spacing w:val="1"/>
          <w:sz w:val="28"/>
          <w:szCs w:val="28"/>
          <w:highlight w:val="none"/>
          <w:u w:val="single" w:color="000000"/>
          <w14:textOutline w14:w="5103" w14:cap="sq" w14:cmpd="sng">
            <w14:solidFill>
              <w14:srgbClr w14:val="000000"/>
            </w14:solidFill>
            <w14:prstDash w14:val="solid"/>
            <w14:bevel/>
          </w14:textOutline>
        </w:rPr>
        <w:t>本项目实行电子投标文件，电子投标文件</w:t>
      </w:r>
      <w:r>
        <w:rPr>
          <w:rFonts w:ascii="宋体" w:hAnsi="宋体" w:eastAsia="宋体" w:cs="宋体"/>
          <w:color w:val="auto"/>
          <w:sz w:val="28"/>
          <w:szCs w:val="28"/>
          <w:highlight w:val="none"/>
          <w:u w:val="single" w:color="000000"/>
          <w14:textOutline w14:w="5103" w14:cap="sq" w14:cmpd="sng">
            <w14:solidFill>
              <w14:srgbClr w14:val="000000"/>
            </w14:solidFill>
            <w14:prstDash w14:val="solid"/>
            <w14:bevel/>
          </w14:textOutline>
        </w:rPr>
        <w:t>的有关要求按投标人须知资</w:t>
      </w: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料表要求，投标人应该使用投标人CA锁对电子投标文件加密，否则，其投标文件将被拒绝评审。开标时，投标人必须使用加密该文件的CA</w:t>
      </w:r>
      <w:r>
        <w:rPr>
          <w:rFonts w:ascii="宋体" w:hAnsi="宋体" w:eastAsia="宋体" w:cs="宋体"/>
          <w:color w:val="auto"/>
          <w:spacing w:val="-1"/>
          <w:sz w:val="28"/>
          <w:szCs w:val="28"/>
          <w:highlight w:val="none"/>
          <w:u w:val="single" w:color="000000"/>
          <w14:textOutline w14:w="5103" w14:cap="sq" w14:cmpd="sng">
            <w14:solidFill>
              <w14:srgbClr w14:val="000000"/>
            </w14:solidFill>
            <w14:prstDash w14:val="solid"/>
            <w14:bevel/>
          </w14:textOutline>
        </w:rPr>
        <w:t>锁，以便开标时对其电子投标文件进行解密，由于投标人自身原因未能成功导入评标系统的，均视为不响应招标文件，其投标文件将被拒绝评审。未按规定时间在招标文件要求的开评标系统解密成功的电子</w:t>
      </w:r>
    </w:p>
    <w:p w14:paraId="4015A3C3">
      <w:pPr>
        <w:spacing w:before="1" w:line="219" w:lineRule="auto"/>
        <w:ind w:left="1033"/>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u w:val="single" w:color="000000"/>
          <w14:textOutline w14:w="5103" w14:cap="sq" w14:cmpd="sng">
            <w14:solidFill>
              <w14:srgbClr w14:val="000000"/>
            </w14:solidFill>
            <w14:prstDash w14:val="solid"/>
            <w14:bevel/>
          </w14:textOutline>
        </w:rPr>
        <w:t>投标文件无效。</w:t>
      </w:r>
    </w:p>
    <w:p w14:paraId="3DA20BDF">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18.3</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投标人在规定时间内对投标文件进行解密，时长为30分</w:t>
      </w: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钟。</w:t>
      </w:r>
    </w:p>
    <w:p w14:paraId="19966629">
      <w:pPr>
        <w:spacing w:before="289" w:line="21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18.4</w:t>
      </w: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由采购代理机构开启开标记录，须投标人在政采云平台对报价进行签字</w:t>
      </w:r>
    </w:p>
    <w:p w14:paraId="4BA78B7A">
      <w:pPr>
        <w:spacing w:before="292" w:line="221" w:lineRule="auto"/>
        <w:ind w:left="1030"/>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确认</w:t>
      </w:r>
      <w:r>
        <w:rPr>
          <w:rFonts w:ascii="宋体" w:hAnsi="宋体" w:eastAsia="宋体" w:cs="宋体"/>
          <w:color w:val="auto"/>
          <w:spacing w:val="-4"/>
          <w:sz w:val="28"/>
          <w:szCs w:val="28"/>
          <w:highlight w:val="none"/>
        </w:rPr>
        <w:t>。</w:t>
      </w:r>
    </w:p>
    <w:p w14:paraId="35426E4B">
      <w:pPr>
        <w:spacing w:before="289" w:line="219"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19.资格审查及组建评标委员会</w:t>
      </w:r>
    </w:p>
    <w:p w14:paraId="03308E91">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19.1采购人或采购代理机构依据法律法规和招标文件中规定的内容，对投标</w:t>
      </w:r>
    </w:p>
    <w:p w14:paraId="7A2772FA">
      <w:pPr>
        <w:spacing w:before="293" w:line="411" w:lineRule="auto"/>
        <w:ind w:left="1104" w:right="279" w:hanging="2"/>
        <w:jc w:val="both"/>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人的资格进行审查。未按要求提供资格审查资料的投标人或其中一项未通过的投标人，将视为资格审查不合格，未能通过资格审查的投标</w:t>
      </w:r>
    </w:p>
    <w:p w14:paraId="536B0D79">
      <w:pPr>
        <w:spacing w:before="1" w:line="219" w:lineRule="auto"/>
        <w:ind w:left="110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人不进入下一阶段的评审，将被认定为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无效投标</w:t>
      </w:r>
      <w:r>
        <w:rPr>
          <w:rFonts w:ascii="宋体" w:hAnsi="宋体" w:eastAsia="宋体" w:cs="宋体"/>
          <w:color w:val="auto"/>
          <w:spacing w:val="-1"/>
          <w:sz w:val="28"/>
          <w:szCs w:val="28"/>
          <w:highlight w:val="none"/>
        </w:rPr>
        <w:t>。</w:t>
      </w:r>
    </w:p>
    <w:p w14:paraId="2951D6C9">
      <w:pPr>
        <w:spacing w:before="291" w:line="220" w:lineRule="auto"/>
        <w:ind w:left="109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通过资格审查的投标单位少于不足三家的，不得评标。</w:t>
      </w:r>
    </w:p>
    <w:p w14:paraId="1C7B2D74">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19.2投标人存在不良信用记录的，其投标将被认定为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004E8058">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19.2.1不良信用记录指：投标人参加采购活动前三年内，被“信用中国”网站</w:t>
      </w:r>
    </w:p>
    <w:p w14:paraId="51F4C81B">
      <w:pPr>
        <w:spacing w:before="293" w:line="411" w:lineRule="auto"/>
        <w:ind w:left="1121" w:hanging="16"/>
        <w:jc w:val="both"/>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列入失信被执行人和重大税收违法失信主体的、被“中国政府采购网”</w:t>
      </w:r>
      <w:r>
        <w:rPr>
          <w:rFonts w:ascii="宋体" w:hAnsi="宋体" w:eastAsia="宋体" w:cs="宋体"/>
          <w:color w:val="auto"/>
          <w:spacing w:val="6"/>
          <w:sz w:val="28"/>
          <w:szCs w:val="28"/>
          <w:highlight w:val="none"/>
        </w:rPr>
        <w:t>网站列入政府采购严重违法失信行为记录名单（处罚期限尚未届满</w:t>
      </w:r>
      <w:r>
        <w:rPr>
          <w:rFonts w:ascii="宋体" w:hAnsi="宋体" w:eastAsia="宋体" w:cs="宋体"/>
          <w:color w:val="auto"/>
          <w:spacing w:val="-3"/>
          <w:sz w:val="28"/>
          <w:szCs w:val="28"/>
          <w:highlight w:val="none"/>
        </w:rPr>
        <w:t>的）的投标人；以及存在《中华人民共和国</w:t>
      </w:r>
      <w:r>
        <w:rPr>
          <w:rFonts w:ascii="宋体" w:hAnsi="宋体" w:eastAsia="宋体" w:cs="宋体"/>
          <w:color w:val="auto"/>
          <w:spacing w:val="-4"/>
          <w:sz w:val="28"/>
          <w:szCs w:val="28"/>
          <w:highlight w:val="none"/>
        </w:rPr>
        <w:t>政府采购法实施条例》第</w:t>
      </w:r>
    </w:p>
    <w:p w14:paraId="75517FCD">
      <w:pPr>
        <w:spacing w:before="2" w:line="219" w:lineRule="auto"/>
        <w:ind w:left="110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十九条规定的行政处罚记录。</w:t>
      </w:r>
    </w:p>
    <w:p w14:paraId="2D694B69">
      <w:pPr>
        <w:spacing w:before="290" w:line="624" w:lineRule="exact"/>
        <w:ind w:left="1141"/>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以联合体形式参加投标的，联合体任何成员存在以上不良信用记录</w:t>
      </w:r>
    </w:p>
    <w:p w14:paraId="1F149C23">
      <w:pPr>
        <w:spacing w:before="1" w:line="219" w:lineRule="auto"/>
        <w:ind w:left="1132"/>
        <w:rPr>
          <w:rFonts w:ascii="宋体" w:hAnsi="宋体" w:eastAsia="宋体" w:cs="宋体"/>
          <w:color w:val="auto"/>
          <w:spacing w:val="-2"/>
          <w:sz w:val="28"/>
          <w:szCs w:val="28"/>
          <w:highlight w:val="none"/>
        </w:rPr>
      </w:pPr>
      <w:r>
        <w:rPr>
          <w:rFonts w:ascii="宋体" w:hAnsi="宋体" w:eastAsia="宋体" w:cs="宋体"/>
          <w:color w:val="auto"/>
          <w:spacing w:val="-2"/>
          <w:sz w:val="28"/>
          <w:szCs w:val="28"/>
          <w:highlight w:val="none"/>
        </w:rPr>
        <w:t>的，联合体投标将被认定为</w:t>
      </w: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2"/>
          <w:sz w:val="28"/>
          <w:szCs w:val="28"/>
          <w:highlight w:val="none"/>
        </w:rPr>
        <w:t>。</w:t>
      </w:r>
    </w:p>
    <w:p w14:paraId="42699566">
      <w:pPr>
        <w:spacing w:before="1" w:line="21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19.2.2查询及记录方式：采购人或采购代理机</w:t>
      </w:r>
      <w:r>
        <w:rPr>
          <w:rFonts w:ascii="宋体" w:hAnsi="宋体" w:eastAsia="宋体" w:cs="宋体"/>
          <w:color w:val="auto"/>
          <w:spacing w:val="2"/>
          <w:sz w:val="28"/>
          <w:szCs w:val="28"/>
          <w:highlight w:val="none"/>
        </w:rPr>
        <w:t>构经办人将查询网页打</w:t>
      </w:r>
      <w:r>
        <w:rPr>
          <w:rFonts w:ascii="宋体" w:hAnsi="宋体" w:eastAsia="宋体" w:cs="宋体"/>
          <w:color w:val="auto"/>
          <w:spacing w:val="3"/>
          <w:sz w:val="28"/>
          <w:szCs w:val="28"/>
          <w:highlight w:val="none"/>
        </w:rPr>
        <w:t>印、签字并存档备查。投标人不良信用记录以采购人或采购代理</w:t>
      </w:r>
      <w:r>
        <w:rPr>
          <w:rFonts w:ascii="宋体" w:hAnsi="宋体" w:eastAsia="宋体" w:cs="宋体"/>
          <w:color w:val="auto"/>
          <w:spacing w:val="2"/>
          <w:sz w:val="28"/>
          <w:szCs w:val="28"/>
          <w:highlight w:val="none"/>
        </w:rPr>
        <w:t>机构</w:t>
      </w:r>
      <w:r>
        <w:rPr>
          <w:rFonts w:ascii="宋体" w:hAnsi="宋体" w:eastAsia="宋体" w:cs="宋体"/>
          <w:color w:val="auto"/>
          <w:spacing w:val="-3"/>
          <w:sz w:val="28"/>
          <w:szCs w:val="28"/>
          <w:highlight w:val="none"/>
        </w:rPr>
        <w:t>查询结果为准。</w:t>
      </w:r>
    </w:p>
    <w:p w14:paraId="4C979A88">
      <w:pPr>
        <w:spacing w:before="91" w:line="624" w:lineRule="exact"/>
        <w:ind w:left="1113"/>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在本招标文件规定的查询时间之后，网站信息发生的任何变更均不再</w:t>
      </w:r>
    </w:p>
    <w:p w14:paraId="6F200EAA">
      <w:pPr>
        <w:spacing w:line="219" w:lineRule="auto"/>
        <w:ind w:left="111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作为评标依据。</w:t>
      </w:r>
    </w:p>
    <w:p w14:paraId="04B011AD">
      <w:pPr>
        <w:spacing w:before="293" w:line="411" w:lineRule="auto"/>
        <w:ind w:left="989" w:right="187" w:hanging="972"/>
        <w:rPr>
          <w:rFonts w:ascii="宋体" w:hAnsi="宋体" w:eastAsia="宋体" w:cs="宋体"/>
          <w:color w:val="auto"/>
          <w:spacing w:val="-5"/>
          <w:sz w:val="28"/>
          <w:szCs w:val="28"/>
          <w:highlight w:val="none"/>
        </w:rPr>
      </w:pPr>
      <w:r>
        <w:rPr>
          <w:rFonts w:ascii="宋体" w:hAnsi="宋体" w:eastAsia="宋体" w:cs="宋体"/>
          <w:color w:val="auto"/>
          <w:spacing w:val="-5"/>
          <w:sz w:val="28"/>
          <w:szCs w:val="28"/>
          <w:highlight w:val="none"/>
        </w:rPr>
        <w:t>19.3按照《中华人民共和国政府采购法》、《中华人民共和国政府采购</w:t>
      </w:r>
      <w:r>
        <w:rPr>
          <w:rFonts w:ascii="宋体" w:hAnsi="宋体" w:eastAsia="宋体" w:cs="宋体"/>
          <w:color w:val="auto"/>
          <w:spacing w:val="-6"/>
          <w:sz w:val="28"/>
          <w:szCs w:val="28"/>
          <w:highlight w:val="none"/>
        </w:rPr>
        <w:t>法实施</w:t>
      </w:r>
      <w:r>
        <w:rPr>
          <w:rFonts w:ascii="宋体" w:hAnsi="宋体" w:eastAsia="宋体" w:cs="宋体"/>
          <w:color w:val="auto"/>
          <w:spacing w:val="-4"/>
          <w:sz w:val="28"/>
          <w:szCs w:val="28"/>
          <w:highlight w:val="none"/>
        </w:rPr>
        <w:t>条例》、中华人民共和国财政部令第87号《政府采购货物和服务招标</w:t>
      </w:r>
      <w:r>
        <w:rPr>
          <w:rFonts w:ascii="宋体" w:hAnsi="宋体" w:eastAsia="宋体" w:cs="宋体"/>
          <w:color w:val="auto"/>
          <w:spacing w:val="1"/>
          <w:sz w:val="28"/>
          <w:szCs w:val="28"/>
          <w:highlight w:val="none"/>
        </w:rPr>
        <w:t>投标管理办法》及本项目本级和上级财政部门的有关规定依法组建的</w:t>
      </w:r>
      <w:r>
        <w:rPr>
          <w:rFonts w:ascii="宋体" w:hAnsi="宋体" w:eastAsia="宋体" w:cs="宋体"/>
          <w:color w:val="auto"/>
          <w:spacing w:val="-8"/>
          <w:sz w:val="28"/>
          <w:szCs w:val="28"/>
          <w:highlight w:val="none"/>
        </w:rPr>
        <w:t>评标委员会，负责本项目评标工作。</w:t>
      </w:r>
      <w:r>
        <w:rPr>
          <w:rFonts w:hint="eastAsia" w:ascii="宋体" w:hAnsi="宋体" w:eastAsia="宋体" w:cs="宋体"/>
          <w:color w:val="auto"/>
          <w:spacing w:val="-5"/>
          <w:sz w:val="28"/>
          <w:szCs w:val="28"/>
          <w:highlight w:val="none"/>
          <w:lang w:eastAsia="zh-CN"/>
        </w:rPr>
        <w:t>本项目评标委员会由5人组成（政采云平台政府采购专家库随机抽取4名，业主专家1名）</w:t>
      </w:r>
      <w:r>
        <w:rPr>
          <w:rFonts w:ascii="宋体" w:hAnsi="宋体" w:eastAsia="宋体" w:cs="宋体"/>
          <w:color w:val="auto"/>
          <w:spacing w:val="-5"/>
          <w:sz w:val="28"/>
          <w:szCs w:val="28"/>
          <w:highlight w:val="none"/>
        </w:rPr>
        <w:t>。</w:t>
      </w:r>
    </w:p>
    <w:p w14:paraId="6182F85B">
      <w:pPr>
        <w:spacing w:before="292" w:line="220" w:lineRule="auto"/>
        <w:outlineLvl w:val="2"/>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20.投标文件的符合性审查与澄清</w:t>
      </w:r>
    </w:p>
    <w:p w14:paraId="3FCE532A">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20.1符合性审查是指依据招标文件的规</w:t>
      </w:r>
      <w:r>
        <w:rPr>
          <w:rFonts w:ascii="宋体" w:hAnsi="宋体" w:eastAsia="宋体" w:cs="宋体"/>
          <w:color w:val="auto"/>
          <w:spacing w:val="1"/>
          <w:sz w:val="28"/>
          <w:szCs w:val="28"/>
          <w:highlight w:val="none"/>
        </w:rPr>
        <w:t>定，从投标文件的有效性和完整性</w:t>
      </w:r>
    </w:p>
    <w:p w14:paraId="2609E245">
      <w:pPr>
        <w:spacing w:before="291" w:line="624" w:lineRule="exact"/>
        <w:ind w:left="1046"/>
        <w:rPr>
          <w:rFonts w:ascii="宋体" w:hAnsi="宋体" w:eastAsia="宋体" w:cs="宋体"/>
          <w:color w:val="auto"/>
          <w:sz w:val="28"/>
          <w:szCs w:val="28"/>
          <w:highlight w:val="none"/>
        </w:rPr>
      </w:pPr>
      <w:r>
        <w:rPr>
          <w:rFonts w:ascii="宋体" w:hAnsi="宋体" w:eastAsia="宋体" w:cs="宋体"/>
          <w:color w:val="auto"/>
          <w:position w:val="26"/>
          <w:sz w:val="28"/>
          <w:szCs w:val="28"/>
          <w:highlight w:val="none"/>
        </w:rPr>
        <w:t>对招标文件的响应程度进行审查，以确定是否对</w:t>
      </w:r>
      <w:r>
        <w:rPr>
          <w:rFonts w:ascii="宋体" w:hAnsi="宋体" w:eastAsia="宋体" w:cs="宋体"/>
          <w:color w:val="auto"/>
          <w:spacing w:val="-1"/>
          <w:position w:val="26"/>
          <w:sz w:val="28"/>
          <w:szCs w:val="28"/>
          <w:highlight w:val="none"/>
        </w:rPr>
        <w:t>招标文件的实质性要</w:t>
      </w:r>
    </w:p>
    <w:p w14:paraId="23DE49C2">
      <w:pPr>
        <w:spacing w:before="2" w:line="219" w:lineRule="auto"/>
        <w:ind w:left="105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求做出响应。</w:t>
      </w:r>
    </w:p>
    <w:p w14:paraId="5AB8F26B">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20.2投标文件的澄清</w:t>
      </w:r>
    </w:p>
    <w:p w14:paraId="6F889A88">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20.2.1在评审期间，评审小组将以书面</w:t>
      </w:r>
      <w:r>
        <w:rPr>
          <w:rFonts w:ascii="宋体" w:hAnsi="宋体" w:eastAsia="宋体" w:cs="宋体"/>
          <w:color w:val="auto"/>
          <w:spacing w:val="1"/>
          <w:sz w:val="28"/>
          <w:szCs w:val="28"/>
          <w:highlight w:val="none"/>
        </w:rPr>
        <w:t>方式要求投标人对其投标文件中含义</w:t>
      </w:r>
    </w:p>
    <w:p w14:paraId="74506E1A">
      <w:pPr>
        <w:spacing w:before="294" w:line="411" w:lineRule="auto"/>
        <w:ind w:left="1047" w:right="187" w:firstLine="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不明确、对同类问题表述不一致或者有明显文字和计算错误的内容，以及评审小组认为投标人的报价明显低于其他通过符合性检查投标人的报价，有可能影响履约的情况作必要的澄清、说明或补正。投标人</w:t>
      </w:r>
      <w:r>
        <w:rPr>
          <w:rFonts w:ascii="宋体" w:hAnsi="宋体" w:eastAsia="宋体" w:cs="宋体"/>
          <w:color w:val="auto"/>
          <w:sz w:val="28"/>
          <w:szCs w:val="28"/>
          <w:highlight w:val="none"/>
        </w:rPr>
        <w:t>澄清、说明或补正。应在评审小组规定的时间</w:t>
      </w:r>
      <w:r>
        <w:rPr>
          <w:rFonts w:ascii="宋体" w:hAnsi="宋体" w:eastAsia="宋体" w:cs="宋体"/>
          <w:color w:val="auto"/>
          <w:spacing w:val="-1"/>
          <w:sz w:val="28"/>
          <w:szCs w:val="28"/>
          <w:highlight w:val="none"/>
        </w:rPr>
        <w:t>内以书面方式进行，并不得超出投标文件范围或者改变投标文件的实质性内容。</w:t>
      </w:r>
    </w:p>
    <w:p w14:paraId="34DB4E9C">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20.2.2投标人的澄清、说明或补正将作为投标文件的一部分。</w:t>
      </w:r>
    </w:p>
    <w:p w14:paraId="2F51D58D">
      <w:pPr>
        <w:spacing w:before="56" w:line="624" w:lineRule="exact"/>
        <w:ind w:right="11"/>
        <w:jc w:val="both"/>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20.3投标文件报价出现前后不一致的，按照下列规定修正：</w:t>
      </w:r>
    </w:p>
    <w:p w14:paraId="2557B7A1">
      <w:pPr>
        <w:spacing w:before="56" w:line="624" w:lineRule="exact"/>
        <w:ind w:right="11"/>
        <w:jc w:val="right"/>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（一）投标文件中开标一览表（报价表）内容与投标文件中相应内容不一</w:t>
      </w:r>
    </w:p>
    <w:p w14:paraId="57A65F96">
      <w:pPr>
        <w:spacing w:line="218" w:lineRule="auto"/>
        <w:ind w:left="118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致的，以开标一览表（报价表）为准；</w:t>
      </w:r>
    </w:p>
    <w:p w14:paraId="5A4BA9B6">
      <w:pPr>
        <w:spacing w:before="292" w:line="220" w:lineRule="auto"/>
        <w:ind w:left="56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（二）大写金额和小写金额不一致的，以大写金额为准；</w:t>
      </w:r>
    </w:p>
    <w:p w14:paraId="225D0154">
      <w:pPr>
        <w:spacing w:before="290" w:line="624" w:lineRule="exact"/>
        <w:ind w:right="25"/>
        <w:jc w:val="right"/>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（三）单价金额小数点或者百分比有明显错位的，以开标一览表的单价为</w:t>
      </w:r>
    </w:p>
    <w:p w14:paraId="6F8CEC6F">
      <w:pPr>
        <w:spacing w:line="218" w:lineRule="auto"/>
        <w:ind w:left="1189"/>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准，并修改总价；</w:t>
      </w:r>
    </w:p>
    <w:p w14:paraId="12677DB5">
      <w:pPr>
        <w:spacing w:before="293" w:line="624" w:lineRule="exact"/>
        <w:jc w:val="right"/>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（四）总价金额与按单价汇总金额不一致的，以单价金额计算结果为准。</w:t>
      </w:r>
    </w:p>
    <w:p w14:paraId="248C9A72">
      <w:pPr>
        <w:spacing w:before="1" w:line="218" w:lineRule="auto"/>
        <w:ind w:right="25"/>
        <w:jc w:val="right"/>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同时出现两种以上不一致的，按照前款规定的</w:t>
      </w:r>
      <w:r>
        <w:rPr>
          <w:rFonts w:ascii="宋体" w:hAnsi="宋体" w:eastAsia="宋体" w:cs="宋体"/>
          <w:color w:val="auto"/>
          <w:spacing w:val="-4"/>
          <w:sz w:val="28"/>
          <w:szCs w:val="28"/>
          <w:highlight w:val="none"/>
        </w:rPr>
        <w:t>顺序修正。修正后的报价按</w:t>
      </w:r>
    </w:p>
    <w:p w14:paraId="27CF646D">
      <w:pPr>
        <w:spacing w:before="292" w:line="624" w:lineRule="exact"/>
        <w:ind w:right="18"/>
        <w:jc w:val="right"/>
        <w:rPr>
          <w:rFonts w:ascii="宋体" w:hAnsi="宋体" w:eastAsia="宋体" w:cs="宋体"/>
          <w:color w:val="auto"/>
          <w:sz w:val="28"/>
          <w:szCs w:val="28"/>
          <w:highlight w:val="none"/>
        </w:rPr>
      </w:pPr>
      <w:r>
        <w:rPr>
          <w:rFonts w:ascii="宋体" w:hAnsi="宋体" w:eastAsia="宋体" w:cs="宋体"/>
          <w:color w:val="auto"/>
          <w:spacing w:val="-6"/>
          <w:position w:val="26"/>
          <w:sz w:val="28"/>
          <w:szCs w:val="28"/>
          <w:highlight w:val="none"/>
        </w:rPr>
        <w:t>照第20.2条的规定经投标人确认后产生约束力，投标人不确认的，将</w:t>
      </w:r>
    </w:p>
    <w:p w14:paraId="2F34F6E7">
      <w:pPr>
        <w:spacing w:before="2" w:line="219" w:lineRule="auto"/>
        <w:ind w:left="104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w:t>
      </w:r>
    </w:p>
    <w:p w14:paraId="4D674D7D">
      <w:pPr>
        <w:spacing w:before="290" w:line="219" w:lineRule="auto"/>
        <w:ind w:left="87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对不同文字文本投标文件的解释发生异议的，以中文文本为准。</w:t>
      </w:r>
    </w:p>
    <w:p w14:paraId="223AA5F2">
      <w:pPr>
        <w:spacing w:before="292" w:line="624" w:lineRule="exact"/>
        <w:rPr>
          <w:rFonts w:ascii="宋体" w:hAnsi="宋体" w:eastAsia="宋体" w:cs="宋体"/>
          <w:color w:val="auto"/>
          <w:sz w:val="28"/>
          <w:szCs w:val="28"/>
          <w:highlight w:val="none"/>
        </w:rPr>
      </w:pPr>
      <w:r>
        <w:rPr>
          <w:rFonts w:ascii="宋体" w:hAnsi="宋体" w:eastAsia="宋体" w:cs="宋体"/>
          <w:color w:val="auto"/>
          <w:spacing w:val="-5"/>
          <w:position w:val="26"/>
          <w:sz w:val="28"/>
          <w:szCs w:val="28"/>
          <w:highlight w:val="none"/>
        </w:rPr>
        <w:t>20.4如一个分包内只有一种产品，不同投标人所投产品为同一品牌的，按如下</w:t>
      </w:r>
    </w:p>
    <w:p w14:paraId="79763C4D">
      <w:pPr>
        <w:spacing w:line="221" w:lineRule="auto"/>
        <w:ind w:left="1048"/>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方式处理：</w:t>
      </w:r>
    </w:p>
    <w:p w14:paraId="41BF2007">
      <w:pPr>
        <w:spacing w:before="291" w:line="411" w:lineRule="auto"/>
        <w:ind w:left="1045" w:right="26" w:hanging="1045"/>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20.4.1如本项目使用最低评标价法，提供相同品牌产品的不同投标人以其中通</w:t>
      </w:r>
      <w:r>
        <w:rPr>
          <w:rFonts w:ascii="宋体" w:hAnsi="宋体" w:eastAsia="宋体" w:cs="宋体"/>
          <w:color w:val="auto"/>
          <w:sz w:val="28"/>
          <w:szCs w:val="28"/>
          <w:highlight w:val="none"/>
        </w:rPr>
        <w:t>过资格审查、符合性审查且报价最低的参加评标；</w:t>
      </w:r>
      <w:r>
        <w:rPr>
          <w:rFonts w:ascii="宋体" w:hAnsi="宋体" w:eastAsia="宋体" w:cs="宋体"/>
          <w:color w:val="auto"/>
          <w:spacing w:val="-1"/>
          <w:sz w:val="28"/>
          <w:szCs w:val="28"/>
          <w:highlight w:val="none"/>
        </w:rPr>
        <w:t>报价相同的，由采</w:t>
      </w:r>
      <w:r>
        <w:rPr>
          <w:rFonts w:ascii="宋体" w:hAnsi="宋体" w:eastAsia="宋体" w:cs="宋体"/>
          <w:color w:val="auto"/>
          <w:sz w:val="28"/>
          <w:szCs w:val="28"/>
          <w:highlight w:val="none"/>
        </w:rPr>
        <w:t>购人或者采购人委托评标委员会按照招标文件中评</w:t>
      </w:r>
      <w:r>
        <w:rPr>
          <w:rFonts w:ascii="宋体" w:hAnsi="宋体" w:eastAsia="宋体" w:cs="宋体"/>
          <w:color w:val="auto"/>
          <w:spacing w:val="-1"/>
          <w:sz w:val="28"/>
          <w:szCs w:val="28"/>
          <w:highlight w:val="none"/>
        </w:rPr>
        <w:t>标办法规定的方式</w:t>
      </w:r>
      <w:r>
        <w:rPr>
          <w:rFonts w:ascii="宋体" w:hAnsi="宋体" w:eastAsia="宋体" w:cs="宋体"/>
          <w:color w:val="auto"/>
          <w:sz w:val="28"/>
          <w:szCs w:val="28"/>
          <w:highlight w:val="none"/>
        </w:rPr>
        <w:t>确定一个参加评标的投标人；未规定的采取随机抽</w:t>
      </w:r>
      <w:r>
        <w:rPr>
          <w:rFonts w:ascii="宋体" w:hAnsi="宋体" w:eastAsia="宋体" w:cs="宋体"/>
          <w:color w:val="auto"/>
          <w:spacing w:val="-1"/>
          <w:sz w:val="28"/>
          <w:szCs w:val="28"/>
          <w:highlight w:val="none"/>
        </w:rPr>
        <w:t>取方式确定，其他</w:t>
      </w:r>
    </w:p>
    <w:p w14:paraId="7865C35E">
      <w:pPr>
        <w:spacing w:before="2" w:line="219" w:lineRule="auto"/>
        <w:ind w:left="105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投标将被认定为投标无效。</w:t>
      </w:r>
    </w:p>
    <w:p w14:paraId="2D877526">
      <w:pPr>
        <w:spacing w:before="293" w:line="411" w:lineRule="auto"/>
        <w:ind w:left="1046" w:right="26" w:hanging="1047"/>
        <w:rPr>
          <w:rFonts w:ascii="宋体" w:hAnsi="宋体" w:eastAsia="宋体" w:cs="宋体"/>
          <w:color w:val="auto"/>
          <w:spacing w:val="-2"/>
          <w:sz w:val="28"/>
          <w:szCs w:val="28"/>
          <w:highlight w:val="none"/>
        </w:rPr>
      </w:pPr>
      <w:r>
        <w:rPr>
          <w:rFonts w:ascii="宋体" w:hAnsi="宋体" w:eastAsia="宋体" w:cs="宋体"/>
          <w:color w:val="auto"/>
          <w:spacing w:val="-5"/>
          <w:sz w:val="28"/>
          <w:szCs w:val="28"/>
          <w:highlight w:val="none"/>
        </w:rPr>
        <w:t>20.4.2如本项目使用综合评分法，提供相同品牌产品且通过资格审查、符合性</w:t>
      </w:r>
      <w:r>
        <w:rPr>
          <w:rFonts w:ascii="宋体" w:hAnsi="宋体" w:eastAsia="宋体" w:cs="宋体"/>
          <w:color w:val="auto"/>
          <w:sz w:val="28"/>
          <w:szCs w:val="28"/>
          <w:highlight w:val="none"/>
        </w:rPr>
        <w:t>审查的不同投标人，按一家投标人计算，评审</w:t>
      </w:r>
      <w:r>
        <w:rPr>
          <w:rFonts w:ascii="宋体" w:hAnsi="宋体" w:eastAsia="宋体" w:cs="宋体"/>
          <w:color w:val="auto"/>
          <w:spacing w:val="-1"/>
          <w:sz w:val="28"/>
          <w:szCs w:val="28"/>
          <w:highlight w:val="none"/>
        </w:rPr>
        <w:t>后得分最高的同品牌投</w:t>
      </w:r>
      <w:r>
        <w:rPr>
          <w:rFonts w:ascii="宋体" w:hAnsi="宋体" w:eastAsia="宋体" w:cs="宋体"/>
          <w:color w:val="auto"/>
          <w:sz w:val="28"/>
          <w:szCs w:val="28"/>
          <w:highlight w:val="none"/>
        </w:rPr>
        <w:t>标人获得中标人推荐资格；评审得分相同的，</w:t>
      </w:r>
      <w:r>
        <w:rPr>
          <w:rFonts w:ascii="宋体" w:hAnsi="宋体" w:eastAsia="宋体" w:cs="宋体"/>
          <w:color w:val="auto"/>
          <w:spacing w:val="-1"/>
          <w:sz w:val="28"/>
          <w:szCs w:val="28"/>
          <w:highlight w:val="none"/>
        </w:rPr>
        <w:t>由采购人或者采购人委</w:t>
      </w:r>
      <w:r>
        <w:rPr>
          <w:rFonts w:ascii="宋体" w:hAnsi="宋体" w:eastAsia="宋体" w:cs="宋体"/>
          <w:color w:val="auto"/>
          <w:sz w:val="28"/>
          <w:szCs w:val="28"/>
          <w:highlight w:val="none"/>
        </w:rPr>
        <w:t>托评标委员会按照招标文件中评标办法规定的</w:t>
      </w:r>
      <w:r>
        <w:rPr>
          <w:rFonts w:ascii="宋体" w:hAnsi="宋体" w:eastAsia="宋体" w:cs="宋体"/>
          <w:color w:val="auto"/>
          <w:spacing w:val="-1"/>
          <w:sz w:val="28"/>
          <w:szCs w:val="28"/>
          <w:highlight w:val="none"/>
        </w:rPr>
        <w:t>方式确定一个投标人获</w:t>
      </w:r>
      <w:r>
        <w:rPr>
          <w:rFonts w:ascii="宋体" w:hAnsi="宋体" w:eastAsia="宋体" w:cs="宋体"/>
          <w:color w:val="auto"/>
          <w:sz w:val="28"/>
          <w:szCs w:val="28"/>
          <w:highlight w:val="none"/>
        </w:rPr>
        <w:t>得中标人推荐资格；未规定的采取随机抽取方</w:t>
      </w:r>
      <w:r>
        <w:rPr>
          <w:rFonts w:ascii="宋体" w:hAnsi="宋体" w:eastAsia="宋体" w:cs="宋体"/>
          <w:color w:val="auto"/>
          <w:spacing w:val="-1"/>
          <w:sz w:val="28"/>
          <w:szCs w:val="28"/>
          <w:highlight w:val="none"/>
        </w:rPr>
        <w:t>式确定，其他同品牌投</w:t>
      </w:r>
      <w:r>
        <w:rPr>
          <w:rFonts w:ascii="宋体" w:hAnsi="宋体" w:eastAsia="宋体" w:cs="宋体"/>
          <w:color w:val="auto"/>
          <w:spacing w:val="-2"/>
          <w:sz w:val="28"/>
          <w:szCs w:val="28"/>
          <w:highlight w:val="none"/>
        </w:rPr>
        <w:t>标人不作为中标候选人。</w:t>
      </w:r>
    </w:p>
    <w:p w14:paraId="11E2DD71">
      <w:pPr>
        <w:spacing w:before="57" w:line="411" w:lineRule="auto"/>
        <w:ind w:left="1094" w:right="2" w:hanging="1047"/>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20.5如一个分包内包含多种产品的，采购人或采购代理机构将在投标人须知资</w:t>
      </w:r>
      <w:r>
        <w:rPr>
          <w:rFonts w:ascii="宋体" w:hAnsi="宋体" w:eastAsia="宋体" w:cs="宋体"/>
          <w:color w:val="auto"/>
          <w:spacing w:val="-1"/>
          <w:sz w:val="28"/>
          <w:szCs w:val="28"/>
          <w:highlight w:val="none"/>
        </w:rPr>
        <w:t>料表中载明核心产品，多家投标人提供的核心产品品牌相同的，按第</w:t>
      </w:r>
    </w:p>
    <w:p w14:paraId="539719E3">
      <w:pPr>
        <w:spacing w:before="1" w:line="219" w:lineRule="auto"/>
        <w:ind w:left="1099"/>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20.4条规定处理。</w:t>
      </w:r>
    </w:p>
    <w:p w14:paraId="1091D3F1">
      <w:pPr>
        <w:spacing w:before="291" w:line="411" w:lineRule="auto"/>
        <w:ind w:left="1094" w:hanging="1047"/>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20.6投标人所投产品如被列入财政部与国家主管部门颁发的节能产品目录或</w:t>
      </w:r>
      <w:r>
        <w:rPr>
          <w:rFonts w:ascii="宋体" w:hAnsi="宋体" w:eastAsia="宋体" w:cs="宋体"/>
          <w:color w:val="auto"/>
          <w:sz w:val="28"/>
          <w:szCs w:val="28"/>
          <w:highlight w:val="none"/>
        </w:rPr>
        <w:t>环境标志产品目录或无线局域网产品目录，应</w:t>
      </w:r>
      <w:r>
        <w:rPr>
          <w:rFonts w:ascii="宋体" w:hAnsi="宋体" w:eastAsia="宋体" w:cs="宋体"/>
          <w:color w:val="auto"/>
          <w:spacing w:val="-1"/>
          <w:sz w:val="28"/>
          <w:szCs w:val="28"/>
          <w:highlight w:val="none"/>
        </w:rPr>
        <w:t>提供相关证明，在评标</w:t>
      </w:r>
    </w:p>
    <w:p w14:paraId="292123B5">
      <w:pPr>
        <w:spacing w:line="219" w:lineRule="auto"/>
        <w:ind w:left="110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时予以优先采购，具体优先采购办法见第六章评标方法和标准。</w:t>
      </w:r>
    </w:p>
    <w:p w14:paraId="32D0D926">
      <w:pPr>
        <w:spacing w:before="291" w:line="220" w:lineRule="auto"/>
        <w:ind w:left="47"/>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21.投标偏离</w:t>
      </w:r>
    </w:p>
    <w:p w14:paraId="4EC18F10">
      <w:pPr>
        <w:spacing w:before="291" w:line="219" w:lineRule="auto"/>
        <w:ind w:left="252"/>
        <w:rPr>
          <w:rFonts w:ascii="宋体" w:hAnsi="宋体" w:eastAsia="宋体" w:cs="宋体"/>
          <w:color w:val="auto"/>
          <w:sz w:val="28"/>
          <w:szCs w:val="28"/>
          <w:highlight w:val="none"/>
        </w:rPr>
      </w:pPr>
      <w:r>
        <w:rPr>
          <w:rFonts w:ascii="宋体" w:hAnsi="宋体" w:eastAsia="宋体" w:cs="宋体"/>
          <w:color w:val="auto"/>
          <w:sz w:val="28"/>
          <w:szCs w:val="28"/>
          <w:highlight w:val="none"/>
        </w:rPr>
        <w:t>评标委员会可以接受投标文件中不构成实质性</w:t>
      </w:r>
      <w:r>
        <w:rPr>
          <w:rFonts w:ascii="宋体" w:hAnsi="宋体" w:eastAsia="宋体" w:cs="宋体"/>
          <w:color w:val="auto"/>
          <w:spacing w:val="-1"/>
          <w:sz w:val="28"/>
          <w:szCs w:val="28"/>
          <w:highlight w:val="none"/>
        </w:rPr>
        <w:t>偏离的不正规或不一致。</w:t>
      </w:r>
    </w:p>
    <w:p w14:paraId="618E2FA4">
      <w:pPr>
        <w:spacing w:before="291" w:line="221" w:lineRule="auto"/>
        <w:ind w:left="47"/>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22.投标无效</w:t>
      </w:r>
    </w:p>
    <w:p w14:paraId="23EADC8D">
      <w:pPr>
        <w:spacing w:before="292" w:line="411" w:lineRule="auto"/>
        <w:ind w:left="1045" w:hanging="1046"/>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22.1在比较与评价之前，根据本须知的规定，评标委员会要审</w:t>
      </w:r>
      <w:r>
        <w:rPr>
          <w:rFonts w:ascii="宋体" w:hAnsi="宋体" w:eastAsia="宋体" w:cs="宋体"/>
          <w:color w:val="auto"/>
          <w:spacing w:val="-4"/>
          <w:sz w:val="28"/>
          <w:szCs w:val="28"/>
          <w:highlight w:val="none"/>
        </w:rPr>
        <w:t>查每份投标文件</w:t>
      </w:r>
      <w:r>
        <w:rPr>
          <w:rFonts w:ascii="宋体" w:hAnsi="宋体" w:eastAsia="宋体" w:cs="宋体"/>
          <w:color w:val="auto"/>
          <w:spacing w:val="1"/>
          <w:sz w:val="28"/>
          <w:szCs w:val="28"/>
          <w:highlight w:val="none"/>
        </w:rPr>
        <w:t>是否实质上响应了招标文件的要求。实质上响应的投标应该是与招标文件要求的全部条款、条件和规格相符，没有重大偏离的投标。对关键条款的偏离，将被认定为</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
          <w:sz w:val="28"/>
          <w:szCs w:val="28"/>
          <w:highlight w:val="none"/>
        </w:rPr>
        <w:t>。投标人不得通过修正或撤销不</w:t>
      </w:r>
    </w:p>
    <w:p w14:paraId="01A770B6">
      <w:pPr>
        <w:spacing w:before="1" w:line="219" w:lineRule="auto"/>
        <w:ind w:left="105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符合要求的偏离从而使其投标成为实质上响应的投标。</w:t>
      </w:r>
    </w:p>
    <w:p w14:paraId="20891B91">
      <w:pPr>
        <w:spacing w:before="290" w:line="624" w:lineRule="exact"/>
        <w:jc w:val="right"/>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评标委员会决定投标的响应性只根据招标文件要求</w:t>
      </w:r>
      <w:r>
        <w:rPr>
          <w:rFonts w:ascii="宋体" w:hAnsi="宋体" w:eastAsia="宋体" w:cs="宋体"/>
          <w:color w:val="auto"/>
          <w:spacing w:val="-4"/>
          <w:position w:val="26"/>
          <w:sz w:val="28"/>
          <w:szCs w:val="28"/>
          <w:highlight w:val="none"/>
        </w:rPr>
        <w:t>、投标文件内容及</w:t>
      </w:r>
    </w:p>
    <w:p w14:paraId="62C93C33">
      <w:pPr>
        <w:spacing w:before="1" w:line="219" w:lineRule="auto"/>
        <w:ind w:left="111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财政主管部门指定相关信息发布媒体。</w:t>
      </w:r>
    </w:p>
    <w:p w14:paraId="3227FA98">
      <w:pPr>
        <w:spacing w:before="291" w:line="220" w:lineRule="auto"/>
        <w:ind w:right="2"/>
        <w:jc w:val="right"/>
        <w:rPr>
          <w:rFonts w:ascii="宋体" w:hAnsi="宋体" w:eastAsia="宋体" w:cs="宋体"/>
          <w:color w:val="auto"/>
          <w:sz w:val="28"/>
          <w:szCs w:val="28"/>
          <w:highlight w:val="none"/>
        </w:rPr>
      </w:pPr>
      <w:r>
        <w:rPr>
          <w:rFonts w:ascii="宋体" w:hAnsi="宋体" w:eastAsia="宋体" w:cs="宋体"/>
          <w:color w:val="auto"/>
          <w:sz w:val="28"/>
          <w:szCs w:val="28"/>
          <w:highlight w:val="none"/>
        </w:rPr>
        <w:t>22.2如发现下列情况之一的，其投标将被认定为</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投标无效</w:t>
      </w:r>
      <w:r>
        <w:rPr>
          <w:rFonts w:ascii="宋体" w:hAnsi="宋体" w:eastAsia="宋体" w:cs="宋体"/>
          <w:color w:val="auto"/>
          <w:spacing w:val="-16"/>
          <w:sz w:val="28"/>
          <w:szCs w:val="28"/>
          <w:highlight w:val="none"/>
        </w:rPr>
        <w:t>：（</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以下情形应</w:t>
      </w:r>
    </w:p>
    <w:p w14:paraId="753F860F">
      <w:pPr>
        <w:spacing w:before="291" w:line="220" w:lineRule="auto"/>
        <w:ind w:left="111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当在招标文件中规定，并以醒目的方式标明</w:t>
      </w:r>
      <w:r>
        <w:rPr>
          <w:rFonts w:ascii="宋体" w:hAnsi="宋体" w:eastAsia="宋体" w:cs="宋体"/>
          <w:color w:val="auto"/>
          <w:spacing w:val="-1"/>
          <w:sz w:val="28"/>
          <w:szCs w:val="28"/>
          <w:highlight w:val="none"/>
        </w:rPr>
        <w:t>）</w:t>
      </w:r>
    </w:p>
    <w:p w14:paraId="32B77E24">
      <w:pPr>
        <w:spacing w:before="290" w:line="624" w:lineRule="exact"/>
        <w:ind w:left="955"/>
        <w:rPr>
          <w:rFonts w:ascii="宋体" w:hAnsi="宋体" w:eastAsia="宋体" w:cs="宋体"/>
          <w:color w:val="auto"/>
          <w:sz w:val="28"/>
          <w:szCs w:val="28"/>
          <w:highlight w:val="none"/>
        </w:rPr>
      </w:pPr>
      <w:r>
        <w:rPr>
          <w:rFonts w:ascii="仿宋" w:hAnsi="仿宋" w:eastAsia="仿宋" w:cs="仿宋"/>
          <w:color w:val="auto"/>
          <w:spacing w:val="-1"/>
          <w:position w:val="25"/>
          <w:sz w:val="28"/>
          <w:szCs w:val="28"/>
          <w:highlight w:val="none"/>
          <w14:textOutline w14:w="5103" w14:cap="sq" w14:cmpd="sng">
            <w14:solidFill>
              <w14:srgbClr w14:val="000000"/>
            </w14:solidFill>
            <w14:prstDash w14:val="solid"/>
            <w14:bevel/>
          </w14:textOutline>
        </w:rPr>
        <w:t>（1）</w:t>
      </w:r>
      <w:r>
        <w:rPr>
          <w:rFonts w:ascii="宋体" w:hAnsi="宋体" w:eastAsia="宋体" w:cs="宋体"/>
          <w:color w:val="auto"/>
          <w:spacing w:val="-1"/>
          <w:position w:val="25"/>
          <w:sz w:val="28"/>
          <w:szCs w:val="28"/>
          <w:highlight w:val="none"/>
          <w14:textOutline w14:w="5103" w14:cap="sq" w14:cmpd="sng">
            <w14:solidFill>
              <w14:srgbClr w14:val="000000"/>
            </w14:solidFill>
            <w14:prstDash w14:val="solid"/>
            <w14:bevel/>
          </w14:textOutline>
        </w:rPr>
        <w:t>未按招标文件规定的形式和金额提交投标保证金的；</w:t>
      </w:r>
    </w:p>
    <w:p w14:paraId="04202481">
      <w:pPr>
        <w:spacing w:before="1" w:line="223" w:lineRule="auto"/>
        <w:ind w:left="955"/>
        <w:rPr>
          <w:rFonts w:ascii="宋体" w:hAnsi="宋体" w:eastAsia="宋体" w:cs="宋体"/>
          <w:color w:val="auto"/>
          <w:sz w:val="28"/>
          <w:szCs w:val="28"/>
          <w:highlight w:val="none"/>
        </w:rPr>
      </w:pPr>
      <w:r>
        <w:rPr>
          <w:rFonts w:ascii="仿宋" w:hAnsi="仿宋" w:eastAsia="仿宋" w:cs="仿宋"/>
          <w:color w:val="auto"/>
          <w:spacing w:val="-1"/>
          <w:sz w:val="28"/>
          <w:szCs w:val="28"/>
          <w:highlight w:val="none"/>
          <w14:textOutline w14:w="5103" w14:cap="sq" w14:cmpd="sng">
            <w14:solidFill>
              <w14:srgbClr w14:val="000000"/>
            </w14:solidFill>
            <w14:prstDash w14:val="solid"/>
            <w14:bevel/>
          </w14:textOutline>
        </w:rPr>
        <w:t>（2）</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未按照招标文件规定要求签署、盖章的；</w:t>
      </w:r>
    </w:p>
    <w:p w14:paraId="227AFB5F">
      <w:pPr>
        <w:spacing w:before="285" w:line="224" w:lineRule="auto"/>
        <w:ind w:left="955"/>
        <w:rPr>
          <w:rFonts w:ascii="宋体" w:hAnsi="宋体" w:eastAsia="宋体" w:cs="宋体"/>
          <w:color w:val="auto"/>
          <w:sz w:val="28"/>
          <w:szCs w:val="28"/>
          <w:highlight w:val="none"/>
        </w:rPr>
      </w:pPr>
      <w:r>
        <w:rPr>
          <w:rFonts w:ascii="仿宋" w:hAnsi="仿宋" w:eastAsia="仿宋" w:cs="仿宋"/>
          <w:color w:val="auto"/>
          <w:spacing w:val="-1"/>
          <w:sz w:val="28"/>
          <w:szCs w:val="28"/>
          <w:highlight w:val="none"/>
          <w14:textOutline w14:w="5103" w14:cap="sq" w14:cmpd="sng">
            <w14:solidFill>
              <w14:srgbClr w14:val="000000"/>
            </w14:solidFill>
            <w14:prstDash w14:val="solid"/>
            <w14:bevel/>
          </w14:textOutline>
        </w:rPr>
        <w:t>（3）</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未满足招标文件中技术条款的实质性要求；</w:t>
      </w:r>
    </w:p>
    <w:p w14:paraId="7BA5CD11">
      <w:pPr>
        <w:spacing w:before="284" w:line="624" w:lineRule="exact"/>
        <w:ind w:left="955"/>
        <w:rPr>
          <w:rFonts w:ascii="宋体" w:hAnsi="宋体" w:eastAsia="宋体" w:cs="宋体"/>
          <w:color w:val="auto"/>
          <w:sz w:val="28"/>
          <w:szCs w:val="28"/>
          <w:highlight w:val="none"/>
        </w:rPr>
      </w:pPr>
      <w:r>
        <w:rPr>
          <w:rFonts w:ascii="仿宋" w:hAnsi="仿宋" w:eastAsia="仿宋" w:cs="仿宋"/>
          <w:color w:val="auto"/>
          <w:spacing w:val="-1"/>
          <w:position w:val="25"/>
          <w:sz w:val="28"/>
          <w:szCs w:val="28"/>
          <w:highlight w:val="none"/>
          <w14:textOutline w14:w="5103" w14:cap="sq" w14:cmpd="sng">
            <w14:solidFill>
              <w14:srgbClr w14:val="000000"/>
            </w14:solidFill>
            <w14:prstDash w14:val="solid"/>
            <w14:bevel/>
          </w14:textOutline>
        </w:rPr>
        <w:t>（4）</w:t>
      </w:r>
      <w:r>
        <w:rPr>
          <w:rFonts w:ascii="宋体" w:hAnsi="宋体" w:eastAsia="宋体" w:cs="宋体"/>
          <w:color w:val="auto"/>
          <w:spacing w:val="-1"/>
          <w:position w:val="25"/>
          <w:sz w:val="28"/>
          <w:szCs w:val="28"/>
          <w:highlight w:val="none"/>
          <w14:textOutline w14:w="5103" w14:cap="sq" w14:cmpd="sng">
            <w14:solidFill>
              <w14:srgbClr w14:val="000000"/>
            </w14:solidFill>
            <w14:prstDash w14:val="solid"/>
            <w14:bevel/>
          </w14:textOutline>
        </w:rPr>
        <w:t>与其他投标人串通投标，或者与采购人串通投标；</w:t>
      </w:r>
    </w:p>
    <w:p w14:paraId="5AB002B3">
      <w:pPr>
        <w:spacing w:before="58" w:line="411" w:lineRule="auto"/>
        <w:ind w:left="1080" w:right="100" w:hanging="173"/>
        <w:jc w:val="both"/>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pPr>
      <w:r>
        <w:rPr>
          <w:rFonts w:ascii="仿宋" w:hAnsi="仿宋" w:eastAsia="仿宋" w:cs="仿宋"/>
          <w:color w:val="auto"/>
          <w:spacing w:val="-1"/>
          <w:sz w:val="28"/>
          <w:szCs w:val="28"/>
          <w:highlight w:val="none"/>
          <w14:textOutline w14:w="5103" w14:cap="sq" w14:cmpd="sng">
            <w14:solidFill>
              <w14:srgbClr w14:val="000000"/>
            </w14:solidFill>
            <w14:prstDash w14:val="solid"/>
            <w14:bevel/>
          </w14:textOutline>
        </w:rPr>
        <w:t>（5）</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属于招标文件规定的其他投标无效情形；</w:t>
      </w:r>
    </w:p>
    <w:p w14:paraId="6B5E0EF6">
      <w:pPr>
        <w:spacing w:before="58" w:line="411" w:lineRule="auto"/>
        <w:ind w:left="1080" w:right="100" w:hanging="173"/>
        <w:jc w:val="both"/>
        <w:rPr>
          <w:rFonts w:ascii="宋体" w:hAnsi="宋体" w:eastAsia="宋体" w:cs="宋体"/>
          <w:color w:val="auto"/>
          <w:sz w:val="28"/>
          <w:szCs w:val="28"/>
          <w:highlight w:val="none"/>
        </w:rPr>
      </w:pPr>
      <w:r>
        <w:rPr>
          <w:rFonts w:ascii="仿宋" w:hAnsi="仿宋" w:eastAsia="仿宋" w:cs="仿宋"/>
          <w:color w:val="auto"/>
          <w:spacing w:val="6"/>
          <w:sz w:val="28"/>
          <w:szCs w:val="28"/>
          <w:highlight w:val="none"/>
          <w14:textOutline w14:w="5103" w14:cap="sq" w14:cmpd="sng">
            <w14:solidFill>
              <w14:srgbClr w14:val="000000"/>
            </w14:solidFill>
            <w14:prstDash w14:val="solid"/>
            <w14:bevel/>
          </w14:textOutline>
        </w:rPr>
        <w:t>（6）</w:t>
      </w:r>
      <w:r>
        <w:rPr>
          <w:rFonts w:ascii="宋体" w:hAnsi="宋体" w:eastAsia="宋体" w:cs="宋体"/>
          <w:color w:val="auto"/>
          <w:spacing w:val="6"/>
          <w:sz w:val="28"/>
          <w:szCs w:val="28"/>
          <w:highlight w:val="none"/>
          <w14:textOutline w14:w="5103" w14:cap="sq" w14:cmpd="sng">
            <w14:solidFill>
              <w14:srgbClr w14:val="000000"/>
            </w14:solidFill>
            <w14:prstDash w14:val="solid"/>
            <w14:bevel/>
          </w14:textOutline>
        </w:rPr>
        <w:t>评标委员会认为投标人的报价明显低于其他通过符合性检查投</w:t>
      </w: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标人的报价，有可能影响履约的，且投标人未按照规定证明其报价合</w:t>
      </w:r>
    </w:p>
    <w:p w14:paraId="342CB9A4">
      <w:pPr>
        <w:spacing w:line="221" w:lineRule="auto"/>
        <w:ind w:left="1082"/>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理性的；</w:t>
      </w:r>
    </w:p>
    <w:p w14:paraId="282BE6A1">
      <w:pPr>
        <w:spacing w:before="287" w:line="224" w:lineRule="auto"/>
        <w:ind w:left="907"/>
        <w:rPr>
          <w:rFonts w:ascii="宋体" w:hAnsi="宋体" w:eastAsia="宋体" w:cs="宋体"/>
          <w:color w:val="auto"/>
          <w:sz w:val="28"/>
          <w:szCs w:val="28"/>
          <w:highlight w:val="none"/>
        </w:rPr>
      </w:pPr>
      <w:r>
        <w:rPr>
          <w:rFonts w:ascii="仿宋" w:hAnsi="仿宋" w:eastAsia="仿宋" w:cs="仿宋"/>
          <w:color w:val="auto"/>
          <w:spacing w:val="-1"/>
          <w:sz w:val="28"/>
          <w:szCs w:val="28"/>
          <w:highlight w:val="none"/>
          <w14:textOutline w14:w="5103" w14:cap="sq" w14:cmpd="sng">
            <w14:solidFill>
              <w14:srgbClr w14:val="000000"/>
            </w14:solidFill>
            <w14:prstDash w14:val="solid"/>
            <w14:bevel/>
          </w14:textOutline>
        </w:rPr>
        <w:t>（7）</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投标文件含有采购人不能接受的附加条件的；</w:t>
      </w:r>
    </w:p>
    <w:p w14:paraId="79397A13">
      <w:pPr>
        <w:spacing w:before="285" w:line="224" w:lineRule="auto"/>
        <w:ind w:left="907"/>
        <w:rPr>
          <w:rFonts w:ascii="宋体" w:hAnsi="宋体" w:eastAsia="宋体" w:cs="宋体"/>
          <w:color w:val="auto"/>
          <w:sz w:val="28"/>
          <w:szCs w:val="28"/>
          <w:highlight w:val="none"/>
        </w:rPr>
      </w:pPr>
      <w:r>
        <w:rPr>
          <w:rFonts w:ascii="仿宋" w:hAnsi="仿宋" w:eastAsia="仿宋" w:cs="仿宋"/>
          <w:color w:val="auto"/>
          <w:spacing w:val="-1"/>
          <w:sz w:val="28"/>
          <w:szCs w:val="28"/>
          <w:highlight w:val="none"/>
          <w14:textOutline w14:w="5103" w14:cap="sq" w14:cmpd="sng">
            <w14:solidFill>
              <w14:srgbClr w14:val="000000"/>
            </w14:solidFill>
            <w14:prstDash w14:val="solid"/>
            <w14:bevel/>
          </w14:textOutline>
        </w:rPr>
        <w:t>（8）</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不符合法规和招标文件中规定的其他实质性要求的。</w:t>
      </w:r>
    </w:p>
    <w:p w14:paraId="4C1641CE">
      <w:pPr>
        <w:spacing w:before="283" w:line="219"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23.比较与评价</w:t>
      </w:r>
    </w:p>
    <w:p w14:paraId="12399A94">
      <w:pPr>
        <w:spacing w:before="293"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23.1经符合性审查合格的投标文件，评标委员会将根据招标文件确定的评</w:t>
      </w:r>
    </w:p>
    <w:p w14:paraId="291A666B">
      <w:pPr>
        <w:spacing w:before="291" w:line="219" w:lineRule="auto"/>
        <w:ind w:left="104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标方法和标准，对其技术部分和商务部分作进一步的比较和评价。</w:t>
      </w:r>
    </w:p>
    <w:p w14:paraId="5409E8F9">
      <w:pPr>
        <w:spacing w:before="292" w:line="220"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23.2评标严格按照招标文件的要求</w:t>
      </w:r>
      <w:r>
        <w:rPr>
          <w:rFonts w:ascii="宋体" w:hAnsi="宋体" w:eastAsia="宋体" w:cs="宋体"/>
          <w:color w:val="auto"/>
          <w:spacing w:val="1"/>
          <w:sz w:val="28"/>
          <w:szCs w:val="28"/>
          <w:highlight w:val="none"/>
        </w:rPr>
        <w:t>和条件进行。根据实际情况，在</w:t>
      </w:r>
      <w:r>
        <w:rPr>
          <w:rFonts w:ascii="宋体" w:hAnsi="宋体" w:eastAsia="宋体" w:cs="宋体"/>
          <w:color w:val="auto"/>
          <w:spacing w:val="1"/>
          <w:sz w:val="28"/>
          <w:szCs w:val="28"/>
          <w:highlight w:val="none"/>
          <w:u w:val="single" w:color="auto"/>
        </w:rPr>
        <w:t>投标人</w:t>
      </w:r>
    </w:p>
    <w:p w14:paraId="4B4C3D82">
      <w:pPr>
        <w:spacing w:before="291" w:line="411" w:lineRule="auto"/>
        <w:ind w:left="105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u w:val="single" w:color="auto"/>
        </w:rPr>
        <w:t>须知资料表</w:t>
      </w:r>
      <w:r>
        <w:rPr>
          <w:rFonts w:ascii="宋体" w:hAnsi="宋体" w:eastAsia="宋体" w:cs="宋体"/>
          <w:color w:val="auto"/>
          <w:spacing w:val="-1"/>
          <w:sz w:val="28"/>
          <w:szCs w:val="28"/>
          <w:highlight w:val="none"/>
        </w:rPr>
        <w:t>中规定采用下列一种评标方法，详细评标标准见招标文件</w:t>
      </w:r>
    </w:p>
    <w:p w14:paraId="11118F7D">
      <w:pPr>
        <w:spacing w:before="1" w:line="219" w:lineRule="auto"/>
        <w:ind w:left="1047"/>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第六章：</w:t>
      </w:r>
    </w:p>
    <w:p w14:paraId="52F9BE3B">
      <w:pPr>
        <w:spacing w:before="291" w:line="624" w:lineRule="exact"/>
        <w:ind w:left="724"/>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（1）最低评标价法，是指投标文件满足招标文</w:t>
      </w:r>
      <w:r>
        <w:rPr>
          <w:rFonts w:ascii="宋体" w:hAnsi="宋体" w:eastAsia="宋体" w:cs="宋体"/>
          <w:color w:val="auto"/>
          <w:spacing w:val="-4"/>
          <w:position w:val="26"/>
          <w:sz w:val="28"/>
          <w:szCs w:val="28"/>
          <w:highlight w:val="none"/>
        </w:rPr>
        <w:t>件全部实质性要求，且投</w:t>
      </w:r>
    </w:p>
    <w:p w14:paraId="5A04F322">
      <w:pPr>
        <w:spacing w:before="1" w:line="218" w:lineRule="auto"/>
        <w:ind w:left="89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标报价最低的投标人为中标候选人的评标方法。</w:t>
      </w:r>
    </w:p>
    <w:p w14:paraId="55CEF0C9">
      <w:pPr>
        <w:spacing w:before="294" w:line="411" w:lineRule="auto"/>
        <w:ind w:left="894" w:right="98" w:hanging="170"/>
        <w:jc w:val="both"/>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（2）</w:t>
      </w: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综合评分法，是指投标文件满足招标</w:t>
      </w:r>
      <w:r>
        <w:rPr>
          <w:rFonts w:ascii="宋体" w:hAnsi="宋体" w:eastAsia="宋体" w:cs="宋体"/>
          <w:color w:val="auto"/>
          <w:spacing w:val="-4"/>
          <w:sz w:val="28"/>
          <w:szCs w:val="28"/>
          <w:highlight w:val="none"/>
          <w:u w:val="single" w:color="000000"/>
          <w14:textOutline w14:w="5103" w14:cap="sq" w14:cmpd="sng">
            <w14:solidFill>
              <w14:srgbClr w14:val="000000"/>
            </w14:solidFill>
            <w14:prstDash w14:val="solid"/>
            <w14:bevel/>
          </w14:textOutline>
        </w:rPr>
        <w:t>文件全部实质性要求，且按照</w:t>
      </w:r>
      <w:r>
        <w:rPr>
          <w:rFonts w:ascii="宋体" w:hAnsi="宋体" w:eastAsia="宋体" w:cs="宋体"/>
          <w:color w:val="auto"/>
          <w:spacing w:val="14"/>
          <w:sz w:val="28"/>
          <w:szCs w:val="28"/>
          <w:highlight w:val="none"/>
          <w:u w:val="single" w:color="000000"/>
          <w14:textOutline w14:w="5103" w14:cap="sq" w14:cmpd="sng">
            <w14:solidFill>
              <w14:srgbClr w14:val="000000"/>
            </w14:solidFill>
            <w14:prstDash w14:val="solid"/>
            <w14:bevel/>
          </w14:textOutline>
        </w:rPr>
        <w:t>评审因素的量化指标评审得分最高的投标人为中标候选人的评标方</w:t>
      </w:r>
    </w:p>
    <w:p w14:paraId="22B47B53">
      <w:pPr>
        <w:spacing w:before="1" w:line="225" w:lineRule="auto"/>
        <w:ind w:left="897"/>
        <w:rPr>
          <w:rFonts w:ascii="宋体" w:hAnsi="宋体" w:eastAsia="宋体" w:cs="宋体"/>
          <w:color w:val="auto"/>
          <w:sz w:val="28"/>
          <w:szCs w:val="28"/>
          <w:highlight w:val="none"/>
        </w:rPr>
      </w:pPr>
      <w:r>
        <w:rPr>
          <w:rFonts w:ascii="宋体" w:hAnsi="宋体" w:eastAsia="宋体" w:cs="宋体"/>
          <w:color w:val="auto"/>
          <w:spacing w:val="13"/>
          <w:sz w:val="28"/>
          <w:szCs w:val="28"/>
          <w:highlight w:val="none"/>
          <w:u w:val="single" w:color="000000"/>
          <w14:textOutline w14:w="5103" w14:cap="sq" w14:cmpd="sng">
            <w14:solidFill>
              <w14:srgbClr w14:val="000000"/>
            </w14:solidFill>
            <w14:prstDash w14:val="solid"/>
            <w14:bevel/>
          </w14:textOutline>
        </w:rPr>
        <w:t>法。</w:t>
      </w:r>
    </w:p>
    <w:p w14:paraId="79F8F9CF">
      <w:pPr>
        <w:spacing w:before="282" w:line="219" w:lineRule="auto"/>
        <w:ind w:left="717" w:firstLine="498" w:firstLineChars="0"/>
        <w:rPr>
          <w:rFonts w:ascii="宋体" w:hAnsi="宋体" w:eastAsia="宋体" w:cs="宋体"/>
          <w:color w:val="auto"/>
          <w:sz w:val="28"/>
          <w:szCs w:val="28"/>
          <w:highlight w:val="none"/>
        </w:rPr>
      </w:pPr>
      <w:r>
        <w:rPr>
          <w:rFonts w:ascii="宋体" w:hAnsi="宋体" w:eastAsia="宋体" w:cs="宋体"/>
          <w:color w:val="auto"/>
          <w:sz w:val="28"/>
          <w:szCs w:val="28"/>
          <w:highlight w:val="none"/>
          <w:u w:val="single" w:color="000000"/>
          <w14:textOutline w14:w="5103" w14:cap="sq" w14:cmpd="sng">
            <w14:solidFill>
              <w14:srgbClr w14:val="000000"/>
            </w14:solidFill>
            <w14:prstDash w14:val="solid"/>
            <w14:bevel/>
          </w14:textOutline>
        </w:rPr>
        <w:t>本项目采用招标方式：公开招标，评分方法：综合评分法</w:t>
      </w:r>
    </w:p>
    <w:p w14:paraId="4581A964">
      <w:pPr>
        <w:keepNext w:val="0"/>
        <w:keepLines w:val="0"/>
        <w:pageBreakBefore w:val="0"/>
        <w:widowControl/>
        <w:kinsoku w:val="0"/>
        <w:wordWrap/>
        <w:overflowPunct/>
        <w:topLinePunct w:val="0"/>
        <w:autoSpaceDE w:val="0"/>
        <w:autoSpaceDN w:val="0"/>
        <w:bidi w:val="0"/>
        <w:adjustRightInd w:val="0"/>
        <w:snapToGrid w:val="0"/>
        <w:spacing w:line="411" w:lineRule="auto"/>
        <w:ind w:left="837" w:firstLine="2"/>
        <w:jc w:val="both"/>
        <w:textAlignment w:val="baseline"/>
        <w:rPr>
          <w:rFonts w:ascii="宋体" w:hAnsi="宋体" w:eastAsia="宋体" w:cs="宋体"/>
          <w:color w:val="auto"/>
          <w:sz w:val="28"/>
          <w:szCs w:val="28"/>
          <w:highlight w:val="none"/>
        </w:rPr>
      </w:pPr>
      <w:r>
        <w:rPr>
          <w:rFonts w:ascii="宋体" w:hAnsi="宋体" w:eastAsia="宋体" w:cs="宋体"/>
          <w:color w:val="auto"/>
          <w:spacing w:val="-11"/>
          <w:sz w:val="28"/>
          <w:szCs w:val="28"/>
          <w:highlight w:val="none"/>
        </w:rPr>
        <w:t>23.3根据《政府采购促进中小企业发展管理办法》（财库</w:t>
      </w:r>
      <w:r>
        <w:rPr>
          <w:rFonts w:ascii="宋体" w:hAnsi="宋体" w:eastAsia="宋体" w:cs="宋体"/>
          <w:color w:val="auto"/>
          <w:spacing w:val="-12"/>
          <w:sz w:val="28"/>
          <w:szCs w:val="28"/>
          <w:highlight w:val="none"/>
        </w:rPr>
        <w:t>[2020]46号）、</w:t>
      </w:r>
      <w:r>
        <w:rPr>
          <w:rFonts w:ascii="宋体" w:hAnsi="宋体" w:eastAsia="宋体" w:cs="宋体"/>
          <w:color w:val="auto"/>
          <w:spacing w:val="-2"/>
          <w:sz w:val="28"/>
          <w:szCs w:val="28"/>
          <w:highlight w:val="none"/>
        </w:rPr>
        <w:t>关于进一步加大政府采购支持中小企业力度的通知财库〔2022〕19号，</w:t>
      </w:r>
      <w:r>
        <w:rPr>
          <w:rFonts w:ascii="宋体" w:hAnsi="宋体" w:eastAsia="宋体" w:cs="宋体"/>
          <w:color w:val="auto"/>
          <w:spacing w:val="-3"/>
          <w:sz w:val="28"/>
          <w:szCs w:val="28"/>
          <w:highlight w:val="none"/>
        </w:rPr>
        <w:t>《财政部司法部关于政府采购支持监狱企业发展有关问题的</w:t>
      </w:r>
      <w:r>
        <w:rPr>
          <w:rFonts w:ascii="宋体" w:hAnsi="宋体" w:eastAsia="宋体" w:cs="宋体"/>
          <w:color w:val="auto"/>
          <w:spacing w:val="-4"/>
          <w:sz w:val="28"/>
          <w:szCs w:val="28"/>
          <w:highlight w:val="none"/>
        </w:rPr>
        <w:t>通知》（财</w:t>
      </w:r>
      <w:r>
        <w:rPr>
          <w:rFonts w:ascii="宋体" w:hAnsi="宋体" w:eastAsia="宋体" w:cs="宋体"/>
          <w:color w:val="auto"/>
          <w:spacing w:val="-5"/>
          <w:sz w:val="28"/>
          <w:szCs w:val="28"/>
          <w:highlight w:val="none"/>
        </w:rPr>
        <w:t>库〔2014〕68号）和《三部门联合发布关于</w:t>
      </w:r>
      <w:r>
        <w:rPr>
          <w:rFonts w:ascii="宋体" w:hAnsi="宋体" w:eastAsia="宋体" w:cs="宋体"/>
          <w:color w:val="auto"/>
          <w:spacing w:val="-6"/>
          <w:sz w:val="28"/>
          <w:szCs w:val="28"/>
          <w:highlight w:val="none"/>
        </w:rPr>
        <w:t>促进残疾人就业政府采购政</w:t>
      </w:r>
      <w:r>
        <w:rPr>
          <w:rFonts w:ascii="宋体" w:hAnsi="宋体" w:eastAsia="宋体" w:cs="宋体"/>
          <w:color w:val="auto"/>
          <w:spacing w:val="-1"/>
          <w:sz w:val="28"/>
          <w:szCs w:val="28"/>
          <w:highlight w:val="none"/>
        </w:rPr>
        <w:t>策的通知》（财库〔2017〕141号）的规定，对满足价格扣除条件且在</w:t>
      </w:r>
      <w:r>
        <w:rPr>
          <w:rFonts w:ascii="宋体" w:hAnsi="宋体" w:eastAsia="宋体" w:cs="宋体"/>
          <w:color w:val="auto"/>
          <w:spacing w:val="-3"/>
          <w:sz w:val="28"/>
          <w:szCs w:val="28"/>
          <w:highlight w:val="none"/>
        </w:rPr>
        <w:t>投标文件中提交了《中小企业声明函》或省级以上监狱管理局、戒毒管</w:t>
      </w:r>
      <w:r>
        <w:rPr>
          <w:rFonts w:ascii="宋体" w:hAnsi="宋体" w:eastAsia="宋体" w:cs="宋体"/>
          <w:color w:val="auto"/>
          <w:spacing w:val="-9"/>
          <w:position w:val="26"/>
          <w:sz w:val="28"/>
          <w:szCs w:val="28"/>
          <w:highlight w:val="none"/>
        </w:rPr>
        <w:t>理局（含新疆生产建设兵团）出具的属于监狱企业的证明文件的投标人，</w:t>
      </w:r>
    </w:p>
    <w:p w14:paraId="60DEF42D">
      <w:pPr>
        <w:keepNext w:val="0"/>
        <w:keepLines w:val="0"/>
        <w:pageBreakBefore w:val="0"/>
        <w:widowControl/>
        <w:kinsoku w:val="0"/>
        <w:wordWrap/>
        <w:overflowPunct/>
        <w:topLinePunct w:val="0"/>
        <w:autoSpaceDE w:val="0"/>
        <w:autoSpaceDN w:val="0"/>
        <w:bidi w:val="0"/>
        <w:adjustRightInd w:val="0"/>
        <w:snapToGrid w:val="0"/>
        <w:spacing w:line="219" w:lineRule="auto"/>
        <w:ind w:left="845"/>
        <w:textAlignment w:val="baseline"/>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具体办法详见</w:t>
      </w:r>
      <w:r>
        <w:rPr>
          <w:rFonts w:hint="eastAsia" w:ascii="宋体" w:hAnsi="宋体" w:eastAsia="宋体" w:cs="宋体"/>
          <w:color w:val="auto"/>
          <w:spacing w:val="-3"/>
          <w:sz w:val="28"/>
          <w:szCs w:val="28"/>
          <w:highlight w:val="none"/>
          <w:lang w:val="en-US" w:eastAsia="zh-CN"/>
        </w:rPr>
        <w:t>招标</w:t>
      </w:r>
      <w:r>
        <w:rPr>
          <w:rFonts w:ascii="宋体" w:hAnsi="宋体" w:eastAsia="宋体" w:cs="宋体"/>
          <w:color w:val="auto"/>
          <w:spacing w:val="-3"/>
          <w:sz w:val="28"/>
          <w:szCs w:val="28"/>
          <w:highlight w:val="none"/>
        </w:rPr>
        <w:t>文件第6章。</w:t>
      </w:r>
    </w:p>
    <w:p w14:paraId="1D9BCADD">
      <w:pPr>
        <w:spacing w:before="291" w:line="221" w:lineRule="auto"/>
        <w:ind w:left="3"/>
        <w:outlineLvl w:val="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24.废标</w:t>
      </w:r>
    </w:p>
    <w:p w14:paraId="69F12ADA">
      <w:pPr>
        <w:spacing w:before="289" w:line="220" w:lineRule="auto"/>
        <w:ind w:left="86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出现下列情形之一，将导致项目废标：</w:t>
      </w:r>
    </w:p>
    <w:p w14:paraId="5C15C46F">
      <w:pPr>
        <w:spacing w:before="290" w:line="624" w:lineRule="exact"/>
        <w:ind w:right="78"/>
        <w:jc w:val="right"/>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14:textOutline w14:w="5103" w14:cap="sq" w14:cmpd="sng">
            <w14:solidFill>
              <w14:srgbClr w14:val="000000"/>
            </w14:solidFill>
            <w14:prstDash w14:val="solid"/>
            <w14:bevel/>
          </w14:textOutline>
        </w:rPr>
        <w:t>（1）符合专业条件的投标人或者对招标文</w:t>
      </w:r>
      <w:r>
        <w:rPr>
          <w:rFonts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件做实质性响应的投标人不足</w:t>
      </w:r>
    </w:p>
    <w:p w14:paraId="682E5D75">
      <w:pPr>
        <w:spacing w:before="1" w:line="220" w:lineRule="auto"/>
        <w:ind w:left="1051"/>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三家；</w:t>
      </w:r>
    </w:p>
    <w:p w14:paraId="4EFA16FC">
      <w:pPr>
        <w:spacing w:before="289" w:line="219" w:lineRule="auto"/>
        <w:ind w:left="569"/>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（2）出现影响采购公正的违法、违规行为的；</w:t>
      </w:r>
    </w:p>
    <w:p w14:paraId="119EFDE1">
      <w:pPr>
        <w:spacing w:before="292" w:line="624" w:lineRule="exact"/>
        <w:ind w:left="569"/>
        <w:rPr>
          <w:rFonts w:ascii="宋体" w:hAnsi="宋体" w:eastAsia="宋体" w:cs="宋体"/>
          <w:color w:val="auto"/>
          <w:sz w:val="28"/>
          <w:szCs w:val="28"/>
          <w:highlight w:val="none"/>
        </w:rPr>
      </w:pPr>
      <w:r>
        <w:rPr>
          <w:rFonts w:ascii="宋体" w:hAnsi="宋体" w:eastAsia="宋体" w:cs="宋体"/>
          <w:color w:val="auto"/>
          <w:position w:val="26"/>
          <w:sz w:val="28"/>
          <w:szCs w:val="28"/>
          <w:highlight w:val="none"/>
          <w14:textOutline w14:w="5103" w14:cap="sq" w14:cmpd="sng">
            <w14:solidFill>
              <w14:srgbClr w14:val="000000"/>
            </w14:solidFill>
            <w14:prstDash w14:val="solid"/>
            <w14:bevel/>
          </w14:textOutline>
        </w:rPr>
        <w:t>（3）投标人的报价均超过了采购预算，采购人不能支付的；</w:t>
      </w:r>
    </w:p>
    <w:p w14:paraId="0F96211A">
      <w:pPr>
        <w:spacing w:line="219" w:lineRule="auto"/>
        <w:ind w:left="56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（4）因重大变故，采购任务取消的。</w:t>
      </w:r>
    </w:p>
    <w:p w14:paraId="35041561">
      <w:pPr>
        <w:spacing w:before="291" w:line="221" w:lineRule="auto"/>
        <w:ind w:left="3"/>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25.保密原则</w:t>
      </w:r>
    </w:p>
    <w:p w14:paraId="04CA892F">
      <w:pPr>
        <w:spacing w:before="289" w:line="220" w:lineRule="auto"/>
        <w:ind w:left="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25.1评标将在严格保密的情况下进行。</w:t>
      </w:r>
    </w:p>
    <w:p w14:paraId="483EE8BE">
      <w:pPr>
        <w:spacing w:before="291" w:line="219" w:lineRule="auto"/>
        <w:ind w:left="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25.2政府采购评审专家应当遵守评审</w:t>
      </w:r>
      <w:r>
        <w:rPr>
          <w:rFonts w:ascii="宋体" w:hAnsi="宋体" w:eastAsia="宋体" w:cs="宋体"/>
          <w:color w:val="auto"/>
          <w:spacing w:val="1"/>
          <w:sz w:val="28"/>
          <w:szCs w:val="28"/>
          <w:highlight w:val="none"/>
        </w:rPr>
        <w:t>工作纪律，不得泄露评审文件、评审</w:t>
      </w:r>
    </w:p>
    <w:p w14:paraId="4F020700">
      <w:pPr>
        <w:spacing w:before="291" w:line="220" w:lineRule="auto"/>
        <w:ind w:left="105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情况和评审中获悉的商业秘密。</w:t>
      </w:r>
    </w:p>
    <w:p w14:paraId="61E4A6DD">
      <w:pPr>
        <w:spacing w:before="92" w:line="221" w:lineRule="auto"/>
        <w:ind w:left="4247"/>
        <w:outlineLvl w:val="1"/>
        <w:rPr>
          <w:rFonts w:ascii="宋体" w:hAnsi="宋体" w:eastAsia="宋体" w:cs="宋体"/>
          <w:color w:val="auto"/>
          <w:sz w:val="28"/>
          <w:szCs w:val="28"/>
          <w:highlight w:val="none"/>
        </w:rPr>
      </w:pPr>
      <w:bookmarkStart w:id="6" w:name="bookmark7"/>
      <w:bookmarkEnd w:id="6"/>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六、确定中标</w:t>
      </w:r>
    </w:p>
    <w:p w14:paraId="60D87C7F">
      <w:pPr>
        <w:spacing w:line="272" w:lineRule="auto"/>
        <w:rPr>
          <w:rFonts w:ascii="Arial"/>
          <w:color w:val="auto"/>
          <w:sz w:val="21"/>
          <w:highlight w:val="none"/>
        </w:rPr>
      </w:pPr>
    </w:p>
    <w:p w14:paraId="3BAA0DB6">
      <w:pPr>
        <w:spacing w:before="92" w:line="220" w:lineRule="auto"/>
        <w:ind w:left="3"/>
        <w:outlineLvl w:val="2"/>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26.中标候选人的确定原则及标准</w:t>
      </w:r>
    </w:p>
    <w:p w14:paraId="06F89C3D">
      <w:pPr>
        <w:spacing w:before="290" w:line="624" w:lineRule="exact"/>
        <w:jc w:val="right"/>
        <w:rPr>
          <w:rFonts w:ascii="宋体" w:hAnsi="宋体" w:eastAsia="宋体" w:cs="宋体"/>
          <w:color w:val="auto"/>
          <w:sz w:val="28"/>
          <w:szCs w:val="28"/>
          <w:highlight w:val="none"/>
        </w:rPr>
      </w:pPr>
      <w:r>
        <w:rPr>
          <w:rFonts w:ascii="宋体" w:hAnsi="宋体" w:eastAsia="宋体" w:cs="宋体"/>
          <w:color w:val="auto"/>
          <w:spacing w:val="-6"/>
          <w:position w:val="26"/>
          <w:sz w:val="28"/>
          <w:szCs w:val="28"/>
          <w:highlight w:val="none"/>
        </w:rPr>
        <w:t>除第28条规定外，对实质上响应招标文件的投标人按下列方法进行排序，</w:t>
      </w:r>
    </w:p>
    <w:p w14:paraId="66C62248">
      <w:pPr>
        <w:spacing w:before="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确定中标候选人：</w:t>
      </w:r>
    </w:p>
    <w:p w14:paraId="6909746B">
      <w:pPr>
        <w:spacing w:before="292" w:line="411" w:lineRule="auto"/>
        <w:ind w:left="1" w:right="76" w:firstLine="56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（1）采用最低评标价法的，除了算术修正和落实政府采购政策需进行的</w:t>
      </w:r>
      <w:r>
        <w:rPr>
          <w:rFonts w:ascii="宋体" w:hAnsi="宋体" w:eastAsia="宋体" w:cs="宋体"/>
          <w:color w:val="auto"/>
          <w:spacing w:val="-2"/>
          <w:sz w:val="28"/>
          <w:szCs w:val="28"/>
          <w:highlight w:val="none"/>
        </w:rPr>
        <w:t>价格扣除外，不对投标人的投标价格进行任何调整</w:t>
      </w:r>
      <w:r>
        <w:rPr>
          <w:rFonts w:ascii="宋体" w:hAnsi="宋体" w:eastAsia="宋体" w:cs="宋体"/>
          <w:color w:val="auto"/>
          <w:spacing w:val="-3"/>
          <w:sz w:val="28"/>
          <w:szCs w:val="28"/>
          <w:highlight w:val="none"/>
        </w:rPr>
        <w:t>。评标结果按修正和扣除后</w:t>
      </w:r>
    </w:p>
    <w:p w14:paraId="6ED789F2">
      <w:pPr>
        <w:spacing w:before="1" w:line="218" w:lineRule="auto"/>
        <w:ind w:left="23"/>
        <w:rPr>
          <w:rFonts w:ascii="宋体" w:hAnsi="宋体" w:eastAsia="宋体" w:cs="宋体"/>
          <w:color w:val="auto"/>
          <w:spacing w:val="-3"/>
          <w:sz w:val="28"/>
          <w:szCs w:val="28"/>
          <w:highlight w:val="none"/>
        </w:rPr>
      </w:pPr>
      <w:r>
        <w:rPr>
          <w:rFonts w:ascii="宋体" w:hAnsi="宋体" w:eastAsia="宋体" w:cs="宋体"/>
          <w:color w:val="auto"/>
          <w:spacing w:val="-2"/>
          <w:sz w:val="28"/>
          <w:szCs w:val="28"/>
          <w:highlight w:val="none"/>
        </w:rPr>
        <w:t>的投标报价由低到高顺序排列。报价相同的处理方式详见招标文件第6</w:t>
      </w:r>
      <w:r>
        <w:rPr>
          <w:rFonts w:ascii="宋体" w:hAnsi="宋体" w:eastAsia="宋体" w:cs="宋体"/>
          <w:color w:val="auto"/>
          <w:spacing w:val="-3"/>
          <w:sz w:val="28"/>
          <w:szCs w:val="28"/>
          <w:highlight w:val="none"/>
        </w:rPr>
        <w:t>章。</w:t>
      </w:r>
    </w:p>
    <w:p w14:paraId="303D29BB">
      <w:pPr>
        <w:spacing w:before="292" w:line="411" w:lineRule="auto"/>
        <w:ind w:left="1" w:right="76" w:firstLine="568"/>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（2）采用综合评分法的，评标结果按评审后得分由高到低顺序排列。得分相同的，按修正和扣除后的投标报价由低到高顺序排列。得分与投标报价均相同的处理方式详见招标文件第6章。</w:t>
      </w:r>
    </w:p>
    <w:p w14:paraId="071E69CF">
      <w:pPr>
        <w:spacing w:before="292" w:line="411" w:lineRule="auto"/>
        <w:ind w:left="1" w:right="76" w:firstLine="568"/>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本项目为公开采购，评标办法采用上述第（2）条：综合评分法。</w:t>
      </w:r>
    </w:p>
    <w:p w14:paraId="5068769E">
      <w:pPr>
        <w:spacing w:before="292" w:line="411" w:lineRule="auto"/>
        <w:ind w:left="1" w:right="76" w:firstLine="568"/>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确定中标候选人</w:t>
      </w:r>
    </w:p>
    <w:p w14:paraId="6081F2AB">
      <w:pPr>
        <w:spacing w:before="290" w:line="218" w:lineRule="auto"/>
        <w:ind w:left="56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①采购代理机构应当在评标结束后</w:t>
      </w:r>
      <w:r>
        <w:rPr>
          <w:rFonts w:ascii="宋体" w:hAnsi="宋体" w:eastAsia="宋体" w:cs="宋体"/>
          <w:color w:val="auto"/>
          <w:spacing w:val="-1"/>
          <w:sz w:val="28"/>
          <w:szCs w:val="28"/>
          <w:highlight w:val="none"/>
          <w:u w:val="single" w:color="auto"/>
        </w:rPr>
        <w:t>2</w:t>
      </w:r>
      <w:r>
        <w:rPr>
          <w:rFonts w:ascii="宋体" w:hAnsi="宋体" w:eastAsia="宋体" w:cs="宋体"/>
          <w:color w:val="auto"/>
          <w:spacing w:val="-1"/>
          <w:sz w:val="28"/>
          <w:szCs w:val="28"/>
          <w:highlight w:val="none"/>
        </w:rPr>
        <w:t>个工作日内将评标报告送采</w:t>
      </w:r>
      <w:r>
        <w:rPr>
          <w:rFonts w:ascii="宋体" w:hAnsi="宋体" w:eastAsia="宋体" w:cs="宋体"/>
          <w:color w:val="auto"/>
          <w:spacing w:val="-2"/>
          <w:sz w:val="28"/>
          <w:szCs w:val="28"/>
          <w:highlight w:val="none"/>
        </w:rPr>
        <w:t>购人。</w:t>
      </w:r>
    </w:p>
    <w:p w14:paraId="63773851">
      <w:pPr>
        <w:spacing w:before="294" w:line="411" w:lineRule="auto"/>
        <w:ind w:left="1" w:firstLine="559"/>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②采购人不委托评审小组直接确定中标人。评审小组推荐中标候选人的数</w:t>
      </w:r>
      <w:r>
        <w:rPr>
          <w:rFonts w:ascii="宋体" w:hAnsi="宋体" w:eastAsia="宋体" w:cs="宋体"/>
          <w:color w:val="auto"/>
          <w:spacing w:val="-4"/>
          <w:sz w:val="28"/>
          <w:szCs w:val="28"/>
          <w:highlight w:val="none"/>
        </w:rPr>
        <w:t>量为</w:t>
      </w:r>
      <w:r>
        <w:rPr>
          <w:rFonts w:ascii="宋体" w:hAnsi="宋体" w:eastAsia="宋体" w:cs="宋体"/>
          <w:color w:val="auto"/>
          <w:spacing w:val="-4"/>
          <w:sz w:val="28"/>
          <w:szCs w:val="28"/>
          <w:highlight w:val="none"/>
          <w:u w:val="single" w:color="auto"/>
        </w:rPr>
        <w:t>3</w:t>
      </w:r>
      <w:r>
        <w:rPr>
          <w:rFonts w:ascii="宋体" w:hAnsi="宋体" w:eastAsia="宋体" w:cs="宋体"/>
          <w:color w:val="auto"/>
          <w:spacing w:val="-4"/>
          <w:sz w:val="28"/>
          <w:szCs w:val="28"/>
          <w:highlight w:val="none"/>
        </w:rPr>
        <w:t>家。采购人应当自收到评标报告之日起</w:t>
      </w:r>
      <w:r>
        <w:rPr>
          <w:rFonts w:ascii="宋体" w:hAnsi="宋体" w:eastAsia="宋体" w:cs="宋体"/>
          <w:color w:val="auto"/>
          <w:spacing w:val="-4"/>
          <w:sz w:val="28"/>
          <w:szCs w:val="28"/>
          <w:highlight w:val="none"/>
          <w:u w:val="single" w:color="auto"/>
        </w:rPr>
        <w:t>5</w:t>
      </w:r>
      <w:r>
        <w:rPr>
          <w:rFonts w:ascii="宋体" w:hAnsi="宋体" w:eastAsia="宋体" w:cs="宋体"/>
          <w:color w:val="auto"/>
          <w:spacing w:val="-4"/>
          <w:sz w:val="28"/>
          <w:szCs w:val="28"/>
          <w:highlight w:val="none"/>
        </w:rPr>
        <w:t>个工作日内，在评标报告确定</w:t>
      </w:r>
    </w:p>
    <w:p w14:paraId="3544930B">
      <w:pPr>
        <w:spacing w:before="2" w:line="219" w:lineRule="auto"/>
        <w:ind w:left="2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的中标候选人名单中按顺序确定中标人。</w:t>
      </w:r>
    </w:p>
    <w:p w14:paraId="1D81B5FE">
      <w:pPr>
        <w:spacing w:before="294" w:line="411" w:lineRule="auto"/>
        <w:ind w:firstLine="56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③本项目采用的采购方式为公开招标，评分方法：综合评分法，投标文件</w:t>
      </w:r>
      <w:r>
        <w:rPr>
          <w:rFonts w:ascii="宋体" w:hAnsi="宋体" w:eastAsia="宋体" w:cs="宋体"/>
          <w:color w:val="auto"/>
          <w:spacing w:val="-2"/>
          <w:sz w:val="28"/>
          <w:szCs w:val="28"/>
          <w:highlight w:val="none"/>
        </w:rPr>
        <w:t>满足招标文件全部实质性要求，且按照评审因素的量化</w:t>
      </w:r>
      <w:r>
        <w:rPr>
          <w:rFonts w:ascii="宋体" w:hAnsi="宋体" w:eastAsia="宋体" w:cs="宋体"/>
          <w:color w:val="auto"/>
          <w:spacing w:val="-3"/>
          <w:sz w:val="28"/>
          <w:szCs w:val="28"/>
          <w:highlight w:val="none"/>
        </w:rPr>
        <w:t>指标，评审小组将根据</w:t>
      </w:r>
      <w:r>
        <w:rPr>
          <w:rFonts w:ascii="宋体" w:hAnsi="宋体" w:eastAsia="宋体" w:cs="宋体"/>
          <w:color w:val="auto"/>
          <w:spacing w:val="-2"/>
          <w:sz w:val="28"/>
          <w:szCs w:val="28"/>
          <w:highlight w:val="none"/>
        </w:rPr>
        <w:t>评标标准进行评审，最终推荐综合得分最高的三名投标</w:t>
      </w:r>
      <w:r>
        <w:rPr>
          <w:rFonts w:ascii="宋体" w:hAnsi="宋体" w:eastAsia="宋体" w:cs="宋体"/>
          <w:color w:val="auto"/>
          <w:spacing w:val="-3"/>
          <w:sz w:val="28"/>
          <w:szCs w:val="28"/>
          <w:highlight w:val="none"/>
        </w:rPr>
        <w:t>单位作为三名中标候选</w:t>
      </w:r>
      <w:r>
        <w:rPr>
          <w:rFonts w:ascii="宋体" w:hAnsi="宋体" w:eastAsia="宋体" w:cs="宋体"/>
          <w:color w:val="auto"/>
          <w:spacing w:val="-2"/>
          <w:sz w:val="28"/>
          <w:szCs w:val="28"/>
          <w:highlight w:val="none"/>
        </w:rPr>
        <w:t>人，评审后得分最高的投标人获得中标人推荐资格；评</w:t>
      </w:r>
      <w:r>
        <w:rPr>
          <w:rFonts w:ascii="宋体" w:hAnsi="宋体" w:eastAsia="宋体" w:cs="宋体"/>
          <w:color w:val="auto"/>
          <w:spacing w:val="-3"/>
          <w:sz w:val="28"/>
          <w:szCs w:val="28"/>
          <w:highlight w:val="none"/>
        </w:rPr>
        <w:t>标结果按评审后得分由</w:t>
      </w:r>
      <w:r>
        <w:rPr>
          <w:rFonts w:ascii="宋体" w:hAnsi="宋体" w:eastAsia="宋体" w:cs="宋体"/>
          <w:color w:val="auto"/>
          <w:spacing w:val="-2"/>
          <w:sz w:val="28"/>
          <w:szCs w:val="28"/>
          <w:highlight w:val="none"/>
        </w:rPr>
        <w:t>高到低顺序排列，得分相同的，按投标报价由低到</w:t>
      </w:r>
      <w:r>
        <w:rPr>
          <w:rFonts w:ascii="宋体" w:hAnsi="宋体" w:eastAsia="宋体" w:cs="宋体"/>
          <w:color w:val="auto"/>
          <w:spacing w:val="-3"/>
          <w:sz w:val="28"/>
          <w:szCs w:val="28"/>
          <w:highlight w:val="none"/>
        </w:rPr>
        <w:t>高顺序排列，得分且投标报</w:t>
      </w:r>
      <w:r>
        <w:rPr>
          <w:rFonts w:ascii="宋体" w:hAnsi="宋体" w:eastAsia="宋体" w:cs="宋体"/>
          <w:color w:val="auto"/>
          <w:spacing w:val="-2"/>
          <w:sz w:val="28"/>
          <w:szCs w:val="28"/>
          <w:highlight w:val="none"/>
        </w:rPr>
        <w:t>价相同的并列，投标文件满足招标文件全部实质性要求</w:t>
      </w:r>
      <w:r>
        <w:rPr>
          <w:rFonts w:ascii="宋体" w:hAnsi="宋体" w:eastAsia="宋体" w:cs="宋体"/>
          <w:color w:val="auto"/>
          <w:spacing w:val="-3"/>
          <w:sz w:val="28"/>
          <w:szCs w:val="28"/>
          <w:highlight w:val="none"/>
        </w:rPr>
        <w:t>，且按照评审因素的量</w:t>
      </w:r>
    </w:p>
    <w:p w14:paraId="739D36E8">
      <w:pPr>
        <w:spacing w:before="1" w:line="219" w:lineRule="auto"/>
        <w:ind w:left="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化指标评审得分最高的投标人为排名第一的中标候选人。</w:t>
      </w:r>
    </w:p>
    <w:p w14:paraId="1905D319">
      <w:pPr>
        <w:spacing w:before="294" w:line="411" w:lineRule="auto"/>
        <w:ind w:left="1" w:firstLine="559"/>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④采购人依据评审小组推荐的中标候选人确定中标人。采购人根据评审小</w:t>
      </w:r>
      <w:r>
        <w:rPr>
          <w:rFonts w:ascii="宋体" w:hAnsi="宋体" w:eastAsia="宋体" w:cs="宋体"/>
          <w:color w:val="auto"/>
          <w:spacing w:val="-2"/>
          <w:sz w:val="28"/>
          <w:szCs w:val="28"/>
          <w:highlight w:val="none"/>
        </w:rPr>
        <w:t>组的评标报告，应以排名第一的中标候选人为中标人</w:t>
      </w:r>
      <w:r>
        <w:rPr>
          <w:rFonts w:ascii="宋体" w:hAnsi="宋体" w:eastAsia="宋体" w:cs="宋体"/>
          <w:color w:val="auto"/>
          <w:spacing w:val="-3"/>
          <w:sz w:val="28"/>
          <w:szCs w:val="28"/>
          <w:highlight w:val="none"/>
        </w:rPr>
        <w:t>。排名第一的中标候选人</w:t>
      </w:r>
      <w:r>
        <w:rPr>
          <w:rFonts w:ascii="宋体" w:hAnsi="宋体" w:eastAsia="宋体" w:cs="宋体"/>
          <w:color w:val="auto"/>
          <w:spacing w:val="-2"/>
          <w:sz w:val="28"/>
          <w:szCs w:val="28"/>
          <w:highlight w:val="none"/>
        </w:rPr>
        <w:t>放弃中标或因不可抗力提出不能履行合同，或者</w:t>
      </w:r>
      <w:r>
        <w:rPr>
          <w:rFonts w:ascii="宋体" w:hAnsi="宋体" w:eastAsia="宋体" w:cs="宋体"/>
          <w:color w:val="auto"/>
          <w:spacing w:val="-3"/>
          <w:sz w:val="28"/>
          <w:szCs w:val="28"/>
          <w:highlight w:val="none"/>
        </w:rPr>
        <w:t>招标文件规定应当提交履约保</w:t>
      </w:r>
      <w:r>
        <w:rPr>
          <w:rFonts w:ascii="宋体" w:hAnsi="宋体" w:eastAsia="宋体" w:cs="宋体"/>
          <w:color w:val="auto"/>
          <w:spacing w:val="-2"/>
          <w:sz w:val="28"/>
          <w:szCs w:val="28"/>
          <w:highlight w:val="none"/>
        </w:rPr>
        <w:t>证金而在规定的期限内未能提交的，采购人可以</w:t>
      </w:r>
      <w:r>
        <w:rPr>
          <w:rFonts w:ascii="宋体" w:hAnsi="宋体" w:eastAsia="宋体" w:cs="宋体"/>
          <w:color w:val="auto"/>
          <w:spacing w:val="-3"/>
          <w:sz w:val="28"/>
          <w:szCs w:val="28"/>
          <w:highlight w:val="none"/>
        </w:rPr>
        <w:t>确定排名第二的中标候选人为</w:t>
      </w:r>
      <w:r>
        <w:rPr>
          <w:rFonts w:ascii="宋体" w:hAnsi="宋体" w:eastAsia="宋体" w:cs="宋体"/>
          <w:color w:val="auto"/>
          <w:spacing w:val="-2"/>
          <w:sz w:val="28"/>
          <w:szCs w:val="28"/>
          <w:highlight w:val="none"/>
        </w:rPr>
        <w:t>中标人。排名第二的中标候选人因前款规定的同样原</w:t>
      </w:r>
      <w:r>
        <w:rPr>
          <w:rFonts w:ascii="宋体" w:hAnsi="宋体" w:eastAsia="宋体" w:cs="宋体"/>
          <w:color w:val="auto"/>
          <w:spacing w:val="-3"/>
          <w:sz w:val="28"/>
          <w:szCs w:val="28"/>
          <w:highlight w:val="none"/>
        </w:rPr>
        <w:t>因不能签订合同的，采购</w:t>
      </w:r>
    </w:p>
    <w:p w14:paraId="40F4CD2F">
      <w:pPr>
        <w:spacing w:before="2" w:line="219" w:lineRule="auto"/>
        <w:ind w:left="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人可以确定排名第三的中标候选人为中标人。</w:t>
      </w:r>
    </w:p>
    <w:p w14:paraId="0E7E5628">
      <w:pPr>
        <w:spacing w:before="290" w:line="220" w:lineRule="auto"/>
        <w:ind w:left="4"/>
        <w:outlineLvl w:val="2"/>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27.确定中标候选人和中标人</w:t>
      </w:r>
    </w:p>
    <w:p w14:paraId="392C424B">
      <w:pPr>
        <w:spacing w:before="292" w:line="411" w:lineRule="auto"/>
        <w:ind w:left="1" w:right="76" w:firstLine="568"/>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评标委员会将根据评标标准，按投标人须知资料表中规定数量推荐中标候选人；或根据采购人的委托，直接确定中标人。</w:t>
      </w:r>
    </w:p>
    <w:p w14:paraId="7E6EEA9F">
      <w:pPr>
        <w:spacing w:before="291" w:line="219" w:lineRule="auto"/>
        <w:jc w:val="both"/>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28.采购任务取消</w:t>
      </w:r>
    </w:p>
    <w:p w14:paraId="4A21D8C8">
      <w:pPr>
        <w:spacing w:before="291" w:line="624" w:lineRule="exact"/>
        <w:ind w:left="1069"/>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因重大变故采购任务取消时，采购人有权拒绝任何投标人中标，</w:t>
      </w:r>
      <w:r>
        <w:rPr>
          <w:rFonts w:ascii="宋体" w:hAnsi="宋体" w:eastAsia="宋体" w:cs="宋体"/>
          <w:color w:val="auto"/>
          <w:spacing w:val="-2"/>
          <w:position w:val="26"/>
          <w:sz w:val="28"/>
          <w:szCs w:val="28"/>
          <w:highlight w:val="none"/>
        </w:rPr>
        <w:t>且对</w:t>
      </w:r>
    </w:p>
    <w:p w14:paraId="73ADE9EA">
      <w:pPr>
        <w:spacing w:before="1" w:line="219" w:lineRule="auto"/>
        <w:ind w:left="105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受影响的投标人不承担任何责任。</w:t>
      </w:r>
    </w:p>
    <w:p w14:paraId="4DB11F9E">
      <w:pPr>
        <w:spacing w:before="291" w:line="219"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29.中标通知书和中标公示</w:t>
      </w:r>
    </w:p>
    <w:p w14:paraId="117CDAC9">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29.1在投标有效期内，中标人确定后</w:t>
      </w:r>
      <w:r>
        <w:rPr>
          <w:rFonts w:ascii="宋体" w:hAnsi="宋体" w:eastAsia="宋体" w:cs="宋体"/>
          <w:color w:val="auto"/>
          <w:spacing w:val="1"/>
          <w:sz w:val="28"/>
          <w:szCs w:val="28"/>
          <w:highlight w:val="none"/>
        </w:rPr>
        <w:t>，采购人或者采购代理机构发布中标</w:t>
      </w:r>
      <w:r>
        <w:rPr>
          <w:rFonts w:ascii="宋体" w:hAnsi="宋体" w:eastAsia="宋体" w:cs="宋体"/>
          <w:color w:val="auto"/>
          <w:spacing w:val="-1"/>
          <w:sz w:val="28"/>
          <w:szCs w:val="28"/>
          <w:highlight w:val="none"/>
        </w:rPr>
        <w:t>公</w:t>
      </w:r>
      <w:r>
        <w:rPr>
          <w:rFonts w:hint="eastAsia" w:ascii="宋体" w:hAnsi="宋体" w:eastAsia="宋体" w:cs="宋体"/>
          <w:color w:val="auto"/>
          <w:spacing w:val="-1"/>
          <w:sz w:val="28"/>
          <w:szCs w:val="28"/>
          <w:highlight w:val="none"/>
          <w:lang w:val="en-US" w:eastAsia="zh-CN"/>
        </w:rPr>
        <w:tab/>
      </w:r>
      <w:r>
        <w:rPr>
          <w:rFonts w:hint="eastAsia" w:ascii="宋体" w:hAnsi="宋体" w:eastAsia="宋体" w:cs="宋体"/>
          <w:color w:val="auto"/>
          <w:spacing w:val="-1"/>
          <w:sz w:val="28"/>
          <w:szCs w:val="28"/>
          <w:highlight w:val="none"/>
          <w:lang w:val="en-US" w:eastAsia="zh-CN"/>
        </w:rPr>
        <w:tab/>
      </w:r>
      <w:r>
        <w:rPr>
          <w:rFonts w:hint="eastAsia" w:ascii="宋体" w:hAnsi="宋体" w:eastAsia="宋体" w:cs="宋体"/>
          <w:color w:val="auto"/>
          <w:spacing w:val="-1"/>
          <w:sz w:val="28"/>
          <w:szCs w:val="28"/>
          <w:highlight w:val="none"/>
          <w:lang w:val="en-US" w:eastAsia="zh-CN"/>
        </w:rPr>
        <w:t xml:space="preserve">    </w:t>
      </w:r>
      <w:r>
        <w:rPr>
          <w:rFonts w:ascii="宋体" w:hAnsi="宋体" w:eastAsia="宋体" w:cs="宋体"/>
          <w:color w:val="auto"/>
          <w:spacing w:val="-1"/>
          <w:sz w:val="28"/>
          <w:szCs w:val="28"/>
          <w:highlight w:val="none"/>
        </w:rPr>
        <w:t>告，同时以书面形式向中标人发出中标通知书；</w:t>
      </w:r>
    </w:p>
    <w:p w14:paraId="6EC162E8">
      <w:pPr>
        <w:spacing w:before="293" w:line="21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29.2中标通知书是合同的组成部分；</w:t>
      </w:r>
    </w:p>
    <w:p w14:paraId="5C9F845E">
      <w:pPr>
        <w:spacing w:before="292" w:line="222" w:lineRule="auto"/>
        <w:ind w:left="2"/>
        <w:outlineLvl w:val="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30.签订合同</w:t>
      </w:r>
    </w:p>
    <w:p w14:paraId="7819EB57">
      <w:pPr>
        <w:spacing w:before="287" w:line="219" w:lineRule="auto"/>
        <w:ind w:left="2"/>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30.1中标人应当自发出中标通知书之日起30日内，与采购人签订合同。</w:t>
      </w:r>
    </w:p>
    <w:p w14:paraId="0AA10A37">
      <w:pPr>
        <w:spacing w:before="292" w:line="219" w:lineRule="auto"/>
        <w:jc w:val="right"/>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30.2招标文件、中标人的投标文件及其澄清文件等，均为签订合同的依据。</w:t>
      </w:r>
    </w:p>
    <w:p w14:paraId="2216C56E">
      <w:pPr>
        <w:spacing w:before="291" w:line="219" w:lineRule="auto"/>
        <w:ind w:left="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30.3中标人拒绝与采购人签订合同的，采购人可以按照评审报告推荐的中</w:t>
      </w:r>
    </w:p>
    <w:p w14:paraId="064EB389">
      <w:pPr>
        <w:spacing w:before="292" w:line="624" w:lineRule="exact"/>
        <w:ind w:left="1048"/>
        <w:rPr>
          <w:rFonts w:ascii="宋体" w:hAnsi="宋体" w:eastAsia="宋体" w:cs="宋体"/>
          <w:color w:val="auto"/>
          <w:sz w:val="28"/>
          <w:szCs w:val="28"/>
          <w:highlight w:val="none"/>
        </w:rPr>
      </w:pPr>
      <w:r>
        <w:rPr>
          <w:rFonts w:ascii="宋体" w:hAnsi="宋体" w:eastAsia="宋体" w:cs="宋体"/>
          <w:color w:val="auto"/>
          <w:position w:val="26"/>
          <w:sz w:val="28"/>
          <w:szCs w:val="28"/>
          <w:highlight w:val="none"/>
        </w:rPr>
        <w:t>标候选人名单排序，确定下一中标候选人为</w:t>
      </w:r>
      <w:r>
        <w:rPr>
          <w:rFonts w:ascii="宋体" w:hAnsi="宋体" w:eastAsia="宋体" w:cs="宋体"/>
          <w:color w:val="auto"/>
          <w:spacing w:val="-1"/>
          <w:position w:val="26"/>
          <w:sz w:val="28"/>
          <w:szCs w:val="28"/>
          <w:highlight w:val="none"/>
        </w:rPr>
        <w:t>中标人，也可以重新开展</w:t>
      </w:r>
    </w:p>
    <w:p w14:paraId="7E065E6D">
      <w:pPr>
        <w:spacing w:before="1" w:line="219" w:lineRule="auto"/>
        <w:ind w:left="104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政府采购活动。</w:t>
      </w:r>
    </w:p>
    <w:p w14:paraId="7C0E0CBB">
      <w:pPr>
        <w:spacing w:before="292" w:line="219" w:lineRule="auto"/>
        <w:ind w:left="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30.4当出现法规规定的</w:t>
      </w: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中标无效或中标结果无效</w:t>
      </w:r>
      <w:r>
        <w:rPr>
          <w:rFonts w:ascii="宋体" w:hAnsi="宋体" w:eastAsia="宋体" w:cs="宋体"/>
          <w:color w:val="auto"/>
          <w:spacing w:val="-2"/>
          <w:sz w:val="28"/>
          <w:szCs w:val="28"/>
          <w:highlight w:val="none"/>
        </w:rPr>
        <w:t>情形</w:t>
      </w:r>
      <w:r>
        <w:rPr>
          <w:rFonts w:ascii="宋体" w:hAnsi="宋体" w:eastAsia="宋体" w:cs="宋体"/>
          <w:color w:val="auto"/>
          <w:spacing w:val="-3"/>
          <w:sz w:val="28"/>
          <w:szCs w:val="28"/>
          <w:highlight w:val="none"/>
        </w:rPr>
        <w:t>时，采购人可与排名下</w:t>
      </w:r>
    </w:p>
    <w:p w14:paraId="7412BAAE">
      <w:pPr>
        <w:spacing w:before="292" w:line="219" w:lineRule="auto"/>
        <w:ind w:left="105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一位的中标候选人另行签订合同，或依法重新开展采购活动。</w:t>
      </w:r>
    </w:p>
    <w:p w14:paraId="2C728C68">
      <w:pPr>
        <w:spacing w:before="291" w:line="221" w:lineRule="auto"/>
        <w:ind w:left="2"/>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31.履约保证金</w:t>
      </w:r>
    </w:p>
    <w:p w14:paraId="10823E04">
      <w:pPr>
        <w:spacing w:before="289" w:line="219" w:lineRule="auto"/>
        <w:ind w:left="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31.1中标人应按照</w:t>
      </w:r>
      <w:r>
        <w:rPr>
          <w:rFonts w:ascii="宋体" w:hAnsi="宋体" w:eastAsia="宋体" w:cs="宋体"/>
          <w:color w:val="auto"/>
          <w:spacing w:val="-2"/>
          <w:sz w:val="28"/>
          <w:szCs w:val="28"/>
          <w:highlight w:val="none"/>
          <w:u w:val="single" w:color="auto"/>
        </w:rPr>
        <w:t>投标人须知资料表</w:t>
      </w:r>
      <w:r>
        <w:rPr>
          <w:rFonts w:ascii="宋体" w:hAnsi="宋体" w:eastAsia="宋体" w:cs="宋体"/>
          <w:color w:val="auto"/>
          <w:spacing w:val="-2"/>
          <w:sz w:val="28"/>
          <w:szCs w:val="28"/>
          <w:highlight w:val="none"/>
        </w:rPr>
        <w:t>规定向采购人缴纳履约保证金（如采</w:t>
      </w:r>
    </w:p>
    <w:p w14:paraId="78B10F34">
      <w:pPr>
        <w:spacing w:before="292" w:line="219" w:lineRule="auto"/>
        <w:ind w:left="105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用保函形式，格式见本章附件1）。</w:t>
      </w:r>
    </w:p>
    <w:p w14:paraId="75E7B6A6">
      <w:pPr>
        <w:spacing w:before="292" w:line="219" w:lineRule="auto"/>
        <w:ind w:left="2"/>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31.2政府采购利用担保试点范围内的项目，除31</w:t>
      </w:r>
      <w:r>
        <w:rPr>
          <w:rFonts w:ascii="宋体" w:hAnsi="宋体" w:eastAsia="宋体" w:cs="宋体"/>
          <w:color w:val="auto"/>
          <w:spacing w:val="-6"/>
          <w:sz w:val="28"/>
          <w:szCs w:val="28"/>
          <w:highlight w:val="none"/>
        </w:rPr>
        <w:t>.1规定的情形外，中标人</w:t>
      </w:r>
    </w:p>
    <w:p w14:paraId="14D94C3C">
      <w:pPr>
        <w:spacing w:before="291" w:line="624" w:lineRule="exact"/>
        <w:ind w:left="1053"/>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也可以按照财政部门的规定，向采购人提供合格的履约担保函（格式</w:t>
      </w:r>
    </w:p>
    <w:p w14:paraId="13C69831">
      <w:pPr>
        <w:spacing w:before="1" w:line="219" w:lineRule="auto"/>
        <w:ind w:left="1052"/>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见本章附件2）。</w:t>
      </w:r>
    </w:p>
    <w:p w14:paraId="2462DEA2">
      <w:pPr>
        <w:spacing w:before="56" w:line="624" w:lineRule="exact"/>
        <w:jc w:val="right"/>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31.3如果中标人没有按照上述履约保证金的规定执行，将视为放弃中标资格，</w:t>
      </w:r>
      <w:r>
        <w:rPr>
          <w:rFonts w:ascii="宋体" w:hAnsi="宋体" w:eastAsia="宋体" w:cs="宋体"/>
          <w:color w:val="auto"/>
          <w:spacing w:val="-1"/>
          <w:position w:val="26"/>
          <w:sz w:val="28"/>
          <w:szCs w:val="28"/>
          <w:highlight w:val="none"/>
        </w:rPr>
        <w:t>中标人的投标保证金将不予退还。在此情况下，采购人</w:t>
      </w:r>
      <w:r>
        <w:rPr>
          <w:rFonts w:ascii="宋体" w:hAnsi="宋体" w:eastAsia="宋体" w:cs="宋体"/>
          <w:color w:val="auto"/>
          <w:spacing w:val="-2"/>
          <w:position w:val="26"/>
          <w:sz w:val="28"/>
          <w:szCs w:val="28"/>
          <w:highlight w:val="none"/>
        </w:rPr>
        <w:t>可确定下一候</w:t>
      </w:r>
    </w:p>
    <w:p w14:paraId="7C53D497">
      <w:pPr>
        <w:spacing w:line="219" w:lineRule="auto"/>
        <w:ind w:left="104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选人为中标人，也可以重新开展采购活动。</w:t>
      </w:r>
    </w:p>
    <w:p w14:paraId="622C0808">
      <w:pPr>
        <w:spacing w:before="291" w:line="220" w:lineRule="auto"/>
        <w:ind w:left="2"/>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32.中标服务费</w:t>
      </w:r>
    </w:p>
    <w:p w14:paraId="13565EA6">
      <w:pPr>
        <w:spacing w:before="290" w:line="219" w:lineRule="auto"/>
        <w:ind w:left="44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中标人须按照</w:t>
      </w:r>
      <w:r>
        <w:rPr>
          <w:rFonts w:ascii="宋体" w:hAnsi="宋体" w:eastAsia="宋体" w:cs="宋体"/>
          <w:color w:val="auto"/>
          <w:spacing w:val="-1"/>
          <w:sz w:val="28"/>
          <w:szCs w:val="28"/>
          <w:highlight w:val="none"/>
          <w:u w:val="single" w:color="auto"/>
        </w:rPr>
        <w:t>投标须知资料表</w:t>
      </w:r>
      <w:r>
        <w:rPr>
          <w:rFonts w:ascii="宋体" w:hAnsi="宋体" w:eastAsia="宋体" w:cs="宋体"/>
          <w:color w:val="auto"/>
          <w:spacing w:val="-1"/>
          <w:sz w:val="28"/>
          <w:szCs w:val="28"/>
          <w:highlight w:val="none"/>
        </w:rPr>
        <w:t>规定，向采购代理机构支付中</w:t>
      </w:r>
      <w:r>
        <w:rPr>
          <w:rFonts w:ascii="宋体" w:hAnsi="宋体" w:eastAsia="宋体" w:cs="宋体"/>
          <w:color w:val="auto"/>
          <w:spacing w:val="-2"/>
          <w:sz w:val="28"/>
          <w:szCs w:val="28"/>
          <w:highlight w:val="none"/>
        </w:rPr>
        <w:t>标服务费。</w:t>
      </w:r>
    </w:p>
    <w:p w14:paraId="29A31B43">
      <w:pPr>
        <w:spacing w:before="291" w:line="219" w:lineRule="auto"/>
        <w:ind w:left="2"/>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33.政府采购信用担保</w:t>
      </w:r>
    </w:p>
    <w:p w14:paraId="43A3CDDD">
      <w:pPr>
        <w:spacing w:before="292" w:line="219" w:lineRule="auto"/>
        <w:ind w:left="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33.1本项目是否属于信用担保试点范围见</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w:t>
      </w:r>
    </w:p>
    <w:p w14:paraId="27820F1C">
      <w:pPr>
        <w:spacing w:before="292" w:line="219" w:lineRule="auto"/>
        <w:jc w:val="right"/>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33.2如属于政府采购信用担保试点范围内，中小型企</w:t>
      </w:r>
      <w:r>
        <w:rPr>
          <w:rFonts w:ascii="宋体" w:hAnsi="宋体" w:eastAsia="宋体" w:cs="宋体"/>
          <w:color w:val="auto"/>
          <w:spacing w:val="-3"/>
          <w:sz w:val="28"/>
          <w:szCs w:val="28"/>
          <w:highlight w:val="none"/>
        </w:rPr>
        <w:t>业投标人可以自由按照</w:t>
      </w:r>
    </w:p>
    <w:p w14:paraId="78850B5A">
      <w:pPr>
        <w:spacing w:before="292" w:line="219" w:lineRule="auto"/>
        <w:ind w:left="98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财政部门的规定，采用投标担保、履约担保和融资担保。</w:t>
      </w:r>
    </w:p>
    <w:p w14:paraId="10264761">
      <w:pPr>
        <w:spacing w:before="291" w:line="219" w:lineRule="auto"/>
        <w:ind w:left="2"/>
        <w:rPr>
          <w:rFonts w:ascii="宋体" w:hAnsi="宋体" w:eastAsia="宋体" w:cs="宋体"/>
          <w:color w:val="auto"/>
          <w:sz w:val="28"/>
          <w:szCs w:val="28"/>
          <w:highlight w:val="none"/>
        </w:rPr>
      </w:pPr>
      <w:r>
        <w:rPr>
          <w:rFonts w:ascii="宋体" w:hAnsi="宋体" w:eastAsia="宋体" w:cs="宋体"/>
          <w:color w:val="auto"/>
          <w:sz w:val="28"/>
          <w:szCs w:val="28"/>
          <w:highlight w:val="none"/>
        </w:rPr>
        <w:t>33.2.1投标人递交的投标担保函和履</w:t>
      </w:r>
      <w:r>
        <w:rPr>
          <w:rFonts w:ascii="宋体" w:hAnsi="宋体" w:eastAsia="宋体" w:cs="宋体"/>
          <w:color w:val="auto"/>
          <w:spacing w:val="-1"/>
          <w:sz w:val="28"/>
          <w:szCs w:val="28"/>
          <w:highlight w:val="none"/>
        </w:rPr>
        <w:t>约担保函应符合本招标文件的规定。</w:t>
      </w:r>
    </w:p>
    <w:p w14:paraId="79AC654B">
      <w:pPr>
        <w:spacing w:before="292" w:line="219" w:lineRule="auto"/>
        <w:ind w:left="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33.2.2中标人可以采取融资担保的形式为政府采购项目履约进行融资。</w:t>
      </w:r>
    </w:p>
    <w:p w14:paraId="12E8C6B2">
      <w:pPr>
        <w:spacing w:before="292" w:line="219" w:lineRule="auto"/>
        <w:ind w:left="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33.2.3合格的政府采购专业信用担保机构见</w:t>
      </w:r>
      <w:r>
        <w:rPr>
          <w:rFonts w:ascii="宋体" w:hAnsi="宋体" w:eastAsia="宋体" w:cs="宋体"/>
          <w:color w:val="auto"/>
          <w:spacing w:val="-1"/>
          <w:sz w:val="28"/>
          <w:szCs w:val="28"/>
          <w:highlight w:val="none"/>
          <w:u w:val="single" w:color="auto"/>
        </w:rPr>
        <w:t>投标人须知资料表</w:t>
      </w:r>
      <w:r>
        <w:rPr>
          <w:rFonts w:ascii="宋体" w:hAnsi="宋体" w:eastAsia="宋体" w:cs="宋体"/>
          <w:color w:val="auto"/>
          <w:spacing w:val="-1"/>
          <w:sz w:val="28"/>
          <w:szCs w:val="28"/>
          <w:highlight w:val="none"/>
        </w:rPr>
        <w:t>。</w:t>
      </w:r>
    </w:p>
    <w:p w14:paraId="0DA36E1D">
      <w:pPr>
        <w:spacing w:before="292" w:line="220" w:lineRule="auto"/>
        <w:ind w:left="2"/>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34.廉洁自律规定</w:t>
      </w:r>
    </w:p>
    <w:p w14:paraId="7FB573B5">
      <w:pPr>
        <w:spacing w:before="290" w:line="219" w:lineRule="auto"/>
        <w:jc w:val="right"/>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34.1采购代理机构工作人员不得以不正当手段获取政</w:t>
      </w:r>
      <w:r>
        <w:rPr>
          <w:rFonts w:ascii="宋体" w:hAnsi="宋体" w:eastAsia="宋体" w:cs="宋体"/>
          <w:color w:val="auto"/>
          <w:spacing w:val="-3"/>
          <w:sz w:val="28"/>
          <w:szCs w:val="28"/>
          <w:highlight w:val="none"/>
        </w:rPr>
        <w:t>府采购代理业务，不得</w:t>
      </w:r>
    </w:p>
    <w:p w14:paraId="15D15D29">
      <w:pPr>
        <w:spacing w:before="292" w:line="219" w:lineRule="auto"/>
        <w:ind w:left="105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与采购人、投标人恶意串通操纵政府采购活动。</w:t>
      </w:r>
    </w:p>
    <w:p w14:paraId="5B67D8CF">
      <w:pPr>
        <w:spacing w:before="293" w:line="411" w:lineRule="auto"/>
        <w:ind w:left="1056" w:hanging="1054"/>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34.2采购代理机构工作人员不得接受采购人或者投标人组织的宴请、旅游、娱</w:t>
      </w:r>
      <w:r>
        <w:rPr>
          <w:rFonts w:ascii="宋体" w:hAnsi="宋体" w:eastAsia="宋体" w:cs="宋体"/>
          <w:color w:val="auto"/>
          <w:spacing w:val="-1"/>
          <w:sz w:val="28"/>
          <w:szCs w:val="28"/>
          <w:highlight w:val="none"/>
        </w:rPr>
        <w:t>乐，不得收受礼品、现金、有价证券等，不得向采购人或者投标人报</w:t>
      </w:r>
    </w:p>
    <w:p w14:paraId="67CA4303">
      <w:pPr>
        <w:spacing w:before="1" w:line="219" w:lineRule="auto"/>
        <w:ind w:left="104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销应当由个人承担的费用。</w:t>
      </w:r>
    </w:p>
    <w:p w14:paraId="6FCD53C2">
      <w:pPr>
        <w:spacing w:before="291" w:line="411" w:lineRule="auto"/>
        <w:jc w:val="right"/>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34.3为强化采购代理机构内部监督机制，投标人可按</w:t>
      </w:r>
      <w:r>
        <w:rPr>
          <w:rFonts w:ascii="宋体" w:hAnsi="宋体" w:eastAsia="宋体" w:cs="宋体"/>
          <w:color w:val="auto"/>
          <w:spacing w:val="-5"/>
          <w:sz w:val="28"/>
          <w:szCs w:val="28"/>
          <w:highlight w:val="none"/>
          <w:u w:val="single" w:color="auto"/>
        </w:rPr>
        <w:t>投标人须知资料表中的</w:t>
      </w:r>
      <w:r>
        <w:rPr>
          <w:rFonts w:ascii="宋体" w:hAnsi="宋体" w:eastAsia="宋体" w:cs="宋体"/>
          <w:color w:val="auto"/>
          <w:spacing w:val="-5"/>
          <w:sz w:val="28"/>
          <w:szCs w:val="28"/>
          <w:highlight w:val="none"/>
        </w:rPr>
        <w:t>监</w:t>
      </w:r>
    </w:p>
    <w:p w14:paraId="7A04F8D0">
      <w:pPr>
        <w:spacing w:before="1" w:line="219" w:lineRule="auto"/>
        <w:ind w:left="105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督电话和信箱，反映采购代理机构的廉洁自律等问题。</w:t>
      </w:r>
    </w:p>
    <w:p w14:paraId="7AF44965">
      <w:pPr>
        <w:spacing w:before="292" w:line="221" w:lineRule="auto"/>
        <w:ind w:left="2"/>
        <w:outlineLvl w:val="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35.人员回避</w:t>
      </w:r>
    </w:p>
    <w:p w14:paraId="3A561F15">
      <w:pPr>
        <w:spacing w:before="288" w:line="624" w:lineRule="exact"/>
        <w:rPr>
          <w:rFonts w:ascii="宋体" w:hAnsi="宋体" w:eastAsia="宋体" w:cs="宋体"/>
          <w:color w:val="auto"/>
          <w:sz w:val="28"/>
          <w:szCs w:val="28"/>
          <w:highlight w:val="none"/>
        </w:rPr>
      </w:pPr>
      <w:r>
        <w:rPr>
          <w:rFonts w:ascii="宋体" w:hAnsi="宋体" w:eastAsia="宋体" w:cs="宋体"/>
          <w:color w:val="auto"/>
          <w:spacing w:val="6"/>
          <w:position w:val="26"/>
          <w:sz w:val="28"/>
          <w:szCs w:val="28"/>
          <w:highlight w:val="none"/>
        </w:rPr>
        <w:t>投标人认为采购人员及其相关人员有法律法规所列与其他投标人有利</w:t>
      </w:r>
      <w:r>
        <w:rPr>
          <w:rFonts w:ascii="宋体" w:hAnsi="宋体" w:eastAsia="宋体" w:cs="宋体"/>
          <w:color w:val="auto"/>
          <w:spacing w:val="5"/>
          <w:position w:val="26"/>
          <w:sz w:val="28"/>
          <w:szCs w:val="28"/>
          <w:highlight w:val="none"/>
        </w:rPr>
        <w:t>害关系</w:t>
      </w:r>
    </w:p>
    <w:p w14:paraId="22271377">
      <w:pPr>
        <w:spacing w:before="56" w:line="220" w:lineRule="auto"/>
        <w:outlineLvl w:val="2"/>
        <w:rPr>
          <w:rFonts w:ascii="宋体" w:hAnsi="宋体" w:eastAsia="宋体" w:cs="宋体"/>
          <w:color w:val="auto"/>
          <w:spacing w:val="-2"/>
          <w:sz w:val="28"/>
          <w:szCs w:val="28"/>
          <w:highlight w:val="none"/>
        </w:rPr>
      </w:pPr>
      <w:r>
        <w:rPr>
          <w:rFonts w:ascii="宋体" w:hAnsi="宋体" w:eastAsia="宋体" w:cs="宋体"/>
          <w:color w:val="auto"/>
          <w:spacing w:val="-1"/>
          <w:sz w:val="28"/>
          <w:szCs w:val="28"/>
          <w:highlight w:val="none"/>
        </w:rPr>
        <w:t>的，可以向采购人或采购代理机构书面提出回避申请，并说</w:t>
      </w:r>
      <w:r>
        <w:rPr>
          <w:rFonts w:ascii="宋体" w:hAnsi="宋体" w:eastAsia="宋体" w:cs="宋体"/>
          <w:color w:val="auto"/>
          <w:spacing w:val="-2"/>
          <w:sz w:val="28"/>
          <w:szCs w:val="28"/>
          <w:highlight w:val="none"/>
        </w:rPr>
        <w:t>明理由。</w:t>
      </w:r>
    </w:p>
    <w:p w14:paraId="607425AE">
      <w:pPr>
        <w:spacing w:before="56" w:line="220" w:lineRule="auto"/>
        <w:outlineLvl w:val="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36.质疑与接收</w:t>
      </w:r>
    </w:p>
    <w:p w14:paraId="316B8C1D">
      <w:pPr>
        <w:spacing w:before="292" w:line="411" w:lineRule="auto"/>
        <w:ind w:left="840" w:hanging="841"/>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36.1投标人认为招标文件、招标过程和中标结果使自己的权益受到损害的，可</w:t>
      </w:r>
      <w:r>
        <w:rPr>
          <w:rFonts w:ascii="宋体" w:hAnsi="宋体" w:eastAsia="宋体" w:cs="宋体"/>
          <w:color w:val="auto"/>
          <w:spacing w:val="-3"/>
          <w:sz w:val="28"/>
          <w:szCs w:val="28"/>
          <w:highlight w:val="none"/>
        </w:rPr>
        <w:t>以根据《中华人民共和国政府采购法》、《中华人民共和国政府采购法实施条例》和《政府采购质疑和投诉办法》的有关规定，依法向采购人</w:t>
      </w:r>
    </w:p>
    <w:p w14:paraId="0DDEEA8E">
      <w:pPr>
        <w:spacing w:line="219" w:lineRule="auto"/>
        <w:ind w:left="83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或其委托的采购代理机构提出质疑。</w:t>
      </w:r>
    </w:p>
    <w:p w14:paraId="6AB8C16F">
      <w:pPr>
        <w:spacing w:before="293" w:line="411" w:lineRule="auto"/>
        <w:ind w:left="836" w:hanging="837"/>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36.2质疑投标人应按照财政部制定的《政府采购质疑函范本》格式（可从财政</w:t>
      </w:r>
      <w:r>
        <w:rPr>
          <w:rFonts w:ascii="宋体" w:hAnsi="宋体" w:eastAsia="宋体" w:cs="宋体"/>
          <w:color w:val="auto"/>
          <w:spacing w:val="-3"/>
          <w:sz w:val="28"/>
          <w:szCs w:val="28"/>
          <w:highlight w:val="none"/>
        </w:rPr>
        <w:t>部官方网站下载）和《政府采购质疑和投诉办法》的要求，在法定质疑</w:t>
      </w:r>
      <w:r>
        <w:rPr>
          <w:rFonts w:ascii="宋体" w:hAnsi="宋体" w:eastAsia="宋体" w:cs="宋体"/>
          <w:color w:val="auto"/>
          <w:spacing w:val="6"/>
          <w:sz w:val="28"/>
          <w:szCs w:val="28"/>
          <w:highlight w:val="none"/>
        </w:rPr>
        <w:t>期内以纸质形式提出质疑，针对同一采购程序环节的质疑应一次性提</w:t>
      </w:r>
    </w:p>
    <w:p w14:paraId="3E10F40F">
      <w:pPr>
        <w:spacing w:line="223" w:lineRule="auto"/>
        <w:ind w:left="858"/>
        <w:rPr>
          <w:rFonts w:ascii="宋体" w:hAnsi="宋体" w:eastAsia="宋体" w:cs="宋体"/>
          <w:color w:val="auto"/>
          <w:sz w:val="28"/>
          <w:szCs w:val="28"/>
          <w:highlight w:val="none"/>
        </w:rPr>
      </w:pPr>
      <w:r>
        <w:rPr>
          <w:rFonts w:ascii="宋体" w:hAnsi="宋体" w:eastAsia="宋体" w:cs="宋体"/>
          <w:color w:val="auto"/>
          <w:spacing w:val="-18"/>
          <w:sz w:val="28"/>
          <w:szCs w:val="28"/>
          <w:highlight w:val="none"/>
        </w:rPr>
        <w:t>出。</w:t>
      </w:r>
    </w:p>
    <w:p w14:paraId="20965DF3">
      <w:pPr>
        <w:spacing w:before="285" w:line="624" w:lineRule="exact"/>
        <w:jc w:val="right"/>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超出法定质疑期的、重复提出的、分次提出的或内容、形式不符合《政</w:t>
      </w:r>
    </w:p>
    <w:p w14:paraId="6DF6816A">
      <w:pPr>
        <w:spacing w:line="219" w:lineRule="auto"/>
        <w:ind w:left="84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府采购质疑和投诉办法》的，质疑投标人将依法承担不利后果。</w:t>
      </w:r>
    </w:p>
    <w:p w14:paraId="53DAA2B1">
      <w:pPr>
        <w:spacing w:before="292" w:line="411"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36.3采购代理机构质疑函接收部门、联系电话和通讯地址,见</w:t>
      </w:r>
      <w:r>
        <w:rPr>
          <w:rFonts w:ascii="宋体" w:hAnsi="宋体" w:eastAsia="宋体" w:cs="宋体"/>
          <w:color w:val="auto"/>
          <w:spacing w:val="-1"/>
          <w:sz w:val="28"/>
          <w:szCs w:val="28"/>
          <w:highlight w:val="none"/>
          <w:u w:val="single" w:color="auto"/>
        </w:rPr>
        <w:t>投标人须知资料</w:t>
      </w:r>
    </w:p>
    <w:p w14:paraId="2E1F0DCC">
      <w:pPr>
        <w:spacing w:before="1" w:line="221" w:lineRule="auto"/>
        <w:ind w:left="833"/>
        <w:rPr>
          <w:rFonts w:ascii="宋体" w:hAnsi="宋体" w:eastAsia="宋体" w:cs="宋体"/>
          <w:color w:val="auto"/>
          <w:sz w:val="28"/>
          <w:szCs w:val="28"/>
          <w:highlight w:val="none"/>
        </w:rPr>
      </w:pPr>
      <w:r>
        <w:rPr>
          <w:rFonts w:ascii="宋体" w:hAnsi="宋体" w:eastAsia="宋体" w:cs="宋体"/>
          <w:color w:val="auto"/>
          <w:spacing w:val="14"/>
          <w:sz w:val="28"/>
          <w:szCs w:val="28"/>
          <w:highlight w:val="none"/>
          <w:u w:val="single" w:color="auto"/>
        </w:rPr>
        <w:t>表。</w:t>
      </w:r>
    </w:p>
    <w:p w14:paraId="73F95C4C">
      <w:pPr>
        <w:spacing w:before="287" w:line="221"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37.质疑的提出</w:t>
      </w:r>
    </w:p>
    <w:p w14:paraId="2146A21E">
      <w:pPr>
        <w:spacing w:before="291" w:line="411" w:lineRule="auto"/>
        <w:ind w:left="831" w:right="2" w:hanging="832"/>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37.1本采购文件中所称质疑及答复，是指参加本次采购活动的投标人对政府采</w:t>
      </w:r>
      <w:r>
        <w:rPr>
          <w:rFonts w:ascii="宋体" w:hAnsi="宋体" w:eastAsia="宋体" w:cs="宋体"/>
          <w:color w:val="auto"/>
          <w:spacing w:val="-3"/>
          <w:sz w:val="28"/>
          <w:szCs w:val="28"/>
          <w:highlight w:val="none"/>
        </w:rPr>
        <w:t>购活动中的采购文件、采购过程和成交结果向采购方提出质疑，采购方</w:t>
      </w:r>
    </w:p>
    <w:p w14:paraId="5E1508E2">
      <w:pPr>
        <w:spacing w:before="1" w:line="220" w:lineRule="auto"/>
        <w:ind w:left="83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答复质疑的行为。</w:t>
      </w:r>
    </w:p>
    <w:p w14:paraId="7545624F">
      <w:pPr>
        <w:spacing w:before="291" w:line="411" w:lineRule="auto"/>
        <w:ind w:left="865" w:hanging="866"/>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37.2投标人认为采购文件、采购过程和成交结果使自己的权益受到损害的，可以在知道或者应知其权益受到损害之日起7个工作日内，以书面形式向</w:t>
      </w:r>
    </w:p>
    <w:p w14:paraId="491BB2FC">
      <w:pPr>
        <w:spacing w:line="219" w:lineRule="auto"/>
        <w:ind w:left="83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采购方提出质疑。投标人应知其权益受到损害之日，是指：</w:t>
      </w:r>
    </w:p>
    <w:p w14:paraId="17F3C8BD">
      <w:pPr>
        <w:spacing w:before="291" w:line="624" w:lineRule="exact"/>
        <w:jc w:val="right"/>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（一）对可以质疑的采购文件提出质疑的，为收到采购文件之日或者采</w:t>
      </w:r>
    </w:p>
    <w:p w14:paraId="3A138E45">
      <w:pPr>
        <w:spacing w:before="1" w:line="218" w:lineRule="auto"/>
        <w:ind w:left="83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购文件公告期限届满之日；</w:t>
      </w:r>
    </w:p>
    <w:p w14:paraId="463F8F6F">
      <w:pPr>
        <w:numPr>
          <w:ilvl w:val="0"/>
          <w:numId w:val="1"/>
        </w:numPr>
        <w:spacing w:before="55" w:line="219" w:lineRule="auto"/>
        <w:ind w:left="854"/>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对采购过程提出质疑的，为各采购程序环节结束之日；</w:t>
      </w:r>
    </w:p>
    <w:p w14:paraId="5E20DD32">
      <w:pPr>
        <w:numPr>
          <w:ilvl w:val="0"/>
          <w:numId w:val="0"/>
        </w:numPr>
        <w:spacing w:before="55" w:line="219" w:lineRule="auto"/>
        <w:ind w:firstLine="834" w:firstLineChars="30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（三）对成交结果提出质疑的，为成交结果公告期限届满之日。</w:t>
      </w:r>
    </w:p>
    <w:p w14:paraId="21E99EE4">
      <w:pPr>
        <w:spacing w:before="293" w:line="411" w:lineRule="auto"/>
        <w:ind w:left="831" w:right="98" w:hanging="832"/>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37.3对可以质疑的采购文件提出质疑的，质疑人为参与本项目的报价方或潜在</w:t>
      </w:r>
      <w:r>
        <w:rPr>
          <w:rFonts w:ascii="宋体" w:hAnsi="宋体" w:eastAsia="宋体" w:cs="宋体"/>
          <w:color w:val="auto"/>
          <w:spacing w:val="-3"/>
          <w:sz w:val="28"/>
          <w:szCs w:val="28"/>
          <w:highlight w:val="none"/>
        </w:rPr>
        <w:t>报价方。可质疑的文件为采购公告以及采购文件（包括属于其组成部分</w:t>
      </w:r>
    </w:p>
    <w:p w14:paraId="51BCE84D">
      <w:pPr>
        <w:spacing w:line="219" w:lineRule="auto"/>
        <w:ind w:left="85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的澄清、修改、补充文件和评审标准、合同文本等）。</w:t>
      </w:r>
    </w:p>
    <w:p w14:paraId="275BA706">
      <w:pPr>
        <w:spacing w:before="292" w:line="411" w:lineRule="auto"/>
        <w:jc w:val="right"/>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37.4对采购过程和成交结果提出质疑的，质疑人为直接参与本项目的报价方。</w:t>
      </w:r>
      <w:r>
        <w:rPr>
          <w:rFonts w:ascii="宋体" w:hAnsi="宋体" w:eastAsia="宋体" w:cs="宋体"/>
          <w:color w:val="auto"/>
          <w:spacing w:val="2"/>
          <w:sz w:val="28"/>
          <w:szCs w:val="28"/>
          <w:highlight w:val="none"/>
        </w:rPr>
        <w:t>采购过程,即从采购项目信息公告发布起到成交结果公告止，包括</w:t>
      </w:r>
      <w:r>
        <w:rPr>
          <w:rFonts w:ascii="宋体" w:hAnsi="宋体" w:eastAsia="宋体" w:cs="宋体"/>
          <w:color w:val="auto"/>
          <w:spacing w:val="1"/>
          <w:sz w:val="28"/>
          <w:szCs w:val="28"/>
          <w:highlight w:val="none"/>
        </w:rPr>
        <w:t>采购</w:t>
      </w:r>
    </w:p>
    <w:p w14:paraId="686A9D11">
      <w:pPr>
        <w:spacing w:line="219" w:lineRule="auto"/>
        <w:jc w:val="right"/>
        <w:rPr>
          <w:rFonts w:ascii="宋体" w:hAnsi="宋体" w:eastAsia="宋体" w:cs="宋体"/>
          <w:color w:val="auto"/>
          <w:sz w:val="28"/>
          <w:szCs w:val="28"/>
          <w:highlight w:val="none"/>
        </w:rPr>
      </w:pPr>
      <w:r>
        <w:rPr>
          <w:rFonts w:ascii="宋体" w:hAnsi="宋体" w:eastAsia="宋体" w:cs="宋体"/>
          <w:color w:val="auto"/>
          <w:spacing w:val="-8"/>
          <w:sz w:val="28"/>
          <w:szCs w:val="28"/>
          <w:highlight w:val="none"/>
        </w:rPr>
        <w:t>文件的发出、提交投标文件、投标文件开启、评审等各个</w:t>
      </w:r>
      <w:r>
        <w:rPr>
          <w:rFonts w:ascii="宋体" w:hAnsi="宋体" w:eastAsia="宋体" w:cs="宋体"/>
          <w:color w:val="auto"/>
          <w:spacing w:val="-9"/>
          <w:sz w:val="28"/>
          <w:szCs w:val="28"/>
          <w:highlight w:val="none"/>
        </w:rPr>
        <w:t>采购程序环节。</w:t>
      </w:r>
    </w:p>
    <w:p w14:paraId="0C75A48A">
      <w:pPr>
        <w:spacing w:before="292" w:line="220"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37.5提出质疑应当符合下列条件：</w:t>
      </w:r>
    </w:p>
    <w:p w14:paraId="597BF8C3">
      <w:pPr>
        <w:spacing w:before="290" w:line="624" w:lineRule="exact"/>
        <w:ind w:left="854"/>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（一）质疑主体应当符合有关规定；</w:t>
      </w:r>
    </w:p>
    <w:p w14:paraId="3B0465C9">
      <w:pPr>
        <w:spacing w:before="2" w:line="219" w:lineRule="auto"/>
        <w:ind w:left="85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（二）在质疑法定期限内提出；</w:t>
      </w:r>
    </w:p>
    <w:p w14:paraId="40475C0E">
      <w:pPr>
        <w:spacing w:before="290" w:line="624" w:lineRule="exact"/>
        <w:ind w:left="854"/>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（三）属于可以提出质疑的政府采购事项受理范围和本项</w:t>
      </w:r>
      <w:r>
        <w:rPr>
          <w:rFonts w:ascii="宋体" w:hAnsi="宋体" w:eastAsia="宋体" w:cs="宋体"/>
          <w:color w:val="auto"/>
          <w:spacing w:val="-4"/>
          <w:position w:val="26"/>
          <w:sz w:val="28"/>
          <w:szCs w:val="28"/>
          <w:highlight w:val="none"/>
        </w:rPr>
        <w:t>目采购人的管</w:t>
      </w:r>
    </w:p>
    <w:p w14:paraId="08EC2FC7">
      <w:pPr>
        <w:spacing w:line="219" w:lineRule="auto"/>
        <w:ind w:left="84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辖权范围；</w:t>
      </w:r>
    </w:p>
    <w:p w14:paraId="5747C028">
      <w:pPr>
        <w:spacing w:before="292" w:line="219" w:lineRule="auto"/>
        <w:ind w:left="85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（四）政府采购法律、法规、规章规定的其他条件。</w:t>
      </w:r>
    </w:p>
    <w:p w14:paraId="1B0355C7">
      <w:pPr>
        <w:spacing w:before="294" w:line="411" w:lineRule="auto"/>
        <w:ind w:left="834" w:right="97" w:hanging="83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37.6提出质疑应当具有明确的请求和提供必要的证明材料。明确的请求,即质</w:t>
      </w:r>
      <w:r>
        <w:rPr>
          <w:rFonts w:ascii="宋体" w:hAnsi="宋体" w:eastAsia="宋体" w:cs="宋体"/>
          <w:color w:val="auto"/>
          <w:spacing w:val="-3"/>
          <w:sz w:val="28"/>
          <w:szCs w:val="28"/>
          <w:highlight w:val="none"/>
        </w:rPr>
        <w:t>疑人在质疑函中提出的，要求采购方对其予以支持的主张。必要的证明</w:t>
      </w:r>
      <w:r>
        <w:rPr>
          <w:rFonts w:ascii="宋体" w:hAnsi="宋体" w:eastAsia="宋体" w:cs="宋体"/>
          <w:color w:val="auto"/>
          <w:spacing w:val="2"/>
          <w:sz w:val="28"/>
          <w:szCs w:val="28"/>
          <w:highlight w:val="none"/>
        </w:rPr>
        <w:t>材料,即能够证明质疑人的质疑请求成立的必要材料，包括相</w:t>
      </w:r>
      <w:r>
        <w:rPr>
          <w:rFonts w:ascii="宋体" w:hAnsi="宋体" w:eastAsia="宋体" w:cs="宋体"/>
          <w:color w:val="auto"/>
          <w:spacing w:val="1"/>
          <w:sz w:val="28"/>
          <w:szCs w:val="28"/>
          <w:highlight w:val="none"/>
        </w:rPr>
        <w:t>关证据、</w:t>
      </w:r>
    </w:p>
    <w:p w14:paraId="5F7F4C53">
      <w:pPr>
        <w:spacing w:line="219" w:lineRule="auto"/>
        <w:ind w:left="83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依据和其他有关材料。</w:t>
      </w:r>
    </w:p>
    <w:p w14:paraId="3FF088CC">
      <w:pPr>
        <w:spacing w:before="291" w:line="624" w:lineRule="exact"/>
        <w:rPr>
          <w:rFonts w:ascii="宋体" w:hAnsi="宋体" w:eastAsia="宋体" w:cs="宋体"/>
          <w:color w:val="auto"/>
          <w:sz w:val="28"/>
          <w:szCs w:val="28"/>
          <w:highlight w:val="none"/>
        </w:rPr>
      </w:pPr>
      <w:r>
        <w:rPr>
          <w:rFonts w:ascii="宋体" w:hAnsi="宋体" w:eastAsia="宋体" w:cs="宋体"/>
          <w:color w:val="auto"/>
          <w:spacing w:val="-5"/>
          <w:position w:val="26"/>
          <w:sz w:val="28"/>
          <w:szCs w:val="28"/>
          <w:highlight w:val="none"/>
        </w:rPr>
        <w:t>37.7质疑人所提供的证明材料应当具有真实性、合法性以及与质疑事项的关联</w:t>
      </w:r>
    </w:p>
    <w:p w14:paraId="33FA2C7E">
      <w:pPr>
        <w:spacing w:before="1" w:line="219" w:lineRule="auto"/>
        <w:ind w:left="83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性和证明力，否则不能作为认定该质疑事项成立的依据。</w:t>
      </w:r>
    </w:p>
    <w:p w14:paraId="01B05BF4">
      <w:pPr>
        <w:spacing w:before="291"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37.8质疑人提出质疑时应当提交质疑函。质疑函包括下列内容：</w:t>
      </w:r>
    </w:p>
    <w:p w14:paraId="2D8307C3">
      <w:pPr>
        <w:keepNext w:val="0"/>
        <w:keepLines w:val="0"/>
        <w:pageBreakBefore w:val="0"/>
        <w:widowControl/>
        <w:kinsoku w:val="0"/>
        <w:wordWrap/>
        <w:overflowPunct/>
        <w:topLinePunct w:val="0"/>
        <w:autoSpaceDE w:val="0"/>
        <w:autoSpaceDN w:val="0"/>
        <w:bidi w:val="0"/>
        <w:adjustRightInd w:val="0"/>
        <w:snapToGrid w:val="0"/>
        <w:spacing w:line="240" w:lineRule="auto"/>
        <w:ind w:right="19"/>
        <w:jc w:val="right"/>
        <w:textAlignment w:val="baseline"/>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（一）提出质疑的质疑人的名称、地址、邮编、联系人及联系电话等；</w:t>
      </w:r>
    </w:p>
    <w:p w14:paraId="565BE4F9">
      <w:pPr>
        <w:keepNext w:val="0"/>
        <w:keepLines w:val="0"/>
        <w:pageBreakBefore w:val="0"/>
        <w:widowControl/>
        <w:kinsoku w:val="0"/>
        <w:wordWrap/>
        <w:overflowPunct/>
        <w:topLinePunct w:val="0"/>
        <w:autoSpaceDE w:val="0"/>
        <w:autoSpaceDN w:val="0"/>
        <w:bidi w:val="0"/>
        <w:adjustRightInd w:val="0"/>
        <w:snapToGrid w:val="0"/>
        <w:spacing w:line="240" w:lineRule="auto"/>
        <w:ind w:left="854"/>
        <w:textAlignment w:val="baseline"/>
        <w:rPr>
          <w:rFonts w:ascii="宋体" w:hAnsi="宋体" w:eastAsia="宋体" w:cs="宋体"/>
          <w:color w:val="auto"/>
          <w:spacing w:val="-2"/>
          <w:sz w:val="28"/>
          <w:szCs w:val="28"/>
          <w:highlight w:val="none"/>
        </w:rPr>
      </w:pPr>
      <w:r>
        <w:rPr>
          <w:rFonts w:ascii="宋体" w:hAnsi="宋体" w:eastAsia="宋体" w:cs="宋体"/>
          <w:color w:val="auto"/>
          <w:spacing w:val="-2"/>
          <w:sz w:val="28"/>
          <w:szCs w:val="28"/>
          <w:highlight w:val="none"/>
        </w:rPr>
        <w:t>（二）质疑项目的名称、编号；</w:t>
      </w:r>
    </w:p>
    <w:p w14:paraId="5B35098C">
      <w:pPr>
        <w:keepNext w:val="0"/>
        <w:keepLines w:val="0"/>
        <w:pageBreakBefore w:val="0"/>
        <w:widowControl/>
        <w:kinsoku w:val="0"/>
        <w:wordWrap/>
        <w:overflowPunct/>
        <w:topLinePunct w:val="0"/>
        <w:autoSpaceDE w:val="0"/>
        <w:autoSpaceDN w:val="0"/>
        <w:bidi w:val="0"/>
        <w:adjustRightInd w:val="0"/>
        <w:snapToGrid w:val="0"/>
        <w:spacing w:line="240" w:lineRule="auto"/>
        <w:ind w:left="854"/>
        <w:textAlignment w:val="baseline"/>
        <w:rPr>
          <w:rFonts w:ascii="宋体" w:hAnsi="宋体" w:eastAsia="宋体" w:cs="宋体"/>
          <w:color w:val="auto"/>
          <w:spacing w:val="-3"/>
          <w:sz w:val="28"/>
          <w:szCs w:val="28"/>
          <w:highlight w:val="none"/>
        </w:rPr>
      </w:pPr>
      <w:r>
        <w:rPr>
          <w:rFonts w:ascii="宋体" w:hAnsi="宋体" w:eastAsia="宋体" w:cs="宋体"/>
          <w:color w:val="auto"/>
          <w:spacing w:val="-3"/>
          <w:sz w:val="28"/>
          <w:szCs w:val="28"/>
          <w:highlight w:val="none"/>
        </w:rPr>
        <w:t>（三）质疑事项；</w:t>
      </w:r>
    </w:p>
    <w:p w14:paraId="0DFC4C5C">
      <w:pPr>
        <w:keepNext w:val="0"/>
        <w:keepLines w:val="0"/>
        <w:pageBreakBefore w:val="0"/>
        <w:widowControl/>
        <w:kinsoku w:val="0"/>
        <w:wordWrap/>
        <w:overflowPunct/>
        <w:topLinePunct w:val="0"/>
        <w:autoSpaceDE w:val="0"/>
        <w:autoSpaceDN w:val="0"/>
        <w:bidi w:val="0"/>
        <w:adjustRightInd w:val="0"/>
        <w:snapToGrid w:val="0"/>
        <w:spacing w:line="240" w:lineRule="auto"/>
        <w:ind w:left="854"/>
        <w:textAlignment w:val="baseline"/>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（四）事实依据和证明材料；</w:t>
      </w:r>
    </w:p>
    <w:p w14:paraId="64529491">
      <w:pPr>
        <w:keepNext w:val="0"/>
        <w:keepLines w:val="0"/>
        <w:pageBreakBefore w:val="0"/>
        <w:widowControl/>
        <w:kinsoku w:val="0"/>
        <w:wordWrap/>
        <w:overflowPunct/>
        <w:topLinePunct w:val="0"/>
        <w:autoSpaceDE w:val="0"/>
        <w:autoSpaceDN w:val="0"/>
        <w:bidi w:val="0"/>
        <w:adjustRightInd w:val="0"/>
        <w:snapToGrid w:val="0"/>
        <w:spacing w:line="240" w:lineRule="auto"/>
        <w:ind w:left="854"/>
        <w:textAlignment w:val="baseline"/>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（五）法律依据；</w:t>
      </w:r>
    </w:p>
    <w:p w14:paraId="05F7250A">
      <w:pPr>
        <w:keepNext w:val="0"/>
        <w:keepLines w:val="0"/>
        <w:pageBreakBefore w:val="0"/>
        <w:widowControl/>
        <w:kinsoku w:val="0"/>
        <w:wordWrap/>
        <w:overflowPunct/>
        <w:topLinePunct w:val="0"/>
        <w:autoSpaceDE w:val="0"/>
        <w:autoSpaceDN w:val="0"/>
        <w:bidi w:val="0"/>
        <w:adjustRightInd w:val="0"/>
        <w:snapToGrid w:val="0"/>
        <w:spacing w:line="240" w:lineRule="auto"/>
        <w:ind w:left="854"/>
        <w:textAlignment w:val="baseline"/>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（六）提出质疑的日期。</w:t>
      </w:r>
    </w:p>
    <w:p w14:paraId="3E0EF770">
      <w:pPr>
        <w:spacing w:before="290" w:line="411" w:lineRule="auto"/>
        <w:ind w:left="846" w:right="98" w:firstLine="1"/>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质疑函采用实名制。质疑人为自然人的应当由本人签字，并附有效身份证明文件；质疑人为法人或者非法人组织的应当由法定代表人或者负责</w:t>
      </w:r>
    </w:p>
    <w:p w14:paraId="7ED911C9">
      <w:pPr>
        <w:spacing w:line="219" w:lineRule="auto"/>
        <w:ind w:left="84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人签字并加盖公章，并附有效身份证明文件。</w:t>
      </w:r>
    </w:p>
    <w:p w14:paraId="257C992F">
      <w:pPr>
        <w:spacing w:before="291" w:line="624" w:lineRule="exact"/>
        <w:rPr>
          <w:rFonts w:ascii="宋体" w:hAnsi="宋体" w:eastAsia="宋体" w:cs="宋体"/>
          <w:color w:val="auto"/>
          <w:sz w:val="28"/>
          <w:szCs w:val="28"/>
          <w:highlight w:val="none"/>
        </w:rPr>
      </w:pPr>
      <w:r>
        <w:rPr>
          <w:rFonts w:ascii="宋体" w:hAnsi="宋体" w:eastAsia="宋体" w:cs="宋体"/>
          <w:color w:val="auto"/>
          <w:spacing w:val="-5"/>
          <w:position w:val="26"/>
          <w:sz w:val="28"/>
          <w:szCs w:val="28"/>
          <w:highlight w:val="none"/>
        </w:rPr>
        <w:t>37.9质疑人可以委托代理人进行质疑。代理人应当提交授权委托书。授权委托</w:t>
      </w:r>
    </w:p>
    <w:p w14:paraId="58D63A8F">
      <w:pPr>
        <w:spacing w:line="219" w:lineRule="auto"/>
        <w:ind w:left="84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书应当载明委托代理的具体权限、期限和相关事项。</w:t>
      </w:r>
    </w:p>
    <w:p w14:paraId="22EA0874">
      <w:pPr>
        <w:spacing w:before="291" w:line="221"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37.10质疑的审查和受理</w:t>
      </w:r>
    </w:p>
    <w:p w14:paraId="68536D8B">
      <w:pPr>
        <w:spacing w:before="289" w:line="624" w:lineRule="exact"/>
        <w:ind w:left="845"/>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采购方在收到质疑函后应当及时审查是否符合质疑受理条件，对符合质</w:t>
      </w:r>
    </w:p>
    <w:p w14:paraId="5EE43D82">
      <w:pPr>
        <w:spacing w:before="2" w:line="219" w:lineRule="auto"/>
        <w:ind w:left="84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疑受理条件的，及时予以受理。</w:t>
      </w:r>
    </w:p>
    <w:p w14:paraId="5F54CD06">
      <w:pPr>
        <w:spacing w:before="290" w:line="220"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37.11对不符合质疑受理条件的，分别按照下列不同情形予以处理：</w:t>
      </w:r>
    </w:p>
    <w:p w14:paraId="517D4370">
      <w:pPr>
        <w:spacing w:before="292" w:line="411" w:lineRule="auto"/>
        <w:ind w:left="846" w:firstLine="8"/>
        <w:jc w:val="both"/>
        <w:rPr>
          <w:rFonts w:ascii="宋体" w:hAnsi="宋体" w:eastAsia="宋体" w:cs="宋体"/>
          <w:color w:val="auto"/>
          <w:sz w:val="28"/>
          <w:szCs w:val="28"/>
          <w:highlight w:val="none"/>
        </w:rPr>
      </w:pPr>
      <w:r>
        <w:rPr>
          <w:rFonts w:ascii="宋体" w:hAnsi="宋体" w:eastAsia="宋体" w:cs="宋体"/>
          <w:color w:val="auto"/>
          <w:spacing w:val="-9"/>
          <w:sz w:val="28"/>
          <w:szCs w:val="28"/>
          <w:highlight w:val="none"/>
        </w:rPr>
        <w:t>（一）质疑函内容不符合规定的，告知质疑人进行修改并重新提出质疑。</w:t>
      </w:r>
      <w:r>
        <w:rPr>
          <w:rFonts w:ascii="宋体" w:hAnsi="宋体" w:eastAsia="宋体" w:cs="宋体"/>
          <w:color w:val="auto"/>
          <w:spacing w:val="-3"/>
          <w:sz w:val="28"/>
          <w:szCs w:val="28"/>
          <w:highlight w:val="none"/>
        </w:rPr>
        <w:t>修改后质疑事项仍不具体、不明确或者最终递交质疑函的时间超过质疑</w:t>
      </w:r>
    </w:p>
    <w:p w14:paraId="69036524">
      <w:pPr>
        <w:spacing w:before="1" w:line="220" w:lineRule="auto"/>
        <w:ind w:left="84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法定期限的，不予受理；</w:t>
      </w:r>
    </w:p>
    <w:p w14:paraId="7E091DA2">
      <w:pPr>
        <w:spacing w:before="288" w:line="219" w:lineRule="auto"/>
        <w:ind w:left="85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（二）质疑主体不符合有关规定的，告知质疑人不予受理；</w:t>
      </w:r>
    </w:p>
    <w:p w14:paraId="430A31D8">
      <w:pPr>
        <w:spacing w:before="292" w:line="219" w:lineRule="auto"/>
        <w:ind w:left="85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（三）超过质疑法定期限提出质疑的，告知质疑人不予受理；</w:t>
      </w:r>
    </w:p>
    <w:p w14:paraId="62257572">
      <w:pPr>
        <w:spacing w:before="293" w:line="624" w:lineRule="exact"/>
        <w:ind w:left="854"/>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（四）对不属于可以提出质疑的政府采购事项提出质疑的</w:t>
      </w:r>
      <w:r>
        <w:rPr>
          <w:rFonts w:ascii="宋体" w:hAnsi="宋体" w:eastAsia="宋体" w:cs="宋体"/>
          <w:color w:val="auto"/>
          <w:spacing w:val="-4"/>
          <w:position w:val="26"/>
          <w:sz w:val="28"/>
          <w:szCs w:val="28"/>
          <w:highlight w:val="none"/>
        </w:rPr>
        <w:t>，告知质疑人</w:t>
      </w:r>
    </w:p>
    <w:p w14:paraId="5725665E">
      <w:pPr>
        <w:spacing w:line="222" w:lineRule="auto"/>
        <w:ind w:left="85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不予受理；</w:t>
      </w:r>
    </w:p>
    <w:p w14:paraId="5CF0506E">
      <w:pPr>
        <w:spacing w:before="287" w:line="624" w:lineRule="exact"/>
        <w:ind w:left="854"/>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（五）质疑不属于本项目采购方管辖的，告知质疑人向有</w:t>
      </w:r>
      <w:r>
        <w:rPr>
          <w:rFonts w:ascii="宋体" w:hAnsi="宋体" w:eastAsia="宋体" w:cs="宋体"/>
          <w:color w:val="auto"/>
          <w:spacing w:val="-4"/>
          <w:position w:val="26"/>
          <w:sz w:val="28"/>
          <w:szCs w:val="28"/>
          <w:highlight w:val="none"/>
        </w:rPr>
        <w:t>管辖权的采购</w:t>
      </w:r>
    </w:p>
    <w:p w14:paraId="30E0A4CF">
      <w:pPr>
        <w:spacing w:before="1" w:line="220" w:lineRule="auto"/>
        <w:ind w:left="848"/>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人提出质疑；</w:t>
      </w:r>
    </w:p>
    <w:p w14:paraId="595D5B6C">
      <w:pPr>
        <w:spacing w:before="289" w:line="219" w:lineRule="auto"/>
        <w:ind w:left="85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（六）质疑不符合其他条件的，告知质疑人不予受理。</w:t>
      </w:r>
    </w:p>
    <w:p w14:paraId="159CF8E0">
      <w:pPr>
        <w:spacing w:before="292" w:line="221" w:lineRule="auto"/>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38.质疑的处理和答复</w:t>
      </w:r>
    </w:p>
    <w:p w14:paraId="359E0C8D">
      <w:pPr>
        <w:spacing w:before="292" w:line="221" w:lineRule="auto"/>
        <w:rPr>
          <w:rFonts w:ascii="宋体" w:hAnsi="宋体" w:eastAsia="宋体" w:cs="宋体"/>
          <w:color w:val="auto"/>
          <w:sz w:val="28"/>
          <w:szCs w:val="28"/>
          <w:highlight w:val="none"/>
        </w:rPr>
      </w:pPr>
      <w:r>
        <w:rPr>
          <w:rFonts w:ascii="宋体" w:hAnsi="宋体" w:eastAsia="宋体" w:cs="宋体"/>
          <w:color w:val="auto"/>
          <w:spacing w:val="-5"/>
          <w:position w:val="26"/>
          <w:sz w:val="28"/>
          <w:szCs w:val="28"/>
          <w:highlight w:val="none"/>
        </w:rPr>
        <w:t>38.1采购方受理质疑后，将及时把质疑函发送给被质疑人，并要求其在一定限</w:t>
      </w:r>
    </w:p>
    <w:p w14:paraId="7958B534">
      <w:pPr>
        <w:spacing w:line="219" w:lineRule="auto"/>
        <w:ind w:left="83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期人提交书面答复，同时提供有关证据、依据和相关材料。</w:t>
      </w:r>
    </w:p>
    <w:p w14:paraId="7B2D435F">
      <w:pPr>
        <w:spacing w:before="292" w:line="411" w:lineRule="auto"/>
        <w:ind w:left="836" w:hanging="83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38.2对于质疑事项中涉及的问题较多、情况比较复杂的，为了全面查清事实、</w:t>
      </w:r>
      <w:r>
        <w:rPr>
          <w:rFonts w:ascii="宋体" w:hAnsi="宋体" w:eastAsia="宋体" w:cs="宋体"/>
          <w:color w:val="auto"/>
          <w:spacing w:val="-3"/>
          <w:sz w:val="28"/>
          <w:szCs w:val="28"/>
          <w:highlight w:val="none"/>
        </w:rPr>
        <w:t>取得充分的证据，采购方认为有必要时，可以进行调查取证或者组织质</w:t>
      </w:r>
    </w:p>
    <w:p w14:paraId="6CAA1DD7">
      <w:pPr>
        <w:spacing w:before="1" w:line="230" w:lineRule="auto"/>
        <w:ind w:left="834"/>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证。</w:t>
      </w:r>
    </w:p>
    <w:p w14:paraId="66E6D19E">
      <w:pPr>
        <w:spacing w:before="273" w:line="624" w:lineRule="exact"/>
        <w:rPr>
          <w:rFonts w:ascii="宋体" w:hAnsi="宋体" w:eastAsia="宋体" w:cs="宋体"/>
          <w:color w:val="auto"/>
          <w:sz w:val="28"/>
          <w:szCs w:val="28"/>
          <w:highlight w:val="none"/>
        </w:rPr>
      </w:pPr>
      <w:r>
        <w:rPr>
          <w:rFonts w:ascii="宋体" w:hAnsi="宋体" w:eastAsia="宋体" w:cs="宋体"/>
          <w:color w:val="auto"/>
          <w:spacing w:val="-5"/>
          <w:position w:val="26"/>
          <w:sz w:val="28"/>
          <w:szCs w:val="28"/>
          <w:highlight w:val="none"/>
        </w:rPr>
        <w:t>38.3对评审过程、成交结果提出质疑的，采购方可以组织原评审委员会协助答</w:t>
      </w:r>
    </w:p>
    <w:p w14:paraId="2BFCB173">
      <w:pPr>
        <w:spacing w:before="1" w:line="220" w:lineRule="auto"/>
        <w:ind w:left="841"/>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复质疑。</w:t>
      </w:r>
    </w:p>
    <w:p w14:paraId="3EBBF529">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38.4质疑处理过程中，质疑人书面申请撤回质疑的，将终止质疑处理程序。</w:t>
      </w:r>
    </w:p>
    <w:p w14:paraId="29CBD67E">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38.5质疑人拒绝配合采购方依法对质疑进行调查处理的，采购方将按质疑人自</w:t>
      </w:r>
    </w:p>
    <w:p w14:paraId="741DD7F4">
      <w:pPr>
        <w:spacing w:before="291" w:line="624" w:lineRule="exact"/>
        <w:ind w:left="835"/>
        <w:rPr>
          <w:rFonts w:ascii="宋体" w:hAnsi="宋体" w:eastAsia="宋体" w:cs="宋体"/>
          <w:color w:val="auto"/>
          <w:sz w:val="28"/>
          <w:szCs w:val="28"/>
          <w:highlight w:val="none"/>
        </w:rPr>
      </w:pPr>
      <w:r>
        <w:rPr>
          <w:rFonts w:ascii="宋体" w:hAnsi="宋体" w:eastAsia="宋体" w:cs="宋体"/>
          <w:color w:val="auto"/>
          <w:spacing w:val="6"/>
          <w:position w:val="26"/>
          <w:sz w:val="28"/>
          <w:szCs w:val="28"/>
          <w:highlight w:val="none"/>
        </w:rPr>
        <w:t>动撤回质疑处理；被质疑人拒绝配合采购方依法对质疑进行调查处理</w:t>
      </w:r>
    </w:p>
    <w:p w14:paraId="26B55D40">
      <w:pPr>
        <w:spacing w:line="219" w:lineRule="auto"/>
        <w:ind w:left="857"/>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的，采购方将视同其认可质疑事项。</w:t>
      </w:r>
    </w:p>
    <w:p w14:paraId="222F7D7D">
      <w:pPr>
        <w:spacing w:before="292"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38.6采购方将在正式受理质疑后7个工作日内作出答复。</w:t>
      </w:r>
    </w:p>
    <w:p w14:paraId="53259A8A">
      <w:pPr>
        <w:spacing w:before="292" w:line="624" w:lineRule="exact"/>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38.7采购方将书面答复质疑，质疑答复包括下列内容：</w:t>
      </w:r>
    </w:p>
    <w:p w14:paraId="6D8B0AC0">
      <w:pPr>
        <w:spacing w:before="1" w:line="220" w:lineRule="auto"/>
        <w:ind w:left="85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（一）质疑人名称；</w:t>
      </w:r>
    </w:p>
    <w:p w14:paraId="2D5931E9">
      <w:pPr>
        <w:spacing w:before="289" w:line="220" w:lineRule="auto"/>
        <w:ind w:left="85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（二）收到质疑函的日期、质疑项目名称及编号;</w:t>
      </w:r>
    </w:p>
    <w:p w14:paraId="708764B9">
      <w:pPr>
        <w:spacing w:before="290" w:line="624" w:lineRule="exact"/>
        <w:ind w:left="895"/>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(三)质疑事项、质疑答复的具体内容、事实依</w:t>
      </w:r>
      <w:r>
        <w:rPr>
          <w:rFonts w:ascii="宋体" w:hAnsi="宋体" w:eastAsia="宋体" w:cs="宋体"/>
          <w:color w:val="auto"/>
          <w:spacing w:val="-3"/>
          <w:position w:val="26"/>
          <w:sz w:val="28"/>
          <w:szCs w:val="28"/>
          <w:highlight w:val="none"/>
        </w:rPr>
        <w:t>据和法律依据；</w:t>
      </w:r>
    </w:p>
    <w:p w14:paraId="2D5F8DC8">
      <w:pPr>
        <w:spacing w:before="1" w:line="218" w:lineRule="auto"/>
        <w:ind w:left="85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（四）告知质疑人依法投诉的权利；</w:t>
      </w:r>
    </w:p>
    <w:p w14:paraId="76D2A035">
      <w:pPr>
        <w:spacing w:before="292" w:line="221" w:lineRule="auto"/>
        <w:ind w:left="85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（五）质疑答复日期。</w:t>
      </w:r>
    </w:p>
    <w:p w14:paraId="5430582C">
      <w:pPr>
        <w:spacing w:before="290" w:line="219"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38.8质疑人有下列行为之一的，属于虚假、恶意质疑，将由采购方建议财政</w:t>
      </w:r>
    </w:p>
    <w:p w14:paraId="30156E78">
      <w:pPr>
        <w:spacing w:before="291" w:line="624" w:lineRule="exact"/>
        <w:jc w:val="right"/>
        <w:rPr>
          <w:rFonts w:ascii="宋体" w:hAnsi="宋体" w:eastAsia="宋体" w:cs="宋体"/>
          <w:color w:val="auto"/>
          <w:sz w:val="28"/>
          <w:szCs w:val="28"/>
          <w:highlight w:val="none"/>
        </w:rPr>
      </w:pPr>
      <w:r>
        <w:rPr>
          <w:rFonts w:ascii="宋体" w:hAnsi="宋体" w:eastAsia="宋体" w:cs="宋体"/>
          <w:color w:val="auto"/>
          <w:spacing w:val="-9"/>
          <w:position w:val="26"/>
          <w:sz w:val="28"/>
          <w:szCs w:val="28"/>
          <w:highlight w:val="none"/>
        </w:rPr>
        <w:t>部门将其列入不良行为记录名单，禁止其1至3年内参加政府采购活</w:t>
      </w:r>
      <w:r>
        <w:rPr>
          <w:rFonts w:ascii="宋体" w:hAnsi="宋体" w:eastAsia="宋体" w:cs="宋体"/>
          <w:color w:val="auto"/>
          <w:spacing w:val="-10"/>
          <w:position w:val="26"/>
          <w:sz w:val="28"/>
          <w:szCs w:val="28"/>
          <w:highlight w:val="none"/>
        </w:rPr>
        <w:t>动：</w:t>
      </w:r>
    </w:p>
    <w:p w14:paraId="279D8B90">
      <w:pPr>
        <w:spacing w:before="1" w:line="220" w:lineRule="auto"/>
        <w:ind w:left="854"/>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（一）捏造事实；</w:t>
      </w:r>
    </w:p>
    <w:p w14:paraId="58CC1044">
      <w:pPr>
        <w:spacing w:before="290" w:line="219" w:lineRule="auto"/>
        <w:ind w:left="85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（二）提供虚假材料；</w:t>
      </w:r>
    </w:p>
    <w:p w14:paraId="4B71E5D2">
      <w:pPr>
        <w:spacing w:before="292" w:line="219" w:lineRule="auto"/>
        <w:ind w:left="854"/>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（三）以非法手段取得证明材料或者无法提供证据的合法来源；</w:t>
      </w:r>
    </w:p>
    <w:p w14:paraId="07F264B7">
      <w:pPr>
        <w:spacing w:before="292" w:line="219" w:lineRule="auto"/>
        <w:ind w:left="854"/>
        <w:rPr>
          <w:rFonts w:ascii="宋体" w:hAnsi="宋体" w:eastAsia="宋体" w:cs="宋体"/>
          <w:color w:val="auto"/>
          <w:spacing w:val="-2"/>
          <w:sz w:val="28"/>
          <w:szCs w:val="28"/>
          <w:highlight w:val="none"/>
        </w:rPr>
      </w:pPr>
      <w:r>
        <w:rPr>
          <w:rFonts w:ascii="宋体" w:hAnsi="宋体" w:eastAsia="宋体" w:cs="宋体"/>
          <w:color w:val="auto"/>
          <w:spacing w:val="-2"/>
          <w:sz w:val="28"/>
          <w:szCs w:val="28"/>
          <w:highlight w:val="none"/>
        </w:rPr>
        <w:t>（四）法律法规规定的其他违法情形。</w:t>
      </w:r>
    </w:p>
    <w:p w14:paraId="7BE53ADF">
      <w:pPr>
        <w:spacing w:before="292" w:line="219" w:lineRule="auto"/>
        <w:ind w:left="854"/>
        <w:rPr>
          <w:rFonts w:ascii="宋体" w:hAnsi="宋体" w:eastAsia="宋体" w:cs="宋体"/>
          <w:color w:val="auto"/>
          <w:spacing w:val="-2"/>
          <w:sz w:val="28"/>
          <w:szCs w:val="28"/>
          <w:highlight w:val="none"/>
        </w:rPr>
      </w:pPr>
    </w:p>
    <w:p w14:paraId="58B6583D">
      <w:pPr>
        <w:spacing w:before="292" w:line="219" w:lineRule="auto"/>
        <w:ind w:left="854"/>
        <w:rPr>
          <w:rFonts w:ascii="宋体" w:hAnsi="宋体" w:eastAsia="宋体" w:cs="宋体"/>
          <w:color w:val="auto"/>
          <w:spacing w:val="-2"/>
          <w:sz w:val="28"/>
          <w:szCs w:val="28"/>
          <w:highlight w:val="none"/>
        </w:rPr>
      </w:pPr>
    </w:p>
    <w:p w14:paraId="3EA0C881">
      <w:pPr>
        <w:spacing w:before="47" w:line="219" w:lineRule="auto"/>
        <w:ind w:left="4126"/>
        <w:outlineLvl w:val="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质疑函范本</w:t>
      </w:r>
    </w:p>
    <w:p w14:paraId="06CCEBEA">
      <w:pPr>
        <w:spacing w:line="257" w:lineRule="auto"/>
        <w:rPr>
          <w:rFonts w:ascii="Arial"/>
          <w:color w:val="auto"/>
          <w:sz w:val="21"/>
          <w:highlight w:val="none"/>
        </w:rPr>
      </w:pPr>
    </w:p>
    <w:p w14:paraId="49697631">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一、质疑供应商基本信息</w:t>
      </w:r>
    </w:p>
    <w:p w14:paraId="549E656C">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质疑供应商：</w:t>
      </w:r>
    </w:p>
    <w:p w14:paraId="00FB8BC1">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地址：邮编：</w:t>
      </w:r>
    </w:p>
    <w:p w14:paraId="4179AEE2">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联系人：联系电话：</w:t>
      </w:r>
    </w:p>
    <w:p w14:paraId="1DE708EA">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授权代表：</w:t>
      </w:r>
    </w:p>
    <w:p w14:paraId="60A8688A">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联系电话：</w:t>
      </w:r>
    </w:p>
    <w:p w14:paraId="7F0074C9">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地址：邮编：</w:t>
      </w:r>
    </w:p>
    <w:p w14:paraId="2486268E">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二、质疑项目基本情况</w:t>
      </w:r>
    </w:p>
    <w:p w14:paraId="3CCE4480">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质疑项目的名称：</w:t>
      </w:r>
    </w:p>
    <w:p w14:paraId="556E328F">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质疑项目的编号：包号：</w:t>
      </w:r>
    </w:p>
    <w:p w14:paraId="395C0CE7">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采购人名称：</w:t>
      </w:r>
    </w:p>
    <w:p w14:paraId="09B67BBF">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采购文件获取日期：</w:t>
      </w:r>
    </w:p>
    <w:p w14:paraId="521234FB">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三、质疑事项具体内容</w:t>
      </w:r>
    </w:p>
    <w:p w14:paraId="357BFEEC">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质疑事项1：</w:t>
      </w:r>
    </w:p>
    <w:p w14:paraId="0EB62CA9">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事实依据：</w:t>
      </w:r>
    </w:p>
    <w:p w14:paraId="1E05E9ED">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法律依据：</w:t>
      </w:r>
    </w:p>
    <w:p w14:paraId="496C9249">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质疑事项2</w:t>
      </w:r>
    </w:p>
    <w:p w14:paraId="3CCF0049">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四、与质疑事项相关的质疑请求</w:t>
      </w:r>
    </w:p>
    <w:p w14:paraId="3780C216">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请求：</w:t>
      </w:r>
    </w:p>
    <w:p w14:paraId="578E6092">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签字(签章)：公章：</w:t>
      </w:r>
    </w:p>
    <w:p w14:paraId="3E1783D5">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日期：</w:t>
      </w:r>
    </w:p>
    <w:p w14:paraId="409B7F8D">
      <w:pPr>
        <w:spacing w:before="290" w:line="219" w:lineRule="auto"/>
        <w:rPr>
          <w:rFonts w:ascii="宋体" w:hAnsi="宋体" w:eastAsia="宋体" w:cs="宋体"/>
          <w:color w:val="auto"/>
          <w:spacing w:val="-1"/>
          <w:sz w:val="28"/>
          <w:szCs w:val="28"/>
          <w:highlight w:val="none"/>
        </w:rPr>
      </w:pPr>
    </w:p>
    <w:p w14:paraId="22F9E94A">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质疑函制作说明：</w:t>
      </w:r>
    </w:p>
    <w:p w14:paraId="142D3611">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1.供应商提出质疑时，应提交质疑函和必要的证明材料。</w:t>
      </w:r>
    </w:p>
    <w:p w14:paraId="42846ADB">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41609CF">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3.质疑供应商若对项目的某一分包进行质疑，质疑函中应列明具体分包号。</w:t>
      </w:r>
    </w:p>
    <w:p w14:paraId="6BA2863A">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4.质疑函的质疑事项应具体、明确，并有必要的事实依据和法律依据。5.质疑函的质疑请求应与质疑事项相关。</w:t>
      </w:r>
    </w:p>
    <w:p w14:paraId="24412645">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6.质疑供应商为自然人的，质疑函应由本人签字；质疑供应商为法人或者其他组织的，质</w:t>
      </w:r>
    </w:p>
    <w:p w14:paraId="2EC5CA74">
      <w:pPr>
        <w:spacing w:before="290" w:line="219" w:lineRule="auto"/>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疑函应由法定代表人、主要负责人，或者其授权代表签字或者盖章，并加盖公章。</w:t>
      </w:r>
    </w:p>
    <w:p w14:paraId="2D68D61B">
      <w:pPr>
        <w:spacing w:before="290" w:line="219" w:lineRule="auto"/>
        <w:rPr>
          <w:rFonts w:ascii="宋体" w:hAnsi="宋体" w:eastAsia="宋体" w:cs="宋体"/>
          <w:color w:val="auto"/>
          <w:spacing w:val="-1"/>
          <w:sz w:val="28"/>
          <w:szCs w:val="28"/>
          <w:highlight w:val="none"/>
        </w:rPr>
        <w:sectPr>
          <w:footerReference r:id="rId10" w:type="default"/>
          <w:pgSz w:w="11906" w:h="16839"/>
          <w:pgMar w:top="1047" w:right="1273" w:bottom="1171" w:left="1140" w:header="0" w:footer="992" w:gutter="0"/>
          <w:pgBorders>
            <w:top w:val="none" w:sz="0" w:space="0"/>
            <w:left w:val="none" w:sz="0" w:space="0"/>
            <w:bottom w:val="none" w:sz="0" w:space="0"/>
            <w:right w:val="none" w:sz="0" w:space="0"/>
          </w:pgBorders>
          <w:pgNumType w:fmt="decimal"/>
          <w:cols w:space="720" w:num="1"/>
        </w:sectPr>
      </w:pPr>
    </w:p>
    <w:p w14:paraId="1B3E5F1A">
      <w:pPr>
        <w:spacing w:before="56" w:line="219" w:lineRule="auto"/>
        <w:ind w:left="308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附件1：履约保证金保函（格式）</w:t>
      </w:r>
    </w:p>
    <w:p w14:paraId="3C79996F">
      <w:pPr>
        <w:spacing w:before="291" w:line="221" w:lineRule="auto"/>
        <w:ind w:left="3969"/>
        <w:outlineLvl w:val="1"/>
        <w:rPr>
          <w:rFonts w:ascii="宋体" w:hAnsi="宋体" w:eastAsia="宋体" w:cs="宋体"/>
          <w:color w:val="auto"/>
          <w:sz w:val="28"/>
          <w:szCs w:val="28"/>
          <w:highlight w:val="none"/>
        </w:rPr>
      </w:pPr>
      <w:r>
        <w:rPr>
          <w:rFonts w:ascii="宋体" w:hAnsi="宋体" w:eastAsia="宋体" w:cs="宋体"/>
          <w:color w:val="auto"/>
          <w:spacing w:val="-9"/>
          <w:sz w:val="28"/>
          <w:szCs w:val="28"/>
          <w:highlight w:val="none"/>
          <w14:textOutline w14:w="5103" w14:cap="sq" w14:cmpd="sng">
            <w14:solidFill>
              <w14:srgbClr w14:val="000000"/>
            </w14:solidFill>
            <w14:prstDash w14:val="solid"/>
            <w14:bevel/>
          </w14:textOutline>
        </w:rPr>
        <w:t>(中标后开具）</w:t>
      </w:r>
    </w:p>
    <w:p w14:paraId="0AF17A1B">
      <w:pPr>
        <w:spacing w:before="160" w:line="214" w:lineRule="auto"/>
        <w:ind w:left="12"/>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致:(</w:t>
      </w:r>
      <w:r>
        <w:rPr>
          <w:rFonts w:ascii="宋体" w:hAnsi="宋体" w:eastAsia="宋体" w:cs="宋体"/>
          <w:i/>
          <w:iCs/>
          <w:color w:val="auto"/>
          <w:spacing w:val="-5"/>
          <w:sz w:val="29"/>
          <w:szCs w:val="29"/>
          <w:highlight w:val="none"/>
          <w:u w:val="single" w:color="auto"/>
        </w:rPr>
        <w:t>买方名称</w:t>
      </w:r>
      <w:r>
        <w:rPr>
          <w:rFonts w:ascii="宋体" w:hAnsi="宋体" w:eastAsia="宋体" w:cs="宋体"/>
          <w:color w:val="auto"/>
          <w:spacing w:val="-5"/>
          <w:sz w:val="28"/>
          <w:szCs w:val="28"/>
          <w:highlight w:val="none"/>
        </w:rPr>
        <w:t>)</w:t>
      </w:r>
    </w:p>
    <w:p w14:paraId="2485379D">
      <w:pPr>
        <w:spacing w:line="333" w:lineRule="auto"/>
        <w:rPr>
          <w:rFonts w:ascii="Arial"/>
          <w:color w:val="auto"/>
          <w:sz w:val="21"/>
          <w:highlight w:val="none"/>
        </w:rPr>
      </w:pPr>
    </w:p>
    <w:p w14:paraId="07B46142">
      <w:pPr>
        <w:spacing w:before="91" w:line="221" w:lineRule="auto"/>
        <w:ind w:left="4034"/>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合同履约保函</w:t>
      </w:r>
    </w:p>
    <w:p w14:paraId="0C9FD739">
      <w:pPr>
        <w:spacing w:line="332" w:lineRule="auto"/>
        <w:rPr>
          <w:rFonts w:ascii="Arial"/>
          <w:color w:val="auto"/>
          <w:sz w:val="21"/>
          <w:highlight w:val="none"/>
        </w:rPr>
      </w:pPr>
    </w:p>
    <w:p w14:paraId="302E1BFF">
      <w:pPr>
        <w:spacing w:before="94" w:line="259" w:lineRule="auto"/>
        <w:ind w:left="11" w:right="97" w:firstLine="703"/>
        <w:jc w:val="both"/>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本保函作为贵方与(</w:t>
      </w:r>
      <w:r>
        <w:rPr>
          <w:rFonts w:ascii="宋体" w:hAnsi="宋体" w:eastAsia="宋体" w:cs="宋体"/>
          <w:i/>
          <w:iCs/>
          <w:color w:val="auto"/>
          <w:spacing w:val="5"/>
          <w:sz w:val="29"/>
          <w:szCs w:val="29"/>
          <w:highlight w:val="none"/>
          <w:u w:val="single" w:color="auto"/>
        </w:rPr>
        <w:t>卖方名称</w:t>
      </w:r>
      <w:r>
        <w:rPr>
          <w:rFonts w:ascii="宋体" w:hAnsi="宋体" w:eastAsia="宋体" w:cs="宋体"/>
          <w:color w:val="auto"/>
          <w:spacing w:val="5"/>
          <w:sz w:val="28"/>
          <w:szCs w:val="28"/>
          <w:highlight w:val="none"/>
        </w:rPr>
        <w:t>)(以下简称卖方)于年月日就</w:t>
      </w:r>
      <w:r>
        <w:rPr>
          <w:rFonts w:ascii="宋体" w:hAnsi="宋体" w:eastAsia="宋体" w:cs="宋体"/>
          <w:color w:val="auto"/>
          <w:spacing w:val="4"/>
          <w:sz w:val="28"/>
          <w:szCs w:val="28"/>
          <w:highlight w:val="none"/>
        </w:rPr>
        <w:t>项目(以下简</w:t>
      </w:r>
      <w:r>
        <w:rPr>
          <w:rFonts w:ascii="宋体" w:hAnsi="宋体" w:eastAsia="宋体" w:cs="宋体"/>
          <w:color w:val="auto"/>
          <w:sz w:val="28"/>
          <w:szCs w:val="28"/>
          <w:highlight w:val="none"/>
        </w:rPr>
        <w:t>称项目)项下提供(</w:t>
      </w:r>
      <w:r>
        <w:rPr>
          <w:rFonts w:ascii="宋体" w:hAnsi="宋体" w:eastAsia="宋体" w:cs="宋体"/>
          <w:i/>
          <w:iCs/>
          <w:color w:val="auto"/>
          <w:sz w:val="29"/>
          <w:szCs w:val="29"/>
          <w:highlight w:val="none"/>
          <w:u w:val="single" w:color="auto"/>
        </w:rPr>
        <w:t>服务名称</w:t>
      </w:r>
      <w:r>
        <w:rPr>
          <w:rFonts w:ascii="宋体" w:hAnsi="宋体" w:eastAsia="宋体" w:cs="宋体"/>
          <w:color w:val="auto"/>
          <w:sz w:val="28"/>
          <w:szCs w:val="28"/>
          <w:highlight w:val="none"/>
        </w:rPr>
        <w:t>)(以下简称服务)签订的(</w:t>
      </w:r>
      <w:r>
        <w:rPr>
          <w:rFonts w:ascii="宋体" w:hAnsi="宋体" w:eastAsia="宋体" w:cs="宋体"/>
          <w:i/>
          <w:iCs/>
          <w:color w:val="auto"/>
          <w:sz w:val="29"/>
          <w:szCs w:val="29"/>
          <w:highlight w:val="none"/>
          <w:u w:val="single" w:color="auto"/>
        </w:rPr>
        <w:t>合</w:t>
      </w:r>
      <w:r>
        <w:rPr>
          <w:rFonts w:ascii="宋体" w:hAnsi="宋体" w:eastAsia="宋体" w:cs="宋体"/>
          <w:i/>
          <w:iCs/>
          <w:color w:val="auto"/>
          <w:spacing w:val="-1"/>
          <w:sz w:val="29"/>
          <w:szCs w:val="29"/>
          <w:highlight w:val="none"/>
          <w:u w:val="single" w:color="auto"/>
        </w:rPr>
        <w:t>同号</w:t>
      </w:r>
      <w:r>
        <w:rPr>
          <w:rFonts w:ascii="宋体" w:hAnsi="宋体" w:eastAsia="宋体" w:cs="宋体"/>
          <w:color w:val="auto"/>
          <w:spacing w:val="-1"/>
          <w:sz w:val="28"/>
          <w:szCs w:val="28"/>
          <w:highlight w:val="none"/>
        </w:rPr>
        <w:t>)号合同的履约保</w:t>
      </w:r>
      <w:r>
        <w:rPr>
          <w:rFonts w:ascii="宋体" w:hAnsi="宋体" w:eastAsia="宋体" w:cs="宋体"/>
          <w:color w:val="auto"/>
          <w:spacing w:val="-5"/>
          <w:sz w:val="28"/>
          <w:szCs w:val="28"/>
          <w:highlight w:val="none"/>
        </w:rPr>
        <w:t>函。</w:t>
      </w:r>
    </w:p>
    <w:p w14:paraId="797C5643">
      <w:pPr>
        <w:spacing w:before="100" w:line="255" w:lineRule="auto"/>
        <w:ind w:right="23" w:firstLine="693"/>
        <w:jc w:val="both"/>
        <w:rPr>
          <w:rFonts w:ascii="宋体" w:hAnsi="宋体" w:eastAsia="宋体" w:cs="宋体"/>
          <w:color w:val="auto"/>
          <w:sz w:val="28"/>
          <w:szCs w:val="28"/>
          <w:highlight w:val="none"/>
        </w:rPr>
      </w:pPr>
      <w:r>
        <w:rPr>
          <w:rFonts w:ascii="宋体" w:hAnsi="宋体" w:eastAsia="宋体" w:cs="宋体"/>
          <w:color w:val="auto"/>
          <w:spacing w:val="-9"/>
          <w:sz w:val="28"/>
          <w:szCs w:val="28"/>
          <w:highlight w:val="none"/>
        </w:rPr>
        <w:t>(</w:t>
      </w:r>
      <w:r>
        <w:rPr>
          <w:rFonts w:ascii="宋体" w:hAnsi="宋体" w:eastAsia="宋体" w:cs="宋体"/>
          <w:i/>
          <w:iCs/>
          <w:color w:val="auto"/>
          <w:spacing w:val="-9"/>
          <w:sz w:val="29"/>
          <w:szCs w:val="29"/>
          <w:highlight w:val="none"/>
          <w:u w:val="single" w:color="auto"/>
        </w:rPr>
        <w:t>出具保函的银行名称</w:t>
      </w:r>
      <w:r>
        <w:rPr>
          <w:rFonts w:ascii="宋体" w:hAnsi="宋体" w:eastAsia="宋体" w:cs="宋体"/>
          <w:color w:val="auto"/>
          <w:spacing w:val="-9"/>
          <w:sz w:val="28"/>
          <w:szCs w:val="28"/>
          <w:highlight w:val="none"/>
        </w:rPr>
        <w:t>)(以下简称银行)无条件地、不可撤销地具结保证本</w:t>
      </w:r>
      <w:r>
        <w:rPr>
          <w:rFonts w:ascii="宋体" w:hAnsi="宋体" w:eastAsia="宋体" w:cs="宋体"/>
          <w:color w:val="auto"/>
          <w:spacing w:val="2"/>
          <w:sz w:val="28"/>
          <w:szCs w:val="28"/>
          <w:highlight w:val="none"/>
        </w:rPr>
        <w:t>行、其继承人和受让人无追索地向贵方以(</w:t>
      </w:r>
      <w:r>
        <w:rPr>
          <w:rFonts w:ascii="宋体" w:hAnsi="宋体" w:eastAsia="宋体" w:cs="宋体"/>
          <w:i/>
          <w:iCs/>
          <w:color w:val="auto"/>
          <w:spacing w:val="2"/>
          <w:sz w:val="29"/>
          <w:szCs w:val="29"/>
          <w:highlight w:val="none"/>
          <w:u w:val="single" w:color="auto"/>
        </w:rPr>
        <w:t>货币名称</w:t>
      </w:r>
      <w:r>
        <w:rPr>
          <w:rFonts w:ascii="宋体" w:hAnsi="宋体" w:eastAsia="宋体" w:cs="宋体"/>
          <w:color w:val="auto"/>
          <w:spacing w:val="2"/>
          <w:sz w:val="28"/>
          <w:szCs w:val="28"/>
          <w:highlight w:val="none"/>
        </w:rPr>
        <w:t>)支付总额不超过(</w:t>
      </w:r>
      <w:r>
        <w:rPr>
          <w:rFonts w:ascii="宋体" w:hAnsi="宋体" w:eastAsia="宋体" w:cs="宋体"/>
          <w:i/>
          <w:iCs/>
          <w:color w:val="auto"/>
          <w:spacing w:val="2"/>
          <w:sz w:val="29"/>
          <w:szCs w:val="29"/>
          <w:highlight w:val="none"/>
          <w:u w:val="single" w:color="auto"/>
        </w:rPr>
        <w:t>货币数量</w:t>
      </w:r>
      <w:r>
        <w:rPr>
          <w:rFonts w:ascii="宋体" w:hAnsi="宋体" w:eastAsia="宋体" w:cs="宋体"/>
          <w:color w:val="auto"/>
          <w:spacing w:val="2"/>
          <w:sz w:val="28"/>
          <w:szCs w:val="28"/>
          <w:highlight w:val="none"/>
        </w:rPr>
        <w:t>),即相当于合同价格的%,并以此约定如下:</w:t>
      </w:r>
    </w:p>
    <w:p w14:paraId="2639E65D">
      <w:pPr>
        <w:spacing w:before="102" w:line="274" w:lineRule="auto"/>
        <w:ind w:left="552" w:right="97" w:firstLine="20"/>
        <w:jc w:val="both"/>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1.只要贵方确定卖方未能忠实地履行所有合同文件的规定和双方此后一</w:t>
      </w:r>
      <w:r>
        <w:rPr>
          <w:rFonts w:ascii="宋体" w:hAnsi="宋体" w:eastAsia="宋体" w:cs="宋体"/>
          <w:color w:val="auto"/>
          <w:spacing w:val="7"/>
          <w:sz w:val="28"/>
          <w:szCs w:val="28"/>
          <w:highlight w:val="none"/>
        </w:rPr>
        <w:t>致同意的修改、补充和变动,包括更改和/或修补贵方认为有</w:t>
      </w:r>
      <w:r>
        <w:rPr>
          <w:rFonts w:ascii="宋体" w:hAnsi="宋体" w:eastAsia="宋体" w:cs="宋体"/>
          <w:color w:val="auto"/>
          <w:spacing w:val="6"/>
          <w:sz w:val="28"/>
          <w:szCs w:val="28"/>
          <w:highlight w:val="none"/>
        </w:rPr>
        <w:t>缺陷的服务</w:t>
      </w:r>
      <w:r>
        <w:rPr>
          <w:rFonts w:ascii="宋体" w:hAnsi="宋体" w:eastAsia="宋体" w:cs="宋体"/>
          <w:color w:val="auto"/>
          <w:spacing w:val="7"/>
          <w:sz w:val="28"/>
          <w:szCs w:val="28"/>
          <w:highlight w:val="none"/>
        </w:rPr>
        <w:t>(以下简称违约),无论卖方有任何反对,本行将凭</w:t>
      </w:r>
      <w:r>
        <w:rPr>
          <w:rFonts w:ascii="宋体" w:hAnsi="宋体" w:eastAsia="宋体" w:cs="宋体"/>
          <w:color w:val="auto"/>
          <w:spacing w:val="6"/>
          <w:sz w:val="28"/>
          <w:szCs w:val="28"/>
          <w:highlight w:val="none"/>
        </w:rPr>
        <w:t>贵方关于卖方违约说明</w:t>
      </w:r>
      <w:r>
        <w:rPr>
          <w:rFonts w:ascii="宋体" w:hAnsi="宋体" w:eastAsia="宋体" w:cs="宋体"/>
          <w:color w:val="auto"/>
          <w:spacing w:val="2"/>
          <w:sz w:val="28"/>
          <w:szCs w:val="28"/>
          <w:highlight w:val="none"/>
        </w:rPr>
        <w:t>的书面通知,立即按贵方提出的累计总额不超过上述金额的款项和按贵方</w:t>
      </w:r>
      <w:r>
        <w:rPr>
          <w:rFonts w:ascii="宋体" w:hAnsi="宋体" w:eastAsia="宋体" w:cs="宋体"/>
          <w:color w:val="auto"/>
          <w:spacing w:val="-1"/>
          <w:sz w:val="28"/>
          <w:szCs w:val="28"/>
          <w:highlight w:val="none"/>
        </w:rPr>
        <w:t>通知规定的方式付给贵方。</w:t>
      </w:r>
    </w:p>
    <w:p w14:paraId="18F77C40">
      <w:pPr>
        <w:spacing w:before="101" w:line="265" w:lineRule="auto"/>
        <w:ind w:left="552" w:firstLine="3"/>
        <w:jc w:val="both"/>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2.本保函项下的任何支付应为免税和净值。对于现有或将来的</w:t>
      </w:r>
      <w:r>
        <w:rPr>
          <w:rFonts w:ascii="宋体" w:hAnsi="宋体" w:eastAsia="宋体" w:cs="宋体"/>
          <w:color w:val="auto"/>
          <w:spacing w:val="-8"/>
          <w:sz w:val="28"/>
          <w:szCs w:val="28"/>
          <w:highlight w:val="none"/>
        </w:rPr>
        <w:t>税收、关税、</w:t>
      </w:r>
      <w:r>
        <w:rPr>
          <w:rFonts w:ascii="宋体" w:hAnsi="宋体" w:eastAsia="宋体" w:cs="宋体"/>
          <w:color w:val="auto"/>
          <w:spacing w:val="-3"/>
          <w:sz w:val="28"/>
          <w:szCs w:val="28"/>
          <w:highlight w:val="none"/>
        </w:rPr>
        <w:t>收费、费用扣减或预提税款，不论这些款项是何种性质和由谁征收，都不</w:t>
      </w:r>
      <w:r>
        <w:rPr>
          <w:rFonts w:ascii="宋体" w:hAnsi="宋体" w:eastAsia="宋体" w:cs="宋体"/>
          <w:color w:val="auto"/>
          <w:spacing w:val="-1"/>
          <w:sz w:val="28"/>
          <w:szCs w:val="28"/>
          <w:highlight w:val="none"/>
        </w:rPr>
        <w:t>应从本保函项下的支付中扣除。</w:t>
      </w:r>
    </w:p>
    <w:p w14:paraId="03871861">
      <w:pPr>
        <w:spacing w:before="100" w:line="271" w:lineRule="auto"/>
        <w:ind w:left="553" w:right="100" w:firstLine="4"/>
        <w:jc w:val="both"/>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本保函的条款构成本行无条件的、不可撤销的直接责任。对即将履行的合同条款的任何变更、贵方在时间上的宽限、或由贵方采取的如果没有本款可能免除本行责任的任何其它行为，均不能解除或免除本行在本保函项</w:t>
      </w:r>
      <w:r>
        <w:rPr>
          <w:rFonts w:ascii="宋体" w:hAnsi="宋体" w:eastAsia="宋体" w:cs="宋体"/>
          <w:color w:val="auto"/>
          <w:spacing w:val="-3"/>
          <w:sz w:val="28"/>
          <w:szCs w:val="28"/>
          <w:highlight w:val="none"/>
        </w:rPr>
        <w:t>下的责任。</w:t>
      </w:r>
    </w:p>
    <w:p w14:paraId="706BC518">
      <w:pPr>
        <w:spacing w:before="103" w:line="219" w:lineRule="auto"/>
        <w:ind w:left="55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4.本保函在本合同规定的保证期期满前完全有效。</w:t>
      </w:r>
    </w:p>
    <w:p w14:paraId="764197DD">
      <w:pPr>
        <w:spacing w:line="444" w:lineRule="auto"/>
        <w:rPr>
          <w:rFonts w:ascii="Arial"/>
          <w:color w:val="auto"/>
          <w:sz w:val="21"/>
          <w:highlight w:val="none"/>
        </w:rPr>
      </w:pPr>
    </w:p>
    <w:p w14:paraId="1DE8B74B">
      <w:pPr>
        <w:spacing w:before="92" w:line="223" w:lineRule="auto"/>
        <w:ind w:left="551"/>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谨启</w:t>
      </w:r>
    </w:p>
    <w:p w14:paraId="75AF9240">
      <w:pPr>
        <w:spacing w:before="97" w:line="436" w:lineRule="exact"/>
        <w:ind w:left="576"/>
        <w:rPr>
          <w:rFonts w:ascii="宋体" w:hAnsi="宋体" w:eastAsia="宋体" w:cs="宋体"/>
          <w:color w:val="auto"/>
          <w:sz w:val="28"/>
          <w:szCs w:val="28"/>
          <w:highlight w:val="none"/>
        </w:rPr>
      </w:pPr>
      <w:r>
        <w:rPr>
          <w:rFonts w:ascii="宋体" w:hAnsi="宋体" w:eastAsia="宋体" w:cs="宋体"/>
          <w:color w:val="auto"/>
          <w:spacing w:val="-4"/>
          <w:position w:val="11"/>
          <w:sz w:val="28"/>
          <w:szCs w:val="28"/>
          <w:highlight w:val="none"/>
        </w:rPr>
        <w:t>出具保函银行名称：</w:t>
      </w:r>
    </w:p>
    <w:p w14:paraId="06C3E6C1">
      <w:pPr>
        <w:spacing w:before="2" w:line="219" w:lineRule="auto"/>
        <w:ind w:left="55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签字人姓名和职务：</w:t>
      </w:r>
    </w:p>
    <w:p w14:paraId="744500DD">
      <w:pPr>
        <w:spacing w:before="103" w:line="220" w:lineRule="auto"/>
        <w:ind w:left="55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签字人签名：</w:t>
      </w:r>
    </w:p>
    <w:p w14:paraId="35151FFD">
      <w:pPr>
        <w:spacing w:before="101" w:line="219" w:lineRule="auto"/>
        <w:ind w:left="561"/>
        <w:outlineLvl w:val="1"/>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公章：</w:t>
      </w:r>
    </w:p>
    <w:p w14:paraId="0DDBAA67">
      <w:pPr>
        <w:spacing w:line="219" w:lineRule="auto"/>
        <w:rPr>
          <w:rFonts w:ascii="宋体" w:hAnsi="宋体" w:eastAsia="宋体" w:cs="宋体"/>
          <w:color w:val="auto"/>
          <w:sz w:val="28"/>
          <w:szCs w:val="28"/>
          <w:highlight w:val="none"/>
        </w:rPr>
        <w:sectPr>
          <w:footerReference r:id="rId11" w:type="default"/>
          <w:pgSz w:w="11906" w:h="16839"/>
          <w:pgMar w:top="1172" w:right="1221" w:bottom="1171" w:left="1131" w:header="0" w:footer="992" w:gutter="0"/>
          <w:pgBorders>
            <w:top w:val="none" w:sz="0" w:space="0"/>
            <w:left w:val="none" w:sz="0" w:space="0"/>
            <w:bottom w:val="none" w:sz="0" w:space="0"/>
            <w:right w:val="none" w:sz="0" w:space="0"/>
          </w:pgBorders>
          <w:pgNumType w:fmt="decimal"/>
          <w:cols w:space="720" w:num="1"/>
        </w:sectPr>
      </w:pPr>
    </w:p>
    <w:p w14:paraId="1CA7DDA2">
      <w:pPr>
        <w:spacing w:before="56" w:line="219" w:lineRule="auto"/>
        <w:ind w:left="363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附件2：履约担保函格式</w:t>
      </w:r>
    </w:p>
    <w:p w14:paraId="154D475A">
      <w:pPr>
        <w:spacing w:before="291" w:line="219" w:lineRule="auto"/>
        <w:ind w:left="2709"/>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（采用政府采购信用担保形式时使用）</w:t>
      </w:r>
    </w:p>
    <w:p w14:paraId="5519EB09">
      <w:pPr>
        <w:spacing w:before="291" w:line="219" w:lineRule="auto"/>
        <w:ind w:left="346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政府采购履约担保函</w:t>
      </w:r>
    </w:p>
    <w:p w14:paraId="447979AC">
      <w:pPr>
        <w:spacing w:before="291" w:line="220" w:lineRule="auto"/>
        <w:ind w:left="3"/>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编号：</w:t>
      </w:r>
    </w:p>
    <w:p w14:paraId="15007572">
      <w:pPr>
        <w:spacing w:before="161" w:line="219" w:lineRule="auto"/>
        <w:ind w:left="9"/>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（采购人</w:t>
      </w:r>
      <w:r>
        <w:rPr>
          <w:rFonts w:ascii="宋体" w:hAnsi="宋体" w:eastAsia="宋体" w:cs="宋体"/>
          <w:color w:val="auto"/>
          <w:sz w:val="28"/>
          <w:szCs w:val="28"/>
          <w:highlight w:val="none"/>
        </w:rPr>
        <w:t>）：</w:t>
      </w:r>
    </w:p>
    <w:p w14:paraId="4F9401CD">
      <w:pPr>
        <w:spacing w:before="104" w:line="253" w:lineRule="auto"/>
        <w:ind w:left="9" w:right="20" w:firstLine="55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鉴于你方与（以下简称投标人）于年月日签定编号为的《政府采购合同》（以下简称主合同</w:t>
      </w:r>
      <w:r>
        <w:rPr>
          <w:rFonts w:ascii="宋体" w:hAnsi="宋体" w:eastAsia="宋体" w:cs="宋体"/>
          <w:color w:val="auto"/>
          <w:spacing w:val="5"/>
          <w:sz w:val="28"/>
          <w:szCs w:val="28"/>
          <w:highlight w:val="none"/>
        </w:rPr>
        <w:t>），</w:t>
      </w:r>
      <w:r>
        <w:rPr>
          <w:rFonts w:ascii="宋体" w:hAnsi="宋体" w:eastAsia="宋体" w:cs="宋体"/>
          <w:color w:val="auto"/>
          <w:spacing w:val="-1"/>
          <w:sz w:val="28"/>
          <w:szCs w:val="28"/>
          <w:highlight w:val="none"/>
        </w:rPr>
        <w:t>且依据该合同的约定，投</w:t>
      </w:r>
      <w:r>
        <w:rPr>
          <w:rFonts w:ascii="宋体" w:hAnsi="宋体" w:eastAsia="宋体" w:cs="宋体"/>
          <w:color w:val="auto"/>
          <w:spacing w:val="-2"/>
          <w:sz w:val="28"/>
          <w:szCs w:val="28"/>
          <w:highlight w:val="none"/>
        </w:rPr>
        <w:t>标人应在年</w:t>
      </w:r>
    </w:p>
    <w:p w14:paraId="318B3E08">
      <w:pPr>
        <w:spacing w:before="103" w:line="254" w:lineRule="auto"/>
        <w:ind w:left="4" w:right="76" w:firstLine="3"/>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月日前向你方交纳履约保证金，且可以履约担保函的形式交纳履约保证金。应</w:t>
      </w:r>
      <w:r>
        <w:rPr>
          <w:rFonts w:ascii="宋体" w:hAnsi="宋体" w:eastAsia="宋体" w:cs="宋体"/>
          <w:color w:val="auto"/>
          <w:spacing w:val="-1"/>
          <w:sz w:val="28"/>
          <w:szCs w:val="28"/>
          <w:highlight w:val="none"/>
        </w:rPr>
        <w:t>投标人的申请，我方以保证的方式向你方提供如下履约保证金担保：</w:t>
      </w:r>
    </w:p>
    <w:p w14:paraId="59DE29DD">
      <w:pPr>
        <w:spacing w:before="102" w:line="220" w:lineRule="auto"/>
        <w:ind w:left="56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一、保证责任的情形及保证金额</w:t>
      </w:r>
    </w:p>
    <w:p w14:paraId="6FE27AB3">
      <w:pPr>
        <w:spacing w:before="101" w:line="220" w:lineRule="auto"/>
        <w:ind w:left="57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（一）在投标人出现下列情形之一时，我方承担保证责任：</w:t>
      </w:r>
    </w:p>
    <w:p w14:paraId="6332085B">
      <w:pPr>
        <w:spacing w:before="102" w:line="254" w:lineRule="auto"/>
        <w:ind w:right="76" w:firstLine="58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1．将中标项目转让给他人，或者在投标文件中未说明，且未经采购招标</w:t>
      </w:r>
      <w:r>
        <w:rPr>
          <w:rFonts w:ascii="宋体" w:hAnsi="宋体" w:eastAsia="宋体" w:cs="宋体"/>
          <w:color w:val="auto"/>
          <w:spacing w:val="-1"/>
          <w:sz w:val="28"/>
          <w:szCs w:val="28"/>
          <w:highlight w:val="none"/>
        </w:rPr>
        <w:t>机构人同意，将中标项目分包给他人的；</w:t>
      </w:r>
    </w:p>
    <w:p w14:paraId="5A66290C">
      <w:pPr>
        <w:spacing w:before="102" w:line="220" w:lineRule="auto"/>
        <w:ind w:left="56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2．主合同约定的应当缴纳履约保证金的情形:</w:t>
      </w:r>
    </w:p>
    <w:p w14:paraId="72B5FED4">
      <w:pPr>
        <w:spacing w:before="104" w:line="254" w:lineRule="auto"/>
        <w:ind w:left="24" w:right="76" w:firstLine="54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（1）未按主合同约定的质量、数量和期限</w:t>
      </w:r>
      <w:r>
        <w:rPr>
          <w:rFonts w:ascii="宋体" w:hAnsi="宋体" w:eastAsia="宋体" w:cs="宋体"/>
          <w:color w:val="auto"/>
          <w:spacing w:val="1"/>
          <w:sz w:val="28"/>
          <w:szCs w:val="28"/>
          <w:highlight w:val="none"/>
        </w:rPr>
        <w:t>供应货物/提供服务/完成工程</w:t>
      </w:r>
      <w:r>
        <w:rPr>
          <w:rFonts w:ascii="宋体" w:hAnsi="宋体" w:eastAsia="宋体" w:cs="宋体"/>
          <w:color w:val="auto"/>
          <w:spacing w:val="-17"/>
          <w:sz w:val="28"/>
          <w:szCs w:val="28"/>
          <w:highlight w:val="none"/>
        </w:rPr>
        <w:t>的；</w:t>
      </w:r>
    </w:p>
    <w:p w14:paraId="61EF4921">
      <w:pPr>
        <w:spacing w:before="99" w:line="253" w:lineRule="auto"/>
        <w:ind w:left="31" w:firstLine="539"/>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（二）我方的保证范围是主合同约定的合同价款总额的%数额</w:t>
      </w:r>
      <w:r>
        <w:rPr>
          <w:rFonts w:ascii="宋体" w:hAnsi="宋体" w:eastAsia="宋体" w:cs="宋体"/>
          <w:color w:val="auto"/>
          <w:spacing w:val="-8"/>
          <w:sz w:val="28"/>
          <w:szCs w:val="28"/>
          <w:highlight w:val="none"/>
        </w:rPr>
        <w:t>为元（大写</w:t>
      </w:r>
      <w:r>
        <w:rPr>
          <w:rFonts w:ascii="宋体" w:hAnsi="宋体" w:eastAsia="宋体" w:cs="宋体"/>
          <w:color w:val="auto"/>
          <w:spacing w:val="-64"/>
          <w:w w:val="86"/>
          <w:sz w:val="28"/>
          <w:szCs w:val="28"/>
          <w:highlight w:val="none"/>
        </w:rPr>
        <w:t>），</w:t>
      </w:r>
      <w:r>
        <w:rPr>
          <w:rFonts w:ascii="宋体" w:hAnsi="宋体" w:eastAsia="宋体" w:cs="宋体"/>
          <w:color w:val="auto"/>
          <w:spacing w:val="-3"/>
          <w:sz w:val="28"/>
          <w:szCs w:val="28"/>
          <w:highlight w:val="none"/>
        </w:rPr>
        <w:t>币种为。（即主合同履约保证金金额）</w:t>
      </w:r>
    </w:p>
    <w:p w14:paraId="2779B870">
      <w:pPr>
        <w:spacing w:before="104" w:line="221" w:lineRule="auto"/>
        <w:ind w:left="56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二、保证的方式及保证期间</w:t>
      </w:r>
    </w:p>
    <w:p w14:paraId="1E5311FC">
      <w:pPr>
        <w:spacing w:before="102" w:line="220" w:lineRule="auto"/>
        <w:ind w:left="56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我方保证的方式为：连带责任保证。</w:t>
      </w:r>
    </w:p>
    <w:p w14:paraId="315CCA00">
      <w:pPr>
        <w:spacing w:before="101" w:line="254" w:lineRule="auto"/>
        <w:ind w:right="76" w:firstLine="564"/>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我方保证的期间为：自本合同生效之日起至投标人按照主合同约定的供货</w:t>
      </w:r>
      <w:r>
        <w:rPr>
          <w:rFonts w:ascii="宋体" w:hAnsi="宋体" w:eastAsia="宋体" w:cs="宋体"/>
          <w:color w:val="auto"/>
          <w:spacing w:val="-1"/>
          <w:sz w:val="28"/>
          <w:szCs w:val="28"/>
          <w:highlight w:val="none"/>
        </w:rPr>
        <w:t>/完工期限届满后日内。</w:t>
      </w:r>
    </w:p>
    <w:p w14:paraId="27B31D81">
      <w:pPr>
        <w:spacing w:before="100" w:line="254" w:lineRule="auto"/>
        <w:ind w:left="2" w:right="76" w:firstLine="564"/>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如果投标人未按主合同约定向贵方供应货物/提供服务/完成工程的，由我</w:t>
      </w:r>
      <w:r>
        <w:rPr>
          <w:rFonts w:ascii="宋体" w:hAnsi="宋体" w:eastAsia="宋体" w:cs="宋体"/>
          <w:color w:val="auto"/>
          <w:spacing w:val="-1"/>
          <w:sz w:val="28"/>
          <w:szCs w:val="28"/>
          <w:highlight w:val="none"/>
        </w:rPr>
        <w:t>方在保证金额内向你方支付上述款项。</w:t>
      </w:r>
    </w:p>
    <w:p w14:paraId="0077D208">
      <w:pPr>
        <w:spacing w:before="104" w:line="220" w:lineRule="auto"/>
        <w:ind w:left="56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三、承担保证责任的程序</w:t>
      </w:r>
    </w:p>
    <w:p w14:paraId="5819987F">
      <w:pPr>
        <w:spacing w:before="98" w:line="265" w:lineRule="auto"/>
        <w:ind w:left="2" w:right="76" w:firstLine="58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1．你方要求我方承担保证责任的，应在本保函保证期间内向我方发出书</w:t>
      </w:r>
      <w:r>
        <w:rPr>
          <w:rFonts w:ascii="宋体" w:hAnsi="宋体" w:eastAsia="宋体" w:cs="宋体"/>
          <w:color w:val="auto"/>
          <w:spacing w:val="-2"/>
          <w:sz w:val="28"/>
          <w:szCs w:val="28"/>
          <w:highlight w:val="none"/>
        </w:rPr>
        <w:t>面索赔通知。索赔通知应写明要求索赔的金额，支</w:t>
      </w:r>
      <w:r>
        <w:rPr>
          <w:rFonts w:ascii="宋体" w:hAnsi="宋体" w:eastAsia="宋体" w:cs="宋体"/>
          <w:color w:val="auto"/>
          <w:spacing w:val="-3"/>
          <w:sz w:val="28"/>
          <w:szCs w:val="28"/>
          <w:highlight w:val="none"/>
        </w:rPr>
        <w:t>付款项应到达的帐号。并附</w:t>
      </w:r>
      <w:r>
        <w:rPr>
          <w:rFonts w:ascii="宋体" w:hAnsi="宋体" w:eastAsia="宋体" w:cs="宋体"/>
          <w:color w:val="auto"/>
          <w:spacing w:val="-1"/>
          <w:sz w:val="28"/>
          <w:szCs w:val="28"/>
          <w:highlight w:val="none"/>
        </w:rPr>
        <w:t>有证明投标人违约事实的证明材料。</w:t>
      </w:r>
    </w:p>
    <w:p w14:paraId="36FB2661">
      <w:pPr>
        <w:spacing w:before="103" w:line="265" w:lineRule="auto"/>
        <w:ind w:left="21" w:right="76" w:firstLine="545"/>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如果你方与投标人因货物质量问题产生争议，你方还需同时提供部门出具的质量检测报告，或经诉讼（仲裁）程序裁决后的裁决书、调解书，本保证人</w:t>
      </w:r>
      <w:r>
        <w:rPr>
          <w:rFonts w:ascii="宋体" w:hAnsi="宋体" w:eastAsia="宋体" w:cs="宋体"/>
          <w:color w:val="auto"/>
          <w:spacing w:val="-1"/>
          <w:sz w:val="28"/>
          <w:szCs w:val="28"/>
          <w:highlight w:val="none"/>
        </w:rPr>
        <w:t>即按照检测结果或裁决书、调解书决定是否承</w:t>
      </w:r>
      <w:r>
        <w:rPr>
          <w:rFonts w:ascii="宋体" w:hAnsi="宋体" w:eastAsia="宋体" w:cs="宋体"/>
          <w:color w:val="auto"/>
          <w:spacing w:val="-2"/>
          <w:sz w:val="28"/>
          <w:szCs w:val="28"/>
          <w:highlight w:val="none"/>
        </w:rPr>
        <w:t>担保证责任。</w:t>
      </w:r>
    </w:p>
    <w:p w14:paraId="0D8D4699">
      <w:pPr>
        <w:spacing w:line="265" w:lineRule="auto"/>
        <w:rPr>
          <w:rFonts w:ascii="宋体" w:hAnsi="宋体" w:eastAsia="宋体" w:cs="宋体"/>
          <w:color w:val="auto"/>
          <w:sz w:val="28"/>
          <w:szCs w:val="28"/>
          <w:highlight w:val="none"/>
        </w:rPr>
        <w:sectPr>
          <w:footerReference r:id="rId12" w:type="default"/>
          <w:pgSz w:w="11906" w:h="16839"/>
          <w:pgMar w:top="1172" w:right="1243" w:bottom="1171" w:left="1142" w:header="0" w:footer="992" w:gutter="0"/>
          <w:pgBorders>
            <w:top w:val="none" w:sz="0" w:space="0"/>
            <w:left w:val="none" w:sz="0" w:space="0"/>
            <w:bottom w:val="none" w:sz="0" w:space="0"/>
            <w:right w:val="none" w:sz="0" w:space="0"/>
          </w:pgBorders>
          <w:pgNumType w:fmt="decimal"/>
          <w:cols w:space="720" w:num="1"/>
        </w:sectPr>
      </w:pPr>
    </w:p>
    <w:p w14:paraId="54E85DF1">
      <w:pPr>
        <w:spacing w:before="55" w:line="254" w:lineRule="auto"/>
        <w:ind w:left="3" w:firstLine="56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2．我方收到你方的书面索赔通知及相应证明材料，在</w:t>
      </w:r>
      <w:r>
        <w:rPr>
          <w:rFonts w:ascii="宋体" w:hAnsi="宋体" w:eastAsia="宋体" w:cs="宋体"/>
          <w:color w:val="auto"/>
          <w:spacing w:val="1"/>
          <w:sz w:val="28"/>
          <w:szCs w:val="28"/>
          <w:highlight w:val="none"/>
        </w:rPr>
        <w:t>工作日内进行核定</w:t>
      </w:r>
      <w:r>
        <w:rPr>
          <w:rFonts w:ascii="宋体" w:hAnsi="宋体" w:eastAsia="宋体" w:cs="宋体"/>
          <w:color w:val="auto"/>
          <w:spacing w:val="-1"/>
          <w:sz w:val="28"/>
          <w:szCs w:val="28"/>
          <w:highlight w:val="none"/>
        </w:rPr>
        <w:t>后按照本保函的承诺承担保证责任。</w:t>
      </w:r>
    </w:p>
    <w:p w14:paraId="5C1E11DD">
      <w:pPr>
        <w:spacing w:before="101" w:line="220" w:lineRule="auto"/>
        <w:ind w:left="589"/>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四、保证责任的终止</w:t>
      </w:r>
    </w:p>
    <w:p w14:paraId="7FA587A1">
      <w:pPr>
        <w:spacing w:before="102" w:line="265" w:lineRule="auto"/>
        <w:ind w:left="3" w:firstLine="58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1．保证期间届满你方未向我方书面主张保证责任的，自保证期间届满次</w:t>
      </w:r>
      <w:r>
        <w:rPr>
          <w:rFonts w:ascii="宋体" w:hAnsi="宋体" w:eastAsia="宋体" w:cs="宋体"/>
          <w:color w:val="auto"/>
          <w:spacing w:val="-2"/>
          <w:sz w:val="28"/>
          <w:szCs w:val="28"/>
          <w:highlight w:val="none"/>
        </w:rPr>
        <w:t>日起，我方保证责任自动终止。保证期间届满前，主合</w:t>
      </w:r>
      <w:r>
        <w:rPr>
          <w:rFonts w:ascii="宋体" w:hAnsi="宋体" w:eastAsia="宋体" w:cs="宋体"/>
          <w:color w:val="auto"/>
          <w:spacing w:val="-3"/>
          <w:sz w:val="28"/>
          <w:szCs w:val="28"/>
          <w:highlight w:val="none"/>
        </w:rPr>
        <w:t>同约定的货物\工程\服务全部验收合格的，自验收合格日起，我方保证责任自动终止。</w:t>
      </w:r>
    </w:p>
    <w:p w14:paraId="497144B1">
      <w:pPr>
        <w:spacing w:before="100" w:line="254" w:lineRule="auto"/>
        <w:ind w:left="1" w:firstLine="564"/>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2．我方按照本保函向你方履行了保证责任后，自我方向你方支付款项（支</w:t>
      </w:r>
      <w:r>
        <w:rPr>
          <w:rFonts w:ascii="宋体" w:hAnsi="宋体" w:eastAsia="宋体" w:cs="宋体"/>
          <w:color w:val="auto"/>
          <w:spacing w:val="-1"/>
          <w:sz w:val="28"/>
          <w:szCs w:val="28"/>
          <w:highlight w:val="none"/>
        </w:rPr>
        <w:t>付款项从我方账户划出）之日起，保证责任即终止。</w:t>
      </w:r>
    </w:p>
    <w:p w14:paraId="142255D7">
      <w:pPr>
        <w:spacing w:before="102" w:line="253" w:lineRule="auto"/>
        <w:ind w:firstLine="568"/>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3．按照法律法规的规定或出现应终止我方保证责</w:t>
      </w:r>
      <w:r>
        <w:rPr>
          <w:rFonts w:ascii="宋体" w:hAnsi="宋体" w:eastAsia="宋体" w:cs="宋体"/>
          <w:color w:val="auto"/>
          <w:spacing w:val="1"/>
          <w:sz w:val="28"/>
          <w:szCs w:val="28"/>
          <w:highlight w:val="none"/>
        </w:rPr>
        <w:t>任的其它情形的，我方</w:t>
      </w:r>
      <w:r>
        <w:rPr>
          <w:rFonts w:ascii="宋体" w:hAnsi="宋体" w:eastAsia="宋体" w:cs="宋体"/>
          <w:color w:val="auto"/>
          <w:spacing w:val="-1"/>
          <w:sz w:val="28"/>
          <w:szCs w:val="28"/>
          <w:highlight w:val="none"/>
        </w:rPr>
        <w:t>在本保函项下的保证责任亦终止。</w:t>
      </w:r>
    </w:p>
    <w:p w14:paraId="27350061">
      <w:pPr>
        <w:spacing w:before="104" w:line="270" w:lineRule="auto"/>
        <w:ind w:left="1" w:firstLine="56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4．你方与投标人修改主合同，加重我方保证责任的，我方对加重</w:t>
      </w:r>
      <w:r>
        <w:rPr>
          <w:rFonts w:ascii="宋体" w:hAnsi="宋体" w:eastAsia="宋体" w:cs="宋体"/>
          <w:color w:val="auto"/>
          <w:spacing w:val="1"/>
          <w:sz w:val="28"/>
          <w:szCs w:val="28"/>
          <w:highlight w:val="none"/>
        </w:rPr>
        <w:t>部分不</w:t>
      </w:r>
      <w:r>
        <w:rPr>
          <w:rFonts w:ascii="宋体" w:hAnsi="宋体" w:eastAsia="宋体" w:cs="宋体"/>
          <w:color w:val="auto"/>
          <w:spacing w:val="-2"/>
          <w:sz w:val="28"/>
          <w:szCs w:val="28"/>
          <w:highlight w:val="none"/>
        </w:rPr>
        <w:t>承担保证责任，但该等修改事先经我方书面同意</w:t>
      </w:r>
      <w:r>
        <w:rPr>
          <w:rFonts w:ascii="宋体" w:hAnsi="宋体" w:eastAsia="宋体" w:cs="宋体"/>
          <w:color w:val="auto"/>
          <w:spacing w:val="-3"/>
          <w:sz w:val="28"/>
          <w:szCs w:val="28"/>
          <w:highlight w:val="none"/>
        </w:rPr>
        <w:t>的除外；你方与投标人修改主</w:t>
      </w:r>
      <w:r>
        <w:rPr>
          <w:rFonts w:ascii="宋体" w:hAnsi="宋体" w:eastAsia="宋体" w:cs="宋体"/>
          <w:color w:val="auto"/>
          <w:spacing w:val="-2"/>
          <w:sz w:val="28"/>
          <w:szCs w:val="28"/>
          <w:highlight w:val="none"/>
        </w:rPr>
        <w:t>合同履行期限，我方保证期间仍依修改前的履行期限</w:t>
      </w:r>
      <w:r>
        <w:rPr>
          <w:rFonts w:ascii="宋体" w:hAnsi="宋体" w:eastAsia="宋体" w:cs="宋体"/>
          <w:color w:val="auto"/>
          <w:spacing w:val="-3"/>
          <w:sz w:val="28"/>
          <w:szCs w:val="28"/>
          <w:highlight w:val="none"/>
        </w:rPr>
        <w:t>计算，但该等修改事先经</w:t>
      </w:r>
      <w:r>
        <w:rPr>
          <w:rFonts w:ascii="宋体" w:hAnsi="宋体" w:eastAsia="宋体" w:cs="宋体"/>
          <w:color w:val="auto"/>
          <w:spacing w:val="-2"/>
          <w:sz w:val="28"/>
          <w:szCs w:val="28"/>
          <w:highlight w:val="none"/>
        </w:rPr>
        <w:t>我方书面同意的除外。</w:t>
      </w:r>
    </w:p>
    <w:p w14:paraId="0E451342">
      <w:pPr>
        <w:spacing w:before="105" w:line="220" w:lineRule="auto"/>
        <w:ind w:left="567"/>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五、免责条款</w:t>
      </w:r>
    </w:p>
    <w:p w14:paraId="0FEF95F8">
      <w:pPr>
        <w:spacing w:before="103" w:line="253" w:lineRule="auto"/>
        <w:ind w:left="10" w:firstLine="57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1．因你方违反主合同约定致使投标人不能履行义务的，我方不承担保证</w:t>
      </w:r>
      <w:r>
        <w:rPr>
          <w:rFonts w:ascii="宋体" w:hAnsi="宋体" w:eastAsia="宋体" w:cs="宋体"/>
          <w:color w:val="auto"/>
          <w:spacing w:val="-7"/>
          <w:sz w:val="28"/>
          <w:szCs w:val="28"/>
          <w:highlight w:val="none"/>
        </w:rPr>
        <w:t>责任。</w:t>
      </w:r>
    </w:p>
    <w:p w14:paraId="479A6A45">
      <w:pPr>
        <w:spacing w:before="104" w:line="253" w:lineRule="auto"/>
        <w:ind w:left="4" w:firstLine="56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2．依照法律法规的规定或你方与投标人的另行约定，</w:t>
      </w:r>
      <w:r>
        <w:rPr>
          <w:rFonts w:ascii="宋体" w:hAnsi="宋体" w:eastAsia="宋体" w:cs="宋体"/>
          <w:color w:val="auto"/>
          <w:spacing w:val="1"/>
          <w:sz w:val="28"/>
          <w:szCs w:val="28"/>
          <w:highlight w:val="none"/>
        </w:rPr>
        <w:t>全部或者部分免除</w:t>
      </w:r>
      <w:r>
        <w:rPr>
          <w:rFonts w:ascii="宋体" w:hAnsi="宋体" w:eastAsia="宋体" w:cs="宋体"/>
          <w:color w:val="auto"/>
          <w:spacing w:val="-1"/>
          <w:sz w:val="28"/>
          <w:szCs w:val="28"/>
          <w:highlight w:val="none"/>
        </w:rPr>
        <w:t>投标人应缴纳的保证金义务的，我方亦免除相应的保证责任。</w:t>
      </w:r>
    </w:p>
    <w:p w14:paraId="417FF52D">
      <w:pPr>
        <w:spacing w:before="104" w:line="219" w:lineRule="auto"/>
        <w:ind w:left="56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3．因不可抗力造成投标人不能履行供货义务的，我方不承担保证责任。</w:t>
      </w:r>
    </w:p>
    <w:p w14:paraId="1CABBD87">
      <w:pPr>
        <w:spacing w:before="104" w:line="220" w:lineRule="auto"/>
        <w:ind w:left="56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六、争议的解决</w:t>
      </w:r>
    </w:p>
    <w:p w14:paraId="2B4A1D56">
      <w:pPr>
        <w:spacing w:before="100" w:line="253" w:lineRule="auto"/>
        <w:ind w:right="2" w:firstLine="584"/>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因本保函发生的纠纷，由你我双方协商解决，协商不</w:t>
      </w:r>
      <w:r>
        <w:rPr>
          <w:rFonts w:ascii="宋体" w:hAnsi="宋体" w:eastAsia="宋体" w:cs="宋体"/>
          <w:color w:val="auto"/>
          <w:spacing w:val="-4"/>
          <w:sz w:val="28"/>
          <w:szCs w:val="28"/>
          <w:highlight w:val="none"/>
        </w:rPr>
        <w:t>成的，通过诉讼程序</w:t>
      </w:r>
      <w:r>
        <w:rPr>
          <w:rFonts w:ascii="宋体" w:hAnsi="宋体" w:eastAsia="宋体" w:cs="宋体"/>
          <w:color w:val="auto"/>
          <w:spacing w:val="-1"/>
          <w:sz w:val="28"/>
          <w:szCs w:val="28"/>
          <w:highlight w:val="none"/>
        </w:rPr>
        <w:t>解决，诉讼管辖地法院为法院。</w:t>
      </w:r>
    </w:p>
    <w:p w14:paraId="065002B0">
      <w:pPr>
        <w:spacing w:before="104" w:line="221" w:lineRule="auto"/>
        <w:ind w:left="56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七、保函的生效</w:t>
      </w:r>
    </w:p>
    <w:p w14:paraId="4B0FBB71">
      <w:pPr>
        <w:spacing w:before="103" w:line="219" w:lineRule="auto"/>
        <w:ind w:left="56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本保函自我方加盖公章之日起生效。</w:t>
      </w:r>
    </w:p>
    <w:p w14:paraId="2D48F236">
      <w:pPr>
        <w:spacing w:before="102" w:line="219" w:lineRule="auto"/>
        <w:jc w:val="right"/>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保证人</w:t>
      </w:r>
      <w:r>
        <w:rPr>
          <w:rFonts w:ascii="宋体" w:hAnsi="宋体" w:eastAsia="宋体" w:cs="宋体"/>
          <w:color w:val="auto"/>
          <w:spacing w:val="-20"/>
          <w:sz w:val="28"/>
          <w:szCs w:val="28"/>
          <w:highlight w:val="none"/>
        </w:rPr>
        <w:t>：（</w:t>
      </w:r>
      <w:r>
        <w:rPr>
          <w:rFonts w:ascii="宋体" w:hAnsi="宋体" w:eastAsia="宋体" w:cs="宋体"/>
          <w:color w:val="auto"/>
          <w:spacing w:val="3"/>
          <w:sz w:val="28"/>
          <w:szCs w:val="28"/>
          <w:highlight w:val="none"/>
        </w:rPr>
        <w:t>公章）年月日</w:t>
      </w:r>
    </w:p>
    <w:p w14:paraId="1ED42030">
      <w:pPr>
        <w:spacing w:line="219" w:lineRule="auto"/>
        <w:rPr>
          <w:rFonts w:ascii="宋体" w:hAnsi="宋体" w:eastAsia="宋体" w:cs="宋体"/>
          <w:color w:val="auto"/>
          <w:sz w:val="28"/>
          <w:szCs w:val="28"/>
          <w:highlight w:val="none"/>
        </w:rPr>
        <w:sectPr>
          <w:footerReference r:id="rId13" w:type="default"/>
          <w:pgSz w:w="11906" w:h="16839"/>
          <w:pgMar w:top="1042" w:right="1319" w:bottom="1171" w:left="1142" w:header="0" w:footer="992" w:gutter="0"/>
          <w:pgBorders>
            <w:top w:val="none" w:sz="0" w:space="0"/>
            <w:left w:val="none" w:sz="0" w:space="0"/>
            <w:bottom w:val="none" w:sz="0" w:space="0"/>
            <w:right w:val="none" w:sz="0" w:space="0"/>
          </w:pgBorders>
          <w:pgNumType w:fmt="decimal"/>
          <w:cols w:space="720" w:num="1"/>
        </w:sectPr>
      </w:pPr>
    </w:p>
    <w:p w14:paraId="01C20EA3">
      <w:pPr>
        <w:spacing w:before="63" w:line="224" w:lineRule="auto"/>
        <w:ind w:left="3578"/>
        <w:outlineLvl w:val="0"/>
        <w:rPr>
          <w:rFonts w:ascii="宋体" w:hAnsi="宋体" w:eastAsia="宋体" w:cs="宋体"/>
          <w:color w:val="auto"/>
          <w:spacing w:val="13"/>
          <w:sz w:val="31"/>
          <w:szCs w:val="31"/>
          <w:highlight w:val="none"/>
          <w14:textOutline w14:w="5793" w14:cap="sq" w14:cmpd="sng">
            <w14:solidFill>
              <w14:srgbClr w14:val="000000"/>
            </w14:solidFill>
            <w14:prstDash w14:val="solid"/>
            <w14:bevel/>
          </w14:textOutline>
        </w:rPr>
      </w:pPr>
      <w:bookmarkStart w:id="7" w:name="_Toc27133"/>
      <w:r>
        <w:rPr>
          <w:rFonts w:ascii="宋体" w:hAnsi="宋体" w:eastAsia="宋体" w:cs="宋体"/>
          <w:color w:val="auto"/>
          <w:spacing w:val="13"/>
          <w:sz w:val="31"/>
          <w:szCs w:val="31"/>
          <w:highlight w:val="none"/>
          <w14:textOutline w14:w="5793" w14:cap="sq" w14:cmpd="sng">
            <w14:solidFill>
              <w14:srgbClr w14:val="000000"/>
            </w14:solidFill>
            <w14:prstDash w14:val="solid"/>
            <w14:bevel/>
          </w14:textOutline>
        </w:rPr>
        <w:t>第2章投标文件格式</w:t>
      </w:r>
      <w:bookmarkEnd w:id="7"/>
    </w:p>
    <w:p w14:paraId="2856070F">
      <w:pPr>
        <w:spacing w:before="3"/>
        <w:rPr>
          <w:color w:val="auto"/>
          <w:highlight w:val="none"/>
        </w:rPr>
      </w:pPr>
    </w:p>
    <w:p w14:paraId="5BD4C951">
      <w:pPr>
        <w:spacing w:before="2"/>
        <w:rPr>
          <w:color w:val="auto"/>
          <w:highlight w:val="none"/>
        </w:rPr>
      </w:pPr>
    </w:p>
    <w:tbl>
      <w:tblPr>
        <w:tblStyle w:val="22"/>
        <w:tblW w:w="94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443"/>
      </w:tblGrid>
      <w:tr w14:paraId="17F720B8">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tblCellMar>
            <w:top w:w="0" w:type="dxa"/>
            <w:left w:w="0" w:type="dxa"/>
            <w:bottom w:w="0" w:type="dxa"/>
            <w:right w:w="0" w:type="dxa"/>
          </w:tblCellMar>
        </w:tblPrEx>
        <w:trPr>
          <w:trHeight w:val="12611" w:hRule="atLeast"/>
        </w:trPr>
        <w:tc>
          <w:tcPr>
            <w:tcW w:w="9443" w:type="dxa"/>
            <w:shd w:val="clear" w:color="auto" w:fill="FCFEEA"/>
            <w:vAlign w:val="top"/>
          </w:tcPr>
          <w:p w14:paraId="0C02982C">
            <w:pPr>
              <w:spacing w:line="251" w:lineRule="auto"/>
              <w:rPr>
                <w:rFonts w:ascii="Arial"/>
                <w:color w:val="auto"/>
                <w:sz w:val="21"/>
                <w:highlight w:val="none"/>
              </w:rPr>
            </w:pPr>
          </w:p>
          <w:p w14:paraId="20D7F3A6">
            <w:pPr>
              <w:spacing w:line="252" w:lineRule="auto"/>
              <w:rPr>
                <w:rFonts w:ascii="Arial"/>
                <w:color w:val="auto"/>
                <w:sz w:val="21"/>
                <w:highlight w:val="none"/>
              </w:rPr>
            </w:pPr>
          </w:p>
          <w:p w14:paraId="5E15623D">
            <w:pPr>
              <w:spacing w:line="252" w:lineRule="auto"/>
              <w:rPr>
                <w:rFonts w:ascii="Arial"/>
                <w:color w:val="auto"/>
                <w:sz w:val="21"/>
                <w:highlight w:val="none"/>
              </w:rPr>
            </w:pPr>
          </w:p>
          <w:p w14:paraId="205489E0">
            <w:pPr>
              <w:spacing w:line="252" w:lineRule="auto"/>
              <w:rPr>
                <w:rFonts w:ascii="Arial"/>
                <w:color w:val="auto"/>
                <w:sz w:val="21"/>
                <w:highlight w:val="none"/>
              </w:rPr>
            </w:pPr>
          </w:p>
          <w:p w14:paraId="1E529780">
            <w:pPr>
              <w:spacing w:line="252" w:lineRule="auto"/>
              <w:rPr>
                <w:rFonts w:ascii="Arial"/>
                <w:color w:val="auto"/>
                <w:sz w:val="21"/>
                <w:highlight w:val="none"/>
              </w:rPr>
            </w:pPr>
          </w:p>
          <w:p w14:paraId="75787EE0">
            <w:pPr>
              <w:spacing w:line="252" w:lineRule="auto"/>
              <w:rPr>
                <w:rFonts w:ascii="Arial"/>
                <w:color w:val="auto"/>
                <w:sz w:val="21"/>
                <w:highlight w:val="none"/>
              </w:rPr>
            </w:pPr>
          </w:p>
          <w:p w14:paraId="6385D7C3">
            <w:pPr>
              <w:spacing w:line="252" w:lineRule="auto"/>
              <w:rPr>
                <w:rFonts w:ascii="Arial"/>
                <w:color w:val="auto"/>
                <w:sz w:val="21"/>
                <w:highlight w:val="none"/>
              </w:rPr>
            </w:pPr>
          </w:p>
          <w:p w14:paraId="4B779C2F">
            <w:pPr>
              <w:spacing w:line="252" w:lineRule="auto"/>
              <w:rPr>
                <w:rFonts w:ascii="Arial"/>
                <w:color w:val="auto"/>
                <w:sz w:val="21"/>
                <w:highlight w:val="none"/>
              </w:rPr>
            </w:pPr>
          </w:p>
          <w:p w14:paraId="0F055E07">
            <w:pPr>
              <w:pStyle w:val="23"/>
              <w:spacing w:before="91" w:line="221" w:lineRule="auto"/>
              <w:ind w:left="2261"/>
              <w:rPr>
                <w:color w:val="auto"/>
                <w:highlight w:val="none"/>
              </w:rPr>
            </w:pPr>
            <w:r>
              <w:rPr>
                <w:color w:val="auto"/>
                <w:spacing w:val="1"/>
                <w:highlight w:val="none"/>
                <w14:textOutline w14:w="5103" w14:cap="sq" w14:cmpd="sng">
                  <w14:solidFill>
                    <w14:srgbClr w14:val="000000"/>
                  </w14:solidFill>
                  <w14:prstDash w14:val="solid"/>
                  <w14:bevel/>
                </w14:textOutline>
              </w:rPr>
              <w:t>***********************</w:t>
            </w:r>
            <w:r>
              <w:rPr>
                <w:color w:val="auto"/>
                <w:highlight w:val="none"/>
                <w14:textOutline w14:w="5103" w14:cap="sq" w14:cmpd="sng">
                  <w14:solidFill>
                    <w14:srgbClr w14:val="000000"/>
                  </w14:solidFill>
                  <w14:prstDash w14:val="solid"/>
                  <w14:bevel/>
                </w14:textOutline>
              </w:rPr>
              <w:t>******项目</w:t>
            </w:r>
          </w:p>
          <w:p w14:paraId="50230716">
            <w:pPr>
              <w:spacing w:line="460" w:lineRule="auto"/>
              <w:rPr>
                <w:rFonts w:ascii="Arial"/>
                <w:color w:val="auto"/>
                <w:sz w:val="21"/>
                <w:highlight w:val="none"/>
              </w:rPr>
            </w:pPr>
          </w:p>
          <w:p w14:paraId="1823A292">
            <w:pPr>
              <w:pStyle w:val="23"/>
              <w:spacing w:before="65" w:line="228" w:lineRule="auto"/>
              <w:ind w:left="3276"/>
              <w:rPr>
                <w:color w:val="auto"/>
                <w:sz w:val="20"/>
                <w:szCs w:val="20"/>
                <w:highlight w:val="none"/>
              </w:rPr>
            </w:pPr>
            <w:r>
              <w:rPr>
                <w:color w:val="auto"/>
                <w:spacing w:val="5"/>
                <w:sz w:val="20"/>
                <w:szCs w:val="20"/>
                <w:highlight w:val="none"/>
                <w14:textOutline w14:w="3795" w14:cap="sq" w14:cmpd="sng">
                  <w14:solidFill>
                    <w14:srgbClr w14:val="000000"/>
                  </w14:solidFill>
                  <w14:prstDash w14:val="solid"/>
                  <w14:bevel/>
                </w14:textOutline>
              </w:rPr>
              <w:t>编号*************</w:t>
            </w:r>
          </w:p>
          <w:p w14:paraId="7C3A8355">
            <w:pPr>
              <w:spacing w:line="256" w:lineRule="auto"/>
              <w:rPr>
                <w:rFonts w:ascii="Arial"/>
                <w:color w:val="auto"/>
                <w:sz w:val="21"/>
                <w:highlight w:val="none"/>
              </w:rPr>
            </w:pPr>
          </w:p>
          <w:p w14:paraId="434BC9EA">
            <w:pPr>
              <w:spacing w:line="257" w:lineRule="auto"/>
              <w:rPr>
                <w:rFonts w:ascii="Arial"/>
                <w:color w:val="auto"/>
                <w:sz w:val="21"/>
                <w:highlight w:val="none"/>
              </w:rPr>
            </w:pPr>
          </w:p>
          <w:p w14:paraId="59908C60">
            <w:pPr>
              <w:spacing w:line="257" w:lineRule="auto"/>
              <w:rPr>
                <w:rFonts w:ascii="Arial"/>
                <w:color w:val="auto"/>
                <w:sz w:val="21"/>
                <w:highlight w:val="none"/>
              </w:rPr>
            </w:pPr>
          </w:p>
          <w:p w14:paraId="221BA1ED">
            <w:pPr>
              <w:pStyle w:val="23"/>
              <w:spacing w:before="152" w:line="223" w:lineRule="auto"/>
              <w:ind w:left="3780"/>
              <w:outlineLvl w:val="0"/>
              <w:rPr>
                <w:color w:val="auto"/>
                <w:sz w:val="47"/>
                <w:szCs w:val="47"/>
                <w:highlight w:val="none"/>
              </w:rPr>
            </w:pPr>
            <w:bookmarkStart w:id="8" w:name="bookmark8"/>
            <w:bookmarkEnd w:id="8"/>
            <w:bookmarkStart w:id="9" w:name="bookmark9"/>
            <w:bookmarkEnd w:id="9"/>
            <w:bookmarkStart w:id="10" w:name="_Toc28658"/>
            <w:r>
              <w:rPr>
                <w:color w:val="auto"/>
                <w:spacing w:val="5"/>
                <w:sz w:val="47"/>
                <w:szCs w:val="47"/>
                <w:highlight w:val="none"/>
                <w14:textOutline w14:w="8717" w14:cap="sq" w14:cmpd="sng">
                  <w14:solidFill>
                    <w14:srgbClr w14:val="000000"/>
                  </w14:solidFill>
                  <w14:prstDash w14:val="solid"/>
                  <w14:bevel/>
                </w14:textOutline>
              </w:rPr>
              <w:t>投标文件</w:t>
            </w:r>
            <w:bookmarkEnd w:id="10"/>
          </w:p>
          <w:p w14:paraId="660E1D8F">
            <w:pPr>
              <w:spacing w:line="296" w:lineRule="auto"/>
              <w:rPr>
                <w:rFonts w:ascii="Arial"/>
                <w:color w:val="auto"/>
                <w:sz w:val="21"/>
                <w:highlight w:val="none"/>
              </w:rPr>
            </w:pPr>
          </w:p>
          <w:p w14:paraId="5BEC8A6A">
            <w:pPr>
              <w:spacing w:line="297" w:lineRule="auto"/>
              <w:rPr>
                <w:rFonts w:ascii="Arial"/>
                <w:color w:val="auto"/>
                <w:sz w:val="21"/>
                <w:highlight w:val="none"/>
              </w:rPr>
            </w:pPr>
          </w:p>
          <w:p w14:paraId="14B0E3F9">
            <w:pPr>
              <w:spacing w:line="297" w:lineRule="auto"/>
              <w:rPr>
                <w:rFonts w:ascii="Arial"/>
                <w:color w:val="auto"/>
                <w:sz w:val="21"/>
                <w:highlight w:val="none"/>
              </w:rPr>
            </w:pPr>
          </w:p>
          <w:p w14:paraId="1BEBF62C">
            <w:pPr>
              <w:spacing w:line="297" w:lineRule="auto"/>
              <w:rPr>
                <w:rFonts w:ascii="Arial"/>
                <w:color w:val="auto"/>
                <w:sz w:val="21"/>
                <w:highlight w:val="none"/>
              </w:rPr>
            </w:pPr>
          </w:p>
          <w:p w14:paraId="56850660">
            <w:pPr>
              <w:pStyle w:val="23"/>
              <w:spacing w:before="66" w:line="227" w:lineRule="auto"/>
              <w:ind w:left="1143"/>
              <w:rPr>
                <w:color w:val="auto"/>
                <w:sz w:val="20"/>
                <w:szCs w:val="20"/>
                <w:highlight w:val="none"/>
              </w:rPr>
            </w:pPr>
            <w:r>
              <w:rPr>
                <w:color w:val="auto"/>
                <w:spacing w:val="11"/>
                <w:sz w:val="20"/>
                <w:szCs w:val="20"/>
                <w:highlight w:val="none"/>
              </w:rPr>
              <w:t>投标单位</w:t>
            </w:r>
            <w:r>
              <w:rPr>
                <w:color w:val="auto"/>
                <w:spacing w:val="-6"/>
                <w:sz w:val="20"/>
                <w:szCs w:val="20"/>
                <w:highlight w:val="none"/>
              </w:rPr>
              <w:t>：（</w:t>
            </w:r>
            <w:r>
              <w:rPr>
                <w:color w:val="auto"/>
                <w:spacing w:val="11"/>
                <w:sz w:val="20"/>
                <w:szCs w:val="20"/>
                <w:highlight w:val="none"/>
              </w:rPr>
              <w:t>公章）</w:t>
            </w:r>
          </w:p>
          <w:p w14:paraId="46119D94">
            <w:pPr>
              <w:pStyle w:val="23"/>
              <w:spacing w:before="162" w:line="410" w:lineRule="exact"/>
              <w:ind w:left="1144"/>
              <w:rPr>
                <w:color w:val="auto"/>
                <w:sz w:val="20"/>
                <w:szCs w:val="20"/>
                <w:highlight w:val="none"/>
              </w:rPr>
            </w:pPr>
            <w:r>
              <w:rPr>
                <w:color w:val="auto"/>
                <w:spacing w:val="5"/>
                <w:position w:val="15"/>
                <w:sz w:val="20"/>
                <w:szCs w:val="20"/>
                <w:highlight w:val="none"/>
              </w:rPr>
              <w:t>项目名称：</w:t>
            </w:r>
          </w:p>
          <w:p w14:paraId="7167D3B6">
            <w:pPr>
              <w:pStyle w:val="23"/>
              <w:spacing w:before="1" w:line="227" w:lineRule="auto"/>
              <w:ind w:left="1144"/>
              <w:rPr>
                <w:color w:val="auto"/>
                <w:sz w:val="20"/>
                <w:szCs w:val="20"/>
                <w:highlight w:val="none"/>
              </w:rPr>
            </w:pPr>
            <w:r>
              <w:rPr>
                <w:color w:val="auto"/>
                <w:spacing w:val="5"/>
                <w:sz w:val="20"/>
                <w:szCs w:val="20"/>
                <w:highlight w:val="none"/>
              </w:rPr>
              <w:t>项目编号：</w:t>
            </w:r>
          </w:p>
          <w:p w14:paraId="7EA13AE2">
            <w:pPr>
              <w:pStyle w:val="23"/>
              <w:spacing w:before="161" w:line="230" w:lineRule="auto"/>
              <w:ind w:left="1141"/>
              <w:rPr>
                <w:color w:val="auto"/>
                <w:sz w:val="20"/>
                <w:szCs w:val="20"/>
                <w:highlight w:val="none"/>
              </w:rPr>
            </w:pPr>
            <w:r>
              <w:rPr>
                <w:color w:val="auto"/>
                <w:spacing w:val="4"/>
                <w:sz w:val="20"/>
                <w:szCs w:val="20"/>
                <w:highlight w:val="none"/>
              </w:rPr>
              <w:t>联系人：</w:t>
            </w:r>
          </w:p>
          <w:p w14:paraId="1188FD8D">
            <w:pPr>
              <w:pStyle w:val="23"/>
              <w:spacing w:before="159" w:line="408" w:lineRule="exact"/>
              <w:ind w:left="1165"/>
              <w:rPr>
                <w:color w:val="auto"/>
                <w:sz w:val="20"/>
                <w:szCs w:val="20"/>
                <w:highlight w:val="none"/>
              </w:rPr>
            </w:pPr>
            <w:r>
              <w:rPr>
                <w:color w:val="auto"/>
                <w:spacing w:val="-5"/>
                <w:position w:val="15"/>
                <w:sz w:val="20"/>
                <w:szCs w:val="20"/>
                <w:highlight w:val="none"/>
              </w:rPr>
              <w:t>电话：</w:t>
            </w:r>
          </w:p>
          <w:p w14:paraId="098E0DEC">
            <w:pPr>
              <w:pStyle w:val="23"/>
              <w:spacing w:line="237" w:lineRule="auto"/>
              <w:ind w:left="1140"/>
              <w:rPr>
                <w:color w:val="auto"/>
                <w:sz w:val="20"/>
                <w:szCs w:val="20"/>
                <w:highlight w:val="none"/>
              </w:rPr>
            </w:pPr>
            <w:r>
              <w:rPr>
                <w:color w:val="auto"/>
                <w:spacing w:val="3"/>
                <w:sz w:val="20"/>
                <w:szCs w:val="20"/>
                <w:highlight w:val="none"/>
              </w:rPr>
              <w:t>地址：</w:t>
            </w:r>
          </w:p>
          <w:p w14:paraId="00FB4C16">
            <w:pPr>
              <w:spacing w:line="272" w:lineRule="auto"/>
              <w:rPr>
                <w:rFonts w:ascii="Arial"/>
                <w:color w:val="auto"/>
                <w:sz w:val="21"/>
                <w:highlight w:val="none"/>
              </w:rPr>
            </w:pPr>
          </w:p>
          <w:p w14:paraId="68DA2802">
            <w:pPr>
              <w:spacing w:line="273" w:lineRule="auto"/>
              <w:rPr>
                <w:rFonts w:ascii="Arial"/>
                <w:color w:val="auto"/>
                <w:sz w:val="21"/>
                <w:highlight w:val="none"/>
              </w:rPr>
            </w:pPr>
          </w:p>
          <w:p w14:paraId="41DAC728">
            <w:pPr>
              <w:spacing w:line="273" w:lineRule="auto"/>
              <w:rPr>
                <w:rFonts w:ascii="Arial"/>
                <w:color w:val="auto"/>
                <w:sz w:val="21"/>
                <w:highlight w:val="none"/>
              </w:rPr>
            </w:pPr>
          </w:p>
          <w:p w14:paraId="6D8071F7">
            <w:pPr>
              <w:spacing w:line="273" w:lineRule="auto"/>
              <w:rPr>
                <w:rFonts w:ascii="Arial"/>
                <w:color w:val="auto"/>
                <w:sz w:val="21"/>
                <w:highlight w:val="none"/>
              </w:rPr>
            </w:pPr>
          </w:p>
          <w:p w14:paraId="23306C52">
            <w:pPr>
              <w:pStyle w:val="23"/>
              <w:spacing w:before="66" w:line="228" w:lineRule="auto"/>
              <w:ind w:left="2933"/>
              <w:rPr>
                <w:color w:val="auto"/>
                <w:sz w:val="20"/>
                <w:szCs w:val="20"/>
                <w:highlight w:val="none"/>
              </w:rPr>
            </w:pPr>
            <w:r>
              <w:rPr>
                <w:color w:val="auto"/>
                <w:spacing w:val="5"/>
                <w:sz w:val="20"/>
                <w:szCs w:val="20"/>
                <w:highlight w:val="none"/>
                <w14:textOutline w14:w="3795" w14:cap="sq" w14:cmpd="sng">
                  <w14:solidFill>
                    <w14:srgbClr w14:val="000000"/>
                  </w14:solidFill>
                  <w14:prstDash w14:val="solid"/>
                  <w14:bevel/>
                </w14:textOutline>
              </w:rPr>
              <w:t>注：在</w:t>
            </w:r>
            <w:r>
              <w:rPr>
                <w:color w:val="auto"/>
                <w:sz w:val="20"/>
                <w:szCs w:val="20"/>
                <w:highlight w:val="none"/>
                <w14:textOutline w14:w="3795" w14:cap="sq" w14:cmpd="sng">
                  <w14:solidFill>
                    <w14:srgbClr w14:val="000000"/>
                  </w14:solidFill>
                  <w14:prstDash w14:val="solid"/>
                  <w14:bevel/>
                </w14:textOutline>
              </w:rPr>
              <w:t>xxx</w:t>
            </w:r>
            <w:r>
              <w:rPr>
                <w:color w:val="auto"/>
                <w:spacing w:val="5"/>
                <w:sz w:val="20"/>
                <w:szCs w:val="20"/>
                <w:highlight w:val="none"/>
                <w14:textOutline w14:w="3795" w14:cap="sq" w14:cmpd="sng">
                  <w14:solidFill>
                    <w14:srgbClr w14:val="000000"/>
                  </w14:solidFill>
                  <w14:prstDash w14:val="solid"/>
                  <w14:bevel/>
                </w14:textOutline>
              </w:rPr>
              <w:t>年</w:t>
            </w:r>
            <w:r>
              <w:rPr>
                <w:color w:val="auto"/>
                <w:sz w:val="20"/>
                <w:szCs w:val="20"/>
                <w:highlight w:val="none"/>
                <w14:textOutline w14:w="3795" w14:cap="sq" w14:cmpd="sng">
                  <w14:solidFill>
                    <w14:srgbClr w14:val="000000"/>
                  </w14:solidFill>
                  <w14:prstDash w14:val="solid"/>
                  <w14:bevel/>
                </w14:textOutline>
              </w:rPr>
              <w:t>xx</w:t>
            </w:r>
            <w:r>
              <w:rPr>
                <w:color w:val="auto"/>
                <w:spacing w:val="5"/>
                <w:sz w:val="20"/>
                <w:szCs w:val="20"/>
                <w:highlight w:val="none"/>
                <w14:textOutline w14:w="3795" w14:cap="sq" w14:cmpd="sng">
                  <w14:solidFill>
                    <w14:srgbClr w14:val="000000"/>
                  </w14:solidFill>
                  <w14:prstDash w14:val="solid"/>
                  <w14:bevel/>
                </w14:textOutline>
              </w:rPr>
              <w:t>月</w:t>
            </w:r>
            <w:r>
              <w:rPr>
                <w:color w:val="auto"/>
                <w:sz w:val="20"/>
                <w:szCs w:val="20"/>
                <w:highlight w:val="none"/>
                <w14:textOutline w14:w="3795" w14:cap="sq" w14:cmpd="sng">
                  <w14:solidFill>
                    <w14:srgbClr w14:val="000000"/>
                  </w14:solidFill>
                  <w14:prstDash w14:val="solid"/>
                  <w14:bevel/>
                </w14:textOutline>
              </w:rPr>
              <w:t>xx</w:t>
            </w:r>
            <w:r>
              <w:rPr>
                <w:color w:val="auto"/>
                <w:spacing w:val="5"/>
                <w:sz w:val="20"/>
                <w:szCs w:val="20"/>
                <w:highlight w:val="none"/>
                <w14:textOutline w14:w="3795" w14:cap="sq" w14:cmpd="sng">
                  <w14:solidFill>
                    <w14:srgbClr w14:val="000000"/>
                  </w14:solidFill>
                  <w14:prstDash w14:val="solid"/>
                  <w14:bevel/>
                </w14:textOutline>
              </w:rPr>
              <w:t>日之前不得启封</w:t>
            </w:r>
          </w:p>
        </w:tc>
      </w:tr>
    </w:tbl>
    <w:p w14:paraId="2C81A2AA">
      <w:pPr>
        <w:rPr>
          <w:rFonts w:ascii="Arial"/>
          <w:color w:val="auto"/>
          <w:sz w:val="21"/>
          <w:highlight w:val="none"/>
        </w:rPr>
      </w:pPr>
    </w:p>
    <w:p w14:paraId="36768EB1">
      <w:pPr>
        <w:rPr>
          <w:rFonts w:ascii="Arial" w:hAnsi="Arial" w:eastAsia="Arial" w:cs="Arial"/>
          <w:color w:val="auto"/>
          <w:sz w:val="21"/>
          <w:szCs w:val="21"/>
          <w:highlight w:val="none"/>
        </w:rPr>
        <w:sectPr>
          <w:footerReference r:id="rId14" w:type="default"/>
          <w:pgSz w:w="11906" w:h="16839"/>
          <w:pgMar w:top="1431" w:right="1252" w:bottom="1171" w:left="1204" w:header="0" w:footer="992" w:gutter="0"/>
          <w:pgBorders>
            <w:top w:val="none" w:sz="0" w:space="0"/>
            <w:left w:val="none" w:sz="0" w:space="0"/>
            <w:bottom w:val="none" w:sz="0" w:space="0"/>
            <w:right w:val="none" w:sz="0" w:space="0"/>
          </w:pgBorders>
          <w:pgNumType w:fmt="decimal"/>
          <w:cols w:space="720" w:num="1"/>
        </w:sectPr>
      </w:pPr>
    </w:p>
    <w:p w14:paraId="114BCCC3">
      <w:pPr>
        <w:spacing w:line="399" w:lineRule="auto"/>
        <w:rPr>
          <w:rFonts w:ascii="Arial"/>
          <w:color w:val="auto"/>
          <w:sz w:val="21"/>
          <w:highlight w:val="none"/>
        </w:rPr>
      </w:pPr>
    </w:p>
    <w:p w14:paraId="7C67E4ED">
      <w:pPr>
        <w:spacing w:before="91" w:line="220" w:lineRule="auto"/>
        <w:ind w:left="2798"/>
        <w:outlineLvl w:val="1"/>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第一部分开标一览表及资格证明文件</w:t>
      </w:r>
    </w:p>
    <w:p w14:paraId="65F12919">
      <w:pPr>
        <w:spacing w:before="289" w:line="360" w:lineRule="auto"/>
        <w:ind w:left="553"/>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1、开标一览表；</w:t>
      </w:r>
    </w:p>
    <w:p w14:paraId="368E35E1">
      <w:pPr>
        <w:spacing w:before="289" w:line="360" w:lineRule="auto"/>
        <w:ind w:left="53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2、有效的营业执照等证明文件；</w:t>
      </w:r>
    </w:p>
    <w:p w14:paraId="0A7B5677">
      <w:pPr>
        <w:spacing w:before="290" w:line="360" w:lineRule="auto"/>
        <w:ind w:left="53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3、法定代表人身份证明；法定代表人授权委托书；</w:t>
      </w:r>
    </w:p>
    <w:p w14:paraId="2D3A2BF4">
      <w:pPr>
        <w:tabs>
          <w:tab w:val="left" w:pos="5880"/>
        </w:tabs>
        <w:spacing w:before="292" w:line="360" w:lineRule="auto"/>
        <w:ind w:left="53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4、具有良好的商业信誉和健全的财务会计制度的证明文件；</w:t>
      </w:r>
    </w:p>
    <w:p w14:paraId="09BEF062">
      <w:pPr>
        <w:tabs>
          <w:tab w:val="left" w:pos="5880"/>
        </w:tabs>
        <w:spacing w:before="291" w:line="360" w:lineRule="auto"/>
        <w:ind w:left="540"/>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5、社保缴纳记录及纳税证明；</w:t>
      </w:r>
    </w:p>
    <w:p w14:paraId="255C0317">
      <w:pPr>
        <w:spacing w:before="1" w:line="360" w:lineRule="auto"/>
        <w:ind w:left="53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6、网站查询；</w:t>
      </w:r>
    </w:p>
    <w:p w14:paraId="37F8B9D2">
      <w:pPr>
        <w:spacing w:before="288" w:line="360" w:lineRule="auto"/>
        <w:ind w:left="539"/>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7、针对本次项目的《反商业贿赂承诺书》；</w:t>
      </w:r>
    </w:p>
    <w:p w14:paraId="700D4EB9">
      <w:pPr>
        <w:spacing w:before="290" w:line="360" w:lineRule="auto"/>
        <w:ind w:left="538"/>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8、近三年内无重大违法记录的声明；</w:t>
      </w:r>
    </w:p>
    <w:p w14:paraId="5E3FA3DF">
      <w:pPr>
        <w:spacing w:before="290" w:line="360" w:lineRule="auto"/>
        <w:ind w:left="533"/>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rPr>
        <w:t>9</w:t>
      </w:r>
      <w:r>
        <w:rPr>
          <w:rFonts w:ascii="宋体" w:hAnsi="宋体" w:eastAsia="宋体" w:cs="宋体"/>
          <w:color w:val="auto"/>
          <w:spacing w:val="-1"/>
          <w:sz w:val="28"/>
          <w:szCs w:val="28"/>
          <w:highlight w:val="none"/>
        </w:rPr>
        <w:t>、投标保证金缴纳凭证；</w:t>
      </w:r>
    </w:p>
    <w:p w14:paraId="0CBA112A">
      <w:pPr>
        <w:spacing w:before="290" w:line="360" w:lineRule="auto"/>
        <w:ind w:left="55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w:t>
      </w:r>
      <w:r>
        <w:rPr>
          <w:rFonts w:hint="eastAsia" w:ascii="宋体" w:hAnsi="宋体" w:eastAsia="宋体" w:cs="宋体"/>
          <w:color w:val="auto"/>
          <w:spacing w:val="-2"/>
          <w:sz w:val="28"/>
          <w:szCs w:val="28"/>
          <w:highlight w:val="none"/>
          <w:lang w:val="en-US" w:eastAsia="zh-CN"/>
        </w:rPr>
        <w:t>0</w:t>
      </w:r>
      <w:r>
        <w:rPr>
          <w:rFonts w:ascii="宋体" w:hAnsi="宋体" w:eastAsia="宋体" w:cs="宋体"/>
          <w:color w:val="auto"/>
          <w:spacing w:val="-2"/>
          <w:sz w:val="28"/>
          <w:szCs w:val="28"/>
          <w:highlight w:val="none"/>
        </w:rPr>
        <w:t>、投标人须知资料表要求的其他资格证明文件；</w:t>
      </w:r>
    </w:p>
    <w:p w14:paraId="4B702430">
      <w:pPr>
        <w:spacing w:before="292" w:line="360" w:lineRule="auto"/>
        <w:ind w:left="55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w:t>
      </w:r>
      <w:r>
        <w:rPr>
          <w:rFonts w:hint="eastAsia" w:ascii="宋体" w:hAnsi="宋体" w:eastAsia="宋体" w:cs="宋体"/>
          <w:color w:val="auto"/>
          <w:spacing w:val="-2"/>
          <w:sz w:val="28"/>
          <w:szCs w:val="28"/>
          <w:highlight w:val="none"/>
          <w:lang w:val="en-US" w:eastAsia="zh-CN"/>
        </w:rPr>
        <w:t>1</w:t>
      </w:r>
      <w:r>
        <w:rPr>
          <w:rFonts w:ascii="宋体" w:hAnsi="宋体" w:eastAsia="宋体" w:cs="宋体"/>
          <w:color w:val="auto"/>
          <w:spacing w:val="-2"/>
          <w:sz w:val="28"/>
          <w:szCs w:val="28"/>
          <w:highlight w:val="none"/>
        </w:rPr>
        <w:t>、投标人可提供有利于投标的其他证明材料</w:t>
      </w:r>
    </w:p>
    <w:p w14:paraId="4D437D32">
      <w:pPr>
        <w:spacing w:line="219" w:lineRule="auto"/>
        <w:rPr>
          <w:rFonts w:ascii="宋体" w:hAnsi="宋体" w:eastAsia="宋体" w:cs="宋体"/>
          <w:color w:val="auto"/>
          <w:sz w:val="28"/>
          <w:szCs w:val="28"/>
          <w:highlight w:val="none"/>
        </w:rPr>
        <w:sectPr>
          <w:footerReference r:id="rId15" w:type="default"/>
          <w:pgSz w:w="11906" w:h="16839"/>
          <w:pgMar w:top="1431" w:right="1029" w:bottom="1171" w:left="1117" w:header="0" w:footer="992" w:gutter="0"/>
          <w:pgBorders>
            <w:top w:val="none" w:sz="0" w:space="0"/>
            <w:left w:val="none" w:sz="0" w:space="0"/>
            <w:bottom w:val="none" w:sz="0" w:space="0"/>
            <w:right w:val="none" w:sz="0" w:space="0"/>
          </w:pgBorders>
          <w:pgNumType w:fmt="decimal"/>
          <w:cols w:space="720" w:num="1"/>
        </w:sectPr>
      </w:pPr>
    </w:p>
    <w:p w14:paraId="2594666F">
      <w:pPr>
        <w:spacing w:before="180" w:line="221" w:lineRule="auto"/>
        <w:ind w:left="4321"/>
        <w:outlineLvl w:val="1"/>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1.开标一览表</w:t>
      </w:r>
    </w:p>
    <w:p w14:paraId="79733FB6">
      <w:pPr>
        <w:spacing w:before="289" w:line="220" w:lineRule="auto"/>
        <w:ind w:left="54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项目名称：项目编号：</w:t>
      </w:r>
    </w:p>
    <w:p w14:paraId="21FF6207">
      <w:pPr>
        <w:spacing w:before="289" w:line="219" w:lineRule="auto"/>
        <w:ind w:left="54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报价单位：人民币元</w:t>
      </w:r>
    </w:p>
    <w:p w14:paraId="168D8DCE">
      <w:pPr>
        <w:spacing w:line="120" w:lineRule="exact"/>
        <w:rPr>
          <w:color w:val="auto"/>
          <w:highlight w:val="none"/>
        </w:rPr>
      </w:pPr>
    </w:p>
    <w:tbl>
      <w:tblPr>
        <w:tblStyle w:val="22"/>
        <w:tblW w:w="97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3"/>
        <w:gridCol w:w="1720"/>
        <w:gridCol w:w="1844"/>
        <w:gridCol w:w="1797"/>
        <w:gridCol w:w="1732"/>
        <w:gridCol w:w="1364"/>
      </w:tblGrid>
      <w:tr w14:paraId="112D1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323" w:type="dxa"/>
            <w:tcBorders>
              <w:bottom w:val="single" w:color="000000" w:sz="6" w:space="0"/>
              <w:right w:val="single" w:color="000000" w:sz="6" w:space="0"/>
            </w:tcBorders>
            <w:vAlign w:val="top"/>
          </w:tcPr>
          <w:p w14:paraId="6A6A4171">
            <w:pPr>
              <w:pStyle w:val="23"/>
              <w:spacing w:before="195" w:line="221" w:lineRule="auto"/>
              <w:ind w:right="8"/>
              <w:jc w:val="right"/>
              <w:rPr>
                <w:color w:val="auto"/>
                <w:highlight w:val="none"/>
              </w:rPr>
            </w:pPr>
            <w:r>
              <w:rPr>
                <w:color w:val="auto"/>
                <w:spacing w:val="-4"/>
                <w:highlight w:val="none"/>
              </w:rPr>
              <w:t>项目名称</w:t>
            </w:r>
          </w:p>
        </w:tc>
        <w:tc>
          <w:tcPr>
            <w:tcW w:w="1720" w:type="dxa"/>
            <w:tcBorders>
              <w:left w:val="single" w:color="000000" w:sz="6" w:space="0"/>
              <w:bottom w:val="single" w:color="000000" w:sz="6" w:space="0"/>
            </w:tcBorders>
            <w:vAlign w:val="top"/>
          </w:tcPr>
          <w:p w14:paraId="1A8D5D8D">
            <w:pPr>
              <w:pStyle w:val="23"/>
              <w:spacing w:before="195" w:line="219" w:lineRule="auto"/>
              <w:ind w:left="892"/>
              <w:rPr>
                <w:color w:val="auto"/>
                <w:highlight w:val="none"/>
              </w:rPr>
            </w:pPr>
            <w:r>
              <w:rPr>
                <w:color w:val="auto"/>
                <w:spacing w:val="-4"/>
                <w:highlight w:val="none"/>
              </w:rPr>
              <w:t>报价</w:t>
            </w:r>
          </w:p>
        </w:tc>
        <w:tc>
          <w:tcPr>
            <w:tcW w:w="1844" w:type="dxa"/>
            <w:tcBorders>
              <w:top w:val="single" w:color="000000" w:sz="6" w:space="0"/>
              <w:bottom w:val="single" w:color="000000" w:sz="6" w:space="0"/>
            </w:tcBorders>
            <w:vAlign w:val="top"/>
          </w:tcPr>
          <w:p w14:paraId="14A65BF9">
            <w:pPr>
              <w:pStyle w:val="23"/>
              <w:spacing w:before="196" w:line="219" w:lineRule="auto"/>
              <w:ind w:left="414"/>
              <w:rPr>
                <w:color w:val="auto"/>
                <w:highlight w:val="none"/>
              </w:rPr>
            </w:pPr>
            <w:r>
              <w:rPr>
                <w:color w:val="auto"/>
                <w:spacing w:val="-4"/>
                <w:highlight w:val="none"/>
              </w:rPr>
              <w:t>供货期</w:t>
            </w:r>
          </w:p>
        </w:tc>
        <w:tc>
          <w:tcPr>
            <w:tcW w:w="1797" w:type="dxa"/>
            <w:tcBorders>
              <w:top w:val="single" w:color="000000" w:sz="6" w:space="0"/>
              <w:bottom w:val="single" w:color="000000" w:sz="6" w:space="0"/>
            </w:tcBorders>
            <w:vAlign w:val="top"/>
          </w:tcPr>
          <w:p w14:paraId="1A89CAA2">
            <w:pPr>
              <w:pStyle w:val="23"/>
              <w:spacing w:before="195" w:line="221" w:lineRule="auto"/>
              <w:ind w:left="116"/>
              <w:rPr>
                <w:rFonts w:hint="eastAsia" w:eastAsia="宋体"/>
                <w:color w:val="auto"/>
                <w:highlight w:val="none"/>
                <w:lang w:eastAsia="zh-CN"/>
              </w:rPr>
            </w:pPr>
            <w:r>
              <w:rPr>
                <w:rFonts w:hint="eastAsia"/>
                <w:color w:val="auto"/>
                <w:spacing w:val="-3"/>
                <w:highlight w:val="none"/>
                <w:lang w:val="en-US" w:eastAsia="zh-CN"/>
              </w:rPr>
              <w:t>供货地点</w:t>
            </w:r>
          </w:p>
        </w:tc>
        <w:tc>
          <w:tcPr>
            <w:tcW w:w="1732" w:type="dxa"/>
            <w:tcBorders>
              <w:top w:val="single" w:color="000000" w:sz="6" w:space="0"/>
              <w:bottom w:val="single" w:color="000000" w:sz="6" w:space="0"/>
              <w:right w:val="single" w:color="000000" w:sz="6" w:space="0"/>
            </w:tcBorders>
            <w:vAlign w:val="top"/>
          </w:tcPr>
          <w:p w14:paraId="6A9EC95B">
            <w:pPr>
              <w:pStyle w:val="23"/>
              <w:spacing w:before="195" w:line="221" w:lineRule="auto"/>
              <w:ind w:left="116"/>
              <w:rPr>
                <w:rFonts w:hint="default"/>
                <w:color w:val="auto"/>
                <w:spacing w:val="-3"/>
                <w:highlight w:val="none"/>
                <w:lang w:val="en-US" w:eastAsia="zh-CN"/>
              </w:rPr>
            </w:pPr>
            <w:r>
              <w:rPr>
                <w:rFonts w:hint="eastAsia"/>
                <w:color w:val="auto"/>
                <w:spacing w:val="-3"/>
                <w:highlight w:val="none"/>
                <w:lang w:val="en-US" w:eastAsia="zh-CN"/>
              </w:rPr>
              <w:t>投标保证金</w:t>
            </w:r>
          </w:p>
        </w:tc>
        <w:tc>
          <w:tcPr>
            <w:tcW w:w="1364" w:type="dxa"/>
            <w:tcBorders>
              <w:top w:val="single" w:color="000000" w:sz="6" w:space="0"/>
              <w:bottom w:val="single" w:color="000000" w:sz="6" w:space="0"/>
              <w:right w:val="single" w:color="000000" w:sz="6" w:space="0"/>
            </w:tcBorders>
            <w:vAlign w:val="top"/>
          </w:tcPr>
          <w:p w14:paraId="5B1EE065">
            <w:pPr>
              <w:pStyle w:val="23"/>
              <w:spacing w:before="196" w:line="221" w:lineRule="auto"/>
              <w:ind w:left="372"/>
              <w:rPr>
                <w:color w:val="auto"/>
                <w:highlight w:val="none"/>
              </w:rPr>
            </w:pPr>
            <w:r>
              <w:rPr>
                <w:color w:val="auto"/>
                <w:spacing w:val="-7"/>
                <w:highlight w:val="none"/>
              </w:rPr>
              <w:t>备注</w:t>
            </w:r>
          </w:p>
        </w:tc>
      </w:tr>
      <w:tr w14:paraId="7A7D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323" w:type="dxa"/>
            <w:tcBorders>
              <w:top w:val="single" w:color="000000" w:sz="6" w:space="0"/>
              <w:right w:val="single" w:color="000000" w:sz="6" w:space="0"/>
            </w:tcBorders>
            <w:vAlign w:val="top"/>
          </w:tcPr>
          <w:p w14:paraId="7B3C79C3">
            <w:pPr>
              <w:rPr>
                <w:rFonts w:ascii="Arial"/>
                <w:color w:val="auto"/>
                <w:sz w:val="21"/>
                <w:highlight w:val="none"/>
              </w:rPr>
            </w:pPr>
          </w:p>
        </w:tc>
        <w:tc>
          <w:tcPr>
            <w:tcW w:w="1720" w:type="dxa"/>
            <w:tcBorders>
              <w:top w:val="single" w:color="000000" w:sz="6" w:space="0"/>
              <w:left w:val="single" w:color="000000" w:sz="6" w:space="0"/>
            </w:tcBorders>
            <w:vAlign w:val="top"/>
          </w:tcPr>
          <w:p w14:paraId="5853BB74">
            <w:pPr>
              <w:spacing w:line="401" w:lineRule="auto"/>
              <w:rPr>
                <w:rFonts w:ascii="Arial"/>
                <w:color w:val="auto"/>
                <w:sz w:val="21"/>
                <w:highlight w:val="none"/>
              </w:rPr>
            </w:pPr>
          </w:p>
          <w:p w14:paraId="3D46AA05">
            <w:pPr>
              <w:pStyle w:val="23"/>
              <w:spacing w:before="91" w:line="239" w:lineRule="auto"/>
              <w:ind w:left="15"/>
              <w:rPr>
                <w:color w:val="auto"/>
                <w:highlight w:val="none"/>
              </w:rPr>
            </w:pPr>
            <w:r>
              <w:rPr>
                <w:color w:val="auto"/>
                <w:spacing w:val="-5"/>
                <w:highlight w:val="none"/>
              </w:rPr>
              <w:t>大写：</w:t>
            </w:r>
          </w:p>
          <w:p w14:paraId="6B4228B6">
            <w:pPr>
              <w:pStyle w:val="23"/>
              <w:spacing w:line="222" w:lineRule="auto"/>
              <w:ind w:left="19"/>
              <w:rPr>
                <w:color w:val="auto"/>
                <w:highlight w:val="none"/>
              </w:rPr>
            </w:pPr>
            <w:r>
              <w:rPr>
                <w:color w:val="auto"/>
                <w:spacing w:val="-6"/>
                <w:highlight w:val="none"/>
              </w:rPr>
              <w:t>小写：</w:t>
            </w:r>
          </w:p>
        </w:tc>
        <w:tc>
          <w:tcPr>
            <w:tcW w:w="1844" w:type="dxa"/>
            <w:tcBorders>
              <w:top w:val="single" w:color="000000" w:sz="6" w:space="0"/>
            </w:tcBorders>
            <w:vAlign w:val="top"/>
          </w:tcPr>
          <w:p w14:paraId="2D6B6E7C">
            <w:pPr>
              <w:rPr>
                <w:rFonts w:ascii="Arial"/>
                <w:color w:val="auto"/>
                <w:sz w:val="21"/>
                <w:highlight w:val="none"/>
              </w:rPr>
            </w:pPr>
          </w:p>
        </w:tc>
        <w:tc>
          <w:tcPr>
            <w:tcW w:w="1797" w:type="dxa"/>
            <w:tcBorders>
              <w:top w:val="single" w:color="000000" w:sz="6" w:space="0"/>
            </w:tcBorders>
            <w:vAlign w:val="top"/>
          </w:tcPr>
          <w:p w14:paraId="38A44B66">
            <w:pPr>
              <w:rPr>
                <w:rFonts w:ascii="Arial"/>
                <w:color w:val="auto"/>
                <w:sz w:val="21"/>
                <w:highlight w:val="none"/>
              </w:rPr>
            </w:pPr>
          </w:p>
        </w:tc>
        <w:tc>
          <w:tcPr>
            <w:tcW w:w="1732" w:type="dxa"/>
            <w:tcBorders>
              <w:top w:val="single" w:color="000000" w:sz="6" w:space="0"/>
              <w:right w:val="single" w:color="000000" w:sz="6" w:space="0"/>
            </w:tcBorders>
            <w:vAlign w:val="top"/>
          </w:tcPr>
          <w:p w14:paraId="026D2343">
            <w:pPr>
              <w:rPr>
                <w:rFonts w:ascii="Arial"/>
                <w:color w:val="auto"/>
                <w:sz w:val="21"/>
                <w:highlight w:val="none"/>
              </w:rPr>
            </w:pPr>
          </w:p>
        </w:tc>
        <w:tc>
          <w:tcPr>
            <w:tcW w:w="1364" w:type="dxa"/>
            <w:tcBorders>
              <w:top w:val="single" w:color="000000" w:sz="6" w:space="0"/>
              <w:right w:val="single" w:color="000000" w:sz="6" w:space="0"/>
            </w:tcBorders>
            <w:vAlign w:val="top"/>
          </w:tcPr>
          <w:p w14:paraId="0DB9FAD6">
            <w:pPr>
              <w:rPr>
                <w:rFonts w:ascii="Arial"/>
                <w:color w:val="auto"/>
                <w:sz w:val="21"/>
                <w:highlight w:val="none"/>
              </w:rPr>
            </w:pPr>
          </w:p>
        </w:tc>
      </w:tr>
    </w:tbl>
    <w:p w14:paraId="2E6607B5">
      <w:pPr>
        <w:spacing w:line="350" w:lineRule="auto"/>
        <w:rPr>
          <w:rFonts w:ascii="Arial"/>
          <w:color w:val="auto"/>
          <w:sz w:val="21"/>
          <w:highlight w:val="none"/>
        </w:rPr>
      </w:pPr>
    </w:p>
    <w:p w14:paraId="6F44B58E">
      <w:pPr>
        <w:spacing w:line="351" w:lineRule="auto"/>
        <w:rPr>
          <w:rFonts w:ascii="Arial"/>
          <w:color w:val="auto"/>
          <w:sz w:val="21"/>
          <w:highlight w:val="none"/>
        </w:rPr>
      </w:pPr>
    </w:p>
    <w:p w14:paraId="15DF632D">
      <w:pPr>
        <w:keepNext w:val="0"/>
        <w:keepLines w:val="0"/>
        <w:pageBreakBefore w:val="0"/>
        <w:widowControl/>
        <w:kinsoku w:val="0"/>
        <w:wordWrap/>
        <w:overflowPunct/>
        <w:topLinePunct w:val="0"/>
        <w:autoSpaceDE w:val="0"/>
        <w:autoSpaceDN w:val="0"/>
        <w:bidi w:val="0"/>
        <w:adjustRightInd w:val="0"/>
        <w:snapToGrid w:val="0"/>
        <w:spacing w:before="40" w:line="360" w:lineRule="auto"/>
        <w:ind w:left="546"/>
        <w:textAlignment w:val="baseline"/>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投标人名称（单位盖章</w:t>
      </w:r>
      <w:r>
        <w:rPr>
          <w:rFonts w:ascii="宋体" w:hAnsi="宋体" w:eastAsia="宋体" w:cs="宋体"/>
          <w:color w:val="auto"/>
          <w:spacing w:val="2"/>
          <w:sz w:val="28"/>
          <w:szCs w:val="28"/>
          <w:highlight w:val="none"/>
        </w:rPr>
        <w:t>）：</w:t>
      </w:r>
    </w:p>
    <w:p w14:paraId="3CF77053">
      <w:pPr>
        <w:keepNext w:val="0"/>
        <w:keepLines w:val="0"/>
        <w:pageBreakBefore w:val="0"/>
        <w:widowControl/>
        <w:kinsoku w:val="0"/>
        <w:wordWrap/>
        <w:overflowPunct/>
        <w:topLinePunct w:val="0"/>
        <w:autoSpaceDE w:val="0"/>
        <w:autoSpaceDN w:val="0"/>
        <w:bidi w:val="0"/>
        <w:adjustRightInd w:val="0"/>
        <w:snapToGrid w:val="0"/>
        <w:spacing w:before="40" w:line="360" w:lineRule="auto"/>
        <w:ind w:left="543"/>
        <w:textAlignment w:val="baseline"/>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法定代表人或委托代理(签字或盖章):</w:t>
      </w:r>
    </w:p>
    <w:p w14:paraId="0B886A65">
      <w:pPr>
        <w:keepNext w:val="0"/>
        <w:keepLines w:val="0"/>
        <w:pageBreakBefore w:val="0"/>
        <w:widowControl/>
        <w:kinsoku w:val="0"/>
        <w:wordWrap/>
        <w:overflowPunct/>
        <w:topLinePunct w:val="0"/>
        <w:autoSpaceDE w:val="0"/>
        <w:autoSpaceDN w:val="0"/>
        <w:bidi w:val="0"/>
        <w:adjustRightInd w:val="0"/>
        <w:snapToGrid w:val="0"/>
        <w:spacing w:before="40" w:line="360" w:lineRule="auto"/>
        <w:ind w:left="2"/>
        <w:textAlignment w:val="baseline"/>
        <w:rPr>
          <w:rFonts w:ascii="宋体" w:hAnsi="宋体" w:eastAsia="宋体" w:cs="宋体"/>
          <w:color w:val="auto"/>
          <w:sz w:val="28"/>
          <w:szCs w:val="28"/>
          <w:highlight w:val="none"/>
        </w:rPr>
      </w:pPr>
      <w:r>
        <w:rPr>
          <w:rFonts w:ascii="宋体" w:hAnsi="宋体" w:eastAsia="宋体" w:cs="宋体"/>
          <w:color w:val="auto"/>
          <w:spacing w:val="21"/>
          <w:sz w:val="28"/>
          <w:szCs w:val="28"/>
          <w:highlight w:val="none"/>
        </w:rPr>
        <w:t>注:</w:t>
      </w:r>
      <w:r>
        <w:rPr>
          <w:rFonts w:ascii="宋体" w:hAnsi="宋体" w:eastAsia="宋体" w:cs="宋体"/>
          <w:color w:val="auto"/>
          <w:spacing w:val="-6"/>
          <w:sz w:val="28"/>
          <w:szCs w:val="28"/>
          <w:highlight w:val="none"/>
        </w:rPr>
        <w:t>1、此表中，投标总价、投标数量应和投标分项报价表的总</w:t>
      </w:r>
      <w:r>
        <w:rPr>
          <w:rFonts w:ascii="宋体" w:hAnsi="宋体" w:eastAsia="宋体" w:cs="宋体"/>
          <w:color w:val="auto"/>
          <w:spacing w:val="-7"/>
          <w:sz w:val="28"/>
          <w:szCs w:val="28"/>
          <w:highlight w:val="none"/>
        </w:rPr>
        <w:t>价、数量相一致。</w:t>
      </w:r>
    </w:p>
    <w:p w14:paraId="381957FF">
      <w:pPr>
        <w:keepNext w:val="0"/>
        <w:keepLines w:val="0"/>
        <w:pageBreakBefore w:val="0"/>
        <w:widowControl/>
        <w:kinsoku w:val="0"/>
        <w:wordWrap/>
        <w:overflowPunct/>
        <w:topLinePunct w:val="0"/>
        <w:autoSpaceDE w:val="0"/>
        <w:autoSpaceDN w:val="0"/>
        <w:bidi w:val="0"/>
        <w:adjustRightInd w:val="0"/>
        <w:snapToGrid w:val="0"/>
        <w:spacing w:before="40" w:line="360" w:lineRule="auto"/>
        <w:ind w:left="543"/>
        <w:textAlignment w:val="baseline"/>
        <w:rPr>
          <w:rFonts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lang w:val="en-US" w:eastAsia="zh-CN"/>
        </w:rPr>
        <w:t>2</w:t>
      </w:r>
      <w:r>
        <w:rPr>
          <w:rFonts w:ascii="宋体" w:hAnsi="宋体" w:eastAsia="宋体" w:cs="宋体"/>
          <w:color w:val="auto"/>
          <w:spacing w:val="-1"/>
          <w:sz w:val="28"/>
          <w:szCs w:val="28"/>
          <w:highlight w:val="none"/>
        </w:rPr>
        <w:t>、如投标报价超过本项目最高限价，其投标无效。</w:t>
      </w:r>
    </w:p>
    <w:p w14:paraId="7303220A">
      <w:pPr>
        <w:keepNext w:val="0"/>
        <w:keepLines w:val="0"/>
        <w:pageBreakBefore w:val="0"/>
        <w:widowControl/>
        <w:kinsoku w:val="0"/>
        <w:wordWrap/>
        <w:overflowPunct/>
        <w:topLinePunct w:val="0"/>
        <w:autoSpaceDE w:val="0"/>
        <w:autoSpaceDN w:val="0"/>
        <w:bidi w:val="0"/>
        <w:adjustRightInd w:val="0"/>
        <w:snapToGrid w:val="0"/>
        <w:spacing w:before="40" w:line="360" w:lineRule="auto"/>
        <w:ind w:left="6" w:right="97" w:firstLine="554"/>
        <w:textAlignment w:val="baseline"/>
        <w:rPr>
          <w:rFonts w:ascii="宋体" w:hAnsi="宋体" w:eastAsia="宋体" w:cs="宋体"/>
          <w:color w:val="auto"/>
          <w:sz w:val="28"/>
          <w:szCs w:val="28"/>
          <w:highlight w:val="none"/>
        </w:rPr>
      </w:pPr>
      <w:r>
        <w:rPr>
          <w:rFonts w:ascii="宋体" w:hAnsi="宋体" w:eastAsia="宋体" w:cs="宋体"/>
          <w:color w:val="auto"/>
          <w:sz w:val="28"/>
          <w:szCs w:val="28"/>
          <w:highlight w:val="none"/>
        </w:rPr>
        <w:t>4、投标报价包含产品、包装、送检、运输、保险、卸货</w:t>
      </w:r>
      <w:r>
        <w:rPr>
          <w:rFonts w:ascii="宋体" w:hAnsi="宋体" w:eastAsia="宋体" w:cs="宋体"/>
          <w:color w:val="auto"/>
          <w:spacing w:val="-1"/>
          <w:sz w:val="28"/>
          <w:szCs w:val="28"/>
          <w:highlight w:val="none"/>
        </w:rPr>
        <w:t>、搬运、摆放至施</w:t>
      </w:r>
      <w:r>
        <w:rPr>
          <w:rFonts w:ascii="宋体" w:hAnsi="宋体" w:eastAsia="宋体" w:cs="宋体"/>
          <w:color w:val="auto"/>
          <w:spacing w:val="-4"/>
          <w:sz w:val="28"/>
          <w:szCs w:val="28"/>
          <w:highlight w:val="none"/>
        </w:rPr>
        <w:t>工现场指定位置、安装到位、成品保护、工完场清</w:t>
      </w:r>
      <w:r>
        <w:rPr>
          <w:rFonts w:ascii="宋体" w:hAnsi="宋体" w:eastAsia="宋体" w:cs="宋体"/>
          <w:color w:val="auto"/>
          <w:spacing w:val="-5"/>
          <w:sz w:val="28"/>
          <w:szCs w:val="28"/>
          <w:highlight w:val="none"/>
        </w:rPr>
        <w:t>、税金、管理费、利润及其他</w:t>
      </w:r>
    </w:p>
    <w:p w14:paraId="2C222C6E">
      <w:pPr>
        <w:keepNext w:val="0"/>
        <w:keepLines w:val="0"/>
        <w:pageBreakBefore w:val="0"/>
        <w:widowControl/>
        <w:kinsoku w:val="0"/>
        <w:wordWrap/>
        <w:overflowPunct/>
        <w:topLinePunct w:val="0"/>
        <w:autoSpaceDE w:val="0"/>
        <w:autoSpaceDN w:val="0"/>
        <w:bidi w:val="0"/>
        <w:adjustRightInd w:val="0"/>
        <w:snapToGrid w:val="0"/>
        <w:spacing w:before="40" w:line="360" w:lineRule="auto"/>
        <w:ind w:left="8"/>
        <w:textAlignment w:val="baseline"/>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与货物发生关联的所有费用在内。</w:t>
      </w:r>
    </w:p>
    <w:p w14:paraId="64E1CA58">
      <w:pPr>
        <w:spacing w:line="219" w:lineRule="auto"/>
        <w:rPr>
          <w:rFonts w:ascii="宋体" w:hAnsi="宋体" w:eastAsia="宋体" w:cs="宋体"/>
          <w:color w:val="auto"/>
          <w:sz w:val="28"/>
          <w:szCs w:val="28"/>
          <w:highlight w:val="none"/>
        </w:rPr>
        <w:sectPr>
          <w:footerReference r:id="rId16" w:type="default"/>
          <w:pgSz w:w="11906" w:h="16839"/>
          <w:pgMar w:top="1431" w:right="1065" w:bottom="1171" w:left="1088" w:header="0" w:footer="992" w:gutter="0"/>
          <w:pgBorders>
            <w:top w:val="none" w:sz="0" w:space="0"/>
            <w:left w:val="none" w:sz="0" w:space="0"/>
            <w:bottom w:val="none" w:sz="0" w:space="0"/>
            <w:right w:val="none" w:sz="0" w:space="0"/>
          </w:pgBorders>
          <w:pgNumType w:fmt="decimal"/>
          <w:cols w:space="720" w:num="1"/>
        </w:sectPr>
      </w:pPr>
    </w:p>
    <w:p w14:paraId="7BB7C202">
      <w:pPr>
        <w:spacing w:before="181" w:line="220" w:lineRule="auto"/>
        <w:ind w:left="2488"/>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2.有效的营业执照等证明文件</w:t>
      </w:r>
    </w:p>
    <w:p w14:paraId="3D44F6AF">
      <w:pPr>
        <w:spacing w:line="272" w:lineRule="auto"/>
        <w:rPr>
          <w:rFonts w:ascii="Arial"/>
          <w:color w:val="auto"/>
          <w:sz w:val="21"/>
          <w:highlight w:val="none"/>
        </w:rPr>
      </w:pPr>
    </w:p>
    <w:p w14:paraId="7C8FEFE1">
      <w:pPr>
        <w:spacing w:line="273" w:lineRule="auto"/>
        <w:rPr>
          <w:rFonts w:ascii="Arial"/>
          <w:color w:val="auto"/>
          <w:sz w:val="21"/>
          <w:highlight w:val="none"/>
        </w:rPr>
      </w:pPr>
    </w:p>
    <w:p w14:paraId="6FD9B508">
      <w:pPr>
        <w:spacing w:line="273" w:lineRule="auto"/>
        <w:rPr>
          <w:rFonts w:ascii="Arial"/>
          <w:color w:val="auto"/>
          <w:sz w:val="21"/>
          <w:highlight w:val="none"/>
        </w:rPr>
      </w:pPr>
    </w:p>
    <w:p w14:paraId="1242ABDC">
      <w:pPr>
        <w:spacing w:before="91" w:line="220" w:lineRule="auto"/>
        <w:ind w:left="1"/>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说明：</w:t>
      </w:r>
    </w:p>
    <w:p w14:paraId="06B683C8">
      <w:pPr>
        <w:spacing w:before="290" w:line="219" w:lineRule="auto"/>
        <w:jc w:val="left"/>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1、提供有效的营业执照等证明文件</w:t>
      </w:r>
      <w:r>
        <w:rPr>
          <w:rFonts w:hint="eastAsia" w:ascii="宋体" w:hAnsi="宋体" w:eastAsia="宋体" w:cs="宋体"/>
          <w:color w:val="auto"/>
          <w:spacing w:val="-2"/>
          <w:sz w:val="28"/>
          <w:szCs w:val="28"/>
          <w:highlight w:val="none"/>
          <w:lang w:eastAsia="zh-CN"/>
        </w:rPr>
        <w:t>原件彩色扫描件</w:t>
      </w:r>
      <w:r>
        <w:rPr>
          <w:rFonts w:ascii="宋体" w:hAnsi="宋体" w:eastAsia="宋体" w:cs="宋体"/>
          <w:color w:val="auto"/>
          <w:spacing w:val="-2"/>
          <w:sz w:val="28"/>
          <w:szCs w:val="28"/>
          <w:highlight w:val="none"/>
        </w:rPr>
        <w:t>，</w:t>
      </w:r>
      <w:r>
        <w:rPr>
          <w:rFonts w:hint="eastAsia" w:ascii="宋体" w:hAnsi="宋体" w:eastAsia="宋体" w:cs="宋体"/>
          <w:color w:val="auto"/>
          <w:spacing w:val="-2"/>
          <w:sz w:val="28"/>
          <w:szCs w:val="28"/>
          <w:highlight w:val="none"/>
          <w:lang w:eastAsia="zh-CN"/>
        </w:rPr>
        <w:t>原件扫描件上应加盖本单位章</w:t>
      </w:r>
      <w:r>
        <w:rPr>
          <w:rFonts w:ascii="宋体" w:hAnsi="宋体" w:eastAsia="宋体" w:cs="宋体"/>
          <w:color w:val="auto"/>
          <w:spacing w:val="-3"/>
          <w:sz w:val="28"/>
          <w:szCs w:val="28"/>
          <w:highlight w:val="none"/>
        </w:rPr>
        <w:t>。</w:t>
      </w:r>
    </w:p>
    <w:p w14:paraId="64F9B2BF">
      <w:pPr>
        <w:spacing w:line="219" w:lineRule="auto"/>
        <w:rPr>
          <w:rFonts w:ascii="宋体" w:hAnsi="宋体" w:eastAsia="宋体" w:cs="宋体"/>
          <w:color w:val="auto"/>
          <w:sz w:val="28"/>
          <w:szCs w:val="28"/>
          <w:highlight w:val="none"/>
        </w:rPr>
        <w:sectPr>
          <w:footerReference r:id="rId17" w:type="default"/>
          <w:pgSz w:w="11906" w:h="16839"/>
          <w:pgMar w:top="1431" w:right="1507" w:bottom="1171" w:left="1651" w:header="0" w:footer="992" w:gutter="0"/>
          <w:pgBorders>
            <w:top w:val="none" w:sz="0" w:space="0"/>
            <w:left w:val="none" w:sz="0" w:space="0"/>
            <w:bottom w:val="none" w:sz="0" w:space="0"/>
            <w:right w:val="none" w:sz="0" w:space="0"/>
          </w:pgBorders>
          <w:pgNumType w:fmt="decimal"/>
          <w:cols w:space="720" w:num="1"/>
        </w:sectPr>
      </w:pPr>
    </w:p>
    <w:p w14:paraId="24321DEF">
      <w:pPr>
        <w:spacing w:before="181" w:line="220" w:lineRule="auto"/>
        <w:ind w:left="3262"/>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3.1法定代表人身份证明</w:t>
      </w:r>
    </w:p>
    <w:p w14:paraId="1D249AD3">
      <w:pPr>
        <w:spacing w:line="272" w:lineRule="auto"/>
        <w:rPr>
          <w:rFonts w:ascii="Arial"/>
          <w:color w:val="auto"/>
          <w:sz w:val="21"/>
          <w:highlight w:val="none"/>
        </w:rPr>
      </w:pPr>
    </w:p>
    <w:p w14:paraId="76079868">
      <w:pPr>
        <w:spacing w:line="272" w:lineRule="auto"/>
        <w:rPr>
          <w:rFonts w:ascii="Arial"/>
          <w:color w:val="auto"/>
          <w:sz w:val="21"/>
          <w:highlight w:val="none"/>
        </w:rPr>
      </w:pPr>
    </w:p>
    <w:p w14:paraId="2E1AFE83">
      <w:pPr>
        <w:spacing w:line="273" w:lineRule="auto"/>
        <w:rPr>
          <w:rFonts w:ascii="Arial"/>
          <w:color w:val="auto"/>
          <w:sz w:val="21"/>
          <w:highlight w:val="none"/>
        </w:rPr>
      </w:pPr>
    </w:p>
    <w:p w14:paraId="71F1F728">
      <w:pPr>
        <w:spacing w:before="91" w:line="221" w:lineRule="auto"/>
        <w:ind w:left="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投标单位名称：</w:t>
      </w:r>
    </w:p>
    <w:p w14:paraId="457FFFE5">
      <w:pPr>
        <w:spacing w:before="289" w:line="220"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姓名：性别：年龄：职务：</w:t>
      </w:r>
    </w:p>
    <w:p w14:paraId="38DE79BC">
      <w:pPr>
        <w:spacing w:before="290" w:line="624" w:lineRule="exact"/>
        <w:ind w:left="5"/>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系（投标单位名称）的法定代表人（单位负责人）。</w:t>
      </w:r>
    </w:p>
    <w:p w14:paraId="03B0B6A6">
      <w:pPr>
        <w:spacing w:before="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特此证明。</w:t>
      </w:r>
    </w:p>
    <w:p w14:paraId="2077305C">
      <w:pPr>
        <w:spacing w:before="290" w:line="220" w:lineRule="auto"/>
        <w:ind w:left="3"/>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说明：</w:t>
      </w:r>
    </w:p>
    <w:p w14:paraId="3DBE7A80">
      <w:pPr>
        <w:spacing w:before="291" w:line="219" w:lineRule="auto"/>
        <w:jc w:val="right"/>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1、法定代表人为企业事业单位、国家机关、社会团体的</w:t>
      </w:r>
      <w:r>
        <w:rPr>
          <w:rFonts w:ascii="宋体" w:hAnsi="宋体" w:eastAsia="宋体" w:cs="宋体"/>
          <w:color w:val="auto"/>
          <w:spacing w:val="-3"/>
          <w:sz w:val="28"/>
          <w:szCs w:val="28"/>
          <w:highlight w:val="none"/>
        </w:rPr>
        <w:t>主要行政负责人。</w:t>
      </w:r>
    </w:p>
    <w:p w14:paraId="26720319">
      <w:pPr>
        <w:spacing w:before="291" w:line="220" w:lineRule="auto"/>
        <w:ind w:left="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2、内容必须填写真实、清楚、涂改无效。</w:t>
      </w:r>
    </w:p>
    <w:p w14:paraId="5602CB51">
      <w:pPr>
        <w:spacing w:before="26"/>
        <w:rPr>
          <w:color w:val="auto"/>
          <w:highlight w:val="none"/>
        </w:rPr>
      </w:pPr>
    </w:p>
    <w:p w14:paraId="71103CB4">
      <w:pPr>
        <w:spacing w:before="26"/>
        <w:rPr>
          <w:color w:val="auto"/>
          <w:highlight w:val="none"/>
        </w:rPr>
      </w:pPr>
    </w:p>
    <w:tbl>
      <w:tblPr>
        <w:tblStyle w:val="22"/>
        <w:tblpPr w:leftFromText="180" w:rightFromText="180" w:vertAnchor="text" w:horzAnchor="page" w:tblpX="5961" w:tblpY="165"/>
        <w:tblOverlap w:val="never"/>
        <w:tblW w:w="3285" w:type="dxa"/>
        <w:tblInd w:w="0"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3285"/>
      </w:tblGrid>
      <w:tr w14:paraId="21B6B371">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1915" w:hRule="atLeast"/>
        </w:trPr>
        <w:tc>
          <w:tcPr>
            <w:tcW w:w="3285" w:type="dxa"/>
            <w:vAlign w:val="top"/>
          </w:tcPr>
          <w:p w14:paraId="2888EEFD">
            <w:pPr>
              <w:spacing w:line="250" w:lineRule="auto"/>
              <w:rPr>
                <w:rFonts w:ascii="Arial"/>
                <w:color w:val="auto"/>
                <w:sz w:val="21"/>
                <w:highlight w:val="none"/>
              </w:rPr>
            </w:pPr>
          </w:p>
          <w:p w14:paraId="18997BA1">
            <w:pPr>
              <w:spacing w:line="250" w:lineRule="auto"/>
              <w:rPr>
                <w:rFonts w:ascii="Arial"/>
                <w:color w:val="auto"/>
                <w:sz w:val="21"/>
                <w:highlight w:val="none"/>
              </w:rPr>
            </w:pPr>
          </w:p>
          <w:p w14:paraId="37578627">
            <w:pPr>
              <w:spacing w:line="250" w:lineRule="auto"/>
              <w:rPr>
                <w:rFonts w:ascii="Arial"/>
                <w:color w:val="auto"/>
                <w:sz w:val="21"/>
                <w:highlight w:val="none"/>
              </w:rPr>
            </w:pPr>
          </w:p>
          <w:p w14:paraId="19467326">
            <w:pPr>
              <w:spacing w:before="78" w:line="222" w:lineRule="auto"/>
              <w:ind w:left="70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法定代表人身份证</w:t>
            </w:r>
          </w:p>
        </w:tc>
      </w:tr>
    </w:tbl>
    <w:tbl>
      <w:tblPr>
        <w:tblStyle w:val="22"/>
        <w:tblpPr w:leftFromText="180" w:rightFromText="180" w:vertAnchor="text" w:horzAnchor="page" w:tblpX="1444" w:tblpY="132"/>
        <w:tblOverlap w:val="never"/>
        <w:tblW w:w="3285" w:type="dxa"/>
        <w:tblInd w:w="0"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3285"/>
      </w:tblGrid>
      <w:tr w14:paraId="41EC20D7">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1915" w:hRule="atLeast"/>
        </w:trPr>
        <w:tc>
          <w:tcPr>
            <w:tcW w:w="3285" w:type="dxa"/>
            <w:vAlign w:val="top"/>
          </w:tcPr>
          <w:p w14:paraId="232B9A22">
            <w:pPr>
              <w:spacing w:line="250" w:lineRule="auto"/>
              <w:rPr>
                <w:rFonts w:ascii="Arial"/>
                <w:color w:val="auto"/>
                <w:sz w:val="21"/>
                <w:highlight w:val="none"/>
              </w:rPr>
            </w:pPr>
          </w:p>
          <w:p w14:paraId="0D8A69AE">
            <w:pPr>
              <w:spacing w:line="250" w:lineRule="auto"/>
              <w:rPr>
                <w:rFonts w:ascii="Arial"/>
                <w:color w:val="auto"/>
                <w:sz w:val="21"/>
                <w:highlight w:val="none"/>
              </w:rPr>
            </w:pPr>
          </w:p>
          <w:p w14:paraId="33B807D0">
            <w:pPr>
              <w:spacing w:line="250" w:lineRule="auto"/>
              <w:rPr>
                <w:rFonts w:ascii="Arial"/>
                <w:color w:val="auto"/>
                <w:sz w:val="21"/>
                <w:highlight w:val="none"/>
              </w:rPr>
            </w:pPr>
          </w:p>
          <w:p w14:paraId="448C6105">
            <w:pPr>
              <w:spacing w:before="78" w:line="222" w:lineRule="auto"/>
              <w:ind w:left="70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法定代表人身份证</w:t>
            </w:r>
          </w:p>
        </w:tc>
      </w:tr>
    </w:tbl>
    <w:p w14:paraId="484837F5">
      <w:pPr>
        <w:spacing w:before="26"/>
        <w:rPr>
          <w:color w:val="auto"/>
          <w:highlight w:val="none"/>
        </w:rPr>
      </w:pPr>
    </w:p>
    <w:p w14:paraId="0F5F4CBB">
      <w:pPr>
        <w:spacing w:line="299" w:lineRule="auto"/>
        <w:rPr>
          <w:rFonts w:ascii="Arial"/>
          <w:color w:val="auto"/>
          <w:sz w:val="21"/>
          <w:highlight w:val="none"/>
        </w:rPr>
      </w:pPr>
    </w:p>
    <w:p w14:paraId="6D6033E0">
      <w:pPr>
        <w:spacing w:line="300" w:lineRule="auto"/>
        <w:rPr>
          <w:rFonts w:ascii="Arial"/>
          <w:color w:val="auto"/>
          <w:sz w:val="21"/>
          <w:highlight w:val="none"/>
        </w:rPr>
      </w:pPr>
    </w:p>
    <w:p w14:paraId="2CD19384">
      <w:pPr>
        <w:spacing w:line="300" w:lineRule="auto"/>
        <w:rPr>
          <w:rFonts w:ascii="Arial"/>
          <w:color w:val="auto"/>
          <w:sz w:val="21"/>
          <w:highlight w:val="none"/>
        </w:rPr>
      </w:pPr>
    </w:p>
    <w:p w14:paraId="234F77BA">
      <w:pPr>
        <w:spacing w:line="300" w:lineRule="auto"/>
        <w:rPr>
          <w:rFonts w:ascii="Arial"/>
          <w:color w:val="auto"/>
          <w:sz w:val="21"/>
          <w:highlight w:val="none"/>
        </w:rPr>
      </w:pPr>
    </w:p>
    <w:p w14:paraId="65552153">
      <w:pPr>
        <w:spacing w:before="91" w:line="411" w:lineRule="auto"/>
        <w:ind w:left="543"/>
        <w:rPr>
          <w:rFonts w:ascii="宋体" w:hAnsi="宋体" w:eastAsia="宋体" w:cs="宋体"/>
          <w:color w:val="auto"/>
          <w:spacing w:val="-2"/>
          <w:sz w:val="28"/>
          <w:szCs w:val="28"/>
          <w:highlight w:val="none"/>
        </w:rPr>
      </w:pPr>
    </w:p>
    <w:p w14:paraId="45B5345C">
      <w:pPr>
        <w:spacing w:before="91" w:line="411" w:lineRule="auto"/>
        <w:ind w:left="543"/>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投标单位名称（单位盖章</w:t>
      </w:r>
      <w:r>
        <w:rPr>
          <w:rFonts w:ascii="宋体" w:hAnsi="宋体" w:eastAsia="宋体" w:cs="宋体"/>
          <w:color w:val="auto"/>
          <w:spacing w:val="3"/>
          <w:sz w:val="28"/>
          <w:szCs w:val="28"/>
          <w:highlight w:val="none"/>
        </w:rPr>
        <w:t>）：</w:t>
      </w:r>
    </w:p>
    <w:p w14:paraId="20A8ABA3">
      <w:pPr>
        <w:spacing w:before="1" w:line="219" w:lineRule="auto"/>
        <w:ind w:left="541"/>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法定代表人(签字或盖章):</w:t>
      </w:r>
    </w:p>
    <w:p w14:paraId="08DC494E">
      <w:pPr>
        <w:spacing w:before="291" w:line="221" w:lineRule="auto"/>
        <w:ind w:left="588"/>
        <w:rPr>
          <w:rFonts w:hint="eastAsia" w:ascii="宋体" w:hAnsi="宋体" w:eastAsia="宋体" w:cs="宋体"/>
          <w:color w:val="auto"/>
          <w:sz w:val="28"/>
          <w:szCs w:val="28"/>
          <w:highlight w:val="none"/>
          <w:lang w:eastAsia="zh-CN"/>
        </w:rPr>
      </w:pPr>
      <w:r>
        <w:rPr>
          <w:rFonts w:ascii="宋体" w:hAnsi="宋体" w:eastAsia="宋体" w:cs="宋体"/>
          <w:color w:val="auto"/>
          <w:spacing w:val="-20"/>
          <w:sz w:val="28"/>
          <w:szCs w:val="28"/>
          <w:highlight w:val="none"/>
        </w:rPr>
        <w:t>日期：</w:t>
      </w:r>
    </w:p>
    <w:p w14:paraId="46D60DA9">
      <w:pPr>
        <w:spacing w:line="221" w:lineRule="auto"/>
        <w:rPr>
          <w:rFonts w:ascii="宋体" w:hAnsi="宋体" w:eastAsia="宋体" w:cs="宋体"/>
          <w:color w:val="auto"/>
          <w:sz w:val="28"/>
          <w:szCs w:val="28"/>
          <w:highlight w:val="none"/>
        </w:rPr>
        <w:sectPr>
          <w:footerReference r:id="rId18" w:type="default"/>
          <w:pgSz w:w="11906" w:h="16839"/>
          <w:pgMar w:top="1431" w:right="1485" w:bottom="1171" w:left="1090" w:header="0" w:footer="992" w:gutter="0"/>
          <w:pgBorders>
            <w:top w:val="none" w:sz="0" w:space="0"/>
            <w:left w:val="none" w:sz="0" w:space="0"/>
            <w:bottom w:val="none" w:sz="0" w:space="0"/>
            <w:right w:val="none" w:sz="0" w:space="0"/>
          </w:pgBorders>
          <w:pgNumType w:fmt="decimal"/>
          <w:cols w:space="720" w:num="1"/>
        </w:sectPr>
      </w:pPr>
    </w:p>
    <w:p w14:paraId="1A447400">
      <w:pPr>
        <w:spacing w:before="181" w:line="219" w:lineRule="auto"/>
        <w:ind w:left="3120"/>
        <w:outlineLvl w:val="1"/>
        <w:rPr>
          <w:rFonts w:ascii="宋体" w:hAnsi="宋体" w:eastAsia="宋体" w:cs="宋体"/>
          <w:color w:val="auto"/>
          <w:sz w:val="28"/>
          <w:szCs w:val="28"/>
          <w:highlight w:val="none"/>
        </w:rPr>
      </w:pPr>
      <w:r>
        <w:rPr>
          <w:color w:val="auto"/>
          <w:highlight w:val="none"/>
        </w:rPr>
        <w:pict>
          <v:shape id="_x0000_s1027" o:spid="_x0000_s1027" o:spt="202" type="#_x0000_t202" style="position:absolute;left:0pt;margin-left:271.55pt;margin-top:318.2pt;height:92.85pt;width:204.4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w:txbxContent>
                <w:p w14:paraId="18A658AD">
                  <w:pPr>
                    <w:spacing w:line="20" w:lineRule="exact"/>
                  </w:pPr>
                </w:p>
                <w:tbl>
                  <w:tblPr>
                    <w:tblStyle w:val="22"/>
                    <w:tblW w:w="4038" w:type="dxa"/>
                    <w:tblInd w:w="25"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4038"/>
                  </w:tblGrid>
                  <w:tr w14:paraId="51E3AA34">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1796" w:hRule="atLeast"/>
                    </w:trPr>
                    <w:tc>
                      <w:tcPr>
                        <w:tcW w:w="4038" w:type="dxa"/>
                        <w:vAlign w:val="top"/>
                      </w:tcPr>
                      <w:p w14:paraId="785D3C7B">
                        <w:pPr>
                          <w:spacing w:line="248" w:lineRule="auto"/>
                          <w:rPr>
                            <w:rFonts w:ascii="Arial"/>
                            <w:sz w:val="21"/>
                          </w:rPr>
                        </w:pPr>
                      </w:p>
                      <w:p w14:paraId="69B1D5A1">
                        <w:pPr>
                          <w:spacing w:line="249" w:lineRule="auto"/>
                          <w:rPr>
                            <w:rFonts w:ascii="Arial"/>
                            <w:sz w:val="21"/>
                          </w:rPr>
                        </w:pPr>
                      </w:p>
                      <w:p w14:paraId="0CA68C7D">
                        <w:pPr>
                          <w:spacing w:line="249" w:lineRule="auto"/>
                          <w:rPr>
                            <w:rFonts w:ascii="Arial"/>
                            <w:sz w:val="21"/>
                          </w:rPr>
                        </w:pPr>
                      </w:p>
                      <w:p w14:paraId="0C0D264E">
                        <w:pPr>
                          <w:spacing w:before="78" w:line="222" w:lineRule="auto"/>
                          <w:ind w:left="1078"/>
                          <w:rPr>
                            <w:rFonts w:ascii="仿宋" w:hAnsi="仿宋" w:eastAsia="仿宋" w:cs="仿宋"/>
                            <w:sz w:val="24"/>
                            <w:szCs w:val="24"/>
                          </w:rPr>
                        </w:pPr>
                        <w:r>
                          <w:rPr>
                            <w:rFonts w:ascii="仿宋" w:hAnsi="仿宋" w:eastAsia="仿宋" w:cs="仿宋"/>
                            <w:spacing w:val="-3"/>
                            <w:sz w:val="24"/>
                            <w:szCs w:val="24"/>
                          </w:rPr>
                          <w:t>法定代表人身份证</w:t>
                        </w:r>
                      </w:p>
                    </w:tc>
                  </w:tr>
                </w:tbl>
                <w:p w14:paraId="51C9AACF">
                  <w:pPr>
                    <w:rPr>
                      <w:rFonts w:ascii="Arial"/>
                      <w:sz w:val="21"/>
                    </w:rPr>
                  </w:pPr>
                </w:p>
              </w:txbxContent>
            </v:textbox>
          </v:shape>
        </w:pict>
      </w:r>
      <w:r>
        <w:rPr>
          <w:color w:val="auto"/>
          <w:highlight w:val="none"/>
        </w:rPr>
        <w:pict>
          <v:shape id="_x0000_s1028" o:spid="_x0000_s1028" o:spt="202" type="#_x0000_t202" style="position:absolute;left:0pt;margin-left:275.85pt;margin-top:417.3pt;height:92.85pt;width:204.45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14:paraId="241FAE73">
                  <w:pPr>
                    <w:spacing w:line="20" w:lineRule="exact"/>
                  </w:pPr>
                </w:p>
                <w:tbl>
                  <w:tblPr>
                    <w:tblStyle w:val="22"/>
                    <w:tblW w:w="4038" w:type="dxa"/>
                    <w:tblInd w:w="25"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4038"/>
                  </w:tblGrid>
                  <w:tr w14:paraId="5EA5ABD8">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1796" w:hRule="atLeast"/>
                    </w:trPr>
                    <w:tc>
                      <w:tcPr>
                        <w:tcW w:w="4038" w:type="dxa"/>
                        <w:vAlign w:val="top"/>
                      </w:tcPr>
                      <w:p w14:paraId="0398BD83">
                        <w:pPr>
                          <w:spacing w:line="248" w:lineRule="auto"/>
                          <w:rPr>
                            <w:rFonts w:ascii="Arial"/>
                            <w:sz w:val="21"/>
                          </w:rPr>
                        </w:pPr>
                      </w:p>
                      <w:p w14:paraId="1F1FED39">
                        <w:pPr>
                          <w:spacing w:line="248" w:lineRule="auto"/>
                          <w:rPr>
                            <w:rFonts w:ascii="Arial"/>
                            <w:sz w:val="21"/>
                          </w:rPr>
                        </w:pPr>
                      </w:p>
                      <w:p w14:paraId="4AA2C40D">
                        <w:pPr>
                          <w:spacing w:line="248" w:lineRule="auto"/>
                          <w:rPr>
                            <w:rFonts w:ascii="Arial"/>
                            <w:sz w:val="21"/>
                          </w:rPr>
                        </w:pPr>
                      </w:p>
                      <w:p w14:paraId="2F2AFA94">
                        <w:pPr>
                          <w:spacing w:before="78" w:line="222" w:lineRule="auto"/>
                          <w:ind w:left="974"/>
                          <w:rPr>
                            <w:rFonts w:ascii="仿宋" w:hAnsi="仿宋" w:eastAsia="仿宋" w:cs="仿宋"/>
                            <w:sz w:val="24"/>
                            <w:szCs w:val="24"/>
                          </w:rPr>
                        </w:pPr>
                        <w:r>
                          <w:rPr>
                            <w:rFonts w:ascii="仿宋" w:hAnsi="仿宋" w:eastAsia="仿宋" w:cs="仿宋"/>
                            <w:spacing w:val="-2"/>
                            <w:sz w:val="24"/>
                            <w:szCs w:val="24"/>
                          </w:rPr>
                          <w:t>授权委托人身份证</w:t>
                        </w:r>
                      </w:p>
                    </w:tc>
                  </w:tr>
                </w:tbl>
                <w:p w14:paraId="4C7EA417">
                  <w:pPr>
                    <w:rPr>
                      <w:rFonts w:ascii="Arial"/>
                      <w:sz w:val="21"/>
                    </w:rPr>
                  </w:pPr>
                </w:p>
              </w:txbxContent>
            </v:textbox>
          </v:shape>
        </w:pic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3.2法定代表人授权委托书</w:t>
      </w:r>
    </w:p>
    <w:p w14:paraId="289A04E7">
      <w:pPr>
        <w:spacing w:line="249" w:lineRule="auto"/>
        <w:rPr>
          <w:rFonts w:ascii="Arial"/>
          <w:color w:val="auto"/>
          <w:sz w:val="21"/>
          <w:highlight w:val="none"/>
        </w:rPr>
      </w:pPr>
    </w:p>
    <w:p w14:paraId="36857633">
      <w:pPr>
        <w:spacing w:before="91" w:line="219" w:lineRule="auto"/>
        <w:rPr>
          <w:rFonts w:ascii="宋体" w:hAnsi="宋体" w:eastAsia="宋体" w:cs="宋体"/>
          <w:color w:val="auto"/>
          <w:sz w:val="28"/>
          <w:szCs w:val="28"/>
          <w:highlight w:val="none"/>
        </w:rPr>
      </w:pPr>
      <w:r>
        <w:rPr>
          <w:rFonts w:ascii="宋体" w:hAnsi="宋体" w:eastAsia="宋体" w:cs="宋体"/>
          <w:color w:val="auto"/>
          <w:spacing w:val="-11"/>
          <w:sz w:val="28"/>
          <w:szCs w:val="28"/>
          <w:highlight w:val="none"/>
        </w:rPr>
        <w:t>致：(采购人)</w:t>
      </w:r>
    </w:p>
    <w:p w14:paraId="1490714B">
      <w:pPr>
        <w:spacing w:before="281" w:line="271" w:lineRule="auto"/>
        <w:ind w:left="2" w:firstLine="558"/>
        <w:jc w:val="both"/>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本授权书声明：注册于</w:t>
      </w:r>
      <w:r>
        <w:rPr>
          <w:rFonts w:ascii="宋体" w:hAnsi="宋体" w:eastAsia="宋体" w:cs="宋体"/>
          <w:color w:val="auto"/>
          <w:spacing w:val="-5"/>
          <w:sz w:val="28"/>
          <w:szCs w:val="28"/>
          <w:highlight w:val="none"/>
          <w:u w:val="single" w:color="auto"/>
        </w:rPr>
        <w:t>（国家或地区的名称）</w:t>
      </w:r>
      <w:r>
        <w:rPr>
          <w:rFonts w:ascii="宋体" w:hAnsi="宋体" w:eastAsia="宋体" w:cs="宋体"/>
          <w:color w:val="auto"/>
          <w:spacing w:val="-5"/>
          <w:sz w:val="28"/>
          <w:szCs w:val="28"/>
          <w:highlight w:val="none"/>
        </w:rPr>
        <w:t>的（</w:t>
      </w:r>
      <w:r>
        <w:rPr>
          <w:rFonts w:ascii="宋体" w:hAnsi="宋体" w:eastAsia="宋体" w:cs="宋体"/>
          <w:color w:val="auto"/>
          <w:spacing w:val="-5"/>
          <w:sz w:val="28"/>
          <w:szCs w:val="28"/>
          <w:highlight w:val="none"/>
          <w:u w:val="single" w:color="auto"/>
        </w:rPr>
        <w:t>投标人</w:t>
      </w:r>
      <w:r>
        <w:rPr>
          <w:rFonts w:ascii="宋体" w:hAnsi="宋体" w:eastAsia="宋体" w:cs="宋体"/>
          <w:color w:val="auto"/>
          <w:spacing w:val="-5"/>
          <w:sz w:val="28"/>
          <w:szCs w:val="28"/>
          <w:highlight w:val="none"/>
        </w:rPr>
        <w:t>）的在下面签字的</w:t>
      </w:r>
      <w:r>
        <w:rPr>
          <w:rFonts w:ascii="宋体" w:hAnsi="宋体" w:eastAsia="宋体" w:cs="宋体"/>
          <w:color w:val="auto"/>
          <w:spacing w:val="-4"/>
          <w:sz w:val="28"/>
          <w:szCs w:val="28"/>
          <w:highlight w:val="none"/>
        </w:rPr>
        <w:t>（</w:t>
      </w:r>
      <w:r>
        <w:rPr>
          <w:rFonts w:ascii="宋体" w:hAnsi="宋体" w:eastAsia="宋体" w:cs="宋体"/>
          <w:color w:val="auto"/>
          <w:spacing w:val="-4"/>
          <w:sz w:val="28"/>
          <w:szCs w:val="28"/>
          <w:highlight w:val="none"/>
          <w:u w:val="single" w:color="auto"/>
        </w:rPr>
        <w:t>法人代表姓名、职务</w:t>
      </w:r>
      <w:r>
        <w:rPr>
          <w:rFonts w:ascii="宋体" w:hAnsi="宋体" w:eastAsia="宋体" w:cs="宋体"/>
          <w:color w:val="auto"/>
          <w:spacing w:val="-4"/>
          <w:sz w:val="28"/>
          <w:szCs w:val="28"/>
          <w:highlight w:val="none"/>
        </w:rPr>
        <w:t>）代表我单位授权（</w:t>
      </w:r>
      <w:r>
        <w:rPr>
          <w:rFonts w:ascii="宋体" w:hAnsi="宋体" w:eastAsia="宋体" w:cs="宋体"/>
          <w:color w:val="auto"/>
          <w:spacing w:val="-4"/>
          <w:sz w:val="28"/>
          <w:szCs w:val="28"/>
          <w:highlight w:val="none"/>
          <w:u w:val="single" w:color="auto"/>
        </w:rPr>
        <w:t>单</w:t>
      </w:r>
      <w:r>
        <w:rPr>
          <w:rFonts w:ascii="宋体" w:hAnsi="宋体" w:eastAsia="宋体" w:cs="宋体"/>
          <w:color w:val="auto"/>
          <w:spacing w:val="-5"/>
          <w:sz w:val="28"/>
          <w:szCs w:val="28"/>
          <w:highlight w:val="none"/>
          <w:u w:val="single" w:color="auto"/>
        </w:rPr>
        <w:t>位名称</w:t>
      </w:r>
      <w:r>
        <w:rPr>
          <w:rFonts w:ascii="宋体" w:hAnsi="宋体" w:eastAsia="宋体" w:cs="宋体"/>
          <w:color w:val="auto"/>
          <w:spacing w:val="-5"/>
          <w:sz w:val="28"/>
          <w:szCs w:val="28"/>
          <w:highlight w:val="none"/>
        </w:rPr>
        <w:t>）的在下面签字的（</w:t>
      </w:r>
      <w:r>
        <w:rPr>
          <w:rFonts w:ascii="宋体" w:hAnsi="宋体" w:eastAsia="宋体" w:cs="宋体"/>
          <w:color w:val="auto"/>
          <w:spacing w:val="-5"/>
          <w:sz w:val="28"/>
          <w:szCs w:val="28"/>
          <w:highlight w:val="none"/>
          <w:u w:val="single" w:color="auto"/>
        </w:rPr>
        <w:t>被授权</w:t>
      </w:r>
      <w:r>
        <w:rPr>
          <w:rFonts w:ascii="宋体" w:hAnsi="宋体" w:eastAsia="宋体" w:cs="宋体"/>
          <w:color w:val="auto"/>
          <w:spacing w:val="-4"/>
          <w:sz w:val="28"/>
          <w:szCs w:val="28"/>
          <w:highlight w:val="none"/>
          <w:u w:val="single" w:color="auto"/>
        </w:rPr>
        <w:t>人的姓名、职务</w:t>
      </w:r>
      <w:r>
        <w:rPr>
          <w:rFonts w:ascii="宋体" w:hAnsi="宋体" w:eastAsia="宋体" w:cs="宋体"/>
          <w:color w:val="auto"/>
          <w:spacing w:val="-4"/>
          <w:sz w:val="28"/>
          <w:szCs w:val="28"/>
          <w:highlight w:val="none"/>
        </w:rPr>
        <w:t>）为我单位的合法代理人，就（</w:t>
      </w:r>
      <w:r>
        <w:rPr>
          <w:rFonts w:ascii="宋体" w:hAnsi="宋体" w:eastAsia="宋体" w:cs="宋体"/>
          <w:color w:val="auto"/>
          <w:spacing w:val="-4"/>
          <w:sz w:val="28"/>
          <w:szCs w:val="28"/>
          <w:highlight w:val="none"/>
          <w:u w:val="single" w:color="auto"/>
        </w:rPr>
        <w:t>项目</w:t>
      </w:r>
      <w:r>
        <w:rPr>
          <w:rFonts w:ascii="宋体" w:hAnsi="宋体" w:eastAsia="宋体" w:cs="宋体"/>
          <w:color w:val="auto"/>
          <w:spacing w:val="-5"/>
          <w:sz w:val="28"/>
          <w:szCs w:val="28"/>
          <w:highlight w:val="none"/>
          <w:u w:val="single" w:color="auto"/>
        </w:rPr>
        <w:t>名称、项目编号</w:t>
      </w:r>
      <w:r>
        <w:rPr>
          <w:rFonts w:ascii="宋体" w:hAnsi="宋体" w:eastAsia="宋体" w:cs="宋体"/>
          <w:color w:val="auto"/>
          <w:spacing w:val="-5"/>
          <w:sz w:val="28"/>
          <w:szCs w:val="28"/>
          <w:highlight w:val="none"/>
        </w:rPr>
        <w:t>）的（</w:t>
      </w:r>
      <w:r>
        <w:rPr>
          <w:rFonts w:ascii="宋体" w:hAnsi="宋体" w:eastAsia="宋体" w:cs="宋体"/>
          <w:color w:val="auto"/>
          <w:spacing w:val="-5"/>
          <w:sz w:val="28"/>
          <w:szCs w:val="28"/>
          <w:highlight w:val="none"/>
          <w:u w:val="single" w:color="auto"/>
        </w:rPr>
        <w:t>合同</w:t>
      </w:r>
      <w:r>
        <w:rPr>
          <w:rFonts w:ascii="宋体" w:hAnsi="宋体" w:eastAsia="宋体" w:cs="宋体"/>
          <w:color w:val="auto"/>
          <w:spacing w:val="-1"/>
          <w:sz w:val="28"/>
          <w:szCs w:val="28"/>
          <w:highlight w:val="none"/>
          <w:u w:val="single" w:color="auto"/>
        </w:rPr>
        <w:t>名称</w:t>
      </w:r>
      <w:r>
        <w:rPr>
          <w:rFonts w:ascii="宋体" w:hAnsi="宋体" w:eastAsia="宋体" w:cs="宋体"/>
          <w:color w:val="auto"/>
          <w:spacing w:val="-1"/>
          <w:sz w:val="28"/>
          <w:szCs w:val="28"/>
          <w:highlight w:val="none"/>
        </w:rPr>
        <w:t>）投标，以我单位名义处理一切与之有关的事务。</w:t>
      </w:r>
    </w:p>
    <w:p w14:paraId="3EBA0EE2">
      <w:pPr>
        <w:spacing w:before="220" w:line="366" w:lineRule="auto"/>
        <w:ind w:left="56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本授权委托书于年月日签字生效，代理人无转委托权。</w:t>
      </w:r>
    </w:p>
    <w:p w14:paraId="753C778A">
      <w:pPr>
        <w:spacing w:before="1" w:line="219" w:lineRule="auto"/>
        <w:ind w:left="559"/>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特此声明。</w:t>
      </w:r>
    </w:p>
    <w:p w14:paraId="21B3F981">
      <w:pPr>
        <w:spacing w:before="10"/>
        <w:rPr>
          <w:color w:val="auto"/>
          <w:highlight w:val="none"/>
        </w:rPr>
      </w:pPr>
    </w:p>
    <w:p w14:paraId="0D942447">
      <w:pPr>
        <w:spacing w:before="10"/>
        <w:rPr>
          <w:color w:val="auto"/>
          <w:highlight w:val="none"/>
        </w:rPr>
      </w:pPr>
    </w:p>
    <w:p w14:paraId="67ACF77D">
      <w:pPr>
        <w:spacing w:before="10"/>
        <w:rPr>
          <w:color w:val="auto"/>
          <w:highlight w:val="none"/>
        </w:rPr>
      </w:pPr>
    </w:p>
    <w:tbl>
      <w:tblPr>
        <w:tblStyle w:val="22"/>
        <w:tblW w:w="4038" w:type="dxa"/>
        <w:tblInd w:w="167"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4038"/>
      </w:tblGrid>
      <w:tr w14:paraId="1F4B32AD">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1796" w:hRule="atLeast"/>
        </w:trPr>
        <w:tc>
          <w:tcPr>
            <w:tcW w:w="4038" w:type="dxa"/>
            <w:vAlign w:val="top"/>
          </w:tcPr>
          <w:p w14:paraId="5E24FE2A">
            <w:pPr>
              <w:spacing w:line="248" w:lineRule="auto"/>
              <w:rPr>
                <w:rFonts w:ascii="Arial"/>
                <w:color w:val="auto"/>
                <w:sz w:val="21"/>
                <w:highlight w:val="none"/>
              </w:rPr>
            </w:pPr>
          </w:p>
          <w:p w14:paraId="6EAD2A24">
            <w:pPr>
              <w:spacing w:line="249" w:lineRule="auto"/>
              <w:rPr>
                <w:rFonts w:ascii="Arial"/>
                <w:color w:val="auto"/>
                <w:sz w:val="21"/>
                <w:highlight w:val="none"/>
              </w:rPr>
            </w:pPr>
          </w:p>
          <w:p w14:paraId="58E0A8A0">
            <w:pPr>
              <w:spacing w:line="249" w:lineRule="auto"/>
              <w:rPr>
                <w:rFonts w:ascii="Arial"/>
                <w:color w:val="auto"/>
                <w:sz w:val="21"/>
                <w:highlight w:val="none"/>
              </w:rPr>
            </w:pPr>
          </w:p>
          <w:p w14:paraId="0A3BCDF1">
            <w:pPr>
              <w:spacing w:before="78" w:line="222" w:lineRule="auto"/>
              <w:ind w:left="107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法定代表人身份证</w:t>
            </w:r>
          </w:p>
        </w:tc>
      </w:tr>
    </w:tbl>
    <w:p w14:paraId="5C2709D7">
      <w:pPr>
        <w:spacing w:line="96" w:lineRule="exact"/>
        <w:rPr>
          <w:color w:val="auto"/>
          <w:highlight w:val="none"/>
        </w:rPr>
      </w:pPr>
    </w:p>
    <w:tbl>
      <w:tblPr>
        <w:tblStyle w:val="22"/>
        <w:tblW w:w="4038" w:type="dxa"/>
        <w:tblInd w:w="199" w:type="dxa"/>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Layout w:type="fixed"/>
        <w:tblCellMar>
          <w:top w:w="0" w:type="dxa"/>
          <w:left w:w="0" w:type="dxa"/>
          <w:bottom w:w="0" w:type="dxa"/>
          <w:right w:w="0" w:type="dxa"/>
        </w:tblCellMar>
      </w:tblPr>
      <w:tblGrid>
        <w:gridCol w:w="4038"/>
      </w:tblGrid>
      <w:tr w14:paraId="7B22AFCE">
        <w:tblPrEx>
          <w:tblBorders>
            <w:top w:val="single" w:color="808080" w:sz="4" w:space="0"/>
            <w:left w:val="single" w:color="808080" w:sz="4" w:space="0"/>
            <w:bottom w:val="single" w:color="808080" w:sz="4" w:space="0"/>
            <w:right w:val="single" w:color="808080" w:sz="4" w:space="0"/>
            <w:insideH w:val="none" w:color="auto" w:sz="0" w:space="0"/>
            <w:insideV w:val="none" w:color="auto" w:sz="0" w:space="0"/>
          </w:tblBorders>
          <w:tblCellMar>
            <w:top w:w="0" w:type="dxa"/>
            <w:left w:w="0" w:type="dxa"/>
            <w:bottom w:w="0" w:type="dxa"/>
            <w:right w:w="0" w:type="dxa"/>
          </w:tblCellMar>
        </w:tblPrEx>
        <w:trPr>
          <w:trHeight w:val="1795" w:hRule="atLeast"/>
        </w:trPr>
        <w:tc>
          <w:tcPr>
            <w:tcW w:w="4038" w:type="dxa"/>
            <w:vAlign w:val="top"/>
          </w:tcPr>
          <w:p w14:paraId="0BF5AA83">
            <w:pPr>
              <w:spacing w:line="248" w:lineRule="auto"/>
              <w:rPr>
                <w:rFonts w:ascii="Arial"/>
                <w:color w:val="auto"/>
                <w:sz w:val="21"/>
                <w:highlight w:val="none"/>
              </w:rPr>
            </w:pPr>
          </w:p>
          <w:p w14:paraId="54179F55">
            <w:pPr>
              <w:spacing w:line="248" w:lineRule="auto"/>
              <w:rPr>
                <w:rFonts w:ascii="Arial"/>
                <w:color w:val="auto"/>
                <w:sz w:val="21"/>
                <w:highlight w:val="none"/>
              </w:rPr>
            </w:pPr>
          </w:p>
          <w:p w14:paraId="2274CDC7">
            <w:pPr>
              <w:spacing w:line="248" w:lineRule="auto"/>
              <w:rPr>
                <w:rFonts w:ascii="Arial"/>
                <w:color w:val="auto"/>
                <w:sz w:val="21"/>
                <w:highlight w:val="none"/>
              </w:rPr>
            </w:pPr>
          </w:p>
          <w:p w14:paraId="05D56093">
            <w:pPr>
              <w:spacing w:before="78" w:line="222" w:lineRule="auto"/>
              <w:ind w:left="973"/>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授权委托人身份证</w:t>
            </w:r>
          </w:p>
        </w:tc>
      </w:tr>
    </w:tbl>
    <w:p w14:paraId="08755AF3">
      <w:pPr>
        <w:spacing w:line="263" w:lineRule="auto"/>
        <w:rPr>
          <w:rFonts w:ascii="Arial"/>
          <w:color w:val="auto"/>
          <w:sz w:val="21"/>
          <w:highlight w:val="none"/>
        </w:rPr>
      </w:pPr>
    </w:p>
    <w:p w14:paraId="11620CA4">
      <w:pPr>
        <w:spacing w:before="92" w:line="286" w:lineRule="auto"/>
        <w:ind w:left="543"/>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投标单位（单位盖章</w:t>
      </w:r>
      <w:r>
        <w:rPr>
          <w:rFonts w:ascii="宋体" w:hAnsi="宋体" w:eastAsia="宋体" w:cs="宋体"/>
          <w:color w:val="auto"/>
          <w:sz w:val="28"/>
          <w:szCs w:val="28"/>
          <w:highlight w:val="none"/>
        </w:rPr>
        <w:t>）：</w:t>
      </w:r>
    </w:p>
    <w:p w14:paraId="492E40D2">
      <w:pPr>
        <w:spacing w:before="2" w:line="219" w:lineRule="auto"/>
        <w:ind w:left="547"/>
        <w:rPr>
          <w:rFonts w:hint="eastAsia" w:ascii="宋体" w:hAnsi="宋体" w:eastAsia="宋体" w:cs="宋体"/>
          <w:color w:val="auto"/>
          <w:sz w:val="28"/>
          <w:szCs w:val="28"/>
          <w:highlight w:val="none"/>
          <w:lang w:eastAsia="zh-CN"/>
        </w:rPr>
      </w:pPr>
      <w:r>
        <w:rPr>
          <w:rFonts w:ascii="宋体" w:hAnsi="宋体" w:eastAsia="宋体" w:cs="宋体"/>
          <w:color w:val="auto"/>
          <w:spacing w:val="-4"/>
          <w:sz w:val="28"/>
          <w:szCs w:val="28"/>
          <w:highlight w:val="none"/>
        </w:rPr>
        <w:t>身份证号码：</w:t>
      </w:r>
    </w:p>
    <w:p w14:paraId="73E53F3C">
      <w:pPr>
        <w:spacing w:before="103" w:line="219" w:lineRule="auto"/>
        <w:ind w:left="541"/>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法定代表人（签字或盖章）：</w:t>
      </w:r>
    </w:p>
    <w:p w14:paraId="5F0C2EBA">
      <w:pPr>
        <w:spacing w:before="102" w:line="220" w:lineRule="auto"/>
        <w:ind w:left="538"/>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委托代理人：</w:t>
      </w:r>
    </w:p>
    <w:p w14:paraId="14801028">
      <w:pPr>
        <w:spacing w:before="103" w:line="220" w:lineRule="auto"/>
        <w:ind w:left="547"/>
        <w:rPr>
          <w:rFonts w:hint="eastAsia" w:ascii="宋体" w:hAnsi="宋体" w:eastAsia="宋体" w:cs="宋体"/>
          <w:color w:val="auto"/>
          <w:sz w:val="28"/>
          <w:szCs w:val="28"/>
          <w:highlight w:val="none"/>
          <w:lang w:eastAsia="zh-CN"/>
        </w:rPr>
      </w:pPr>
      <w:r>
        <w:rPr>
          <w:rFonts w:ascii="宋体" w:hAnsi="宋体" w:eastAsia="宋体" w:cs="宋体"/>
          <w:color w:val="auto"/>
          <w:spacing w:val="-4"/>
          <w:sz w:val="28"/>
          <w:szCs w:val="28"/>
          <w:highlight w:val="none"/>
        </w:rPr>
        <w:t>身份证号码：</w:t>
      </w:r>
    </w:p>
    <w:p w14:paraId="0A89F37C">
      <w:pPr>
        <w:spacing w:before="104" w:line="219" w:lineRule="auto"/>
        <w:ind w:left="538"/>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委托代理人（签字或盖章</w:t>
      </w:r>
      <w:r>
        <w:rPr>
          <w:rFonts w:ascii="宋体" w:hAnsi="宋体" w:eastAsia="宋体" w:cs="宋体"/>
          <w:color w:val="auto"/>
          <w:sz w:val="28"/>
          <w:szCs w:val="28"/>
          <w:highlight w:val="none"/>
        </w:rPr>
        <w:t>）：</w:t>
      </w:r>
    </w:p>
    <w:p w14:paraId="7F35C466">
      <w:pPr>
        <w:spacing w:before="102" w:line="221" w:lineRule="auto"/>
        <w:ind w:left="543"/>
        <w:rPr>
          <w:rFonts w:hint="eastAsia" w:ascii="宋体" w:hAnsi="宋体" w:eastAsia="宋体" w:cs="宋体"/>
          <w:color w:val="auto"/>
          <w:sz w:val="28"/>
          <w:szCs w:val="28"/>
          <w:highlight w:val="none"/>
          <w:lang w:eastAsia="zh-CN"/>
        </w:rPr>
      </w:pPr>
      <w:r>
        <w:rPr>
          <w:rFonts w:ascii="宋体" w:hAnsi="宋体" w:eastAsia="宋体" w:cs="宋体"/>
          <w:color w:val="auto"/>
          <w:spacing w:val="-3"/>
          <w:sz w:val="28"/>
          <w:szCs w:val="28"/>
          <w:highlight w:val="none"/>
        </w:rPr>
        <w:t>详细通讯地址：</w:t>
      </w:r>
    </w:p>
    <w:p w14:paraId="180D71C1">
      <w:pPr>
        <w:spacing w:before="99" w:line="220" w:lineRule="auto"/>
        <w:ind w:left="560"/>
        <w:rPr>
          <w:rFonts w:hint="eastAsia" w:ascii="宋体" w:hAnsi="宋体" w:eastAsia="宋体" w:cs="宋体"/>
          <w:color w:val="auto"/>
          <w:sz w:val="28"/>
          <w:szCs w:val="28"/>
          <w:highlight w:val="none"/>
          <w:lang w:eastAsia="zh-CN"/>
        </w:rPr>
      </w:pPr>
      <w:r>
        <w:rPr>
          <w:rFonts w:ascii="宋体" w:hAnsi="宋体" w:eastAsia="宋体" w:cs="宋体"/>
          <w:color w:val="auto"/>
          <w:spacing w:val="-4"/>
          <w:sz w:val="28"/>
          <w:szCs w:val="28"/>
          <w:highlight w:val="none"/>
        </w:rPr>
        <w:t>邮政编码：</w:t>
      </w:r>
    </w:p>
    <w:p w14:paraId="15B00F77">
      <w:pPr>
        <w:spacing w:before="103" w:line="219" w:lineRule="auto"/>
        <w:ind w:left="537"/>
        <w:rPr>
          <w:rFonts w:hint="eastAsia" w:ascii="宋体" w:hAnsi="宋体" w:eastAsia="宋体" w:cs="宋体"/>
          <w:color w:val="auto"/>
          <w:sz w:val="28"/>
          <w:szCs w:val="28"/>
          <w:highlight w:val="none"/>
          <w:lang w:eastAsia="zh-CN"/>
        </w:rPr>
      </w:pPr>
      <w:r>
        <w:rPr>
          <w:rFonts w:ascii="宋体" w:hAnsi="宋体" w:eastAsia="宋体" w:cs="宋体"/>
          <w:color w:val="auto"/>
          <w:spacing w:val="-8"/>
          <w:sz w:val="28"/>
          <w:szCs w:val="28"/>
          <w:highlight w:val="none"/>
        </w:rPr>
        <w:t>传真：</w:t>
      </w:r>
    </w:p>
    <w:p w14:paraId="2CE287EF">
      <w:pPr>
        <w:spacing w:before="105" w:line="222" w:lineRule="auto"/>
        <w:ind w:left="572"/>
        <w:rPr>
          <w:rFonts w:hint="eastAsia" w:ascii="宋体" w:hAnsi="宋体" w:eastAsia="宋体" w:cs="宋体"/>
          <w:color w:val="auto"/>
          <w:sz w:val="28"/>
          <w:szCs w:val="28"/>
          <w:highlight w:val="none"/>
          <w:lang w:eastAsia="zh-CN"/>
        </w:rPr>
      </w:pPr>
      <w:r>
        <w:rPr>
          <w:rFonts w:ascii="宋体" w:hAnsi="宋体" w:eastAsia="宋体" w:cs="宋体"/>
          <w:color w:val="auto"/>
          <w:spacing w:val="-19"/>
          <w:sz w:val="28"/>
          <w:szCs w:val="28"/>
          <w:highlight w:val="none"/>
        </w:rPr>
        <w:t>电话：</w:t>
      </w:r>
    </w:p>
    <w:p w14:paraId="28B64E47">
      <w:pPr>
        <w:spacing w:line="222" w:lineRule="auto"/>
        <w:rPr>
          <w:rFonts w:ascii="宋体" w:hAnsi="宋体" w:eastAsia="宋体" w:cs="宋体"/>
          <w:color w:val="auto"/>
          <w:sz w:val="28"/>
          <w:szCs w:val="28"/>
          <w:highlight w:val="none"/>
        </w:rPr>
        <w:sectPr>
          <w:footerReference r:id="rId19" w:type="default"/>
          <w:pgSz w:w="11906" w:h="16839"/>
          <w:pgMar w:top="1431" w:right="1163" w:bottom="1171" w:left="1090" w:header="0" w:footer="992" w:gutter="0"/>
          <w:pgBorders>
            <w:top w:val="none" w:sz="0" w:space="0"/>
            <w:left w:val="none" w:sz="0" w:space="0"/>
            <w:bottom w:val="none" w:sz="0" w:space="0"/>
            <w:right w:val="none" w:sz="0" w:space="0"/>
          </w:pgBorders>
          <w:pgNumType w:fmt="decimal"/>
          <w:cols w:space="720" w:num="1"/>
        </w:sectPr>
      </w:pPr>
    </w:p>
    <w:p w14:paraId="68D50364">
      <w:pPr>
        <w:spacing w:before="181" w:line="219" w:lineRule="auto"/>
        <w:ind w:left="933"/>
        <w:outlineLvl w:val="1"/>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4.具有良好的商业信誉和健全的财务会计制度的证明文件</w:t>
      </w:r>
    </w:p>
    <w:p w14:paraId="40610CE5">
      <w:pPr>
        <w:spacing w:line="273" w:lineRule="auto"/>
        <w:rPr>
          <w:rFonts w:ascii="Arial"/>
          <w:color w:val="auto"/>
          <w:sz w:val="21"/>
          <w:highlight w:val="none"/>
        </w:rPr>
      </w:pPr>
    </w:p>
    <w:p w14:paraId="053B6019">
      <w:pPr>
        <w:spacing w:line="273" w:lineRule="auto"/>
        <w:rPr>
          <w:rFonts w:ascii="Arial"/>
          <w:color w:val="auto"/>
          <w:sz w:val="21"/>
          <w:highlight w:val="none"/>
        </w:rPr>
      </w:pPr>
    </w:p>
    <w:p w14:paraId="4F0FB77A">
      <w:pPr>
        <w:spacing w:line="273" w:lineRule="auto"/>
        <w:rPr>
          <w:rFonts w:ascii="Arial"/>
          <w:color w:val="auto"/>
          <w:sz w:val="21"/>
          <w:highlight w:val="none"/>
        </w:rPr>
      </w:pPr>
    </w:p>
    <w:p w14:paraId="7E2A7386">
      <w:pPr>
        <w:spacing w:before="91" w:line="220" w:lineRule="auto"/>
        <w:ind w:left="28"/>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说明：</w:t>
      </w:r>
    </w:p>
    <w:p w14:paraId="26DAA055">
      <w:pPr>
        <w:spacing w:before="290" w:line="624" w:lineRule="exact"/>
        <w:ind w:right="13" w:firstLine="540" w:firstLineChars="200"/>
        <w:jc w:val="both"/>
        <w:rPr>
          <w:rFonts w:ascii="宋体" w:hAnsi="宋体" w:eastAsia="宋体" w:cs="宋体"/>
          <w:color w:val="auto"/>
          <w:sz w:val="28"/>
          <w:szCs w:val="28"/>
          <w:highlight w:val="none"/>
          <w:u w:val="none" w:color="auto"/>
        </w:rPr>
      </w:pPr>
      <w:r>
        <w:rPr>
          <w:rFonts w:hint="eastAsia" w:ascii="宋体" w:hAnsi="宋体" w:eastAsia="宋体" w:cs="宋体"/>
          <w:color w:val="auto"/>
          <w:spacing w:val="-5"/>
          <w:sz w:val="28"/>
          <w:szCs w:val="28"/>
          <w:highlight w:val="none"/>
          <w:u w:val="none" w:color="auto"/>
          <w:lang w:eastAsia="zh-CN"/>
        </w:rPr>
        <w:t>2024或2025年度</w:t>
      </w:r>
      <w:r>
        <w:rPr>
          <w:rFonts w:ascii="宋体" w:hAnsi="宋体" w:eastAsia="宋体" w:cs="宋体"/>
          <w:color w:val="auto"/>
          <w:spacing w:val="-5"/>
          <w:sz w:val="28"/>
          <w:szCs w:val="28"/>
          <w:highlight w:val="none"/>
          <w:u w:val="none" w:color="auto"/>
        </w:rPr>
        <w:t>的财务审计报告（新成立公司提供有效期内的银行资信证明）；</w:t>
      </w:r>
      <w:r>
        <w:rPr>
          <w:rFonts w:hint="eastAsia" w:ascii="宋体" w:hAnsi="宋体" w:eastAsia="宋体" w:cs="宋体"/>
          <w:color w:val="auto"/>
          <w:spacing w:val="-5"/>
          <w:sz w:val="28"/>
          <w:szCs w:val="28"/>
          <w:highlight w:val="none"/>
          <w:u w:val="none" w:color="auto"/>
          <w:lang w:eastAsia="zh-CN"/>
        </w:rPr>
        <w:t>原件扫描件上应加盖本单位章</w:t>
      </w:r>
      <w:r>
        <w:rPr>
          <w:rFonts w:ascii="宋体" w:hAnsi="宋体" w:eastAsia="宋体" w:cs="宋体"/>
          <w:color w:val="auto"/>
          <w:spacing w:val="-5"/>
          <w:sz w:val="28"/>
          <w:szCs w:val="28"/>
          <w:highlight w:val="none"/>
          <w:u w:val="none" w:color="auto"/>
        </w:rPr>
        <w:t>。</w:t>
      </w:r>
    </w:p>
    <w:p w14:paraId="49432458">
      <w:pPr>
        <w:spacing w:line="219" w:lineRule="auto"/>
        <w:rPr>
          <w:rFonts w:ascii="宋体" w:hAnsi="宋体" w:eastAsia="宋体" w:cs="宋体"/>
          <w:color w:val="auto"/>
          <w:sz w:val="28"/>
          <w:szCs w:val="28"/>
          <w:highlight w:val="none"/>
        </w:rPr>
        <w:sectPr>
          <w:footerReference r:id="rId20" w:type="default"/>
          <w:pgSz w:w="11906" w:h="16839"/>
          <w:pgMar w:top="1431" w:right="1785" w:bottom="1171" w:left="1785" w:header="0" w:footer="992" w:gutter="0"/>
          <w:pgBorders>
            <w:top w:val="none" w:sz="0" w:space="0"/>
            <w:left w:val="none" w:sz="0" w:space="0"/>
            <w:bottom w:val="none" w:sz="0" w:space="0"/>
            <w:right w:val="none" w:sz="0" w:space="0"/>
          </w:pgBorders>
          <w:pgNumType w:fmt="decimal"/>
          <w:cols w:space="720" w:num="1"/>
        </w:sectPr>
      </w:pPr>
    </w:p>
    <w:p w14:paraId="09F0CA35">
      <w:pPr>
        <w:spacing w:before="181" w:line="220" w:lineRule="auto"/>
        <w:ind w:left="2356"/>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5.社保缴纳记录及纳税证明；</w:t>
      </w:r>
    </w:p>
    <w:p w14:paraId="7879385F">
      <w:pPr>
        <w:spacing w:line="288" w:lineRule="auto"/>
        <w:rPr>
          <w:rFonts w:ascii="Arial"/>
          <w:color w:val="auto"/>
          <w:sz w:val="21"/>
          <w:highlight w:val="none"/>
        </w:rPr>
      </w:pPr>
    </w:p>
    <w:p w14:paraId="743AFA7E">
      <w:pPr>
        <w:spacing w:line="219" w:lineRule="auto"/>
        <w:ind w:left="23"/>
        <w:rPr>
          <w:rFonts w:ascii="宋体" w:hAnsi="宋体" w:eastAsia="宋体" w:cs="宋体"/>
          <w:color w:val="auto"/>
          <w:spacing w:val="-4"/>
          <w:position w:val="26"/>
          <w:sz w:val="28"/>
          <w:szCs w:val="28"/>
          <w:highlight w:val="none"/>
        </w:rPr>
      </w:pPr>
      <w:r>
        <w:rPr>
          <w:rFonts w:ascii="宋体" w:hAnsi="宋体" w:eastAsia="宋体" w:cs="宋体"/>
          <w:color w:val="auto"/>
          <w:spacing w:val="-4"/>
          <w:position w:val="26"/>
          <w:sz w:val="28"/>
          <w:szCs w:val="28"/>
          <w:highlight w:val="none"/>
        </w:rPr>
        <w:t>说明：</w:t>
      </w:r>
    </w:p>
    <w:p w14:paraId="68AD5CD3">
      <w:pPr>
        <w:spacing w:line="219" w:lineRule="auto"/>
        <w:ind w:left="23"/>
        <w:rPr>
          <w:rFonts w:hint="eastAsia" w:ascii="宋体" w:hAnsi="宋体" w:eastAsia="宋体" w:cs="宋体"/>
          <w:color w:val="auto"/>
          <w:spacing w:val="-4"/>
          <w:position w:val="26"/>
          <w:sz w:val="28"/>
          <w:szCs w:val="28"/>
          <w:highlight w:val="none"/>
        </w:rPr>
      </w:pPr>
      <w:r>
        <w:rPr>
          <w:rFonts w:ascii="宋体" w:hAnsi="宋体" w:eastAsia="宋体" w:cs="宋体"/>
          <w:color w:val="auto"/>
          <w:spacing w:val="-4"/>
          <w:position w:val="26"/>
          <w:sz w:val="28"/>
          <w:szCs w:val="28"/>
          <w:highlight w:val="none"/>
        </w:rPr>
        <w:t>1.</w:t>
      </w:r>
      <w:r>
        <w:rPr>
          <w:rFonts w:hint="eastAsia" w:ascii="宋体" w:hAnsi="宋体" w:eastAsia="宋体" w:cs="宋体"/>
          <w:color w:val="auto"/>
          <w:spacing w:val="-4"/>
          <w:position w:val="26"/>
          <w:sz w:val="28"/>
          <w:szCs w:val="28"/>
          <w:highlight w:val="none"/>
        </w:rPr>
        <w:t>提供依法缴纳近六个月中任意一个月社会保险的凭据；</w:t>
      </w:r>
    </w:p>
    <w:p w14:paraId="612CC00F">
      <w:pPr>
        <w:spacing w:line="219" w:lineRule="auto"/>
        <w:rPr>
          <w:rFonts w:ascii="宋体" w:hAnsi="宋体" w:eastAsia="宋体" w:cs="宋体"/>
          <w:color w:val="auto"/>
          <w:sz w:val="28"/>
          <w:szCs w:val="28"/>
          <w:highlight w:val="none"/>
        </w:rPr>
      </w:pPr>
    </w:p>
    <w:p w14:paraId="3BD0F850">
      <w:pPr>
        <w:spacing w:line="219" w:lineRule="auto"/>
        <w:ind w:left="46"/>
        <w:rPr>
          <w:rFonts w:ascii="宋体" w:hAnsi="宋体" w:eastAsia="宋体" w:cs="宋体"/>
          <w:color w:val="auto"/>
          <w:sz w:val="28"/>
          <w:szCs w:val="28"/>
          <w:highlight w:val="none"/>
        </w:rPr>
      </w:pPr>
      <w:r>
        <w:rPr>
          <w:rFonts w:ascii="宋体" w:hAnsi="宋体" w:eastAsia="宋体" w:cs="宋体"/>
          <w:color w:val="auto"/>
          <w:spacing w:val="-3"/>
          <w:position w:val="26"/>
          <w:sz w:val="28"/>
          <w:szCs w:val="28"/>
          <w:highlight w:val="none"/>
        </w:rPr>
        <w:t>2.</w:t>
      </w:r>
      <w:r>
        <w:rPr>
          <w:rFonts w:hint="eastAsia" w:ascii="宋体" w:hAnsi="宋体" w:eastAsia="宋体" w:cs="宋体"/>
          <w:color w:val="auto"/>
          <w:spacing w:val="-3"/>
          <w:position w:val="26"/>
          <w:sz w:val="28"/>
          <w:szCs w:val="28"/>
          <w:highlight w:val="none"/>
        </w:rPr>
        <w:t>提供税务部门出具的近六个月中任意一个月的完税证明</w:t>
      </w:r>
      <w:r>
        <w:rPr>
          <w:rFonts w:ascii="宋体" w:hAnsi="宋体" w:eastAsia="宋体" w:cs="宋体"/>
          <w:color w:val="auto"/>
          <w:spacing w:val="-3"/>
          <w:sz w:val="28"/>
          <w:szCs w:val="28"/>
          <w:highlight w:val="none"/>
        </w:rPr>
        <w:t>。</w:t>
      </w:r>
    </w:p>
    <w:p w14:paraId="49BD8A1F">
      <w:pPr>
        <w:spacing w:line="313" w:lineRule="auto"/>
        <w:rPr>
          <w:rFonts w:ascii="Arial"/>
          <w:color w:val="auto"/>
          <w:sz w:val="21"/>
          <w:highlight w:val="none"/>
        </w:rPr>
      </w:pPr>
    </w:p>
    <w:p w14:paraId="6D7187E4">
      <w:pPr>
        <w:spacing w:line="219" w:lineRule="auto"/>
        <w:ind w:left="23"/>
        <w:rPr>
          <w:rFonts w:hint="eastAsia" w:ascii="宋体" w:hAnsi="宋体" w:eastAsia="宋体" w:cs="宋体"/>
          <w:color w:val="auto"/>
          <w:spacing w:val="-4"/>
          <w:position w:val="26"/>
          <w:sz w:val="28"/>
          <w:szCs w:val="28"/>
          <w:highlight w:val="none"/>
        </w:rPr>
      </w:pPr>
      <w:r>
        <w:rPr>
          <w:rFonts w:hint="eastAsia" w:ascii="宋体" w:hAnsi="宋体" w:eastAsia="宋体" w:cs="宋体"/>
          <w:color w:val="auto"/>
          <w:spacing w:val="-4"/>
          <w:position w:val="26"/>
          <w:sz w:val="28"/>
          <w:szCs w:val="28"/>
          <w:highlight w:val="none"/>
        </w:rPr>
        <w:t>注：完税证明中“税种”非养老保险、医疗保险、失业保险、工伤保险和生育保险。请各投标人注意！</w:t>
      </w:r>
    </w:p>
    <w:p w14:paraId="3C4DB3ED">
      <w:pPr>
        <w:spacing w:line="222" w:lineRule="auto"/>
        <w:rPr>
          <w:rFonts w:ascii="宋体" w:hAnsi="宋体" w:eastAsia="宋体" w:cs="宋体"/>
          <w:color w:val="auto"/>
          <w:sz w:val="28"/>
          <w:szCs w:val="28"/>
          <w:highlight w:val="none"/>
        </w:rPr>
        <w:sectPr>
          <w:footerReference r:id="rId21" w:type="default"/>
          <w:pgSz w:w="11906" w:h="16839"/>
          <w:pgMar w:top="1431" w:right="1565" w:bottom="1171" w:left="1785" w:header="0" w:footer="992" w:gutter="0"/>
          <w:pgBorders>
            <w:top w:val="none" w:sz="0" w:space="0"/>
            <w:left w:val="none" w:sz="0" w:space="0"/>
            <w:bottom w:val="none" w:sz="0" w:space="0"/>
            <w:right w:val="none" w:sz="0" w:space="0"/>
          </w:pgBorders>
          <w:pgNumType w:fmt="decimal"/>
          <w:cols w:space="720" w:num="1"/>
        </w:sectPr>
      </w:pPr>
    </w:p>
    <w:p w14:paraId="62C78058">
      <w:pPr>
        <w:spacing w:before="181" w:line="221" w:lineRule="auto"/>
        <w:ind w:left="3336"/>
        <w:outlineLvl w:val="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6.网站查询；</w:t>
      </w:r>
    </w:p>
    <w:p w14:paraId="6EB8A25C">
      <w:pPr>
        <w:spacing w:line="272" w:lineRule="auto"/>
        <w:rPr>
          <w:rFonts w:ascii="Arial"/>
          <w:color w:val="auto"/>
          <w:sz w:val="21"/>
          <w:highlight w:val="none"/>
        </w:rPr>
      </w:pPr>
    </w:p>
    <w:p w14:paraId="2DBE9CCC">
      <w:pPr>
        <w:spacing w:line="273" w:lineRule="auto"/>
        <w:rPr>
          <w:rFonts w:ascii="Arial"/>
          <w:color w:val="auto"/>
          <w:sz w:val="21"/>
          <w:highlight w:val="none"/>
        </w:rPr>
      </w:pPr>
    </w:p>
    <w:p w14:paraId="423EDCE8">
      <w:pPr>
        <w:spacing w:line="273" w:lineRule="auto"/>
        <w:rPr>
          <w:rFonts w:ascii="Arial"/>
          <w:color w:val="auto"/>
          <w:sz w:val="21"/>
          <w:highlight w:val="none"/>
        </w:rPr>
      </w:pPr>
    </w:p>
    <w:p w14:paraId="422D7602">
      <w:pPr>
        <w:spacing w:line="219" w:lineRule="auto"/>
        <w:ind w:left="3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根据《财政部关于在政府采购活动中查询及使用信用记录有关问题的通知》（财库﹝2016﹞125号）的要求，凡拟参加本次招标项目的投标人，如在“信用中国”网站被列入失信被执行人、重大税收违法失信主体(信用中国首页-点击信用服务-查询、网页打印)、中国政府采购网严重违法失信行为记录名单的（尚在处罚期内的），将拒绝其参加本次招标活动（现场查询核实，查询结果以甲方单位或代理机构开标现场查询为准）</w:t>
      </w:r>
      <w:r>
        <w:rPr>
          <w:rFonts w:ascii="宋体" w:hAnsi="宋体" w:eastAsia="宋体" w:cs="宋体"/>
          <w:color w:val="auto"/>
          <w:sz w:val="28"/>
          <w:szCs w:val="28"/>
          <w:highlight w:val="none"/>
        </w:rPr>
        <w:t>；</w:t>
      </w:r>
    </w:p>
    <w:p w14:paraId="457DA0EB">
      <w:pPr>
        <w:spacing w:line="219" w:lineRule="auto"/>
        <w:rPr>
          <w:rFonts w:ascii="宋体" w:hAnsi="宋体" w:eastAsia="宋体" w:cs="宋体"/>
          <w:color w:val="auto"/>
          <w:sz w:val="28"/>
          <w:szCs w:val="28"/>
          <w:highlight w:val="none"/>
        </w:rPr>
        <w:sectPr>
          <w:footerReference r:id="rId22" w:type="default"/>
          <w:pgSz w:w="11906" w:h="16839"/>
          <w:pgMar w:top="1431" w:right="1785" w:bottom="1171" w:left="1785" w:header="0" w:footer="992" w:gutter="0"/>
          <w:pgBorders>
            <w:top w:val="none" w:sz="0" w:space="0"/>
            <w:left w:val="none" w:sz="0" w:space="0"/>
            <w:bottom w:val="none" w:sz="0" w:space="0"/>
            <w:right w:val="none" w:sz="0" w:space="0"/>
          </w:pgBorders>
          <w:pgNumType w:fmt="decimal"/>
          <w:cols w:space="720" w:num="1"/>
        </w:sectPr>
      </w:pPr>
    </w:p>
    <w:p w14:paraId="4661CB69">
      <w:pPr>
        <w:spacing w:before="181" w:line="219" w:lineRule="auto"/>
        <w:ind w:left="1512"/>
        <w:outlineLvl w:val="1"/>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7.针对本次项目的《反商业贿赂承诺书》；</w:t>
      </w:r>
    </w:p>
    <w:p w14:paraId="2CFF0397">
      <w:pPr>
        <w:spacing w:line="274" w:lineRule="auto"/>
        <w:rPr>
          <w:rFonts w:ascii="Arial"/>
          <w:color w:val="auto"/>
          <w:sz w:val="21"/>
          <w:highlight w:val="none"/>
        </w:rPr>
      </w:pPr>
    </w:p>
    <w:p w14:paraId="3248FF51">
      <w:pPr>
        <w:spacing w:line="274" w:lineRule="auto"/>
        <w:rPr>
          <w:rFonts w:ascii="Arial"/>
          <w:color w:val="auto"/>
          <w:sz w:val="21"/>
          <w:highlight w:val="none"/>
        </w:rPr>
      </w:pPr>
    </w:p>
    <w:p w14:paraId="6C0142C1">
      <w:pPr>
        <w:spacing w:line="274" w:lineRule="auto"/>
        <w:rPr>
          <w:rFonts w:ascii="Arial"/>
          <w:color w:val="auto"/>
          <w:sz w:val="21"/>
          <w:highlight w:val="none"/>
        </w:rPr>
      </w:pPr>
    </w:p>
    <w:p w14:paraId="5639D02E">
      <w:pPr>
        <w:spacing w:before="91" w:line="411" w:lineRule="auto"/>
        <w:ind w:left="26" w:firstLine="560"/>
        <w:jc w:val="both"/>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我公司承诺在项目公开采购标活动中，不给予国家工作人员以及</w:t>
      </w:r>
      <w:r>
        <w:rPr>
          <w:rFonts w:ascii="宋体" w:hAnsi="宋体" w:eastAsia="宋体" w:cs="宋体"/>
          <w:color w:val="auto"/>
          <w:sz w:val="28"/>
          <w:szCs w:val="28"/>
          <w:highlight w:val="none"/>
        </w:rPr>
        <w:t>中介机构工作人员及其亲属各种形式的商业贿赂</w:t>
      </w:r>
      <w:r>
        <w:rPr>
          <w:rFonts w:ascii="宋体" w:hAnsi="宋体" w:eastAsia="宋体" w:cs="宋体"/>
          <w:color w:val="auto"/>
          <w:spacing w:val="-1"/>
          <w:sz w:val="28"/>
          <w:szCs w:val="28"/>
          <w:highlight w:val="none"/>
        </w:rPr>
        <w:t>（包括送礼金礼品、</w:t>
      </w:r>
      <w:r>
        <w:rPr>
          <w:rFonts w:ascii="宋体" w:hAnsi="宋体" w:eastAsia="宋体" w:cs="宋体"/>
          <w:color w:val="auto"/>
          <w:spacing w:val="-9"/>
          <w:sz w:val="28"/>
          <w:szCs w:val="28"/>
          <w:highlight w:val="none"/>
        </w:rPr>
        <w:t>有价证券、购物券、回扣、佣金、咨询费、劳务</w:t>
      </w:r>
      <w:r>
        <w:rPr>
          <w:rFonts w:ascii="宋体" w:hAnsi="宋体" w:eastAsia="宋体" w:cs="宋体"/>
          <w:color w:val="auto"/>
          <w:spacing w:val="-10"/>
          <w:sz w:val="28"/>
          <w:szCs w:val="28"/>
          <w:highlight w:val="none"/>
        </w:rPr>
        <w:t>费、赞助费、宣传费、</w:t>
      </w:r>
      <w:r>
        <w:rPr>
          <w:rFonts w:ascii="宋体" w:hAnsi="宋体" w:eastAsia="宋体" w:cs="宋体"/>
          <w:color w:val="auto"/>
          <w:spacing w:val="-1"/>
          <w:sz w:val="28"/>
          <w:szCs w:val="28"/>
          <w:highlight w:val="none"/>
        </w:rPr>
        <w:t>支付旅游费、报销各种消费凭证、宴请、娱乐等</w:t>
      </w:r>
      <w:r>
        <w:rPr>
          <w:rFonts w:ascii="宋体" w:hAnsi="宋体" w:eastAsia="宋体" w:cs="宋体"/>
          <w:color w:val="auto"/>
          <w:spacing w:val="9"/>
          <w:sz w:val="28"/>
          <w:szCs w:val="28"/>
          <w:highlight w:val="none"/>
        </w:rPr>
        <w:t>），</w:t>
      </w:r>
      <w:r>
        <w:rPr>
          <w:rFonts w:ascii="宋体" w:hAnsi="宋体" w:eastAsia="宋体" w:cs="宋体"/>
          <w:color w:val="auto"/>
          <w:spacing w:val="-1"/>
          <w:sz w:val="28"/>
          <w:szCs w:val="28"/>
          <w:highlight w:val="none"/>
        </w:rPr>
        <w:t>如有上述行为，</w:t>
      </w:r>
      <w:r>
        <w:rPr>
          <w:rFonts w:ascii="宋体" w:hAnsi="宋体" w:eastAsia="宋体" w:cs="宋体"/>
          <w:color w:val="auto"/>
          <w:spacing w:val="-4"/>
          <w:sz w:val="28"/>
          <w:szCs w:val="28"/>
          <w:highlight w:val="none"/>
        </w:rPr>
        <w:t>我公司及项目参与人员愿意按照《反不正当竞争法》的有关规定接受</w:t>
      </w:r>
    </w:p>
    <w:p w14:paraId="31F65ABF">
      <w:pPr>
        <w:spacing w:line="224" w:lineRule="auto"/>
        <w:ind w:left="30"/>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处罚。</w:t>
      </w:r>
    </w:p>
    <w:p w14:paraId="2FD979F0">
      <w:pPr>
        <w:spacing w:line="270" w:lineRule="auto"/>
        <w:rPr>
          <w:rFonts w:ascii="Arial"/>
          <w:color w:val="auto"/>
          <w:sz w:val="21"/>
          <w:highlight w:val="none"/>
        </w:rPr>
      </w:pPr>
    </w:p>
    <w:p w14:paraId="0FF5D909">
      <w:pPr>
        <w:spacing w:line="271" w:lineRule="auto"/>
        <w:rPr>
          <w:rFonts w:ascii="Arial"/>
          <w:color w:val="auto"/>
          <w:sz w:val="21"/>
          <w:highlight w:val="none"/>
        </w:rPr>
      </w:pPr>
    </w:p>
    <w:p w14:paraId="61C417C4">
      <w:pPr>
        <w:spacing w:line="271" w:lineRule="auto"/>
        <w:rPr>
          <w:rFonts w:ascii="Arial"/>
          <w:color w:val="auto"/>
          <w:sz w:val="21"/>
          <w:highlight w:val="none"/>
        </w:rPr>
      </w:pPr>
    </w:p>
    <w:p w14:paraId="02396760">
      <w:pPr>
        <w:spacing w:before="91" w:line="219" w:lineRule="auto"/>
        <w:ind w:left="28"/>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投标单位名称（单位盖章）</w:t>
      </w:r>
      <w:r>
        <w:rPr>
          <w:rFonts w:ascii="宋体" w:hAnsi="宋体" w:eastAsia="宋体" w:cs="宋体"/>
          <w:color w:val="auto"/>
          <w:spacing w:val="-2"/>
          <w:sz w:val="28"/>
          <w:szCs w:val="28"/>
          <w:highlight w:val="none"/>
          <w:u w:val="none" w:color="auto"/>
        </w:rPr>
        <w:t>:</w:t>
      </w:r>
    </w:p>
    <w:p w14:paraId="4DEC8EFA">
      <w:pPr>
        <w:spacing w:before="292" w:line="411" w:lineRule="auto"/>
        <w:ind w:left="26"/>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法定代表人或其委托代理人（签字或盖章）:</w:t>
      </w:r>
    </w:p>
    <w:p w14:paraId="6FE6BD31">
      <w:pPr>
        <w:spacing w:before="1" w:line="219" w:lineRule="auto"/>
        <w:ind w:left="73"/>
        <w:rPr>
          <w:rFonts w:ascii="宋体" w:hAnsi="宋体" w:eastAsia="宋体" w:cs="宋体"/>
          <w:color w:val="auto"/>
          <w:sz w:val="28"/>
          <w:szCs w:val="28"/>
          <w:highlight w:val="none"/>
        </w:rPr>
      </w:pPr>
      <w:r>
        <w:rPr>
          <w:rFonts w:ascii="宋体" w:hAnsi="宋体" w:eastAsia="宋体" w:cs="宋体"/>
          <w:color w:val="auto"/>
          <w:spacing w:val="-15"/>
          <w:sz w:val="28"/>
          <w:szCs w:val="28"/>
          <w:highlight w:val="none"/>
        </w:rPr>
        <w:t>日期：年月日</w:t>
      </w:r>
    </w:p>
    <w:p w14:paraId="18B6B7AF">
      <w:pPr>
        <w:spacing w:line="219" w:lineRule="auto"/>
        <w:rPr>
          <w:rFonts w:ascii="宋体" w:hAnsi="宋体" w:eastAsia="宋体" w:cs="宋体"/>
          <w:color w:val="auto"/>
          <w:sz w:val="28"/>
          <w:szCs w:val="28"/>
          <w:highlight w:val="none"/>
        </w:rPr>
        <w:sectPr>
          <w:footerReference r:id="rId23" w:type="default"/>
          <w:pgSz w:w="11906" w:h="16839"/>
          <w:pgMar w:top="1431" w:right="1701" w:bottom="1171" w:left="1785" w:header="0" w:footer="992" w:gutter="0"/>
          <w:pgBorders>
            <w:top w:val="none" w:sz="0" w:space="0"/>
            <w:left w:val="none" w:sz="0" w:space="0"/>
            <w:bottom w:val="none" w:sz="0" w:space="0"/>
            <w:right w:val="none" w:sz="0" w:space="0"/>
          </w:pgBorders>
          <w:pgNumType w:fmt="decimal"/>
          <w:cols w:space="720" w:num="1"/>
        </w:sectPr>
      </w:pPr>
    </w:p>
    <w:p w14:paraId="081B4B0D">
      <w:pPr>
        <w:spacing w:before="181" w:line="219" w:lineRule="auto"/>
        <w:ind w:left="654"/>
        <w:outlineLvl w:val="1"/>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8.在参加政府采购活动前3年内在经营活动中没有重大违法记</w:t>
      </w:r>
    </w:p>
    <w:p w14:paraId="612CF815">
      <w:pPr>
        <w:spacing w:before="291" w:line="219" w:lineRule="auto"/>
        <w:ind w:left="2891"/>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录的书面声明</w:t>
      </w:r>
      <w:r>
        <w:rPr>
          <w:rFonts w:ascii="宋体" w:hAnsi="宋体" w:eastAsia="宋体" w:cs="宋体"/>
          <w:color w:val="auto"/>
          <w:spacing w:val="-17"/>
          <w:sz w:val="28"/>
          <w:szCs w:val="28"/>
          <w:highlight w:val="none"/>
          <w14:textOutline w14:w="5103" w14:cap="sq" w14:cmpd="sng">
            <w14:solidFill>
              <w14:srgbClr w14:val="000000"/>
            </w14:solidFill>
            <w14:prstDash w14:val="solid"/>
            <w14:bevel/>
          </w14:textOutline>
        </w:rPr>
        <w:t>；（</w:t>
      </w: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格式自拟）</w:t>
      </w:r>
    </w:p>
    <w:p w14:paraId="216ADA9B">
      <w:pPr>
        <w:spacing w:line="287" w:lineRule="auto"/>
        <w:rPr>
          <w:rFonts w:ascii="Arial"/>
          <w:color w:val="auto"/>
          <w:sz w:val="21"/>
          <w:highlight w:val="none"/>
        </w:rPr>
      </w:pPr>
    </w:p>
    <w:p w14:paraId="3776C1BD">
      <w:pPr>
        <w:spacing w:line="288" w:lineRule="auto"/>
        <w:rPr>
          <w:rFonts w:ascii="Arial"/>
          <w:color w:val="auto"/>
          <w:sz w:val="21"/>
          <w:highlight w:val="none"/>
        </w:rPr>
      </w:pPr>
    </w:p>
    <w:p w14:paraId="42F49498">
      <w:pPr>
        <w:spacing w:line="288" w:lineRule="auto"/>
        <w:rPr>
          <w:rFonts w:ascii="Arial"/>
          <w:color w:val="auto"/>
          <w:sz w:val="21"/>
          <w:highlight w:val="none"/>
        </w:rPr>
      </w:pPr>
    </w:p>
    <w:p w14:paraId="33A95896">
      <w:pPr>
        <w:spacing w:line="288" w:lineRule="auto"/>
        <w:rPr>
          <w:rFonts w:ascii="Arial"/>
          <w:color w:val="auto"/>
          <w:sz w:val="21"/>
          <w:highlight w:val="none"/>
        </w:rPr>
      </w:pPr>
    </w:p>
    <w:p w14:paraId="4CA8BF3C">
      <w:pPr>
        <w:spacing w:before="91" w:line="624" w:lineRule="exact"/>
        <w:ind w:left="28"/>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rPr>
        <w:t>说明：1.投标人应按照相关法规规定如实作出说明。</w:t>
      </w:r>
    </w:p>
    <w:p w14:paraId="306D251C">
      <w:pPr>
        <w:spacing w:line="219" w:lineRule="auto"/>
        <w:ind w:left="114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2.按照招标文件的规定加盖单位章。</w:t>
      </w:r>
    </w:p>
    <w:p w14:paraId="7D886010">
      <w:pPr>
        <w:spacing w:line="219" w:lineRule="auto"/>
        <w:rPr>
          <w:rFonts w:ascii="宋体" w:hAnsi="宋体" w:eastAsia="宋体" w:cs="宋体"/>
          <w:color w:val="auto"/>
          <w:sz w:val="28"/>
          <w:szCs w:val="28"/>
          <w:highlight w:val="none"/>
        </w:rPr>
        <w:sectPr>
          <w:footerReference r:id="rId24" w:type="default"/>
          <w:pgSz w:w="11906" w:h="16839"/>
          <w:pgMar w:top="1431" w:right="1785" w:bottom="1171" w:left="1785" w:header="0" w:footer="992" w:gutter="0"/>
          <w:pgBorders>
            <w:top w:val="none" w:sz="0" w:space="0"/>
            <w:left w:val="none" w:sz="0" w:space="0"/>
            <w:bottom w:val="none" w:sz="0" w:space="0"/>
            <w:right w:val="none" w:sz="0" w:space="0"/>
          </w:pgBorders>
          <w:pgNumType w:fmt="decimal"/>
          <w:cols w:space="720" w:num="1"/>
        </w:sectPr>
      </w:pPr>
    </w:p>
    <w:p w14:paraId="3314090C">
      <w:pPr>
        <w:spacing w:before="181" w:line="220" w:lineRule="auto"/>
        <w:ind w:left="2642"/>
        <w:outlineLvl w:val="1"/>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9.</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投标保证金缴纳凭证</w:t>
      </w:r>
    </w:p>
    <w:p w14:paraId="47AB8957">
      <w:pPr>
        <w:spacing w:before="91" w:line="411" w:lineRule="auto"/>
        <w:jc w:val="both"/>
        <w:rPr>
          <w:rFonts w:hint="eastAsia" w:ascii="宋体" w:hAnsi="宋体" w:eastAsia="宋体" w:cs="宋体"/>
          <w:color w:val="auto"/>
          <w:spacing w:val="-5"/>
          <w:sz w:val="28"/>
          <w:szCs w:val="28"/>
          <w:highlight w:val="none"/>
          <w:lang w:val="en-US" w:eastAsia="zh-CN"/>
        </w:rPr>
      </w:pPr>
      <w:r>
        <w:rPr>
          <w:rFonts w:hint="eastAsia" w:ascii="宋体" w:hAnsi="宋体" w:eastAsia="宋体" w:cs="宋体"/>
          <w:color w:val="auto"/>
          <w:spacing w:val="-5"/>
          <w:sz w:val="28"/>
          <w:szCs w:val="28"/>
          <w:highlight w:val="none"/>
          <w:lang w:val="en-US" w:eastAsia="zh-CN"/>
        </w:rPr>
        <w:t>说明：</w:t>
      </w:r>
    </w:p>
    <w:p w14:paraId="7388D706">
      <w:pPr>
        <w:spacing w:before="91" w:line="411" w:lineRule="auto"/>
        <w:ind w:left="26" w:firstLine="560"/>
        <w:jc w:val="both"/>
        <w:rPr>
          <w:rFonts w:hint="eastAsia" w:ascii="宋体" w:hAnsi="宋体" w:eastAsia="宋体" w:cs="宋体"/>
          <w:color w:val="auto"/>
          <w:spacing w:val="-5"/>
          <w:sz w:val="28"/>
          <w:szCs w:val="28"/>
          <w:highlight w:val="none"/>
          <w:lang w:val="en-US" w:eastAsia="zh-CN"/>
        </w:rPr>
      </w:pPr>
      <w:r>
        <w:rPr>
          <w:rFonts w:hint="eastAsia" w:ascii="宋体" w:hAnsi="宋体" w:eastAsia="宋体" w:cs="宋体"/>
          <w:color w:val="auto"/>
          <w:spacing w:val="-5"/>
          <w:sz w:val="28"/>
          <w:szCs w:val="28"/>
          <w:highlight w:val="none"/>
          <w:lang w:val="en-US" w:eastAsia="zh-CN"/>
        </w:rPr>
        <w:t>1.投标人可将本项目投标保证金支付的汇款凭证、支票、汇票或保证金收据（如有）的原件彩色扫描件作为缴纳凭证装订在本部分；</w:t>
      </w:r>
    </w:p>
    <w:p w14:paraId="40605252">
      <w:pPr>
        <w:spacing w:before="91" w:line="411" w:lineRule="auto"/>
        <w:ind w:left="26" w:firstLine="560"/>
        <w:jc w:val="both"/>
        <w:rPr>
          <w:rFonts w:hint="eastAsia" w:ascii="宋体" w:hAnsi="宋体" w:eastAsia="宋体" w:cs="宋体"/>
          <w:color w:val="auto"/>
          <w:spacing w:val="-5"/>
          <w:sz w:val="28"/>
          <w:szCs w:val="28"/>
          <w:highlight w:val="none"/>
          <w:lang w:val="en-US" w:eastAsia="zh-CN"/>
        </w:rPr>
      </w:pPr>
      <w:r>
        <w:rPr>
          <w:rFonts w:hint="eastAsia" w:ascii="宋体" w:hAnsi="宋体" w:eastAsia="宋体" w:cs="宋体"/>
          <w:color w:val="auto"/>
          <w:spacing w:val="-5"/>
          <w:sz w:val="28"/>
          <w:szCs w:val="28"/>
          <w:highlight w:val="none"/>
          <w:lang w:val="en-US" w:eastAsia="zh-CN"/>
        </w:rPr>
        <w:t>2.使用保函等其他投标担保函的，应将保函正本原件彩色扫描件，装订在本部分；</w:t>
      </w:r>
    </w:p>
    <w:p w14:paraId="3F0FE460">
      <w:pPr>
        <w:spacing w:before="91" w:line="411" w:lineRule="auto"/>
        <w:ind w:left="26" w:firstLine="560"/>
        <w:jc w:val="both"/>
        <w:rPr>
          <w:rFonts w:hint="eastAsia" w:ascii="宋体" w:hAnsi="宋体" w:eastAsia="宋体" w:cs="宋体"/>
          <w:color w:val="auto"/>
          <w:spacing w:val="-5"/>
          <w:sz w:val="28"/>
          <w:szCs w:val="28"/>
          <w:highlight w:val="none"/>
          <w:lang w:val="en-US" w:eastAsia="zh-CN"/>
        </w:rPr>
      </w:pPr>
    </w:p>
    <w:p w14:paraId="452A4355">
      <w:pPr>
        <w:spacing w:before="91" w:line="411" w:lineRule="auto"/>
        <w:ind w:left="26" w:firstLine="560"/>
        <w:jc w:val="both"/>
        <w:rPr>
          <w:rFonts w:hint="eastAsia" w:ascii="宋体" w:hAnsi="宋体" w:eastAsia="宋体" w:cs="宋体"/>
          <w:color w:val="auto"/>
          <w:spacing w:val="-5"/>
          <w:sz w:val="28"/>
          <w:szCs w:val="28"/>
          <w:highlight w:val="none"/>
          <w:lang w:val="en-US" w:eastAsia="zh-CN"/>
        </w:rPr>
        <w:sectPr>
          <w:footerReference r:id="rId25" w:type="default"/>
          <w:pgSz w:w="11906" w:h="16839"/>
          <w:pgMar w:top="1431" w:right="1785" w:bottom="1171" w:left="1785" w:header="0" w:footer="992" w:gutter="0"/>
          <w:pgBorders>
            <w:top w:val="none" w:sz="0" w:space="0"/>
            <w:left w:val="none" w:sz="0" w:space="0"/>
            <w:bottom w:val="none" w:sz="0" w:space="0"/>
            <w:right w:val="none" w:sz="0" w:space="0"/>
          </w:pgBorders>
          <w:pgNumType w:fmt="decimal"/>
          <w:cols w:space="720" w:num="1"/>
        </w:sectPr>
      </w:pPr>
    </w:p>
    <w:p w14:paraId="1BAC2D7C">
      <w:pPr>
        <w:spacing w:before="181" w:line="220" w:lineRule="auto"/>
        <w:ind w:left="1046"/>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1</w:t>
      </w: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0</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、投标人须知资料表要求的其他资格证明文件；</w:t>
      </w:r>
    </w:p>
    <w:p w14:paraId="4C3A9147">
      <w:pPr>
        <w:spacing w:line="220" w:lineRule="auto"/>
        <w:rPr>
          <w:rFonts w:ascii="宋体" w:hAnsi="宋体" w:eastAsia="宋体" w:cs="宋体"/>
          <w:color w:val="auto"/>
          <w:sz w:val="28"/>
          <w:szCs w:val="28"/>
          <w:highlight w:val="none"/>
        </w:rPr>
        <w:sectPr>
          <w:footerReference r:id="rId26" w:type="default"/>
          <w:pgSz w:w="11906" w:h="16839"/>
          <w:pgMar w:top="1431" w:right="1785" w:bottom="1404" w:left="1785" w:header="0" w:footer="1225" w:gutter="0"/>
          <w:pgBorders>
            <w:top w:val="none" w:sz="0" w:space="0"/>
            <w:left w:val="none" w:sz="0" w:space="0"/>
            <w:bottom w:val="none" w:sz="0" w:space="0"/>
            <w:right w:val="none" w:sz="0" w:space="0"/>
          </w:pgBorders>
          <w:pgNumType w:fmt="decimal"/>
          <w:cols w:space="720" w:num="1"/>
        </w:sectPr>
      </w:pPr>
    </w:p>
    <w:p w14:paraId="4C0B4006">
      <w:pPr>
        <w:spacing w:before="291" w:line="219" w:lineRule="auto"/>
        <w:jc w:val="center"/>
        <w:outlineLvl w:val="1"/>
        <w:rPr>
          <w:rFonts w:ascii="宋体" w:hAnsi="宋体" w:eastAsia="宋体" w:cs="宋体"/>
          <w:color w:val="auto"/>
          <w:sz w:val="28"/>
          <w:szCs w:val="28"/>
          <w:highlight w:val="none"/>
        </w:rPr>
      </w:pPr>
      <w:r>
        <w:rPr>
          <w:rFonts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1</w:t>
      </w:r>
      <w:r>
        <w:rPr>
          <w:rFonts w:hint="eastAsia" w:ascii="宋体" w:hAnsi="宋体" w:eastAsia="宋体" w:cs="宋体"/>
          <w:color w:val="auto"/>
          <w:spacing w:val="-1"/>
          <w:position w:val="26"/>
          <w:sz w:val="28"/>
          <w:szCs w:val="28"/>
          <w:highlight w:val="none"/>
          <w:lang w:val="en-US" w:eastAsia="zh-CN"/>
          <w14:textOutline w14:w="5103" w14:cap="sq" w14:cmpd="sng">
            <w14:solidFill>
              <w14:srgbClr w14:val="000000"/>
            </w14:solidFill>
            <w14:prstDash w14:val="solid"/>
            <w14:bevel/>
          </w14:textOutline>
        </w:rPr>
        <w:t>1</w:t>
      </w:r>
      <w:r>
        <w:rPr>
          <w:rFonts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w:t>
      </w:r>
      <w:r>
        <w:rPr>
          <w:rFonts w:hint="eastAsia" w:ascii="宋体" w:hAnsi="宋体" w:eastAsia="宋体" w:cs="宋体"/>
          <w:color w:val="auto"/>
          <w:spacing w:val="-1"/>
          <w:position w:val="26"/>
          <w:sz w:val="28"/>
          <w:szCs w:val="28"/>
          <w:highlight w:val="none"/>
          <w14:textOutline w14:w="5103" w14:cap="sq" w14:cmpd="sng">
            <w14:solidFill>
              <w14:srgbClr w14:val="000000"/>
            </w14:solidFill>
            <w14:prstDash w14:val="solid"/>
            <w14:bevel/>
          </w14:textOutline>
        </w:rPr>
        <w:t>投标人可提供有利于投标的其他证明材料</w:t>
      </w:r>
    </w:p>
    <w:p w14:paraId="67276C3C">
      <w:pPr>
        <w:spacing w:line="293" w:lineRule="auto"/>
        <w:rPr>
          <w:rFonts w:ascii="Arial"/>
          <w:color w:val="auto"/>
          <w:sz w:val="21"/>
          <w:highlight w:val="none"/>
        </w:rPr>
      </w:pPr>
    </w:p>
    <w:p w14:paraId="425109EF">
      <w:pPr>
        <w:spacing w:line="293" w:lineRule="auto"/>
        <w:rPr>
          <w:rFonts w:ascii="Arial"/>
          <w:color w:val="auto"/>
          <w:sz w:val="21"/>
          <w:highlight w:val="none"/>
        </w:rPr>
      </w:pPr>
    </w:p>
    <w:p w14:paraId="522ED218">
      <w:pPr>
        <w:spacing w:line="293" w:lineRule="auto"/>
        <w:rPr>
          <w:rFonts w:ascii="Arial"/>
          <w:color w:val="auto"/>
          <w:sz w:val="21"/>
          <w:highlight w:val="none"/>
        </w:rPr>
      </w:pPr>
    </w:p>
    <w:p w14:paraId="2ED84E06">
      <w:pPr>
        <w:spacing w:before="91" w:line="220" w:lineRule="auto"/>
        <w:ind w:left="26"/>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说明：</w:t>
      </w:r>
    </w:p>
    <w:p w14:paraId="74005B2A">
      <w:pPr>
        <w:spacing w:before="290" w:line="219" w:lineRule="auto"/>
        <w:ind w:left="60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1、提供有利于投标的其他证明材料，应加盖投</w:t>
      </w:r>
      <w:r>
        <w:rPr>
          <w:rFonts w:ascii="宋体" w:hAnsi="宋体" w:eastAsia="宋体" w:cs="宋体"/>
          <w:color w:val="auto"/>
          <w:spacing w:val="-2"/>
          <w:sz w:val="28"/>
          <w:szCs w:val="28"/>
          <w:highlight w:val="none"/>
        </w:rPr>
        <w:t>标单位公章。</w:t>
      </w:r>
    </w:p>
    <w:p w14:paraId="4245C39C">
      <w:pPr>
        <w:spacing w:line="219" w:lineRule="auto"/>
        <w:rPr>
          <w:rFonts w:ascii="宋体" w:hAnsi="宋体" w:eastAsia="宋体" w:cs="宋体"/>
          <w:color w:val="auto"/>
          <w:sz w:val="28"/>
          <w:szCs w:val="28"/>
          <w:highlight w:val="none"/>
        </w:rPr>
        <w:sectPr>
          <w:footerReference r:id="rId27" w:type="default"/>
          <w:pgSz w:w="11906" w:h="16839"/>
          <w:pgMar w:top="1431" w:right="1785" w:bottom="1404" w:left="1785" w:header="0" w:footer="1225" w:gutter="0"/>
          <w:pgBorders>
            <w:top w:val="none" w:sz="0" w:space="0"/>
            <w:left w:val="none" w:sz="0" w:space="0"/>
            <w:bottom w:val="none" w:sz="0" w:space="0"/>
            <w:right w:val="none" w:sz="0" w:space="0"/>
          </w:pgBorders>
          <w:pgNumType w:fmt="decimal"/>
          <w:cols w:space="720" w:num="1"/>
        </w:sectPr>
      </w:pPr>
    </w:p>
    <w:p w14:paraId="69EB650F">
      <w:pPr>
        <w:spacing w:before="181" w:line="220" w:lineRule="auto"/>
        <w:ind w:left="2631"/>
        <w:outlineLvl w:val="1"/>
        <w:rPr>
          <w:rFonts w:ascii="宋体" w:hAnsi="宋体" w:eastAsia="宋体" w:cs="宋体"/>
          <w:color w:val="auto"/>
          <w:sz w:val="28"/>
          <w:szCs w:val="28"/>
          <w:highlight w:val="none"/>
        </w:rPr>
      </w:pPr>
      <w:r>
        <w:rPr>
          <w:rFonts w:ascii="宋体" w:hAnsi="宋体" w:eastAsia="宋体" w:cs="宋体"/>
          <w:color w:val="auto"/>
          <w:sz w:val="28"/>
          <w:szCs w:val="28"/>
          <w:highlight w:val="none"/>
          <w14:textOutline w14:w="5103" w14:cap="sq" w14:cmpd="sng">
            <w14:solidFill>
              <w14:srgbClr w14:val="000000"/>
            </w14:solidFill>
            <w14:prstDash w14:val="solid"/>
            <w14:bevel/>
          </w14:textOutline>
        </w:rPr>
        <w:t>第二部分商务及技术文件</w:t>
      </w:r>
    </w:p>
    <w:p w14:paraId="07062404">
      <w:pPr>
        <w:spacing w:line="272" w:lineRule="auto"/>
        <w:rPr>
          <w:rFonts w:ascii="Arial"/>
          <w:color w:val="auto"/>
          <w:sz w:val="21"/>
          <w:highlight w:val="none"/>
        </w:rPr>
      </w:pPr>
    </w:p>
    <w:p w14:paraId="3E265414">
      <w:pPr>
        <w:spacing w:line="273" w:lineRule="auto"/>
        <w:rPr>
          <w:rFonts w:ascii="Arial"/>
          <w:color w:val="auto"/>
          <w:sz w:val="21"/>
          <w:highlight w:val="none"/>
        </w:rPr>
      </w:pPr>
    </w:p>
    <w:p w14:paraId="09AED867">
      <w:pPr>
        <w:spacing w:line="273" w:lineRule="auto"/>
        <w:rPr>
          <w:rFonts w:ascii="Arial"/>
          <w:color w:val="auto"/>
          <w:sz w:val="21"/>
          <w:highlight w:val="none"/>
        </w:rPr>
      </w:pPr>
    </w:p>
    <w:p w14:paraId="7A2CB21E">
      <w:pPr>
        <w:spacing w:before="91" w:line="240" w:lineRule="auto"/>
        <w:ind w:left="602"/>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1、投标书</w:t>
      </w:r>
    </w:p>
    <w:p w14:paraId="5C8F55C4">
      <w:pPr>
        <w:spacing w:before="291" w:line="240" w:lineRule="auto"/>
        <w:ind w:left="585"/>
        <w:rPr>
          <w:rFonts w:ascii="宋体" w:hAnsi="宋体" w:eastAsia="宋体" w:cs="宋体"/>
          <w:color w:val="auto"/>
          <w:sz w:val="28"/>
          <w:szCs w:val="28"/>
          <w:highlight w:val="none"/>
        </w:rPr>
      </w:pPr>
      <w:r>
        <w:rPr>
          <w:rFonts w:ascii="宋体" w:hAnsi="宋体" w:eastAsia="宋体" w:cs="宋体"/>
          <w:color w:val="auto"/>
          <w:spacing w:val="-2"/>
          <w:position w:val="26"/>
          <w:sz w:val="28"/>
          <w:szCs w:val="28"/>
          <w:highlight w:val="none"/>
        </w:rPr>
        <w:t>2、投标分项报价表</w:t>
      </w:r>
    </w:p>
    <w:p w14:paraId="239CF9DC">
      <w:pPr>
        <w:spacing w:before="290" w:line="240" w:lineRule="auto"/>
        <w:ind w:left="564"/>
        <w:rPr>
          <w:rFonts w:ascii="宋体" w:hAnsi="宋体" w:eastAsia="宋体" w:cs="宋体"/>
          <w:color w:val="auto"/>
          <w:spacing w:val="-1"/>
          <w:sz w:val="28"/>
          <w:szCs w:val="28"/>
          <w:highlight w:val="none"/>
        </w:rPr>
      </w:pPr>
      <w:r>
        <w:rPr>
          <w:rFonts w:ascii="宋体" w:hAnsi="宋体" w:eastAsia="宋体" w:cs="宋体"/>
          <w:color w:val="auto"/>
          <w:spacing w:val="-1"/>
          <w:sz w:val="28"/>
          <w:szCs w:val="28"/>
          <w:highlight w:val="none"/>
        </w:rPr>
        <w:t>3、货物说明一览表</w:t>
      </w:r>
    </w:p>
    <w:p w14:paraId="6B5FB292">
      <w:pPr>
        <w:spacing w:before="290" w:line="240" w:lineRule="auto"/>
        <w:ind w:left="564"/>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lang w:val="en-US" w:eastAsia="zh-CN"/>
        </w:rPr>
        <w:t>4.</w:t>
      </w:r>
      <w:r>
        <w:rPr>
          <w:rFonts w:hint="eastAsia" w:ascii="宋体" w:hAnsi="宋体" w:eastAsia="宋体" w:cs="宋体"/>
          <w:color w:val="auto"/>
          <w:spacing w:val="-1"/>
          <w:sz w:val="28"/>
          <w:szCs w:val="28"/>
          <w:highlight w:val="none"/>
        </w:rPr>
        <w:t>备品备件分项报价表</w:t>
      </w:r>
    </w:p>
    <w:p w14:paraId="16AA6E9B">
      <w:pPr>
        <w:spacing w:before="290" w:line="240" w:lineRule="auto"/>
        <w:ind w:left="564"/>
        <w:rPr>
          <w:rFonts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lang w:val="en-US" w:eastAsia="zh-CN"/>
        </w:rPr>
        <w:t>5</w:t>
      </w:r>
      <w:r>
        <w:rPr>
          <w:rFonts w:ascii="宋体" w:hAnsi="宋体" w:eastAsia="宋体" w:cs="宋体"/>
          <w:color w:val="auto"/>
          <w:spacing w:val="-1"/>
          <w:sz w:val="28"/>
          <w:szCs w:val="28"/>
          <w:highlight w:val="none"/>
        </w:rPr>
        <w:t>、技术条款偏离表</w:t>
      </w:r>
    </w:p>
    <w:p w14:paraId="030B567A">
      <w:pPr>
        <w:spacing w:before="290" w:line="240" w:lineRule="auto"/>
        <w:ind w:left="587"/>
        <w:rPr>
          <w:rFonts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lang w:val="en-US" w:eastAsia="zh-CN"/>
        </w:rPr>
        <w:t>6</w:t>
      </w:r>
      <w:r>
        <w:rPr>
          <w:rFonts w:ascii="宋体" w:hAnsi="宋体" w:eastAsia="宋体" w:cs="宋体"/>
          <w:color w:val="auto"/>
          <w:spacing w:val="-2"/>
          <w:sz w:val="28"/>
          <w:szCs w:val="28"/>
          <w:highlight w:val="none"/>
        </w:rPr>
        <w:t>、商务条款偏离表</w:t>
      </w:r>
    </w:p>
    <w:p w14:paraId="7B21AEE8">
      <w:pPr>
        <w:tabs>
          <w:tab w:val="left" w:pos="8400"/>
        </w:tabs>
        <w:spacing w:before="292" w:line="240" w:lineRule="auto"/>
        <w:ind w:left="1100" w:right="131" w:hanging="536"/>
        <w:rPr>
          <w:rFonts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lang w:val="en-US" w:eastAsia="zh-CN"/>
        </w:rPr>
        <w:t>7</w:t>
      </w:r>
      <w:r>
        <w:rPr>
          <w:rFonts w:ascii="宋体" w:hAnsi="宋体" w:eastAsia="宋体" w:cs="宋体"/>
          <w:color w:val="auto"/>
          <w:spacing w:val="-2"/>
          <w:sz w:val="28"/>
          <w:szCs w:val="28"/>
          <w:highlight w:val="none"/>
        </w:rPr>
        <w:t>、符合《政府采购促进中小企业发展</w:t>
      </w:r>
      <w:r>
        <w:rPr>
          <w:rFonts w:hint="eastAsia" w:ascii="宋体" w:hAnsi="宋体" w:eastAsia="宋体" w:cs="宋体"/>
          <w:color w:val="auto"/>
          <w:spacing w:val="-2"/>
          <w:sz w:val="28"/>
          <w:szCs w:val="28"/>
          <w:highlight w:val="none"/>
          <w:lang w:val="en-US" w:eastAsia="zh-CN"/>
        </w:rPr>
        <w:t>管理办法</w:t>
      </w:r>
      <w:r>
        <w:rPr>
          <w:rFonts w:ascii="宋体" w:hAnsi="宋体" w:eastAsia="宋体" w:cs="宋体"/>
          <w:color w:val="auto"/>
          <w:spacing w:val="-3"/>
          <w:sz w:val="28"/>
          <w:szCs w:val="28"/>
          <w:highlight w:val="none"/>
        </w:rPr>
        <w:t>》、《关于政府</w:t>
      </w:r>
      <w:r>
        <w:rPr>
          <w:rFonts w:ascii="宋体" w:hAnsi="宋体" w:eastAsia="宋体" w:cs="宋体"/>
          <w:color w:val="auto"/>
          <w:spacing w:val="4"/>
          <w:sz w:val="28"/>
          <w:szCs w:val="28"/>
          <w:highlight w:val="none"/>
        </w:rPr>
        <w:t>采购支持监狱企业发展有关问题的通知》和《三部门联合</w:t>
      </w:r>
    </w:p>
    <w:p w14:paraId="41EE4FEE">
      <w:pPr>
        <w:tabs>
          <w:tab w:val="left" w:pos="8400"/>
        </w:tabs>
        <w:spacing w:line="240" w:lineRule="auto"/>
        <w:ind w:left="1107"/>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发布关于促进残疾人就业政府采购政策的通</w:t>
      </w:r>
      <w:r>
        <w:rPr>
          <w:rFonts w:ascii="宋体" w:hAnsi="宋体" w:eastAsia="宋体" w:cs="宋体"/>
          <w:color w:val="auto"/>
          <w:spacing w:val="3"/>
          <w:sz w:val="28"/>
          <w:szCs w:val="28"/>
          <w:highlight w:val="none"/>
        </w:rPr>
        <w:t>知》价格扣减</w:t>
      </w:r>
      <w:r>
        <w:rPr>
          <w:rFonts w:ascii="宋体" w:hAnsi="宋体" w:eastAsia="宋体" w:cs="宋体"/>
          <w:color w:val="auto"/>
          <w:spacing w:val="-2"/>
          <w:sz w:val="28"/>
          <w:szCs w:val="28"/>
          <w:highlight w:val="none"/>
        </w:rPr>
        <w:t>条件的投标人须提交</w:t>
      </w:r>
    </w:p>
    <w:p w14:paraId="037FC744">
      <w:pPr>
        <w:spacing w:before="290" w:line="240" w:lineRule="auto"/>
        <w:ind w:left="564"/>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rPr>
        <w:t>7</w:t>
      </w:r>
      <w:r>
        <w:rPr>
          <w:rFonts w:ascii="宋体" w:hAnsi="宋体" w:eastAsia="宋体" w:cs="宋体"/>
          <w:color w:val="auto"/>
          <w:spacing w:val="-1"/>
          <w:sz w:val="28"/>
          <w:szCs w:val="28"/>
          <w:highlight w:val="none"/>
        </w:rPr>
        <w:t>-1《中小企业声明函》</w:t>
      </w:r>
    </w:p>
    <w:p w14:paraId="319DA6E9">
      <w:pPr>
        <w:spacing w:before="291" w:line="240" w:lineRule="auto"/>
        <w:ind w:left="564"/>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rPr>
        <w:t>7</w:t>
      </w:r>
      <w:r>
        <w:rPr>
          <w:rFonts w:ascii="宋体" w:hAnsi="宋体" w:eastAsia="宋体" w:cs="宋体"/>
          <w:color w:val="auto"/>
          <w:spacing w:val="-1"/>
          <w:sz w:val="28"/>
          <w:szCs w:val="28"/>
          <w:highlight w:val="none"/>
        </w:rPr>
        <w:t>-2《残疾人福利性单位声明函》</w:t>
      </w:r>
    </w:p>
    <w:p w14:paraId="5F23014C">
      <w:pPr>
        <w:spacing w:before="290" w:line="240" w:lineRule="auto"/>
        <w:ind w:left="564"/>
        <w:rPr>
          <w:rFonts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lang w:val="en-US" w:eastAsia="zh-CN"/>
        </w:rPr>
        <w:t>7</w:t>
      </w:r>
      <w:r>
        <w:rPr>
          <w:rFonts w:ascii="宋体" w:hAnsi="宋体" w:eastAsia="宋体" w:cs="宋体"/>
          <w:color w:val="auto"/>
          <w:spacing w:val="-1"/>
          <w:sz w:val="28"/>
          <w:szCs w:val="28"/>
          <w:highlight w:val="none"/>
        </w:rPr>
        <w:t>-3《监狱企业声明函》</w:t>
      </w:r>
    </w:p>
    <w:p w14:paraId="69928B00">
      <w:pPr>
        <w:spacing w:before="290" w:line="240" w:lineRule="auto"/>
        <w:ind w:left="564"/>
        <w:rPr>
          <w:rFonts w:hint="default" w:ascii="宋体" w:hAnsi="宋体" w:eastAsia="宋体" w:cs="宋体"/>
          <w:color w:val="auto"/>
          <w:spacing w:val="-1"/>
          <w:sz w:val="28"/>
          <w:szCs w:val="28"/>
          <w:highlight w:val="none"/>
          <w:lang w:val="en-US" w:eastAsia="zh-CN"/>
        </w:rPr>
      </w:pPr>
      <w:r>
        <w:rPr>
          <w:rFonts w:hint="eastAsia" w:ascii="宋体" w:hAnsi="宋体" w:eastAsia="宋体" w:cs="宋体"/>
          <w:color w:val="auto"/>
          <w:spacing w:val="-1"/>
          <w:sz w:val="28"/>
          <w:szCs w:val="28"/>
          <w:highlight w:val="none"/>
          <w:lang w:val="en-US" w:eastAsia="zh-CN"/>
        </w:rPr>
        <w:t>7-4</w:t>
      </w:r>
      <w:bookmarkStart w:id="11" w:name="_Toc4963"/>
      <w:bookmarkStart w:id="12" w:name="_Toc12534"/>
      <w:bookmarkStart w:id="13" w:name="_Toc24012"/>
      <w:r>
        <w:rPr>
          <w:rFonts w:hint="eastAsia" w:ascii="宋体" w:hAnsi="宋体" w:eastAsia="宋体" w:cs="宋体"/>
          <w:color w:val="auto"/>
          <w:spacing w:val="-1"/>
          <w:sz w:val="28"/>
          <w:szCs w:val="28"/>
          <w:highlight w:val="none"/>
          <w:lang w:val="en-US" w:eastAsia="zh-CN"/>
        </w:rPr>
        <w:t xml:space="preserve"> </w:t>
      </w:r>
      <w:bookmarkEnd w:id="11"/>
      <w:bookmarkEnd w:id="12"/>
      <w:bookmarkEnd w:id="13"/>
      <w:r>
        <w:rPr>
          <w:rFonts w:hint="eastAsia" w:ascii="宋体" w:hAnsi="宋体" w:eastAsia="宋体" w:cs="宋体"/>
          <w:color w:val="auto"/>
          <w:spacing w:val="-1"/>
          <w:sz w:val="28"/>
          <w:szCs w:val="28"/>
          <w:highlight w:val="none"/>
          <w:lang w:val="en-US" w:eastAsia="zh-CN"/>
        </w:rPr>
        <w:t>关于符合本国产品标准的声明函</w:t>
      </w:r>
      <w:bookmarkStart w:id="163" w:name="_GoBack"/>
      <w:bookmarkEnd w:id="163"/>
    </w:p>
    <w:p w14:paraId="04556CFA">
      <w:pPr>
        <w:numPr>
          <w:ilvl w:val="0"/>
          <w:numId w:val="2"/>
        </w:numPr>
        <w:spacing w:before="290" w:line="240" w:lineRule="auto"/>
        <w:ind w:left="569"/>
        <w:rPr>
          <w:rFonts w:ascii="宋体" w:hAnsi="宋体" w:eastAsia="宋体" w:cs="宋体"/>
          <w:color w:val="auto"/>
          <w:spacing w:val="-2"/>
          <w:sz w:val="28"/>
          <w:szCs w:val="28"/>
          <w:highlight w:val="none"/>
        </w:rPr>
      </w:pPr>
      <w:r>
        <w:rPr>
          <w:rFonts w:ascii="宋体" w:hAnsi="宋体" w:eastAsia="宋体" w:cs="宋体"/>
          <w:color w:val="auto"/>
          <w:spacing w:val="-2"/>
          <w:sz w:val="28"/>
          <w:szCs w:val="28"/>
          <w:highlight w:val="none"/>
        </w:rPr>
        <w:t>投标人关联单位的说明</w:t>
      </w:r>
    </w:p>
    <w:p w14:paraId="08F472EB">
      <w:pPr>
        <w:numPr>
          <w:ilvl w:val="0"/>
          <w:numId w:val="2"/>
        </w:numPr>
        <w:spacing w:before="290" w:line="240" w:lineRule="auto"/>
        <w:ind w:left="569"/>
        <w:rPr>
          <w:rFonts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lang w:val="en-US" w:eastAsia="zh-CN"/>
        </w:rPr>
        <w:t>质保期承诺书</w:t>
      </w:r>
    </w:p>
    <w:p w14:paraId="2B41A8A1">
      <w:pPr>
        <w:spacing w:before="291" w:line="240" w:lineRule="auto"/>
        <w:ind w:left="563"/>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rPr>
        <w:t>9</w:t>
      </w:r>
      <w:r>
        <w:rPr>
          <w:rFonts w:ascii="宋体" w:hAnsi="宋体" w:eastAsia="宋体" w:cs="宋体"/>
          <w:color w:val="auto"/>
          <w:spacing w:val="-1"/>
          <w:sz w:val="28"/>
          <w:szCs w:val="28"/>
          <w:highlight w:val="none"/>
        </w:rPr>
        <w:t>、其他有利于投标人的文件或证明材料</w:t>
      </w:r>
    </w:p>
    <w:p w14:paraId="589AAFED">
      <w:pPr>
        <w:spacing w:before="292" w:line="240" w:lineRule="auto"/>
        <w:ind w:left="563"/>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rPr>
        <w:t>10</w:t>
      </w:r>
      <w:r>
        <w:rPr>
          <w:rFonts w:ascii="宋体" w:hAnsi="宋体" w:eastAsia="宋体" w:cs="宋体"/>
          <w:color w:val="auto"/>
          <w:spacing w:val="-1"/>
          <w:sz w:val="28"/>
          <w:szCs w:val="28"/>
          <w:highlight w:val="none"/>
        </w:rPr>
        <w:t>、关于对本投标文件中资料真实性的承诺</w:t>
      </w:r>
    </w:p>
    <w:p w14:paraId="19915C91">
      <w:pPr>
        <w:spacing w:line="219" w:lineRule="auto"/>
        <w:rPr>
          <w:rFonts w:ascii="宋体" w:hAnsi="宋体" w:eastAsia="宋体" w:cs="宋体"/>
          <w:color w:val="auto"/>
          <w:sz w:val="28"/>
          <w:szCs w:val="28"/>
          <w:highlight w:val="none"/>
        </w:rPr>
        <w:sectPr>
          <w:footerReference r:id="rId28" w:type="default"/>
          <w:pgSz w:w="11906" w:h="16839"/>
          <w:pgMar w:top="1431" w:right="1785" w:bottom="1404" w:left="1785" w:header="0" w:footer="1225" w:gutter="0"/>
          <w:pgBorders>
            <w:top w:val="none" w:sz="0" w:space="0"/>
            <w:left w:val="none" w:sz="0" w:space="0"/>
            <w:bottom w:val="none" w:sz="0" w:space="0"/>
            <w:right w:val="none" w:sz="0" w:space="0"/>
          </w:pgBorders>
          <w:pgNumType w:fmt="decimal"/>
          <w:cols w:space="720" w:num="1"/>
        </w:sectPr>
      </w:pPr>
    </w:p>
    <w:p w14:paraId="6EF457D8">
      <w:pPr>
        <w:spacing w:before="181" w:line="219" w:lineRule="auto"/>
        <w:ind w:left="4331"/>
        <w:outlineLvl w:val="1"/>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14:textOutline w14:w="5103" w14:cap="sq" w14:cmpd="sng">
            <w14:solidFill>
              <w14:srgbClr w14:val="000000"/>
            </w14:solidFill>
            <w14:prstDash w14:val="solid"/>
            <w14:bevel/>
          </w14:textOutline>
        </w:rPr>
        <w:t>1.投标书</w:t>
      </w:r>
    </w:p>
    <w:p w14:paraId="27634C48">
      <w:pPr>
        <w:spacing w:before="291" w:line="219" w:lineRule="auto"/>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致：</w:t>
      </w:r>
      <w:r>
        <w:rPr>
          <w:rFonts w:ascii="宋体" w:hAnsi="宋体" w:eastAsia="宋体" w:cs="宋体"/>
          <w:color w:val="auto"/>
          <w:spacing w:val="-2"/>
          <w:sz w:val="28"/>
          <w:szCs w:val="28"/>
          <w:highlight w:val="none"/>
          <w:u w:val="single" w:color="auto"/>
        </w:rPr>
        <w:t>采购人</w:t>
      </w:r>
    </w:p>
    <w:p w14:paraId="058C5166">
      <w:pPr>
        <w:spacing w:before="158" w:line="249" w:lineRule="auto"/>
        <w:ind w:left="4" w:right="13" w:firstLine="556"/>
        <w:jc w:val="both"/>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根据贵方(</w:t>
      </w:r>
      <w:r>
        <w:rPr>
          <w:rFonts w:ascii="宋体" w:hAnsi="宋体" w:eastAsia="宋体" w:cs="宋体"/>
          <w:color w:val="auto"/>
          <w:spacing w:val="2"/>
          <w:sz w:val="28"/>
          <w:szCs w:val="28"/>
          <w:highlight w:val="none"/>
          <w:u w:val="single" w:color="auto"/>
        </w:rPr>
        <w:t>项目名称+包号</w:t>
      </w:r>
      <w:r>
        <w:rPr>
          <w:rFonts w:ascii="宋体" w:hAnsi="宋体" w:eastAsia="宋体" w:cs="宋体"/>
          <w:color w:val="auto"/>
          <w:spacing w:val="2"/>
          <w:sz w:val="28"/>
          <w:szCs w:val="28"/>
          <w:highlight w:val="none"/>
        </w:rPr>
        <w:t>)项目的投标邀请(</w:t>
      </w:r>
      <w:r>
        <w:rPr>
          <w:rFonts w:ascii="宋体" w:hAnsi="宋体" w:eastAsia="宋体" w:cs="宋体"/>
          <w:color w:val="auto"/>
          <w:spacing w:val="2"/>
          <w:sz w:val="28"/>
          <w:szCs w:val="28"/>
          <w:highlight w:val="none"/>
          <w:u w:val="single" w:color="auto"/>
        </w:rPr>
        <w:t>项目编号</w:t>
      </w:r>
      <w:r>
        <w:rPr>
          <w:rFonts w:ascii="宋体" w:hAnsi="宋体" w:eastAsia="宋体" w:cs="宋体"/>
          <w:color w:val="auto"/>
          <w:spacing w:val="2"/>
          <w:sz w:val="28"/>
          <w:szCs w:val="28"/>
          <w:highlight w:val="none"/>
        </w:rPr>
        <w:t>),签字代表(</w:t>
      </w:r>
      <w:r>
        <w:rPr>
          <w:rFonts w:ascii="宋体" w:hAnsi="宋体" w:eastAsia="宋体" w:cs="宋体"/>
          <w:color w:val="auto"/>
          <w:spacing w:val="2"/>
          <w:sz w:val="28"/>
          <w:szCs w:val="28"/>
          <w:highlight w:val="none"/>
          <w:u w:val="single" w:color="auto"/>
        </w:rPr>
        <w:t>姓名、职</w:t>
      </w:r>
      <w:r>
        <w:rPr>
          <w:rFonts w:ascii="宋体" w:hAnsi="宋体" w:eastAsia="宋体" w:cs="宋体"/>
          <w:color w:val="auto"/>
          <w:spacing w:val="-2"/>
          <w:sz w:val="28"/>
          <w:szCs w:val="28"/>
          <w:highlight w:val="none"/>
          <w:u w:val="single" w:color="auto"/>
        </w:rPr>
        <w:t>务</w:t>
      </w:r>
      <w:r>
        <w:rPr>
          <w:rFonts w:ascii="宋体" w:hAnsi="宋体" w:eastAsia="宋体" w:cs="宋体"/>
          <w:color w:val="auto"/>
          <w:spacing w:val="-2"/>
          <w:sz w:val="28"/>
          <w:szCs w:val="28"/>
          <w:highlight w:val="none"/>
        </w:rPr>
        <w:t>)经正式授权并代表投标人（</w:t>
      </w:r>
      <w:r>
        <w:rPr>
          <w:rFonts w:ascii="宋体" w:hAnsi="宋体" w:eastAsia="宋体" w:cs="宋体"/>
          <w:color w:val="auto"/>
          <w:spacing w:val="-2"/>
          <w:sz w:val="28"/>
          <w:szCs w:val="28"/>
          <w:highlight w:val="none"/>
          <w:u w:val="single" w:color="auto"/>
        </w:rPr>
        <w:t>名称、地址</w:t>
      </w:r>
      <w:r>
        <w:rPr>
          <w:rFonts w:ascii="宋体" w:hAnsi="宋体" w:eastAsia="宋体" w:cs="宋体"/>
          <w:color w:val="auto"/>
          <w:spacing w:val="-2"/>
          <w:sz w:val="28"/>
          <w:szCs w:val="28"/>
          <w:highlight w:val="none"/>
        </w:rPr>
        <w:t>）提交下述投标文件</w:t>
      </w:r>
      <w:r>
        <w:rPr>
          <w:rFonts w:ascii="宋体" w:hAnsi="宋体" w:eastAsia="宋体" w:cs="宋体"/>
          <w:color w:val="auto"/>
          <w:spacing w:val="-3"/>
          <w:sz w:val="28"/>
          <w:szCs w:val="28"/>
          <w:highlight w:val="none"/>
        </w:rPr>
        <w:t>，并以形式</w:t>
      </w:r>
      <w:r>
        <w:rPr>
          <w:rFonts w:ascii="宋体" w:hAnsi="宋体" w:eastAsia="宋体" w:cs="宋体"/>
          <w:color w:val="auto"/>
          <w:spacing w:val="-1"/>
          <w:sz w:val="28"/>
          <w:szCs w:val="28"/>
          <w:highlight w:val="none"/>
        </w:rPr>
        <w:t>出具的金额为人民币元的投标保证</w:t>
      </w:r>
      <w:r>
        <w:rPr>
          <w:rFonts w:ascii="宋体" w:hAnsi="宋体" w:eastAsia="宋体" w:cs="宋体"/>
          <w:color w:val="auto"/>
          <w:spacing w:val="-2"/>
          <w:sz w:val="28"/>
          <w:szCs w:val="28"/>
          <w:highlight w:val="none"/>
        </w:rPr>
        <w:t>金。</w:t>
      </w:r>
    </w:p>
    <w:p w14:paraId="04A14B34">
      <w:pPr>
        <w:spacing w:before="68" w:line="219" w:lineRule="auto"/>
        <w:ind w:left="53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据此，签字代表宣布同意如下：</w:t>
      </w:r>
    </w:p>
    <w:p w14:paraId="46551EA7">
      <w:pPr>
        <w:spacing w:before="195" w:line="219" w:lineRule="auto"/>
        <w:ind w:left="55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（1）附投标价格表中规定的应提供货物的投标总价为（用文字和数</w:t>
      </w:r>
      <w:r>
        <w:rPr>
          <w:rFonts w:ascii="宋体" w:hAnsi="宋体" w:eastAsia="宋体" w:cs="宋体"/>
          <w:color w:val="auto"/>
          <w:spacing w:val="-3"/>
          <w:sz w:val="28"/>
          <w:szCs w:val="28"/>
          <w:highlight w:val="none"/>
        </w:rPr>
        <w:t>字表示）。</w:t>
      </w:r>
    </w:p>
    <w:p w14:paraId="5E71D654">
      <w:pPr>
        <w:spacing w:before="161" w:line="219" w:lineRule="auto"/>
        <w:ind w:left="56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（2）本投标有效期为自投标截止之日起个</w:t>
      </w:r>
      <w:r>
        <w:rPr>
          <w:rFonts w:hint="eastAsia" w:ascii="宋体" w:hAnsi="宋体" w:eastAsia="宋体" w:cs="宋体"/>
          <w:color w:val="auto"/>
          <w:spacing w:val="-2"/>
          <w:sz w:val="28"/>
          <w:szCs w:val="28"/>
          <w:highlight w:val="none"/>
          <w:u w:val="single"/>
          <w:lang w:val="en-US" w:eastAsia="zh-CN"/>
        </w:rPr>
        <w:t xml:space="preserve">  </w:t>
      </w:r>
      <w:r>
        <w:rPr>
          <w:rFonts w:ascii="宋体" w:hAnsi="宋体" w:eastAsia="宋体" w:cs="宋体"/>
          <w:color w:val="auto"/>
          <w:spacing w:val="-2"/>
          <w:sz w:val="28"/>
          <w:szCs w:val="28"/>
          <w:highlight w:val="none"/>
        </w:rPr>
        <w:t>日历日。</w:t>
      </w:r>
    </w:p>
    <w:p w14:paraId="678242F7">
      <w:pPr>
        <w:spacing w:before="70" w:line="241" w:lineRule="auto"/>
        <w:ind w:firstLine="56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（3）联合体中的大中型企业和其他自然人、法人或者非法人组织，与联合</w:t>
      </w:r>
      <w:r>
        <w:rPr>
          <w:rFonts w:ascii="宋体" w:hAnsi="宋体" w:eastAsia="宋体" w:cs="宋体"/>
          <w:color w:val="auto"/>
          <w:spacing w:val="-2"/>
          <w:sz w:val="28"/>
          <w:szCs w:val="28"/>
          <w:highlight w:val="none"/>
        </w:rPr>
        <w:t>体中的小型、微型企业之间</w:t>
      </w:r>
      <w:r>
        <w:rPr>
          <w:rFonts w:ascii="宋体" w:hAnsi="宋体" w:eastAsia="宋体" w:cs="宋体"/>
          <w:color w:val="auto"/>
          <w:spacing w:val="-2"/>
          <w:sz w:val="28"/>
          <w:szCs w:val="28"/>
          <w:highlight w:val="none"/>
          <w:u w:val="single" w:color="auto"/>
        </w:rPr>
        <w:t>（</w:t>
      </w:r>
      <w:r>
        <w:rPr>
          <w:rFonts w:ascii="宋体" w:hAnsi="宋体" w:eastAsia="宋体" w:cs="宋体"/>
          <w:color w:val="auto"/>
          <w:spacing w:val="-2"/>
          <w:sz w:val="28"/>
          <w:szCs w:val="28"/>
          <w:highlight w:val="none"/>
        </w:rPr>
        <w:t>存在、不存在）投资关系（如果是联合体的话）。</w:t>
      </w:r>
    </w:p>
    <w:p w14:paraId="005F7720">
      <w:pPr>
        <w:spacing w:before="65" w:line="242" w:lineRule="auto"/>
        <w:ind w:left="3" w:right="14" w:firstLine="563"/>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（4）已详细审查全部招标文件，包括所有补充通知（如果有的话</w:t>
      </w:r>
      <w:r>
        <w:rPr>
          <w:rFonts w:ascii="宋体" w:hAnsi="宋体" w:eastAsia="宋体" w:cs="宋体"/>
          <w:color w:val="auto"/>
          <w:spacing w:val="18"/>
          <w:sz w:val="28"/>
          <w:szCs w:val="28"/>
          <w:highlight w:val="none"/>
        </w:rPr>
        <w:t>），</w:t>
      </w:r>
      <w:r>
        <w:rPr>
          <w:rFonts w:ascii="宋体" w:hAnsi="宋体" w:eastAsia="宋体" w:cs="宋体"/>
          <w:color w:val="auto"/>
          <w:spacing w:val="1"/>
          <w:sz w:val="28"/>
          <w:szCs w:val="28"/>
          <w:highlight w:val="none"/>
        </w:rPr>
        <w:t>完全</w:t>
      </w:r>
      <w:r>
        <w:rPr>
          <w:rFonts w:ascii="宋体" w:hAnsi="宋体" w:eastAsia="宋体" w:cs="宋体"/>
          <w:color w:val="auto"/>
          <w:spacing w:val="-1"/>
          <w:sz w:val="28"/>
          <w:szCs w:val="28"/>
          <w:highlight w:val="none"/>
        </w:rPr>
        <w:t>理解并同意放弃对这方面有不明、误解和质疑的权力。</w:t>
      </w:r>
    </w:p>
    <w:p w14:paraId="0FCE853B">
      <w:pPr>
        <w:spacing w:before="64" w:line="220" w:lineRule="auto"/>
        <w:ind w:left="56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（5）在规定的开标时间后，遵守招标文件中有关保证金的规定。</w:t>
      </w:r>
    </w:p>
    <w:p w14:paraId="0CAA75D9">
      <w:pPr>
        <w:spacing w:before="67" w:line="241" w:lineRule="auto"/>
        <w:ind w:left="1" w:right="14" w:firstLine="56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（6）我方不是为本项目提供整体设计、规范编制或者项目管理、监理、检</w:t>
      </w:r>
      <w:r>
        <w:rPr>
          <w:rFonts w:ascii="宋体" w:hAnsi="宋体" w:eastAsia="宋体" w:cs="宋体"/>
          <w:color w:val="auto"/>
          <w:spacing w:val="-1"/>
          <w:sz w:val="28"/>
          <w:szCs w:val="28"/>
          <w:highlight w:val="none"/>
        </w:rPr>
        <w:t>测等服务的供应商，我方不是采购代理机构的附属机构。</w:t>
      </w:r>
    </w:p>
    <w:p w14:paraId="5B726F6F">
      <w:pPr>
        <w:spacing w:before="70" w:line="241" w:lineRule="auto"/>
        <w:ind w:left="26" w:right="14" w:firstLine="54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（7）在领取中标通知书的同时按招标文件规定的形式，向贵方一次性支付</w:t>
      </w:r>
      <w:r>
        <w:rPr>
          <w:rFonts w:ascii="宋体" w:hAnsi="宋体" w:eastAsia="宋体" w:cs="宋体"/>
          <w:color w:val="auto"/>
          <w:spacing w:val="-6"/>
          <w:sz w:val="28"/>
          <w:szCs w:val="28"/>
          <w:highlight w:val="none"/>
        </w:rPr>
        <w:t>中标服务费。</w:t>
      </w:r>
    </w:p>
    <w:p w14:paraId="473CEEF6">
      <w:pPr>
        <w:spacing w:before="66" w:line="241" w:lineRule="auto"/>
        <w:ind w:left="3" w:right="14" w:firstLine="56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（8）按照贵方可能要求，提供与其投标有关的一切数据或资料，完全理解</w:t>
      </w:r>
      <w:r>
        <w:rPr>
          <w:rFonts w:ascii="宋体" w:hAnsi="宋体" w:eastAsia="宋体" w:cs="宋体"/>
          <w:color w:val="auto"/>
          <w:spacing w:val="-1"/>
          <w:sz w:val="28"/>
          <w:szCs w:val="28"/>
          <w:highlight w:val="none"/>
        </w:rPr>
        <w:t>贵方不一定接受最低价的投标或收到的任何投标。</w:t>
      </w:r>
    </w:p>
    <w:p w14:paraId="3491D4CB">
      <w:pPr>
        <w:spacing w:before="67" w:line="400" w:lineRule="exact"/>
        <w:ind w:left="567"/>
        <w:rPr>
          <w:rFonts w:ascii="宋体" w:hAnsi="宋体" w:eastAsia="宋体" w:cs="宋体"/>
          <w:color w:val="auto"/>
          <w:sz w:val="28"/>
          <w:szCs w:val="28"/>
          <w:highlight w:val="none"/>
        </w:rPr>
      </w:pPr>
      <w:r>
        <w:rPr>
          <w:rFonts w:ascii="宋体" w:hAnsi="宋体" w:eastAsia="宋体" w:cs="宋体"/>
          <w:color w:val="auto"/>
          <w:spacing w:val="-1"/>
          <w:position w:val="8"/>
          <w:sz w:val="28"/>
          <w:szCs w:val="28"/>
          <w:highlight w:val="none"/>
        </w:rPr>
        <w:t>（9）按照招标文件的规定履行合同责任和义务。</w:t>
      </w:r>
    </w:p>
    <w:p w14:paraId="30A3AF5F">
      <w:pPr>
        <w:spacing w:before="1" w:line="219" w:lineRule="auto"/>
        <w:ind w:left="14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与本投标有关的一切正式往来信函请寄：</w:t>
      </w:r>
    </w:p>
    <w:p w14:paraId="09E2CCEC">
      <w:pPr>
        <w:spacing w:before="66" w:line="219" w:lineRule="auto"/>
        <w:ind w:left="540"/>
        <w:rPr>
          <w:rFonts w:ascii="宋体" w:hAnsi="宋体" w:eastAsia="宋体" w:cs="宋体"/>
          <w:color w:val="auto"/>
          <w:sz w:val="28"/>
          <w:szCs w:val="28"/>
          <w:highlight w:val="none"/>
        </w:rPr>
      </w:pPr>
      <w:r>
        <w:rPr>
          <w:rFonts w:ascii="宋体" w:hAnsi="宋体" w:eastAsia="宋体" w:cs="宋体"/>
          <w:color w:val="auto"/>
          <w:sz w:val="28"/>
          <w:szCs w:val="28"/>
          <w:highlight w:val="none"/>
        </w:rPr>
        <w:t>地址----------------传真------------</w:t>
      </w:r>
      <w:r>
        <w:rPr>
          <w:rFonts w:ascii="宋体" w:hAnsi="宋体" w:eastAsia="宋体" w:cs="宋体"/>
          <w:color w:val="auto"/>
          <w:spacing w:val="-1"/>
          <w:sz w:val="28"/>
          <w:szCs w:val="28"/>
          <w:highlight w:val="none"/>
        </w:rPr>
        <w:t>----</w:t>
      </w:r>
    </w:p>
    <w:p w14:paraId="1FD953C7">
      <w:pPr>
        <w:spacing w:before="68" w:line="220" w:lineRule="auto"/>
        <w:ind w:left="57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电话----------------电子函件--------------</w:t>
      </w:r>
      <w:r>
        <w:rPr>
          <w:rFonts w:ascii="宋体" w:hAnsi="宋体" w:eastAsia="宋体" w:cs="宋体"/>
          <w:color w:val="auto"/>
          <w:spacing w:val="-3"/>
          <w:sz w:val="28"/>
          <w:szCs w:val="28"/>
          <w:highlight w:val="none"/>
        </w:rPr>
        <w:t>--</w:t>
      </w:r>
    </w:p>
    <w:p w14:paraId="7197B59A">
      <w:pPr>
        <w:spacing w:line="369" w:lineRule="auto"/>
        <w:rPr>
          <w:rFonts w:ascii="Arial"/>
          <w:color w:val="auto"/>
          <w:sz w:val="21"/>
          <w:highlight w:val="none"/>
        </w:rPr>
      </w:pPr>
    </w:p>
    <w:p w14:paraId="78E0B7F1">
      <w:pPr>
        <w:spacing w:before="92" w:line="220" w:lineRule="auto"/>
        <w:ind w:left="560"/>
        <w:rPr>
          <w:rFonts w:ascii="宋体" w:hAnsi="宋体" w:eastAsia="宋体" w:cs="宋体"/>
          <w:color w:val="auto"/>
          <w:sz w:val="28"/>
          <w:szCs w:val="28"/>
          <w:highlight w:val="none"/>
        </w:rPr>
      </w:pPr>
      <w:r>
        <w:rPr>
          <w:rFonts w:ascii="宋体" w:hAnsi="宋体" w:eastAsia="宋体" w:cs="宋体"/>
          <w:color w:val="auto"/>
          <w:sz w:val="28"/>
          <w:szCs w:val="28"/>
          <w:highlight w:val="none"/>
        </w:rPr>
        <w:t>法定代表人或其委托代理人签字-------------</w:t>
      </w:r>
      <w:r>
        <w:rPr>
          <w:rFonts w:ascii="宋体" w:hAnsi="宋体" w:eastAsia="宋体" w:cs="宋体"/>
          <w:color w:val="auto"/>
          <w:spacing w:val="-1"/>
          <w:sz w:val="28"/>
          <w:szCs w:val="28"/>
          <w:highlight w:val="none"/>
        </w:rPr>
        <w:t>----</w:t>
      </w:r>
    </w:p>
    <w:p w14:paraId="40FD03C4">
      <w:pPr>
        <w:spacing w:before="67" w:line="221" w:lineRule="auto"/>
        <w:ind w:left="543"/>
        <w:rPr>
          <w:rFonts w:ascii="宋体" w:hAnsi="宋体" w:eastAsia="宋体" w:cs="宋体"/>
          <w:color w:val="auto"/>
          <w:sz w:val="28"/>
          <w:szCs w:val="28"/>
          <w:highlight w:val="none"/>
        </w:rPr>
      </w:pPr>
      <w:r>
        <w:rPr>
          <w:rFonts w:ascii="宋体" w:hAnsi="宋体" w:eastAsia="宋体" w:cs="宋体"/>
          <w:color w:val="auto"/>
          <w:sz w:val="28"/>
          <w:szCs w:val="28"/>
          <w:highlight w:val="none"/>
        </w:rPr>
        <w:t>投标人名称（全称）-----------</w:t>
      </w:r>
      <w:r>
        <w:rPr>
          <w:rFonts w:ascii="宋体" w:hAnsi="宋体" w:eastAsia="宋体" w:cs="宋体"/>
          <w:color w:val="auto"/>
          <w:spacing w:val="-1"/>
          <w:sz w:val="28"/>
          <w:szCs w:val="28"/>
          <w:highlight w:val="none"/>
        </w:rPr>
        <w:t>------</w:t>
      </w:r>
    </w:p>
    <w:p w14:paraId="2C74D280">
      <w:pPr>
        <w:spacing w:before="64" w:line="400" w:lineRule="exact"/>
        <w:ind w:left="543"/>
        <w:rPr>
          <w:rFonts w:ascii="宋体" w:hAnsi="宋体" w:eastAsia="宋体" w:cs="宋体"/>
          <w:color w:val="auto"/>
          <w:sz w:val="28"/>
          <w:szCs w:val="28"/>
          <w:highlight w:val="none"/>
        </w:rPr>
      </w:pPr>
      <w:r>
        <w:rPr>
          <w:rFonts w:ascii="宋体" w:hAnsi="宋体" w:eastAsia="宋体" w:cs="宋体"/>
          <w:color w:val="auto"/>
          <w:position w:val="8"/>
          <w:sz w:val="28"/>
          <w:szCs w:val="28"/>
          <w:highlight w:val="none"/>
        </w:rPr>
        <w:t>投标人单位章------------------</w:t>
      </w:r>
      <w:r>
        <w:rPr>
          <w:rFonts w:ascii="宋体" w:hAnsi="宋体" w:eastAsia="宋体" w:cs="宋体"/>
          <w:color w:val="auto"/>
          <w:spacing w:val="-1"/>
          <w:position w:val="8"/>
          <w:sz w:val="28"/>
          <w:szCs w:val="28"/>
          <w:highlight w:val="none"/>
        </w:rPr>
        <w:t>-------</w:t>
      </w:r>
    </w:p>
    <w:p w14:paraId="0D40CFC9">
      <w:pPr>
        <w:spacing w:before="1" w:line="220" w:lineRule="auto"/>
        <w:ind w:left="588"/>
        <w:rPr>
          <w:rFonts w:ascii="宋体" w:hAnsi="宋体" w:eastAsia="宋体" w:cs="宋体"/>
          <w:color w:val="auto"/>
          <w:sz w:val="28"/>
          <w:szCs w:val="28"/>
          <w:highlight w:val="none"/>
        </w:rPr>
        <w:sectPr>
          <w:footerReference r:id="rId29" w:type="default"/>
          <w:pgSz w:w="11906" w:h="16839"/>
          <w:pgMar w:top="1431" w:right="1065" w:bottom="1404" w:left="1090" w:header="0" w:footer="1225" w:gutter="0"/>
          <w:pgBorders>
            <w:top w:val="none" w:sz="0" w:space="0"/>
            <w:left w:val="none" w:sz="0" w:space="0"/>
            <w:bottom w:val="none" w:sz="0" w:space="0"/>
            <w:right w:val="none" w:sz="0" w:space="0"/>
          </w:pgBorders>
          <w:pgNumType w:fmt="decimal"/>
          <w:cols w:space="720" w:num="1"/>
        </w:sectPr>
      </w:pPr>
      <w:r>
        <w:rPr>
          <w:rFonts w:ascii="宋体" w:hAnsi="宋体" w:eastAsia="宋体" w:cs="宋体"/>
          <w:color w:val="auto"/>
          <w:spacing w:val="-2"/>
          <w:sz w:val="28"/>
          <w:szCs w:val="28"/>
          <w:highlight w:val="none"/>
        </w:rPr>
        <w:t>日期-------------------------------</w:t>
      </w:r>
    </w:p>
    <w:p w14:paraId="32AF9424">
      <w:pPr>
        <w:spacing w:line="243" w:lineRule="auto"/>
        <w:rPr>
          <w:rFonts w:ascii="Arial"/>
          <w:color w:val="auto"/>
          <w:sz w:val="21"/>
          <w:highlight w:val="none"/>
        </w:rPr>
      </w:pPr>
    </w:p>
    <w:p w14:paraId="7C2CE6F6">
      <w:pPr>
        <w:spacing w:line="244" w:lineRule="auto"/>
        <w:rPr>
          <w:rFonts w:ascii="Arial"/>
          <w:color w:val="auto"/>
          <w:sz w:val="21"/>
          <w:highlight w:val="none"/>
        </w:rPr>
      </w:pPr>
    </w:p>
    <w:p w14:paraId="6C5100E4">
      <w:pPr>
        <w:spacing w:before="91" w:line="202" w:lineRule="auto"/>
        <w:ind w:left="5620"/>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2.投标分项报价表</w:t>
      </w:r>
    </w:p>
    <w:p w14:paraId="3DDD51A1">
      <w:pPr>
        <w:spacing w:line="202" w:lineRule="auto"/>
        <w:rPr>
          <w:rFonts w:ascii="宋体" w:hAnsi="宋体" w:eastAsia="宋体" w:cs="宋体"/>
          <w:color w:val="auto"/>
          <w:sz w:val="28"/>
          <w:szCs w:val="28"/>
          <w:highlight w:val="none"/>
        </w:rPr>
        <w:sectPr>
          <w:footerReference r:id="rId30" w:type="default"/>
          <w:pgSz w:w="16839" w:h="11906"/>
          <w:pgMar w:top="1012" w:right="1341" w:bottom="1403" w:left="1433" w:header="0" w:footer="1225" w:gutter="0"/>
          <w:pgBorders>
            <w:top w:val="none" w:sz="0" w:space="0"/>
            <w:left w:val="none" w:sz="0" w:space="0"/>
            <w:bottom w:val="none" w:sz="0" w:space="0"/>
            <w:right w:val="none" w:sz="0" w:space="0"/>
          </w:pgBorders>
          <w:pgNumType w:fmt="decimal"/>
          <w:cols w:equalWidth="0" w:num="1">
            <w:col w:w="14064"/>
          </w:cols>
        </w:sectPr>
      </w:pPr>
    </w:p>
    <w:p w14:paraId="2EB6C360">
      <w:pPr>
        <w:spacing w:before="56" w:line="185" w:lineRule="auto"/>
        <w:ind w:left="22"/>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项目名称：</w:t>
      </w:r>
      <w:r>
        <w:rPr>
          <w:rFonts w:hint="eastAsia" w:ascii="宋体" w:hAnsi="宋体" w:eastAsia="宋体" w:cs="宋体"/>
          <w:color w:val="auto"/>
          <w:spacing w:val="-1"/>
          <w:sz w:val="28"/>
          <w:szCs w:val="28"/>
          <w:highlight w:val="none"/>
          <w:lang w:val="en-US" w:eastAsia="zh-CN"/>
        </w:rPr>
        <w:t xml:space="preserve">        </w:t>
      </w:r>
      <w:r>
        <w:rPr>
          <w:rFonts w:ascii="宋体" w:hAnsi="宋体" w:eastAsia="宋体" w:cs="宋体"/>
          <w:color w:val="auto"/>
          <w:spacing w:val="-1"/>
          <w:sz w:val="28"/>
          <w:szCs w:val="28"/>
          <w:highlight w:val="none"/>
        </w:rPr>
        <w:t>项目编号：</w:t>
      </w:r>
    </w:p>
    <w:p w14:paraId="5F960AB3">
      <w:pPr>
        <w:spacing w:line="14" w:lineRule="auto"/>
        <w:rPr>
          <w:rFonts w:ascii="Arial"/>
          <w:color w:val="auto"/>
          <w:sz w:val="2"/>
          <w:highlight w:val="none"/>
        </w:rPr>
      </w:pPr>
      <w:r>
        <w:rPr>
          <w:rFonts w:ascii="Arial" w:hAnsi="Arial" w:eastAsia="Arial" w:cs="Arial"/>
          <w:color w:val="auto"/>
          <w:sz w:val="2"/>
          <w:szCs w:val="2"/>
          <w:highlight w:val="none"/>
        </w:rPr>
        <w:br w:type="column"/>
      </w:r>
    </w:p>
    <w:p w14:paraId="545C3D22">
      <w:pPr>
        <w:spacing w:before="54" w:line="185" w:lineRule="auto"/>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报价单位：人民币元</w:t>
      </w:r>
    </w:p>
    <w:p w14:paraId="48A89494">
      <w:pPr>
        <w:spacing w:line="185" w:lineRule="auto"/>
        <w:rPr>
          <w:rFonts w:ascii="宋体" w:hAnsi="宋体" w:eastAsia="宋体" w:cs="宋体"/>
          <w:color w:val="auto"/>
          <w:sz w:val="28"/>
          <w:szCs w:val="28"/>
          <w:highlight w:val="none"/>
        </w:rPr>
        <w:sectPr>
          <w:type w:val="continuous"/>
          <w:pgSz w:w="16839" w:h="11906"/>
          <w:pgMar w:top="1012" w:right="1341" w:bottom="1403" w:left="1433" w:header="0" w:footer="1225" w:gutter="0"/>
          <w:pgBorders>
            <w:top w:val="none" w:sz="0" w:space="0"/>
            <w:left w:val="none" w:sz="0" w:space="0"/>
            <w:bottom w:val="none" w:sz="0" w:space="0"/>
            <w:right w:val="none" w:sz="0" w:space="0"/>
          </w:pgBorders>
          <w:pgNumType w:fmt="decimal"/>
          <w:cols w:equalWidth="0" w:num="2">
            <w:col w:w="9017" w:space="100"/>
            <w:col w:w="4948"/>
          </w:cols>
        </w:sectPr>
      </w:pPr>
    </w:p>
    <w:tbl>
      <w:tblPr>
        <w:tblStyle w:val="16"/>
        <w:tblpPr w:leftFromText="180" w:rightFromText="180" w:vertAnchor="page" w:horzAnchor="page" w:tblpX="2121" w:tblpY="2276"/>
        <w:tblOverlap w:val="never"/>
        <w:tblW w:w="12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690"/>
        <w:gridCol w:w="1425"/>
        <w:gridCol w:w="1212"/>
        <w:gridCol w:w="1213"/>
        <w:gridCol w:w="1100"/>
        <w:gridCol w:w="1318"/>
        <w:gridCol w:w="967"/>
        <w:gridCol w:w="1240"/>
        <w:gridCol w:w="1462"/>
      </w:tblGrid>
      <w:tr w14:paraId="2DFA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630" w:type="dxa"/>
            <w:noWrap/>
            <w:vAlign w:val="center"/>
          </w:tcPr>
          <w:p w14:paraId="2898BFA2">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690" w:type="dxa"/>
            <w:noWrap/>
            <w:vAlign w:val="center"/>
          </w:tcPr>
          <w:p w14:paraId="748C59E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425" w:type="dxa"/>
            <w:noWrap/>
            <w:vAlign w:val="center"/>
          </w:tcPr>
          <w:p w14:paraId="07E4A7B2">
            <w:pPr>
              <w:pStyle w:val="9"/>
              <w:spacing w:line="240" w:lineRule="atLeast"/>
              <w:jc w:val="center"/>
              <w:rPr>
                <w:rFonts w:hint="eastAsia" w:ascii="仿宋" w:hAnsi="仿宋" w:eastAsia="仿宋" w:cs="仿宋"/>
                <w:color w:val="auto"/>
                <w:sz w:val="24"/>
                <w:highlight w:val="none"/>
              </w:rPr>
            </w:pPr>
          </w:p>
          <w:p w14:paraId="04AE3D34">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品牌</w:t>
            </w:r>
          </w:p>
          <w:p w14:paraId="7B7BDC1B">
            <w:pPr>
              <w:pStyle w:val="9"/>
              <w:spacing w:line="240" w:lineRule="atLeast"/>
              <w:jc w:val="center"/>
              <w:rPr>
                <w:rFonts w:hint="eastAsia" w:ascii="仿宋" w:hAnsi="仿宋" w:eastAsia="仿宋" w:cs="仿宋"/>
                <w:color w:val="auto"/>
                <w:sz w:val="24"/>
                <w:highlight w:val="none"/>
              </w:rPr>
            </w:pPr>
          </w:p>
        </w:tc>
        <w:tc>
          <w:tcPr>
            <w:tcW w:w="1212" w:type="dxa"/>
            <w:noWrap/>
            <w:vAlign w:val="center"/>
          </w:tcPr>
          <w:p w14:paraId="17A94944">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规格</w:t>
            </w:r>
            <w:r>
              <w:rPr>
                <w:rFonts w:hint="eastAsia" w:ascii="仿宋" w:hAnsi="仿宋" w:eastAsia="仿宋" w:cs="仿宋"/>
                <w:color w:val="auto"/>
                <w:sz w:val="24"/>
                <w:highlight w:val="none"/>
              </w:rPr>
              <w:t>型号</w:t>
            </w:r>
          </w:p>
        </w:tc>
        <w:tc>
          <w:tcPr>
            <w:tcW w:w="1213" w:type="dxa"/>
            <w:noWrap/>
            <w:vAlign w:val="center"/>
          </w:tcPr>
          <w:p w14:paraId="714FB75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100" w:type="dxa"/>
            <w:noWrap/>
            <w:vAlign w:val="center"/>
          </w:tcPr>
          <w:p w14:paraId="1B02057F">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1318" w:type="dxa"/>
            <w:noWrap/>
            <w:vAlign w:val="center"/>
          </w:tcPr>
          <w:p w14:paraId="14B5D6AA">
            <w:pPr>
              <w:pStyle w:val="9"/>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制造商名称</w:t>
            </w:r>
          </w:p>
        </w:tc>
        <w:tc>
          <w:tcPr>
            <w:tcW w:w="967" w:type="dxa"/>
            <w:noWrap/>
            <w:vAlign w:val="center"/>
          </w:tcPr>
          <w:p w14:paraId="72BA765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w:t>
            </w:r>
          </w:p>
        </w:tc>
        <w:tc>
          <w:tcPr>
            <w:tcW w:w="1240" w:type="dxa"/>
            <w:noWrap/>
            <w:vAlign w:val="center"/>
          </w:tcPr>
          <w:p w14:paraId="0C5813AB">
            <w:pPr>
              <w:pStyle w:val="9"/>
              <w:spacing w:line="240" w:lineRule="atLeas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总价</w:t>
            </w:r>
          </w:p>
        </w:tc>
        <w:tc>
          <w:tcPr>
            <w:tcW w:w="1462" w:type="dxa"/>
            <w:noWrap/>
            <w:vAlign w:val="center"/>
          </w:tcPr>
          <w:p w14:paraId="55A30A8C">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1319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668B8809">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690" w:type="dxa"/>
            <w:noWrap/>
            <w:vAlign w:val="center"/>
          </w:tcPr>
          <w:p w14:paraId="462564CD">
            <w:pPr>
              <w:jc w:val="both"/>
              <w:textAlignment w:val="center"/>
              <w:rPr>
                <w:rFonts w:hint="eastAsia" w:ascii="仿宋" w:hAnsi="仿宋" w:eastAsia="仿宋" w:cs="仿宋"/>
                <w:color w:val="auto"/>
                <w:sz w:val="24"/>
                <w:highlight w:val="none"/>
              </w:rPr>
            </w:pPr>
          </w:p>
        </w:tc>
        <w:tc>
          <w:tcPr>
            <w:tcW w:w="1425" w:type="dxa"/>
            <w:noWrap/>
            <w:vAlign w:val="center"/>
          </w:tcPr>
          <w:p w14:paraId="4EB35F0A">
            <w:pPr>
              <w:pStyle w:val="9"/>
              <w:spacing w:line="240" w:lineRule="atLeast"/>
              <w:ind w:left="1080" w:leftChars="257" w:hanging="540"/>
              <w:jc w:val="center"/>
              <w:rPr>
                <w:rFonts w:hint="eastAsia" w:ascii="仿宋" w:hAnsi="仿宋" w:eastAsia="仿宋" w:cs="仿宋"/>
                <w:color w:val="auto"/>
                <w:sz w:val="24"/>
                <w:highlight w:val="none"/>
              </w:rPr>
            </w:pPr>
          </w:p>
        </w:tc>
        <w:tc>
          <w:tcPr>
            <w:tcW w:w="1212" w:type="dxa"/>
            <w:noWrap/>
            <w:vAlign w:val="center"/>
          </w:tcPr>
          <w:p w14:paraId="37B944ED">
            <w:pPr>
              <w:pStyle w:val="9"/>
              <w:spacing w:line="240" w:lineRule="atLeast"/>
              <w:ind w:left="1080" w:leftChars="257" w:hanging="540"/>
              <w:jc w:val="center"/>
              <w:rPr>
                <w:rFonts w:hint="eastAsia" w:ascii="仿宋" w:hAnsi="仿宋" w:eastAsia="仿宋" w:cs="仿宋"/>
                <w:color w:val="auto"/>
                <w:sz w:val="24"/>
                <w:highlight w:val="none"/>
              </w:rPr>
            </w:pPr>
          </w:p>
        </w:tc>
        <w:tc>
          <w:tcPr>
            <w:tcW w:w="1213" w:type="dxa"/>
            <w:noWrap/>
            <w:vAlign w:val="center"/>
          </w:tcPr>
          <w:p w14:paraId="2D20A12F">
            <w:pPr>
              <w:pStyle w:val="9"/>
              <w:spacing w:line="240" w:lineRule="atLeast"/>
              <w:ind w:left="1080" w:leftChars="257" w:hanging="540"/>
              <w:jc w:val="center"/>
              <w:rPr>
                <w:rFonts w:hint="eastAsia" w:ascii="仿宋" w:hAnsi="仿宋" w:eastAsia="仿宋" w:cs="仿宋"/>
                <w:color w:val="auto"/>
                <w:sz w:val="24"/>
                <w:highlight w:val="none"/>
              </w:rPr>
            </w:pPr>
          </w:p>
        </w:tc>
        <w:tc>
          <w:tcPr>
            <w:tcW w:w="1100" w:type="dxa"/>
            <w:noWrap/>
            <w:vAlign w:val="center"/>
          </w:tcPr>
          <w:p w14:paraId="4BB0BB55">
            <w:pPr>
              <w:pStyle w:val="9"/>
              <w:spacing w:line="240" w:lineRule="atLeast"/>
              <w:ind w:left="1080" w:leftChars="257" w:hanging="540"/>
              <w:jc w:val="center"/>
              <w:rPr>
                <w:rFonts w:hint="eastAsia" w:ascii="仿宋" w:hAnsi="仿宋" w:eastAsia="仿宋" w:cs="仿宋"/>
                <w:color w:val="auto"/>
                <w:sz w:val="24"/>
                <w:highlight w:val="none"/>
              </w:rPr>
            </w:pPr>
          </w:p>
        </w:tc>
        <w:tc>
          <w:tcPr>
            <w:tcW w:w="1318" w:type="dxa"/>
            <w:noWrap/>
            <w:vAlign w:val="center"/>
          </w:tcPr>
          <w:p w14:paraId="79BCF26F">
            <w:pPr>
              <w:pStyle w:val="9"/>
              <w:spacing w:line="240" w:lineRule="atLeast"/>
              <w:ind w:left="1080" w:leftChars="257" w:hanging="540"/>
              <w:jc w:val="center"/>
              <w:rPr>
                <w:rFonts w:hint="eastAsia" w:ascii="仿宋" w:hAnsi="仿宋" w:eastAsia="仿宋" w:cs="仿宋"/>
                <w:color w:val="auto"/>
                <w:sz w:val="24"/>
                <w:highlight w:val="none"/>
              </w:rPr>
            </w:pPr>
          </w:p>
        </w:tc>
        <w:tc>
          <w:tcPr>
            <w:tcW w:w="967" w:type="dxa"/>
            <w:noWrap/>
            <w:vAlign w:val="center"/>
          </w:tcPr>
          <w:p w14:paraId="4280591D">
            <w:pPr>
              <w:pStyle w:val="9"/>
              <w:spacing w:line="240" w:lineRule="atLeast"/>
              <w:ind w:left="1080" w:leftChars="257" w:hanging="540"/>
              <w:jc w:val="center"/>
              <w:rPr>
                <w:rFonts w:hint="eastAsia" w:ascii="仿宋" w:hAnsi="仿宋" w:eastAsia="仿宋" w:cs="仿宋"/>
                <w:color w:val="auto"/>
                <w:sz w:val="24"/>
                <w:highlight w:val="none"/>
              </w:rPr>
            </w:pPr>
          </w:p>
        </w:tc>
        <w:tc>
          <w:tcPr>
            <w:tcW w:w="1240" w:type="dxa"/>
            <w:noWrap/>
            <w:vAlign w:val="center"/>
          </w:tcPr>
          <w:p w14:paraId="5C3C4D63">
            <w:pPr>
              <w:pStyle w:val="9"/>
              <w:spacing w:line="240" w:lineRule="atLeast"/>
              <w:ind w:left="1080" w:leftChars="257" w:hanging="540"/>
              <w:jc w:val="center"/>
              <w:rPr>
                <w:rFonts w:hint="eastAsia" w:ascii="仿宋" w:hAnsi="仿宋" w:eastAsia="仿宋" w:cs="仿宋"/>
                <w:color w:val="auto"/>
                <w:sz w:val="24"/>
                <w:highlight w:val="none"/>
              </w:rPr>
            </w:pPr>
          </w:p>
        </w:tc>
        <w:tc>
          <w:tcPr>
            <w:tcW w:w="1462" w:type="dxa"/>
            <w:noWrap/>
            <w:vAlign w:val="center"/>
          </w:tcPr>
          <w:p w14:paraId="56665A1A">
            <w:pPr>
              <w:pStyle w:val="9"/>
              <w:spacing w:line="240" w:lineRule="atLeast"/>
              <w:ind w:left="1080" w:leftChars="257" w:hanging="540"/>
              <w:jc w:val="center"/>
              <w:rPr>
                <w:rFonts w:hint="eastAsia" w:ascii="仿宋" w:hAnsi="仿宋" w:eastAsia="仿宋" w:cs="仿宋"/>
                <w:color w:val="auto"/>
                <w:sz w:val="24"/>
                <w:highlight w:val="none"/>
              </w:rPr>
            </w:pPr>
          </w:p>
        </w:tc>
      </w:tr>
      <w:tr w14:paraId="7845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5A390121">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690" w:type="dxa"/>
            <w:noWrap/>
            <w:vAlign w:val="center"/>
          </w:tcPr>
          <w:p w14:paraId="223AE9D4">
            <w:pPr>
              <w:jc w:val="both"/>
              <w:textAlignment w:val="center"/>
              <w:rPr>
                <w:rFonts w:hint="eastAsia" w:ascii="仿宋" w:hAnsi="仿宋" w:eastAsia="仿宋" w:cs="仿宋"/>
                <w:color w:val="auto"/>
                <w:sz w:val="24"/>
                <w:highlight w:val="none"/>
              </w:rPr>
            </w:pPr>
          </w:p>
        </w:tc>
        <w:tc>
          <w:tcPr>
            <w:tcW w:w="1425" w:type="dxa"/>
            <w:noWrap/>
            <w:vAlign w:val="center"/>
          </w:tcPr>
          <w:p w14:paraId="04F3D0E5">
            <w:pPr>
              <w:pStyle w:val="9"/>
              <w:spacing w:line="240" w:lineRule="atLeast"/>
              <w:ind w:left="1080" w:leftChars="257" w:hanging="540"/>
              <w:jc w:val="center"/>
              <w:rPr>
                <w:rFonts w:hint="eastAsia" w:ascii="仿宋" w:hAnsi="仿宋" w:eastAsia="仿宋" w:cs="仿宋"/>
                <w:color w:val="auto"/>
                <w:sz w:val="24"/>
                <w:highlight w:val="none"/>
              </w:rPr>
            </w:pPr>
          </w:p>
        </w:tc>
        <w:tc>
          <w:tcPr>
            <w:tcW w:w="1212" w:type="dxa"/>
            <w:noWrap/>
            <w:vAlign w:val="center"/>
          </w:tcPr>
          <w:p w14:paraId="142C0EBC">
            <w:pPr>
              <w:pStyle w:val="9"/>
              <w:spacing w:line="240" w:lineRule="atLeast"/>
              <w:ind w:left="1080" w:leftChars="257" w:hanging="540"/>
              <w:jc w:val="center"/>
              <w:rPr>
                <w:rFonts w:hint="eastAsia" w:ascii="仿宋" w:hAnsi="仿宋" w:eastAsia="仿宋" w:cs="仿宋"/>
                <w:color w:val="auto"/>
                <w:sz w:val="24"/>
                <w:highlight w:val="none"/>
              </w:rPr>
            </w:pPr>
          </w:p>
        </w:tc>
        <w:tc>
          <w:tcPr>
            <w:tcW w:w="1213" w:type="dxa"/>
            <w:noWrap/>
            <w:vAlign w:val="center"/>
          </w:tcPr>
          <w:p w14:paraId="1AD19035">
            <w:pPr>
              <w:pStyle w:val="9"/>
              <w:spacing w:line="240" w:lineRule="atLeast"/>
              <w:ind w:left="1080" w:leftChars="257" w:hanging="540"/>
              <w:jc w:val="center"/>
              <w:rPr>
                <w:rFonts w:hint="eastAsia" w:ascii="仿宋" w:hAnsi="仿宋" w:eastAsia="仿宋" w:cs="仿宋"/>
                <w:color w:val="auto"/>
                <w:sz w:val="24"/>
                <w:highlight w:val="none"/>
              </w:rPr>
            </w:pPr>
          </w:p>
        </w:tc>
        <w:tc>
          <w:tcPr>
            <w:tcW w:w="1100" w:type="dxa"/>
            <w:noWrap/>
            <w:vAlign w:val="center"/>
          </w:tcPr>
          <w:p w14:paraId="3DAC6F56">
            <w:pPr>
              <w:pStyle w:val="9"/>
              <w:spacing w:line="240" w:lineRule="atLeast"/>
              <w:ind w:left="1080" w:leftChars="257" w:hanging="540"/>
              <w:jc w:val="center"/>
              <w:rPr>
                <w:rFonts w:hint="eastAsia" w:ascii="仿宋" w:hAnsi="仿宋" w:eastAsia="仿宋" w:cs="仿宋"/>
                <w:color w:val="auto"/>
                <w:sz w:val="24"/>
                <w:highlight w:val="none"/>
              </w:rPr>
            </w:pPr>
          </w:p>
        </w:tc>
        <w:tc>
          <w:tcPr>
            <w:tcW w:w="1318" w:type="dxa"/>
            <w:noWrap/>
            <w:vAlign w:val="center"/>
          </w:tcPr>
          <w:p w14:paraId="5AE35283">
            <w:pPr>
              <w:pStyle w:val="9"/>
              <w:spacing w:line="240" w:lineRule="atLeast"/>
              <w:ind w:left="1080" w:leftChars="257" w:hanging="540"/>
              <w:jc w:val="center"/>
              <w:rPr>
                <w:rFonts w:hint="eastAsia" w:ascii="仿宋" w:hAnsi="仿宋" w:eastAsia="仿宋" w:cs="仿宋"/>
                <w:color w:val="auto"/>
                <w:sz w:val="24"/>
                <w:highlight w:val="none"/>
              </w:rPr>
            </w:pPr>
          </w:p>
        </w:tc>
        <w:tc>
          <w:tcPr>
            <w:tcW w:w="967" w:type="dxa"/>
            <w:noWrap/>
            <w:vAlign w:val="center"/>
          </w:tcPr>
          <w:p w14:paraId="24C39878">
            <w:pPr>
              <w:pStyle w:val="9"/>
              <w:spacing w:line="240" w:lineRule="atLeast"/>
              <w:ind w:left="1080" w:leftChars="257" w:hanging="540"/>
              <w:jc w:val="center"/>
              <w:rPr>
                <w:rFonts w:hint="eastAsia" w:ascii="仿宋" w:hAnsi="仿宋" w:eastAsia="仿宋" w:cs="仿宋"/>
                <w:color w:val="auto"/>
                <w:sz w:val="24"/>
                <w:highlight w:val="none"/>
              </w:rPr>
            </w:pPr>
          </w:p>
        </w:tc>
        <w:tc>
          <w:tcPr>
            <w:tcW w:w="1240" w:type="dxa"/>
            <w:noWrap/>
            <w:vAlign w:val="center"/>
          </w:tcPr>
          <w:p w14:paraId="00FD5879">
            <w:pPr>
              <w:pStyle w:val="9"/>
              <w:spacing w:line="240" w:lineRule="atLeast"/>
              <w:ind w:left="1080" w:leftChars="257" w:hanging="540"/>
              <w:jc w:val="center"/>
              <w:rPr>
                <w:rFonts w:hint="eastAsia" w:ascii="仿宋" w:hAnsi="仿宋" w:eastAsia="仿宋" w:cs="仿宋"/>
                <w:color w:val="auto"/>
                <w:sz w:val="24"/>
                <w:highlight w:val="none"/>
              </w:rPr>
            </w:pPr>
          </w:p>
        </w:tc>
        <w:tc>
          <w:tcPr>
            <w:tcW w:w="1462" w:type="dxa"/>
            <w:noWrap/>
            <w:vAlign w:val="center"/>
          </w:tcPr>
          <w:p w14:paraId="6881C328">
            <w:pPr>
              <w:pStyle w:val="9"/>
              <w:spacing w:line="240" w:lineRule="atLeast"/>
              <w:ind w:left="1080" w:leftChars="257" w:hanging="540"/>
              <w:jc w:val="center"/>
              <w:rPr>
                <w:rFonts w:hint="eastAsia" w:ascii="仿宋" w:hAnsi="仿宋" w:eastAsia="仿宋" w:cs="仿宋"/>
                <w:color w:val="auto"/>
                <w:sz w:val="24"/>
                <w:highlight w:val="none"/>
              </w:rPr>
            </w:pPr>
          </w:p>
        </w:tc>
      </w:tr>
      <w:tr w14:paraId="2AD8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3EC6F11B">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690" w:type="dxa"/>
            <w:noWrap/>
            <w:vAlign w:val="center"/>
          </w:tcPr>
          <w:p w14:paraId="2E9A8104">
            <w:pPr>
              <w:jc w:val="both"/>
              <w:textAlignment w:val="center"/>
              <w:rPr>
                <w:rFonts w:hint="eastAsia" w:ascii="仿宋" w:hAnsi="仿宋" w:eastAsia="仿宋" w:cs="仿宋"/>
                <w:color w:val="auto"/>
                <w:sz w:val="24"/>
                <w:highlight w:val="none"/>
              </w:rPr>
            </w:pPr>
          </w:p>
        </w:tc>
        <w:tc>
          <w:tcPr>
            <w:tcW w:w="1425" w:type="dxa"/>
            <w:noWrap/>
            <w:vAlign w:val="center"/>
          </w:tcPr>
          <w:p w14:paraId="0E1F87CD">
            <w:pPr>
              <w:pStyle w:val="9"/>
              <w:spacing w:line="240" w:lineRule="atLeast"/>
              <w:ind w:left="1080" w:leftChars="257" w:hanging="540"/>
              <w:jc w:val="center"/>
              <w:rPr>
                <w:rFonts w:hint="eastAsia" w:ascii="仿宋" w:hAnsi="仿宋" w:eastAsia="仿宋" w:cs="仿宋"/>
                <w:color w:val="auto"/>
                <w:sz w:val="24"/>
                <w:highlight w:val="none"/>
              </w:rPr>
            </w:pPr>
          </w:p>
        </w:tc>
        <w:tc>
          <w:tcPr>
            <w:tcW w:w="1212" w:type="dxa"/>
            <w:noWrap/>
            <w:vAlign w:val="center"/>
          </w:tcPr>
          <w:p w14:paraId="2CF078DA">
            <w:pPr>
              <w:pStyle w:val="9"/>
              <w:spacing w:line="240" w:lineRule="atLeast"/>
              <w:ind w:left="1080" w:leftChars="257" w:hanging="540"/>
              <w:jc w:val="center"/>
              <w:rPr>
                <w:rFonts w:hint="eastAsia" w:ascii="仿宋" w:hAnsi="仿宋" w:eastAsia="仿宋" w:cs="仿宋"/>
                <w:color w:val="auto"/>
                <w:sz w:val="24"/>
                <w:highlight w:val="none"/>
              </w:rPr>
            </w:pPr>
          </w:p>
        </w:tc>
        <w:tc>
          <w:tcPr>
            <w:tcW w:w="1213" w:type="dxa"/>
            <w:noWrap/>
            <w:vAlign w:val="center"/>
          </w:tcPr>
          <w:p w14:paraId="315DF005">
            <w:pPr>
              <w:pStyle w:val="9"/>
              <w:spacing w:line="240" w:lineRule="atLeast"/>
              <w:ind w:left="1080" w:leftChars="257" w:hanging="540"/>
              <w:jc w:val="center"/>
              <w:rPr>
                <w:rFonts w:hint="eastAsia" w:ascii="仿宋" w:hAnsi="仿宋" w:eastAsia="仿宋" w:cs="仿宋"/>
                <w:color w:val="auto"/>
                <w:sz w:val="24"/>
                <w:highlight w:val="none"/>
              </w:rPr>
            </w:pPr>
          </w:p>
        </w:tc>
        <w:tc>
          <w:tcPr>
            <w:tcW w:w="1100" w:type="dxa"/>
            <w:noWrap/>
            <w:vAlign w:val="center"/>
          </w:tcPr>
          <w:p w14:paraId="0C441E26">
            <w:pPr>
              <w:pStyle w:val="9"/>
              <w:spacing w:line="240" w:lineRule="atLeast"/>
              <w:ind w:left="1080" w:leftChars="257" w:hanging="540"/>
              <w:jc w:val="center"/>
              <w:rPr>
                <w:rFonts w:hint="eastAsia" w:ascii="仿宋" w:hAnsi="仿宋" w:eastAsia="仿宋" w:cs="仿宋"/>
                <w:color w:val="auto"/>
                <w:sz w:val="24"/>
                <w:highlight w:val="none"/>
              </w:rPr>
            </w:pPr>
          </w:p>
        </w:tc>
        <w:tc>
          <w:tcPr>
            <w:tcW w:w="1318" w:type="dxa"/>
            <w:noWrap/>
            <w:vAlign w:val="center"/>
          </w:tcPr>
          <w:p w14:paraId="278870D6">
            <w:pPr>
              <w:pStyle w:val="9"/>
              <w:spacing w:line="240" w:lineRule="atLeast"/>
              <w:ind w:left="1080" w:leftChars="257" w:hanging="540"/>
              <w:jc w:val="center"/>
              <w:rPr>
                <w:rFonts w:hint="eastAsia" w:ascii="仿宋" w:hAnsi="仿宋" w:eastAsia="仿宋" w:cs="仿宋"/>
                <w:color w:val="auto"/>
                <w:sz w:val="24"/>
                <w:highlight w:val="none"/>
              </w:rPr>
            </w:pPr>
          </w:p>
        </w:tc>
        <w:tc>
          <w:tcPr>
            <w:tcW w:w="967" w:type="dxa"/>
            <w:noWrap/>
            <w:vAlign w:val="center"/>
          </w:tcPr>
          <w:p w14:paraId="321EF7FD">
            <w:pPr>
              <w:pStyle w:val="9"/>
              <w:spacing w:line="240" w:lineRule="atLeast"/>
              <w:ind w:left="1080" w:leftChars="257" w:hanging="540"/>
              <w:jc w:val="center"/>
              <w:rPr>
                <w:rFonts w:hint="eastAsia" w:ascii="仿宋" w:hAnsi="仿宋" w:eastAsia="仿宋" w:cs="仿宋"/>
                <w:color w:val="auto"/>
                <w:sz w:val="24"/>
                <w:highlight w:val="none"/>
              </w:rPr>
            </w:pPr>
          </w:p>
        </w:tc>
        <w:tc>
          <w:tcPr>
            <w:tcW w:w="1240" w:type="dxa"/>
            <w:noWrap/>
            <w:vAlign w:val="center"/>
          </w:tcPr>
          <w:p w14:paraId="29C60E90">
            <w:pPr>
              <w:pStyle w:val="9"/>
              <w:spacing w:line="240" w:lineRule="atLeast"/>
              <w:ind w:left="1080" w:leftChars="257" w:hanging="540"/>
              <w:jc w:val="center"/>
              <w:rPr>
                <w:rFonts w:hint="eastAsia" w:ascii="仿宋" w:hAnsi="仿宋" w:eastAsia="仿宋" w:cs="仿宋"/>
                <w:color w:val="auto"/>
                <w:sz w:val="24"/>
                <w:highlight w:val="none"/>
              </w:rPr>
            </w:pPr>
          </w:p>
        </w:tc>
        <w:tc>
          <w:tcPr>
            <w:tcW w:w="1462" w:type="dxa"/>
            <w:noWrap/>
            <w:vAlign w:val="center"/>
          </w:tcPr>
          <w:p w14:paraId="54E89C31">
            <w:pPr>
              <w:pStyle w:val="9"/>
              <w:spacing w:line="240" w:lineRule="atLeast"/>
              <w:ind w:left="1080" w:leftChars="257" w:hanging="540"/>
              <w:jc w:val="center"/>
              <w:rPr>
                <w:rFonts w:hint="eastAsia" w:ascii="仿宋" w:hAnsi="仿宋" w:eastAsia="仿宋" w:cs="仿宋"/>
                <w:color w:val="auto"/>
                <w:sz w:val="24"/>
                <w:highlight w:val="none"/>
              </w:rPr>
            </w:pPr>
          </w:p>
        </w:tc>
      </w:tr>
      <w:tr w14:paraId="55D2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5332E003">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690" w:type="dxa"/>
            <w:noWrap/>
            <w:vAlign w:val="center"/>
          </w:tcPr>
          <w:p w14:paraId="039A3A50">
            <w:pPr>
              <w:jc w:val="both"/>
              <w:textAlignment w:val="center"/>
              <w:rPr>
                <w:rFonts w:hint="eastAsia" w:ascii="仿宋" w:hAnsi="仿宋" w:eastAsia="仿宋" w:cs="仿宋"/>
                <w:color w:val="auto"/>
                <w:sz w:val="24"/>
                <w:highlight w:val="none"/>
              </w:rPr>
            </w:pPr>
          </w:p>
        </w:tc>
        <w:tc>
          <w:tcPr>
            <w:tcW w:w="1425" w:type="dxa"/>
            <w:noWrap/>
            <w:vAlign w:val="center"/>
          </w:tcPr>
          <w:p w14:paraId="23C5BDC6">
            <w:pPr>
              <w:pStyle w:val="9"/>
              <w:spacing w:line="240" w:lineRule="atLeast"/>
              <w:ind w:left="1080" w:leftChars="257" w:hanging="540"/>
              <w:jc w:val="center"/>
              <w:rPr>
                <w:rFonts w:hint="eastAsia" w:ascii="仿宋" w:hAnsi="仿宋" w:eastAsia="仿宋" w:cs="仿宋"/>
                <w:color w:val="auto"/>
                <w:sz w:val="24"/>
                <w:highlight w:val="none"/>
              </w:rPr>
            </w:pPr>
          </w:p>
        </w:tc>
        <w:tc>
          <w:tcPr>
            <w:tcW w:w="1212" w:type="dxa"/>
            <w:noWrap/>
            <w:vAlign w:val="center"/>
          </w:tcPr>
          <w:p w14:paraId="4D3E74E8">
            <w:pPr>
              <w:pStyle w:val="9"/>
              <w:spacing w:line="240" w:lineRule="atLeast"/>
              <w:ind w:left="1080" w:leftChars="257" w:hanging="540"/>
              <w:jc w:val="center"/>
              <w:rPr>
                <w:rFonts w:hint="eastAsia" w:ascii="仿宋" w:hAnsi="仿宋" w:eastAsia="仿宋" w:cs="仿宋"/>
                <w:color w:val="auto"/>
                <w:sz w:val="24"/>
                <w:highlight w:val="none"/>
              </w:rPr>
            </w:pPr>
          </w:p>
        </w:tc>
        <w:tc>
          <w:tcPr>
            <w:tcW w:w="1213" w:type="dxa"/>
            <w:noWrap/>
            <w:vAlign w:val="center"/>
          </w:tcPr>
          <w:p w14:paraId="54880644">
            <w:pPr>
              <w:pStyle w:val="9"/>
              <w:spacing w:line="240" w:lineRule="atLeast"/>
              <w:ind w:left="1080" w:leftChars="257" w:hanging="540"/>
              <w:jc w:val="center"/>
              <w:rPr>
                <w:rFonts w:hint="eastAsia" w:ascii="仿宋" w:hAnsi="仿宋" w:eastAsia="仿宋" w:cs="仿宋"/>
                <w:color w:val="auto"/>
                <w:sz w:val="24"/>
                <w:highlight w:val="none"/>
              </w:rPr>
            </w:pPr>
          </w:p>
        </w:tc>
        <w:tc>
          <w:tcPr>
            <w:tcW w:w="1100" w:type="dxa"/>
            <w:noWrap/>
            <w:vAlign w:val="center"/>
          </w:tcPr>
          <w:p w14:paraId="39404FD2">
            <w:pPr>
              <w:pStyle w:val="9"/>
              <w:spacing w:line="240" w:lineRule="atLeast"/>
              <w:ind w:left="1080" w:leftChars="257" w:hanging="540"/>
              <w:jc w:val="center"/>
              <w:rPr>
                <w:rFonts w:hint="eastAsia" w:ascii="仿宋" w:hAnsi="仿宋" w:eastAsia="仿宋" w:cs="仿宋"/>
                <w:color w:val="auto"/>
                <w:sz w:val="24"/>
                <w:highlight w:val="none"/>
              </w:rPr>
            </w:pPr>
          </w:p>
        </w:tc>
        <w:tc>
          <w:tcPr>
            <w:tcW w:w="1318" w:type="dxa"/>
            <w:noWrap/>
            <w:vAlign w:val="center"/>
          </w:tcPr>
          <w:p w14:paraId="7B3D44DB">
            <w:pPr>
              <w:pStyle w:val="9"/>
              <w:spacing w:line="240" w:lineRule="atLeast"/>
              <w:ind w:left="1080" w:leftChars="257" w:hanging="540"/>
              <w:jc w:val="center"/>
              <w:rPr>
                <w:rFonts w:hint="eastAsia" w:ascii="仿宋" w:hAnsi="仿宋" w:eastAsia="仿宋" w:cs="仿宋"/>
                <w:color w:val="auto"/>
                <w:sz w:val="24"/>
                <w:highlight w:val="none"/>
              </w:rPr>
            </w:pPr>
          </w:p>
        </w:tc>
        <w:tc>
          <w:tcPr>
            <w:tcW w:w="967" w:type="dxa"/>
            <w:noWrap/>
            <w:vAlign w:val="center"/>
          </w:tcPr>
          <w:p w14:paraId="69A04929">
            <w:pPr>
              <w:pStyle w:val="9"/>
              <w:spacing w:line="240" w:lineRule="atLeast"/>
              <w:ind w:left="1080" w:leftChars="257" w:hanging="540"/>
              <w:jc w:val="center"/>
              <w:rPr>
                <w:rFonts w:hint="eastAsia" w:ascii="仿宋" w:hAnsi="仿宋" w:eastAsia="仿宋" w:cs="仿宋"/>
                <w:color w:val="auto"/>
                <w:sz w:val="24"/>
                <w:highlight w:val="none"/>
              </w:rPr>
            </w:pPr>
          </w:p>
        </w:tc>
        <w:tc>
          <w:tcPr>
            <w:tcW w:w="1240" w:type="dxa"/>
            <w:noWrap/>
            <w:vAlign w:val="center"/>
          </w:tcPr>
          <w:p w14:paraId="6F7A29C8">
            <w:pPr>
              <w:pStyle w:val="9"/>
              <w:spacing w:line="240" w:lineRule="atLeast"/>
              <w:ind w:left="1080" w:leftChars="257" w:hanging="540"/>
              <w:jc w:val="center"/>
              <w:rPr>
                <w:rFonts w:hint="eastAsia" w:ascii="仿宋" w:hAnsi="仿宋" w:eastAsia="仿宋" w:cs="仿宋"/>
                <w:color w:val="auto"/>
                <w:sz w:val="24"/>
                <w:highlight w:val="none"/>
              </w:rPr>
            </w:pPr>
          </w:p>
        </w:tc>
        <w:tc>
          <w:tcPr>
            <w:tcW w:w="1462" w:type="dxa"/>
            <w:noWrap/>
            <w:vAlign w:val="center"/>
          </w:tcPr>
          <w:p w14:paraId="00D17C04">
            <w:pPr>
              <w:pStyle w:val="9"/>
              <w:spacing w:line="240" w:lineRule="atLeast"/>
              <w:ind w:left="1080" w:leftChars="257" w:hanging="540"/>
              <w:jc w:val="center"/>
              <w:rPr>
                <w:rFonts w:hint="eastAsia" w:ascii="仿宋" w:hAnsi="仿宋" w:eastAsia="仿宋" w:cs="仿宋"/>
                <w:color w:val="auto"/>
                <w:sz w:val="24"/>
                <w:highlight w:val="none"/>
              </w:rPr>
            </w:pPr>
          </w:p>
        </w:tc>
      </w:tr>
      <w:tr w14:paraId="01B0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630" w:type="dxa"/>
            <w:noWrap/>
            <w:vAlign w:val="center"/>
          </w:tcPr>
          <w:p w14:paraId="17628495">
            <w:pPr>
              <w:pStyle w:val="9"/>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690" w:type="dxa"/>
            <w:noWrap/>
            <w:vAlign w:val="center"/>
          </w:tcPr>
          <w:p w14:paraId="7A2F0A2A">
            <w:pPr>
              <w:jc w:val="both"/>
              <w:textAlignment w:val="center"/>
              <w:rPr>
                <w:rFonts w:hint="eastAsia" w:ascii="仿宋" w:hAnsi="仿宋" w:eastAsia="仿宋" w:cs="仿宋"/>
                <w:color w:val="auto"/>
                <w:sz w:val="24"/>
                <w:highlight w:val="none"/>
              </w:rPr>
            </w:pPr>
          </w:p>
        </w:tc>
        <w:tc>
          <w:tcPr>
            <w:tcW w:w="1425" w:type="dxa"/>
            <w:noWrap/>
            <w:vAlign w:val="center"/>
          </w:tcPr>
          <w:p w14:paraId="119889E8">
            <w:pPr>
              <w:pStyle w:val="9"/>
              <w:spacing w:line="240" w:lineRule="atLeast"/>
              <w:ind w:left="1080" w:leftChars="257" w:hanging="540"/>
              <w:jc w:val="center"/>
              <w:rPr>
                <w:rFonts w:hint="eastAsia" w:ascii="仿宋" w:hAnsi="仿宋" w:eastAsia="仿宋" w:cs="仿宋"/>
                <w:color w:val="auto"/>
                <w:sz w:val="24"/>
                <w:highlight w:val="none"/>
              </w:rPr>
            </w:pPr>
          </w:p>
        </w:tc>
        <w:tc>
          <w:tcPr>
            <w:tcW w:w="1212" w:type="dxa"/>
            <w:noWrap/>
            <w:vAlign w:val="center"/>
          </w:tcPr>
          <w:p w14:paraId="73898FEA">
            <w:pPr>
              <w:pStyle w:val="9"/>
              <w:spacing w:line="240" w:lineRule="atLeast"/>
              <w:ind w:left="1080" w:leftChars="257" w:hanging="540"/>
              <w:jc w:val="center"/>
              <w:rPr>
                <w:rFonts w:hint="eastAsia" w:ascii="仿宋" w:hAnsi="仿宋" w:eastAsia="仿宋" w:cs="仿宋"/>
                <w:color w:val="auto"/>
                <w:sz w:val="24"/>
                <w:highlight w:val="none"/>
              </w:rPr>
            </w:pPr>
          </w:p>
        </w:tc>
        <w:tc>
          <w:tcPr>
            <w:tcW w:w="1213" w:type="dxa"/>
            <w:noWrap/>
            <w:vAlign w:val="center"/>
          </w:tcPr>
          <w:p w14:paraId="4CB304E8">
            <w:pPr>
              <w:pStyle w:val="9"/>
              <w:spacing w:line="240" w:lineRule="atLeast"/>
              <w:ind w:left="1080" w:leftChars="257" w:hanging="540"/>
              <w:jc w:val="center"/>
              <w:rPr>
                <w:rFonts w:hint="eastAsia" w:ascii="仿宋" w:hAnsi="仿宋" w:eastAsia="仿宋" w:cs="仿宋"/>
                <w:color w:val="auto"/>
                <w:sz w:val="24"/>
                <w:highlight w:val="none"/>
              </w:rPr>
            </w:pPr>
          </w:p>
        </w:tc>
        <w:tc>
          <w:tcPr>
            <w:tcW w:w="1100" w:type="dxa"/>
            <w:noWrap/>
            <w:vAlign w:val="center"/>
          </w:tcPr>
          <w:p w14:paraId="4295B33E">
            <w:pPr>
              <w:pStyle w:val="9"/>
              <w:spacing w:line="240" w:lineRule="atLeast"/>
              <w:ind w:left="1080" w:leftChars="257" w:hanging="540"/>
              <w:jc w:val="center"/>
              <w:rPr>
                <w:rFonts w:hint="eastAsia" w:ascii="仿宋" w:hAnsi="仿宋" w:eastAsia="仿宋" w:cs="仿宋"/>
                <w:color w:val="auto"/>
                <w:sz w:val="24"/>
                <w:highlight w:val="none"/>
              </w:rPr>
            </w:pPr>
          </w:p>
        </w:tc>
        <w:tc>
          <w:tcPr>
            <w:tcW w:w="1318" w:type="dxa"/>
            <w:noWrap/>
            <w:vAlign w:val="center"/>
          </w:tcPr>
          <w:p w14:paraId="3D48C405">
            <w:pPr>
              <w:pStyle w:val="9"/>
              <w:spacing w:line="240" w:lineRule="atLeast"/>
              <w:ind w:left="1080" w:leftChars="257" w:hanging="540"/>
              <w:jc w:val="center"/>
              <w:rPr>
                <w:rFonts w:hint="eastAsia" w:ascii="仿宋" w:hAnsi="仿宋" w:eastAsia="仿宋" w:cs="仿宋"/>
                <w:color w:val="auto"/>
                <w:sz w:val="24"/>
                <w:highlight w:val="none"/>
              </w:rPr>
            </w:pPr>
          </w:p>
        </w:tc>
        <w:tc>
          <w:tcPr>
            <w:tcW w:w="967" w:type="dxa"/>
            <w:noWrap/>
            <w:vAlign w:val="center"/>
          </w:tcPr>
          <w:p w14:paraId="1DBD9145">
            <w:pPr>
              <w:pStyle w:val="9"/>
              <w:spacing w:line="240" w:lineRule="atLeast"/>
              <w:ind w:left="1080" w:leftChars="257" w:hanging="540"/>
              <w:jc w:val="center"/>
              <w:rPr>
                <w:rFonts w:hint="eastAsia" w:ascii="仿宋" w:hAnsi="仿宋" w:eastAsia="仿宋" w:cs="仿宋"/>
                <w:color w:val="auto"/>
                <w:sz w:val="24"/>
                <w:highlight w:val="none"/>
              </w:rPr>
            </w:pPr>
          </w:p>
        </w:tc>
        <w:tc>
          <w:tcPr>
            <w:tcW w:w="1240" w:type="dxa"/>
            <w:noWrap/>
            <w:vAlign w:val="center"/>
          </w:tcPr>
          <w:p w14:paraId="4514649A">
            <w:pPr>
              <w:pStyle w:val="9"/>
              <w:spacing w:line="240" w:lineRule="atLeast"/>
              <w:ind w:left="1080" w:leftChars="257" w:hanging="540"/>
              <w:jc w:val="center"/>
              <w:rPr>
                <w:rFonts w:hint="eastAsia" w:ascii="仿宋" w:hAnsi="仿宋" w:eastAsia="仿宋" w:cs="仿宋"/>
                <w:color w:val="auto"/>
                <w:sz w:val="24"/>
                <w:highlight w:val="none"/>
              </w:rPr>
            </w:pPr>
          </w:p>
        </w:tc>
        <w:tc>
          <w:tcPr>
            <w:tcW w:w="1462" w:type="dxa"/>
            <w:noWrap/>
            <w:vAlign w:val="center"/>
          </w:tcPr>
          <w:p w14:paraId="4E6EA511">
            <w:pPr>
              <w:pStyle w:val="9"/>
              <w:spacing w:line="240" w:lineRule="atLeast"/>
              <w:ind w:left="1080" w:leftChars="257" w:hanging="540"/>
              <w:jc w:val="center"/>
              <w:rPr>
                <w:rFonts w:hint="eastAsia" w:ascii="仿宋" w:hAnsi="仿宋" w:eastAsia="仿宋" w:cs="仿宋"/>
                <w:color w:val="auto"/>
                <w:sz w:val="24"/>
                <w:highlight w:val="none"/>
              </w:rPr>
            </w:pPr>
          </w:p>
        </w:tc>
      </w:tr>
      <w:tr w14:paraId="5482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0795" w:type="dxa"/>
            <w:gridSpan w:val="9"/>
            <w:noWrap/>
            <w:vAlign w:val="center"/>
          </w:tcPr>
          <w:p w14:paraId="4E4FC438">
            <w:pPr>
              <w:pStyle w:val="9"/>
              <w:spacing w:line="240" w:lineRule="atLeast"/>
              <w:ind w:left="1080" w:leftChars="257" w:hanging="540"/>
              <w:jc w:val="both"/>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lang w:eastAsia="zh-CN"/>
              </w:rPr>
              <w:t>总价（元）</w:t>
            </w:r>
          </w:p>
        </w:tc>
        <w:tc>
          <w:tcPr>
            <w:tcW w:w="1462" w:type="dxa"/>
            <w:noWrap/>
            <w:vAlign w:val="center"/>
          </w:tcPr>
          <w:p w14:paraId="6DCD4526">
            <w:pPr>
              <w:pStyle w:val="9"/>
              <w:spacing w:line="240" w:lineRule="atLeast"/>
              <w:ind w:left="1080" w:leftChars="257" w:hanging="540"/>
              <w:jc w:val="center"/>
              <w:rPr>
                <w:rFonts w:hint="eastAsia" w:ascii="仿宋" w:hAnsi="仿宋" w:eastAsia="仿宋" w:cs="仿宋"/>
                <w:color w:val="auto"/>
                <w:sz w:val="24"/>
                <w:highlight w:val="none"/>
              </w:rPr>
            </w:pPr>
          </w:p>
        </w:tc>
      </w:tr>
    </w:tbl>
    <w:p w14:paraId="070187F5">
      <w:pPr>
        <w:spacing w:line="41" w:lineRule="exact"/>
        <w:rPr>
          <w:color w:val="auto"/>
          <w:highlight w:val="none"/>
        </w:rPr>
      </w:pPr>
    </w:p>
    <w:p w14:paraId="2FA0FC6A">
      <w:pPr>
        <w:spacing w:before="39" w:line="241" w:lineRule="auto"/>
        <w:rPr>
          <w:rFonts w:ascii="宋体" w:hAnsi="宋体" w:eastAsia="宋体" w:cs="宋体"/>
          <w:color w:val="auto"/>
          <w:spacing w:val="-1"/>
          <w:sz w:val="28"/>
          <w:szCs w:val="28"/>
          <w:highlight w:val="none"/>
        </w:rPr>
      </w:pPr>
    </w:p>
    <w:p w14:paraId="637637FC">
      <w:pPr>
        <w:spacing w:before="39" w:line="241" w:lineRule="auto"/>
        <w:ind w:left="558"/>
        <w:rPr>
          <w:rFonts w:ascii="宋体" w:hAnsi="宋体" w:eastAsia="宋体" w:cs="宋体"/>
          <w:color w:val="auto"/>
          <w:spacing w:val="-1"/>
          <w:sz w:val="28"/>
          <w:szCs w:val="28"/>
          <w:highlight w:val="none"/>
        </w:rPr>
      </w:pPr>
    </w:p>
    <w:p w14:paraId="77FDAA09">
      <w:pPr>
        <w:spacing w:before="39" w:line="241" w:lineRule="auto"/>
        <w:ind w:left="558"/>
        <w:rPr>
          <w:rFonts w:ascii="宋体" w:hAnsi="宋体" w:eastAsia="宋体" w:cs="宋体"/>
          <w:color w:val="auto"/>
          <w:spacing w:val="-1"/>
          <w:sz w:val="28"/>
          <w:szCs w:val="28"/>
          <w:highlight w:val="none"/>
        </w:rPr>
      </w:pPr>
    </w:p>
    <w:p w14:paraId="5D6DFE8C">
      <w:pPr>
        <w:spacing w:before="39" w:line="241" w:lineRule="auto"/>
        <w:ind w:left="558"/>
        <w:rPr>
          <w:rFonts w:ascii="宋体" w:hAnsi="宋体" w:eastAsia="宋体" w:cs="宋体"/>
          <w:color w:val="auto"/>
          <w:spacing w:val="-1"/>
          <w:sz w:val="28"/>
          <w:szCs w:val="28"/>
          <w:highlight w:val="none"/>
        </w:rPr>
      </w:pPr>
    </w:p>
    <w:p w14:paraId="4EB4EDE5">
      <w:pPr>
        <w:spacing w:before="39" w:line="241" w:lineRule="auto"/>
        <w:ind w:left="558"/>
        <w:rPr>
          <w:rFonts w:ascii="宋体" w:hAnsi="宋体" w:eastAsia="宋体" w:cs="宋体"/>
          <w:color w:val="auto"/>
          <w:spacing w:val="-1"/>
          <w:sz w:val="28"/>
          <w:szCs w:val="28"/>
          <w:highlight w:val="none"/>
        </w:rPr>
      </w:pPr>
    </w:p>
    <w:p w14:paraId="315A7849">
      <w:pPr>
        <w:spacing w:before="39" w:line="241" w:lineRule="auto"/>
        <w:ind w:left="558"/>
        <w:rPr>
          <w:rFonts w:ascii="宋体" w:hAnsi="宋体" w:eastAsia="宋体" w:cs="宋体"/>
          <w:color w:val="auto"/>
          <w:spacing w:val="-1"/>
          <w:sz w:val="28"/>
          <w:szCs w:val="28"/>
          <w:highlight w:val="none"/>
        </w:rPr>
      </w:pPr>
    </w:p>
    <w:p w14:paraId="3BFC806F">
      <w:pPr>
        <w:spacing w:before="39" w:line="241" w:lineRule="auto"/>
        <w:ind w:left="558"/>
        <w:rPr>
          <w:rFonts w:ascii="宋体" w:hAnsi="宋体" w:eastAsia="宋体" w:cs="宋体"/>
          <w:color w:val="auto"/>
          <w:spacing w:val="-1"/>
          <w:sz w:val="28"/>
          <w:szCs w:val="28"/>
          <w:highlight w:val="none"/>
        </w:rPr>
      </w:pPr>
    </w:p>
    <w:p w14:paraId="0B95E161">
      <w:pPr>
        <w:spacing w:before="39" w:line="241" w:lineRule="auto"/>
        <w:ind w:left="558"/>
        <w:rPr>
          <w:rFonts w:ascii="宋体" w:hAnsi="宋体" w:eastAsia="宋体" w:cs="宋体"/>
          <w:color w:val="auto"/>
          <w:spacing w:val="-1"/>
          <w:sz w:val="28"/>
          <w:szCs w:val="28"/>
          <w:highlight w:val="none"/>
        </w:rPr>
      </w:pPr>
    </w:p>
    <w:p w14:paraId="0E9DCA76">
      <w:pPr>
        <w:spacing w:before="39" w:line="241" w:lineRule="auto"/>
        <w:ind w:left="558"/>
        <w:rPr>
          <w:rFonts w:ascii="宋体" w:hAnsi="宋体" w:eastAsia="宋体" w:cs="宋体"/>
          <w:color w:val="auto"/>
          <w:spacing w:val="-1"/>
          <w:sz w:val="28"/>
          <w:szCs w:val="28"/>
          <w:highlight w:val="none"/>
        </w:rPr>
      </w:pPr>
    </w:p>
    <w:p w14:paraId="5839C900">
      <w:pPr>
        <w:spacing w:before="39" w:line="241" w:lineRule="auto"/>
        <w:ind w:left="558"/>
        <w:rPr>
          <w:rFonts w:ascii="宋体" w:hAnsi="宋体" w:eastAsia="宋体" w:cs="宋体"/>
          <w:color w:val="auto"/>
          <w:spacing w:val="-1"/>
          <w:sz w:val="28"/>
          <w:szCs w:val="28"/>
          <w:highlight w:val="none"/>
        </w:rPr>
      </w:pPr>
    </w:p>
    <w:p w14:paraId="583EE304">
      <w:pPr>
        <w:spacing w:before="39" w:line="241" w:lineRule="auto"/>
        <w:rPr>
          <w:rFonts w:ascii="宋体" w:hAnsi="宋体" w:eastAsia="宋体" w:cs="宋体"/>
          <w:color w:val="auto"/>
          <w:spacing w:val="-1"/>
          <w:sz w:val="28"/>
          <w:szCs w:val="28"/>
          <w:highlight w:val="none"/>
        </w:rPr>
      </w:pPr>
    </w:p>
    <w:p w14:paraId="10E6EC3D">
      <w:pPr>
        <w:spacing w:before="39" w:line="241" w:lineRule="auto"/>
        <w:rPr>
          <w:rFonts w:ascii="宋体" w:hAnsi="宋体" w:eastAsia="宋体" w:cs="宋体"/>
          <w:color w:val="auto"/>
          <w:spacing w:val="-1"/>
          <w:sz w:val="28"/>
          <w:szCs w:val="28"/>
          <w:highlight w:val="none"/>
        </w:rPr>
      </w:pPr>
    </w:p>
    <w:p w14:paraId="033EFD4B">
      <w:pPr>
        <w:spacing w:before="39" w:line="241" w:lineRule="auto"/>
        <w:rPr>
          <w:rFonts w:ascii="宋体" w:hAnsi="宋体" w:eastAsia="宋体" w:cs="宋体"/>
          <w:color w:val="auto"/>
          <w:spacing w:val="-1"/>
          <w:sz w:val="28"/>
          <w:szCs w:val="28"/>
          <w:highlight w:val="none"/>
        </w:rPr>
      </w:pPr>
    </w:p>
    <w:p w14:paraId="65B49F27">
      <w:pPr>
        <w:keepNext w:val="0"/>
        <w:keepLines w:val="0"/>
        <w:pageBreakBefore w:val="0"/>
        <w:widowControl/>
        <w:kinsoku w:val="0"/>
        <w:wordWrap/>
        <w:overflowPunct/>
        <w:topLinePunct w:val="0"/>
        <w:autoSpaceDE w:val="0"/>
        <w:autoSpaceDN w:val="0"/>
        <w:bidi w:val="0"/>
        <w:adjustRightInd w:val="0"/>
        <w:snapToGrid w:val="0"/>
        <w:spacing w:before="39" w:line="300" w:lineRule="exact"/>
        <w:ind w:left="558"/>
        <w:textAlignment w:val="baseline"/>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法定代表人或其委托代理人签字（或盖章）:</w:t>
      </w:r>
    </w:p>
    <w:p w14:paraId="3CB3F22E">
      <w:pPr>
        <w:keepNext w:val="0"/>
        <w:keepLines w:val="0"/>
        <w:pageBreakBefore w:val="0"/>
        <w:widowControl/>
        <w:kinsoku w:val="0"/>
        <w:wordWrap/>
        <w:overflowPunct/>
        <w:topLinePunct w:val="0"/>
        <w:autoSpaceDE w:val="0"/>
        <w:autoSpaceDN w:val="0"/>
        <w:bidi w:val="0"/>
        <w:adjustRightInd w:val="0"/>
        <w:snapToGrid w:val="0"/>
        <w:spacing w:line="300" w:lineRule="exact"/>
        <w:ind w:left="561"/>
        <w:textAlignment w:val="baseline"/>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投标人(盖单位章):</w:t>
      </w:r>
    </w:p>
    <w:p w14:paraId="1E33BEDC">
      <w:pPr>
        <w:keepNext w:val="0"/>
        <w:keepLines w:val="0"/>
        <w:pageBreakBefore w:val="0"/>
        <w:widowControl/>
        <w:kinsoku w:val="0"/>
        <w:wordWrap/>
        <w:overflowPunct/>
        <w:topLinePunct w:val="0"/>
        <w:autoSpaceDE w:val="0"/>
        <w:autoSpaceDN w:val="0"/>
        <w:bidi w:val="0"/>
        <w:adjustRightInd w:val="0"/>
        <w:snapToGrid w:val="0"/>
        <w:spacing w:before="30" w:line="300" w:lineRule="exact"/>
        <w:ind w:left="557"/>
        <w:textAlignment w:val="baseline"/>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注:1.如果投标人认为需要，每种货物填写一份该表。</w:t>
      </w:r>
    </w:p>
    <w:p w14:paraId="78B59624">
      <w:pPr>
        <w:keepNext w:val="0"/>
        <w:keepLines w:val="0"/>
        <w:pageBreakBefore w:val="0"/>
        <w:widowControl/>
        <w:kinsoku w:val="0"/>
        <w:wordWrap/>
        <w:overflowPunct/>
        <w:topLinePunct w:val="0"/>
        <w:autoSpaceDE w:val="0"/>
        <w:autoSpaceDN w:val="0"/>
        <w:bidi w:val="0"/>
        <w:adjustRightInd w:val="0"/>
        <w:snapToGrid w:val="0"/>
        <w:spacing w:before="32" w:line="300" w:lineRule="exact"/>
        <w:ind w:left="1141"/>
        <w:textAlignment w:val="baseline"/>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2.如果按单价计算的结果与总价不一致,以单价为准修正总价。</w:t>
      </w:r>
    </w:p>
    <w:p w14:paraId="721B6D4F">
      <w:pPr>
        <w:keepNext w:val="0"/>
        <w:keepLines w:val="0"/>
        <w:pageBreakBefore w:val="0"/>
        <w:widowControl/>
        <w:kinsoku w:val="0"/>
        <w:wordWrap/>
        <w:overflowPunct/>
        <w:topLinePunct w:val="0"/>
        <w:autoSpaceDE w:val="0"/>
        <w:autoSpaceDN w:val="0"/>
        <w:bidi w:val="0"/>
        <w:adjustRightInd w:val="0"/>
        <w:snapToGrid w:val="0"/>
        <w:spacing w:before="30" w:line="300" w:lineRule="exact"/>
        <w:ind w:left="1115"/>
        <w:textAlignment w:val="baseline"/>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3.上述各项的详细分项报价，可另页描述。</w:t>
      </w:r>
    </w:p>
    <w:p w14:paraId="37672132">
      <w:pPr>
        <w:keepNext w:val="0"/>
        <w:keepLines w:val="0"/>
        <w:pageBreakBefore w:val="0"/>
        <w:widowControl/>
        <w:kinsoku w:val="0"/>
        <w:wordWrap/>
        <w:overflowPunct/>
        <w:topLinePunct w:val="0"/>
        <w:autoSpaceDE w:val="0"/>
        <w:autoSpaceDN w:val="0"/>
        <w:bidi w:val="0"/>
        <w:adjustRightInd w:val="0"/>
        <w:snapToGrid w:val="0"/>
        <w:spacing w:before="31" w:line="300" w:lineRule="exact"/>
        <w:ind w:left="1056" w:leftChars="503" w:firstLine="0" w:firstLineChars="0"/>
        <w:jc w:val="right"/>
        <w:textAlignment w:val="baseline"/>
        <w:rPr>
          <w:rFonts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lang w:val="en-US" w:eastAsia="zh-CN"/>
        </w:rPr>
        <w:t>4</w:t>
      </w:r>
      <w:r>
        <w:rPr>
          <w:rFonts w:ascii="宋体" w:hAnsi="宋体" w:eastAsia="宋体" w:cs="宋体"/>
          <w:color w:val="auto"/>
          <w:spacing w:val="-4"/>
          <w:sz w:val="28"/>
          <w:szCs w:val="28"/>
          <w:highlight w:val="none"/>
        </w:rPr>
        <w:t>.如果开标一览表（报价表）内容与投标</w:t>
      </w:r>
      <w:r>
        <w:rPr>
          <w:rFonts w:ascii="宋体" w:hAnsi="宋体" w:eastAsia="宋体" w:cs="宋体"/>
          <w:color w:val="auto"/>
          <w:spacing w:val="-5"/>
          <w:sz w:val="28"/>
          <w:szCs w:val="28"/>
          <w:highlight w:val="none"/>
        </w:rPr>
        <w:t>文件中明细表内容不一致的，以开标一览表（报价表）内容为准。</w:t>
      </w:r>
    </w:p>
    <w:p w14:paraId="27CC0F3A">
      <w:pPr>
        <w:keepNext w:val="0"/>
        <w:keepLines w:val="0"/>
        <w:pageBreakBefore w:val="0"/>
        <w:widowControl/>
        <w:kinsoku w:val="0"/>
        <w:wordWrap/>
        <w:overflowPunct/>
        <w:topLinePunct w:val="0"/>
        <w:autoSpaceDE w:val="0"/>
        <w:autoSpaceDN w:val="0"/>
        <w:bidi w:val="0"/>
        <w:adjustRightInd w:val="0"/>
        <w:snapToGrid w:val="0"/>
        <w:spacing w:before="30" w:line="300" w:lineRule="exact"/>
        <w:ind w:left="557" w:leftChars="0" w:firstLine="502" w:firstLineChars="180"/>
        <w:textAlignment w:val="baseline"/>
        <w:rPr>
          <w:rFonts w:hint="eastAsia" w:ascii="宋体" w:hAnsi="宋体" w:eastAsia="宋体" w:cs="宋体"/>
          <w:b/>
          <w:bCs/>
          <w:color w:val="auto"/>
          <w:spacing w:val="-1"/>
          <w:sz w:val="28"/>
          <w:szCs w:val="28"/>
          <w:highlight w:val="none"/>
          <w:lang w:val="en-US" w:eastAsia="zh-CN"/>
        </w:rPr>
      </w:pPr>
      <w:r>
        <w:rPr>
          <w:rFonts w:hint="eastAsia" w:ascii="宋体" w:hAnsi="宋体" w:eastAsia="宋体" w:cs="宋体"/>
          <w:b/>
          <w:bCs/>
          <w:color w:val="auto"/>
          <w:spacing w:val="-1"/>
          <w:sz w:val="28"/>
          <w:szCs w:val="28"/>
          <w:highlight w:val="none"/>
          <w:lang w:val="en-US" w:eastAsia="zh-CN"/>
        </w:rPr>
        <w:t>5.投标人需对所投标项的技术参数进行逐一响应，严禁直接照搬、复制粘贴招标文件技术参数条款。</w:t>
      </w:r>
    </w:p>
    <w:p w14:paraId="04A15804">
      <w:pPr>
        <w:keepNext w:val="0"/>
        <w:keepLines w:val="0"/>
        <w:pageBreakBefore w:val="0"/>
        <w:widowControl/>
        <w:kinsoku w:val="0"/>
        <w:wordWrap/>
        <w:overflowPunct/>
        <w:topLinePunct w:val="0"/>
        <w:autoSpaceDE w:val="0"/>
        <w:autoSpaceDN w:val="0"/>
        <w:bidi w:val="0"/>
        <w:adjustRightInd w:val="0"/>
        <w:snapToGrid w:val="0"/>
        <w:spacing w:before="30" w:line="300" w:lineRule="exact"/>
        <w:ind w:left="557" w:leftChars="0" w:firstLine="502" w:firstLineChars="180"/>
        <w:textAlignment w:val="baseline"/>
        <w:rPr>
          <w:rFonts w:hint="default" w:ascii="宋体" w:hAnsi="宋体" w:eastAsia="宋体" w:cs="宋体"/>
          <w:b/>
          <w:bCs/>
          <w:color w:val="auto"/>
          <w:spacing w:val="-1"/>
          <w:sz w:val="28"/>
          <w:szCs w:val="28"/>
          <w:highlight w:val="none"/>
          <w:lang w:val="en-US" w:eastAsia="zh-CN"/>
        </w:rPr>
      </w:pPr>
      <w:r>
        <w:rPr>
          <w:rFonts w:hint="eastAsia" w:ascii="宋体" w:hAnsi="宋体" w:eastAsia="宋体" w:cs="宋体"/>
          <w:b/>
          <w:bCs/>
          <w:color w:val="auto"/>
          <w:spacing w:val="-1"/>
          <w:sz w:val="28"/>
          <w:szCs w:val="28"/>
          <w:highlight w:val="none"/>
          <w:lang w:val="en-US" w:eastAsia="zh-CN"/>
        </w:rPr>
        <w:t>6.投标人需如实完整填写所投产品规格、型号；若所投产品为定制类产品，必须单独明确标注 “本产品为定制产品”。</w:t>
      </w:r>
    </w:p>
    <w:p w14:paraId="11DCB490">
      <w:pPr>
        <w:spacing w:before="30" w:line="219" w:lineRule="auto"/>
        <w:rPr>
          <w:rFonts w:hint="default" w:ascii="宋体" w:hAnsi="宋体" w:eastAsia="宋体" w:cs="宋体"/>
          <w:color w:val="auto"/>
          <w:spacing w:val="-1"/>
          <w:sz w:val="28"/>
          <w:szCs w:val="28"/>
          <w:highlight w:val="none"/>
          <w:lang w:val="en-US" w:eastAsia="zh-CN"/>
        </w:rPr>
        <w:sectPr>
          <w:type w:val="continuous"/>
          <w:pgSz w:w="16839" w:h="11906"/>
          <w:pgMar w:top="1012" w:right="1341" w:bottom="1403" w:left="1433" w:header="0" w:footer="1225" w:gutter="0"/>
          <w:pgBorders>
            <w:top w:val="none" w:sz="0" w:space="0"/>
            <w:left w:val="none" w:sz="0" w:space="0"/>
            <w:bottom w:val="none" w:sz="0" w:space="0"/>
            <w:right w:val="none" w:sz="0" w:space="0"/>
          </w:pgBorders>
          <w:pgNumType w:fmt="decimal"/>
          <w:cols w:equalWidth="0" w:num="1">
            <w:col w:w="14064"/>
          </w:cols>
        </w:sectPr>
      </w:pPr>
    </w:p>
    <w:p w14:paraId="272B522F">
      <w:pPr>
        <w:spacing w:before="56" w:line="219" w:lineRule="auto"/>
        <w:ind w:left="3429"/>
        <w:outlineLvl w:val="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3.货物说明一览表</w:t>
      </w:r>
    </w:p>
    <w:p w14:paraId="165AE6E7">
      <w:pPr>
        <w:spacing w:line="301" w:lineRule="auto"/>
        <w:rPr>
          <w:rFonts w:ascii="Arial"/>
          <w:color w:val="auto"/>
          <w:sz w:val="21"/>
          <w:highlight w:val="none"/>
        </w:rPr>
      </w:pPr>
    </w:p>
    <w:p w14:paraId="446F99A3">
      <w:pPr>
        <w:spacing w:before="91" w:line="212" w:lineRule="auto"/>
        <w:ind w:left="128"/>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项目名称：</w:t>
      </w:r>
      <w:r>
        <w:rPr>
          <w:rFonts w:hint="eastAsia" w:ascii="宋体" w:hAnsi="宋体" w:eastAsia="宋体" w:cs="宋体"/>
          <w:color w:val="auto"/>
          <w:spacing w:val="-1"/>
          <w:sz w:val="28"/>
          <w:szCs w:val="28"/>
          <w:highlight w:val="none"/>
          <w:lang w:val="en-US" w:eastAsia="zh-CN"/>
        </w:rPr>
        <w:t xml:space="preserve">                   </w:t>
      </w:r>
      <w:r>
        <w:rPr>
          <w:rFonts w:ascii="宋体" w:hAnsi="宋体" w:eastAsia="宋体" w:cs="宋体"/>
          <w:color w:val="auto"/>
          <w:spacing w:val="-1"/>
          <w:sz w:val="28"/>
          <w:szCs w:val="28"/>
          <w:highlight w:val="none"/>
        </w:rPr>
        <w:t>项目编号：</w:t>
      </w:r>
    </w:p>
    <w:tbl>
      <w:tblPr>
        <w:tblStyle w:val="22"/>
        <w:tblW w:w="83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1"/>
        <w:gridCol w:w="987"/>
        <w:gridCol w:w="1218"/>
        <w:gridCol w:w="1095"/>
        <w:gridCol w:w="1339"/>
        <w:gridCol w:w="1460"/>
        <w:gridCol w:w="1344"/>
      </w:tblGrid>
      <w:tr w14:paraId="33F87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941" w:type="dxa"/>
            <w:vAlign w:val="top"/>
          </w:tcPr>
          <w:p w14:paraId="467364CF">
            <w:pPr>
              <w:spacing w:line="270" w:lineRule="auto"/>
              <w:rPr>
                <w:rFonts w:ascii="Arial"/>
                <w:color w:val="auto"/>
                <w:sz w:val="21"/>
                <w:highlight w:val="none"/>
              </w:rPr>
            </w:pPr>
          </w:p>
          <w:p w14:paraId="511E705F">
            <w:pPr>
              <w:pStyle w:val="23"/>
              <w:spacing w:before="91" w:line="221" w:lineRule="auto"/>
              <w:ind w:left="197"/>
              <w:rPr>
                <w:color w:val="auto"/>
                <w:highlight w:val="none"/>
              </w:rPr>
            </w:pPr>
            <w:r>
              <w:rPr>
                <w:color w:val="auto"/>
                <w:spacing w:val="-5"/>
                <w:highlight w:val="none"/>
              </w:rPr>
              <w:t>序号</w:t>
            </w:r>
          </w:p>
        </w:tc>
        <w:tc>
          <w:tcPr>
            <w:tcW w:w="987" w:type="dxa"/>
            <w:vAlign w:val="top"/>
          </w:tcPr>
          <w:p w14:paraId="4BA9C9F5">
            <w:pPr>
              <w:pStyle w:val="23"/>
              <w:spacing w:before="179" w:line="239" w:lineRule="auto"/>
              <w:ind w:left="226"/>
              <w:rPr>
                <w:color w:val="auto"/>
                <w:highlight w:val="none"/>
              </w:rPr>
            </w:pPr>
            <w:r>
              <w:rPr>
                <w:color w:val="auto"/>
                <w:spacing w:val="-8"/>
                <w:highlight w:val="none"/>
              </w:rPr>
              <w:t>货物</w:t>
            </w:r>
          </w:p>
          <w:p w14:paraId="47C83088">
            <w:pPr>
              <w:pStyle w:val="23"/>
              <w:spacing w:line="222" w:lineRule="auto"/>
              <w:ind w:left="223"/>
              <w:rPr>
                <w:color w:val="auto"/>
                <w:spacing w:val="-7"/>
                <w:highlight w:val="none"/>
              </w:rPr>
            </w:pPr>
            <w:r>
              <w:rPr>
                <w:color w:val="auto"/>
                <w:spacing w:val="-7"/>
                <w:highlight w:val="none"/>
              </w:rPr>
              <w:t>名称</w:t>
            </w:r>
          </w:p>
        </w:tc>
        <w:tc>
          <w:tcPr>
            <w:tcW w:w="1218" w:type="dxa"/>
            <w:vAlign w:val="top"/>
          </w:tcPr>
          <w:p w14:paraId="73E87802">
            <w:pPr>
              <w:pStyle w:val="23"/>
              <w:spacing w:before="1" w:line="219" w:lineRule="auto"/>
              <w:ind w:left="336"/>
              <w:rPr>
                <w:rFonts w:hint="eastAsia"/>
                <w:color w:val="auto"/>
                <w:spacing w:val="-6"/>
                <w:highlight w:val="none"/>
                <w:lang w:val="en-US" w:eastAsia="zh-CN"/>
              </w:rPr>
            </w:pPr>
          </w:p>
          <w:p w14:paraId="06B4544C">
            <w:pPr>
              <w:pStyle w:val="23"/>
              <w:spacing w:before="1" w:line="219" w:lineRule="auto"/>
              <w:ind w:left="336"/>
              <w:rPr>
                <w:rFonts w:hint="eastAsia"/>
                <w:color w:val="auto"/>
                <w:spacing w:val="-6"/>
                <w:highlight w:val="none"/>
                <w:lang w:val="en-US" w:eastAsia="zh-CN"/>
              </w:rPr>
            </w:pPr>
            <w:r>
              <w:rPr>
                <w:rFonts w:hint="eastAsia"/>
                <w:color w:val="auto"/>
                <w:spacing w:val="-6"/>
                <w:highlight w:val="none"/>
                <w:lang w:val="en-US" w:eastAsia="zh-CN"/>
              </w:rPr>
              <w:t>主要</w:t>
            </w:r>
          </w:p>
          <w:p w14:paraId="51745689">
            <w:pPr>
              <w:pStyle w:val="23"/>
              <w:spacing w:before="1" w:line="219" w:lineRule="auto"/>
              <w:ind w:left="336"/>
              <w:rPr>
                <w:rFonts w:hint="eastAsia" w:eastAsia="宋体"/>
                <w:color w:val="auto"/>
                <w:highlight w:val="none"/>
                <w:lang w:eastAsia="zh-CN"/>
              </w:rPr>
            </w:pPr>
            <w:r>
              <w:rPr>
                <w:rFonts w:hint="eastAsia"/>
                <w:color w:val="auto"/>
                <w:spacing w:val="-6"/>
                <w:highlight w:val="none"/>
                <w:lang w:val="en-US" w:eastAsia="zh-CN"/>
              </w:rPr>
              <w:t>规格</w:t>
            </w:r>
          </w:p>
        </w:tc>
        <w:tc>
          <w:tcPr>
            <w:tcW w:w="1095" w:type="dxa"/>
            <w:vAlign w:val="top"/>
          </w:tcPr>
          <w:p w14:paraId="37DF9F2A">
            <w:pPr>
              <w:spacing w:line="269" w:lineRule="auto"/>
              <w:rPr>
                <w:rFonts w:ascii="Arial"/>
                <w:color w:val="auto"/>
                <w:sz w:val="21"/>
                <w:highlight w:val="none"/>
              </w:rPr>
            </w:pPr>
          </w:p>
          <w:p w14:paraId="2937B0CD">
            <w:pPr>
              <w:pStyle w:val="23"/>
              <w:spacing w:before="91" w:line="220" w:lineRule="auto"/>
              <w:ind w:left="278"/>
              <w:rPr>
                <w:color w:val="auto"/>
                <w:highlight w:val="none"/>
              </w:rPr>
            </w:pPr>
            <w:r>
              <w:rPr>
                <w:color w:val="auto"/>
                <w:spacing w:val="-6"/>
                <w:highlight w:val="none"/>
              </w:rPr>
              <w:t>数量</w:t>
            </w:r>
          </w:p>
        </w:tc>
        <w:tc>
          <w:tcPr>
            <w:tcW w:w="1339" w:type="dxa"/>
            <w:vAlign w:val="top"/>
          </w:tcPr>
          <w:p w14:paraId="68836944">
            <w:pPr>
              <w:spacing w:line="270" w:lineRule="auto"/>
              <w:rPr>
                <w:rFonts w:ascii="Arial"/>
                <w:color w:val="auto"/>
                <w:sz w:val="21"/>
                <w:highlight w:val="none"/>
              </w:rPr>
            </w:pPr>
          </w:p>
          <w:p w14:paraId="469150E9">
            <w:pPr>
              <w:pStyle w:val="23"/>
              <w:spacing w:before="91" w:line="219" w:lineRule="auto"/>
              <w:ind w:left="263"/>
              <w:rPr>
                <w:color w:val="auto"/>
                <w:highlight w:val="none"/>
              </w:rPr>
            </w:pPr>
            <w:r>
              <w:rPr>
                <w:color w:val="auto"/>
                <w:spacing w:val="-5"/>
                <w:highlight w:val="none"/>
              </w:rPr>
              <w:t>交货期</w:t>
            </w:r>
          </w:p>
        </w:tc>
        <w:tc>
          <w:tcPr>
            <w:tcW w:w="1460" w:type="dxa"/>
            <w:vAlign w:val="top"/>
          </w:tcPr>
          <w:p w14:paraId="0834FFB6">
            <w:pPr>
              <w:spacing w:line="270" w:lineRule="auto"/>
              <w:rPr>
                <w:rFonts w:ascii="Arial"/>
                <w:color w:val="auto"/>
                <w:sz w:val="21"/>
                <w:highlight w:val="none"/>
              </w:rPr>
            </w:pPr>
          </w:p>
          <w:p w14:paraId="60CFCD03">
            <w:pPr>
              <w:pStyle w:val="23"/>
              <w:spacing w:before="91" w:line="219" w:lineRule="auto"/>
              <w:ind w:left="184"/>
              <w:rPr>
                <w:color w:val="auto"/>
                <w:highlight w:val="none"/>
              </w:rPr>
            </w:pPr>
            <w:r>
              <w:rPr>
                <w:color w:val="auto"/>
                <w:spacing w:val="-4"/>
                <w:highlight w:val="none"/>
              </w:rPr>
              <w:t>交货地点</w:t>
            </w:r>
          </w:p>
        </w:tc>
        <w:tc>
          <w:tcPr>
            <w:tcW w:w="1344" w:type="dxa"/>
            <w:vAlign w:val="top"/>
          </w:tcPr>
          <w:p w14:paraId="37BEE47D">
            <w:pPr>
              <w:spacing w:line="270" w:lineRule="auto"/>
              <w:rPr>
                <w:rFonts w:ascii="Arial"/>
                <w:color w:val="auto"/>
                <w:sz w:val="21"/>
                <w:highlight w:val="none"/>
              </w:rPr>
            </w:pPr>
          </w:p>
          <w:p w14:paraId="14EED03B">
            <w:pPr>
              <w:pStyle w:val="23"/>
              <w:spacing w:before="91" w:line="221" w:lineRule="auto"/>
              <w:ind w:left="402"/>
              <w:rPr>
                <w:color w:val="auto"/>
                <w:highlight w:val="none"/>
              </w:rPr>
            </w:pPr>
            <w:r>
              <w:rPr>
                <w:color w:val="auto"/>
                <w:spacing w:val="-6"/>
                <w:highlight w:val="none"/>
              </w:rPr>
              <w:t>其它</w:t>
            </w:r>
          </w:p>
        </w:tc>
      </w:tr>
      <w:tr w14:paraId="462CA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41" w:type="dxa"/>
            <w:vAlign w:val="top"/>
          </w:tcPr>
          <w:p w14:paraId="1347C900">
            <w:pPr>
              <w:rPr>
                <w:rFonts w:ascii="Arial"/>
                <w:color w:val="auto"/>
                <w:sz w:val="21"/>
                <w:highlight w:val="none"/>
              </w:rPr>
            </w:pPr>
          </w:p>
        </w:tc>
        <w:tc>
          <w:tcPr>
            <w:tcW w:w="987" w:type="dxa"/>
            <w:vAlign w:val="top"/>
          </w:tcPr>
          <w:p w14:paraId="3C011DD7">
            <w:pPr>
              <w:rPr>
                <w:rFonts w:ascii="Arial"/>
                <w:color w:val="auto"/>
                <w:sz w:val="21"/>
                <w:highlight w:val="none"/>
              </w:rPr>
            </w:pPr>
          </w:p>
        </w:tc>
        <w:tc>
          <w:tcPr>
            <w:tcW w:w="1218" w:type="dxa"/>
            <w:vAlign w:val="top"/>
          </w:tcPr>
          <w:p w14:paraId="366E3244">
            <w:pPr>
              <w:rPr>
                <w:rFonts w:ascii="Arial"/>
                <w:color w:val="auto"/>
                <w:sz w:val="21"/>
                <w:highlight w:val="none"/>
              </w:rPr>
            </w:pPr>
          </w:p>
        </w:tc>
        <w:tc>
          <w:tcPr>
            <w:tcW w:w="1095" w:type="dxa"/>
            <w:vAlign w:val="top"/>
          </w:tcPr>
          <w:p w14:paraId="5C3E63E3">
            <w:pPr>
              <w:rPr>
                <w:rFonts w:ascii="Arial"/>
                <w:color w:val="auto"/>
                <w:sz w:val="21"/>
                <w:highlight w:val="none"/>
              </w:rPr>
            </w:pPr>
          </w:p>
        </w:tc>
        <w:tc>
          <w:tcPr>
            <w:tcW w:w="1339" w:type="dxa"/>
            <w:vAlign w:val="top"/>
          </w:tcPr>
          <w:p w14:paraId="11FFAA4B">
            <w:pPr>
              <w:rPr>
                <w:rFonts w:ascii="Arial"/>
                <w:color w:val="auto"/>
                <w:sz w:val="21"/>
                <w:highlight w:val="none"/>
              </w:rPr>
            </w:pPr>
          </w:p>
        </w:tc>
        <w:tc>
          <w:tcPr>
            <w:tcW w:w="1460" w:type="dxa"/>
            <w:vAlign w:val="top"/>
          </w:tcPr>
          <w:p w14:paraId="3C5B7769">
            <w:pPr>
              <w:rPr>
                <w:rFonts w:ascii="Arial"/>
                <w:color w:val="auto"/>
                <w:sz w:val="21"/>
                <w:highlight w:val="none"/>
              </w:rPr>
            </w:pPr>
          </w:p>
        </w:tc>
        <w:tc>
          <w:tcPr>
            <w:tcW w:w="1344" w:type="dxa"/>
            <w:vAlign w:val="top"/>
          </w:tcPr>
          <w:p w14:paraId="435512A9">
            <w:pPr>
              <w:rPr>
                <w:rFonts w:ascii="Arial"/>
                <w:color w:val="auto"/>
                <w:sz w:val="21"/>
                <w:highlight w:val="none"/>
              </w:rPr>
            </w:pPr>
          </w:p>
        </w:tc>
      </w:tr>
      <w:tr w14:paraId="5F716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41" w:type="dxa"/>
            <w:vAlign w:val="top"/>
          </w:tcPr>
          <w:p w14:paraId="3497EC37">
            <w:pPr>
              <w:rPr>
                <w:rFonts w:ascii="Arial"/>
                <w:color w:val="auto"/>
                <w:sz w:val="21"/>
                <w:highlight w:val="none"/>
              </w:rPr>
            </w:pPr>
          </w:p>
        </w:tc>
        <w:tc>
          <w:tcPr>
            <w:tcW w:w="987" w:type="dxa"/>
            <w:vAlign w:val="top"/>
          </w:tcPr>
          <w:p w14:paraId="3C848D65">
            <w:pPr>
              <w:rPr>
                <w:rFonts w:ascii="Arial"/>
                <w:color w:val="auto"/>
                <w:sz w:val="21"/>
                <w:highlight w:val="none"/>
              </w:rPr>
            </w:pPr>
          </w:p>
        </w:tc>
        <w:tc>
          <w:tcPr>
            <w:tcW w:w="1218" w:type="dxa"/>
            <w:vAlign w:val="top"/>
          </w:tcPr>
          <w:p w14:paraId="2DA008A0">
            <w:pPr>
              <w:rPr>
                <w:rFonts w:ascii="Arial"/>
                <w:color w:val="auto"/>
                <w:sz w:val="21"/>
                <w:highlight w:val="none"/>
              </w:rPr>
            </w:pPr>
          </w:p>
        </w:tc>
        <w:tc>
          <w:tcPr>
            <w:tcW w:w="1095" w:type="dxa"/>
            <w:vAlign w:val="top"/>
          </w:tcPr>
          <w:p w14:paraId="0C76529C">
            <w:pPr>
              <w:rPr>
                <w:rFonts w:ascii="Arial"/>
                <w:color w:val="auto"/>
                <w:sz w:val="21"/>
                <w:highlight w:val="none"/>
              </w:rPr>
            </w:pPr>
          </w:p>
        </w:tc>
        <w:tc>
          <w:tcPr>
            <w:tcW w:w="1339" w:type="dxa"/>
            <w:vAlign w:val="top"/>
          </w:tcPr>
          <w:p w14:paraId="140BE705">
            <w:pPr>
              <w:rPr>
                <w:rFonts w:ascii="Arial"/>
                <w:color w:val="auto"/>
                <w:sz w:val="21"/>
                <w:highlight w:val="none"/>
              </w:rPr>
            </w:pPr>
          </w:p>
        </w:tc>
        <w:tc>
          <w:tcPr>
            <w:tcW w:w="1460" w:type="dxa"/>
            <w:vAlign w:val="top"/>
          </w:tcPr>
          <w:p w14:paraId="7822E51F">
            <w:pPr>
              <w:rPr>
                <w:rFonts w:ascii="Arial"/>
                <w:color w:val="auto"/>
                <w:sz w:val="21"/>
                <w:highlight w:val="none"/>
              </w:rPr>
            </w:pPr>
          </w:p>
        </w:tc>
        <w:tc>
          <w:tcPr>
            <w:tcW w:w="1344" w:type="dxa"/>
            <w:vAlign w:val="top"/>
          </w:tcPr>
          <w:p w14:paraId="568A3ACB">
            <w:pPr>
              <w:rPr>
                <w:rFonts w:ascii="Arial"/>
                <w:color w:val="auto"/>
                <w:sz w:val="21"/>
                <w:highlight w:val="none"/>
              </w:rPr>
            </w:pPr>
          </w:p>
        </w:tc>
      </w:tr>
      <w:tr w14:paraId="1A47C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41" w:type="dxa"/>
            <w:vAlign w:val="top"/>
          </w:tcPr>
          <w:p w14:paraId="20F49B73">
            <w:pPr>
              <w:rPr>
                <w:rFonts w:ascii="Arial"/>
                <w:color w:val="auto"/>
                <w:sz w:val="21"/>
                <w:highlight w:val="none"/>
              </w:rPr>
            </w:pPr>
          </w:p>
        </w:tc>
        <w:tc>
          <w:tcPr>
            <w:tcW w:w="987" w:type="dxa"/>
            <w:vAlign w:val="top"/>
          </w:tcPr>
          <w:p w14:paraId="3F82A927">
            <w:pPr>
              <w:rPr>
                <w:rFonts w:ascii="Arial"/>
                <w:color w:val="auto"/>
                <w:sz w:val="21"/>
                <w:highlight w:val="none"/>
              </w:rPr>
            </w:pPr>
          </w:p>
        </w:tc>
        <w:tc>
          <w:tcPr>
            <w:tcW w:w="1218" w:type="dxa"/>
            <w:vAlign w:val="top"/>
          </w:tcPr>
          <w:p w14:paraId="75F8E038">
            <w:pPr>
              <w:rPr>
                <w:rFonts w:ascii="Arial"/>
                <w:color w:val="auto"/>
                <w:sz w:val="21"/>
                <w:highlight w:val="none"/>
              </w:rPr>
            </w:pPr>
          </w:p>
        </w:tc>
        <w:tc>
          <w:tcPr>
            <w:tcW w:w="1095" w:type="dxa"/>
            <w:vAlign w:val="top"/>
          </w:tcPr>
          <w:p w14:paraId="15ED1B64">
            <w:pPr>
              <w:rPr>
                <w:rFonts w:ascii="Arial"/>
                <w:color w:val="auto"/>
                <w:sz w:val="21"/>
                <w:highlight w:val="none"/>
              </w:rPr>
            </w:pPr>
          </w:p>
        </w:tc>
        <w:tc>
          <w:tcPr>
            <w:tcW w:w="1339" w:type="dxa"/>
            <w:vAlign w:val="top"/>
          </w:tcPr>
          <w:p w14:paraId="2E9EEFED">
            <w:pPr>
              <w:rPr>
                <w:rFonts w:ascii="Arial"/>
                <w:color w:val="auto"/>
                <w:sz w:val="21"/>
                <w:highlight w:val="none"/>
              </w:rPr>
            </w:pPr>
          </w:p>
        </w:tc>
        <w:tc>
          <w:tcPr>
            <w:tcW w:w="1460" w:type="dxa"/>
            <w:vAlign w:val="top"/>
          </w:tcPr>
          <w:p w14:paraId="7B9E97D8">
            <w:pPr>
              <w:rPr>
                <w:rFonts w:ascii="Arial"/>
                <w:color w:val="auto"/>
                <w:sz w:val="21"/>
                <w:highlight w:val="none"/>
              </w:rPr>
            </w:pPr>
          </w:p>
        </w:tc>
        <w:tc>
          <w:tcPr>
            <w:tcW w:w="1344" w:type="dxa"/>
            <w:vAlign w:val="top"/>
          </w:tcPr>
          <w:p w14:paraId="071801CC">
            <w:pPr>
              <w:rPr>
                <w:rFonts w:ascii="Arial"/>
                <w:color w:val="auto"/>
                <w:sz w:val="21"/>
                <w:highlight w:val="none"/>
              </w:rPr>
            </w:pPr>
          </w:p>
        </w:tc>
      </w:tr>
      <w:tr w14:paraId="347CD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41" w:type="dxa"/>
            <w:vAlign w:val="top"/>
          </w:tcPr>
          <w:p w14:paraId="0B9F22D0">
            <w:pPr>
              <w:rPr>
                <w:rFonts w:ascii="Arial"/>
                <w:color w:val="auto"/>
                <w:sz w:val="21"/>
                <w:highlight w:val="none"/>
              </w:rPr>
            </w:pPr>
          </w:p>
        </w:tc>
        <w:tc>
          <w:tcPr>
            <w:tcW w:w="987" w:type="dxa"/>
            <w:vAlign w:val="top"/>
          </w:tcPr>
          <w:p w14:paraId="619D2BA3">
            <w:pPr>
              <w:rPr>
                <w:rFonts w:ascii="Arial"/>
                <w:color w:val="auto"/>
                <w:sz w:val="21"/>
                <w:highlight w:val="none"/>
              </w:rPr>
            </w:pPr>
          </w:p>
        </w:tc>
        <w:tc>
          <w:tcPr>
            <w:tcW w:w="1218" w:type="dxa"/>
            <w:vAlign w:val="top"/>
          </w:tcPr>
          <w:p w14:paraId="21B2E67C">
            <w:pPr>
              <w:rPr>
                <w:rFonts w:ascii="Arial"/>
                <w:color w:val="auto"/>
                <w:sz w:val="21"/>
                <w:highlight w:val="none"/>
              </w:rPr>
            </w:pPr>
          </w:p>
        </w:tc>
        <w:tc>
          <w:tcPr>
            <w:tcW w:w="1095" w:type="dxa"/>
            <w:vAlign w:val="top"/>
          </w:tcPr>
          <w:p w14:paraId="6F6BF542">
            <w:pPr>
              <w:rPr>
                <w:rFonts w:ascii="Arial"/>
                <w:color w:val="auto"/>
                <w:sz w:val="21"/>
                <w:highlight w:val="none"/>
              </w:rPr>
            </w:pPr>
          </w:p>
        </w:tc>
        <w:tc>
          <w:tcPr>
            <w:tcW w:w="1339" w:type="dxa"/>
            <w:vAlign w:val="top"/>
          </w:tcPr>
          <w:p w14:paraId="05AE5C4F">
            <w:pPr>
              <w:rPr>
                <w:rFonts w:ascii="Arial"/>
                <w:color w:val="auto"/>
                <w:sz w:val="21"/>
                <w:highlight w:val="none"/>
              </w:rPr>
            </w:pPr>
          </w:p>
        </w:tc>
        <w:tc>
          <w:tcPr>
            <w:tcW w:w="1460" w:type="dxa"/>
            <w:vAlign w:val="top"/>
          </w:tcPr>
          <w:p w14:paraId="2A869DE5">
            <w:pPr>
              <w:rPr>
                <w:rFonts w:ascii="Arial"/>
                <w:color w:val="auto"/>
                <w:sz w:val="21"/>
                <w:highlight w:val="none"/>
              </w:rPr>
            </w:pPr>
          </w:p>
        </w:tc>
        <w:tc>
          <w:tcPr>
            <w:tcW w:w="1344" w:type="dxa"/>
            <w:vAlign w:val="top"/>
          </w:tcPr>
          <w:p w14:paraId="383B2F2B">
            <w:pPr>
              <w:rPr>
                <w:rFonts w:ascii="Arial"/>
                <w:color w:val="auto"/>
                <w:sz w:val="21"/>
                <w:highlight w:val="none"/>
              </w:rPr>
            </w:pPr>
          </w:p>
        </w:tc>
      </w:tr>
      <w:tr w14:paraId="52EE5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941" w:type="dxa"/>
            <w:vAlign w:val="top"/>
          </w:tcPr>
          <w:p w14:paraId="6AF03270">
            <w:pPr>
              <w:rPr>
                <w:rFonts w:ascii="Arial"/>
                <w:color w:val="auto"/>
                <w:sz w:val="21"/>
                <w:highlight w:val="none"/>
              </w:rPr>
            </w:pPr>
          </w:p>
        </w:tc>
        <w:tc>
          <w:tcPr>
            <w:tcW w:w="987" w:type="dxa"/>
            <w:vAlign w:val="top"/>
          </w:tcPr>
          <w:p w14:paraId="1F00BDC0">
            <w:pPr>
              <w:rPr>
                <w:rFonts w:ascii="Arial"/>
                <w:color w:val="auto"/>
                <w:sz w:val="21"/>
                <w:highlight w:val="none"/>
              </w:rPr>
            </w:pPr>
          </w:p>
        </w:tc>
        <w:tc>
          <w:tcPr>
            <w:tcW w:w="1218" w:type="dxa"/>
            <w:vAlign w:val="top"/>
          </w:tcPr>
          <w:p w14:paraId="02470BB7">
            <w:pPr>
              <w:rPr>
                <w:rFonts w:ascii="Arial"/>
                <w:color w:val="auto"/>
                <w:sz w:val="21"/>
                <w:highlight w:val="none"/>
              </w:rPr>
            </w:pPr>
          </w:p>
        </w:tc>
        <w:tc>
          <w:tcPr>
            <w:tcW w:w="1095" w:type="dxa"/>
            <w:vAlign w:val="top"/>
          </w:tcPr>
          <w:p w14:paraId="6F7368EC">
            <w:pPr>
              <w:rPr>
                <w:rFonts w:ascii="Arial"/>
                <w:color w:val="auto"/>
                <w:sz w:val="21"/>
                <w:highlight w:val="none"/>
              </w:rPr>
            </w:pPr>
          </w:p>
        </w:tc>
        <w:tc>
          <w:tcPr>
            <w:tcW w:w="1339" w:type="dxa"/>
            <w:vAlign w:val="top"/>
          </w:tcPr>
          <w:p w14:paraId="3D806CC6">
            <w:pPr>
              <w:rPr>
                <w:rFonts w:ascii="Arial"/>
                <w:color w:val="auto"/>
                <w:sz w:val="21"/>
                <w:highlight w:val="none"/>
              </w:rPr>
            </w:pPr>
          </w:p>
        </w:tc>
        <w:tc>
          <w:tcPr>
            <w:tcW w:w="1460" w:type="dxa"/>
            <w:vAlign w:val="top"/>
          </w:tcPr>
          <w:p w14:paraId="65B5AAD2">
            <w:pPr>
              <w:rPr>
                <w:rFonts w:ascii="Arial"/>
                <w:color w:val="auto"/>
                <w:sz w:val="21"/>
                <w:highlight w:val="none"/>
              </w:rPr>
            </w:pPr>
          </w:p>
        </w:tc>
        <w:tc>
          <w:tcPr>
            <w:tcW w:w="1344" w:type="dxa"/>
            <w:vAlign w:val="top"/>
          </w:tcPr>
          <w:p w14:paraId="340C4DDF">
            <w:pPr>
              <w:rPr>
                <w:rFonts w:ascii="Arial"/>
                <w:color w:val="auto"/>
                <w:sz w:val="21"/>
                <w:highlight w:val="none"/>
              </w:rPr>
            </w:pPr>
          </w:p>
        </w:tc>
      </w:tr>
      <w:tr w14:paraId="7FAFD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941" w:type="dxa"/>
            <w:vAlign w:val="top"/>
          </w:tcPr>
          <w:p w14:paraId="477956B6">
            <w:pPr>
              <w:rPr>
                <w:rFonts w:ascii="Arial"/>
                <w:color w:val="auto"/>
                <w:sz w:val="21"/>
                <w:highlight w:val="none"/>
              </w:rPr>
            </w:pPr>
          </w:p>
        </w:tc>
        <w:tc>
          <w:tcPr>
            <w:tcW w:w="987" w:type="dxa"/>
            <w:vAlign w:val="top"/>
          </w:tcPr>
          <w:p w14:paraId="0299FE52">
            <w:pPr>
              <w:rPr>
                <w:rFonts w:ascii="Arial"/>
                <w:color w:val="auto"/>
                <w:sz w:val="21"/>
                <w:highlight w:val="none"/>
              </w:rPr>
            </w:pPr>
          </w:p>
        </w:tc>
        <w:tc>
          <w:tcPr>
            <w:tcW w:w="1218" w:type="dxa"/>
            <w:vAlign w:val="top"/>
          </w:tcPr>
          <w:p w14:paraId="2D05EC3D">
            <w:pPr>
              <w:rPr>
                <w:rFonts w:ascii="Arial"/>
                <w:color w:val="auto"/>
                <w:sz w:val="21"/>
                <w:highlight w:val="none"/>
              </w:rPr>
            </w:pPr>
          </w:p>
        </w:tc>
        <w:tc>
          <w:tcPr>
            <w:tcW w:w="1095" w:type="dxa"/>
            <w:vAlign w:val="top"/>
          </w:tcPr>
          <w:p w14:paraId="5075A3A2">
            <w:pPr>
              <w:rPr>
                <w:rFonts w:ascii="Arial"/>
                <w:color w:val="auto"/>
                <w:sz w:val="21"/>
                <w:highlight w:val="none"/>
              </w:rPr>
            </w:pPr>
          </w:p>
        </w:tc>
        <w:tc>
          <w:tcPr>
            <w:tcW w:w="1339" w:type="dxa"/>
            <w:vAlign w:val="top"/>
          </w:tcPr>
          <w:p w14:paraId="28BFAC0E">
            <w:pPr>
              <w:rPr>
                <w:rFonts w:ascii="Arial"/>
                <w:color w:val="auto"/>
                <w:sz w:val="21"/>
                <w:highlight w:val="none"/>
              </w:rPr>
            </w:pPr>
          </w:p>
        </w:tc>
        <w:tc>
          <w:tcPr>
            <w:tcW w:w="1460" w:type="dxa"/>
            <w:vAlign w:val="top"/>
          </w:tcPr>
          <w:p w14:paraId="0A401AD8">
            <w:pPr>
              <w:rPr>
                <w:rFonts w:ascii="Arial"/>
                <w:color w:val="auto"/>
                <w:sz w:val="21"/>
                <w:highlight w:val="none"/>
              </w:rPr>
            </w:pPr>
          </w:p>
        </w:tc>
        <w:tc>
          <w:tcPr>
            <w:tcW w:w="1344" w:type="dxa"/>
            <w:vAlign w:val="top"/>
          </w:tcPr>
          <w:p w14:paraId="1EBF428C">
            <w:pPr>
              <w:rPr>
                <w:rFonts w:ascii="Arial"/>
                <w:color w:val="auto"/>
                <w:sz w:val="21"/>
                <w:highlight w:val="none"/>
              </w:rPr>
            </w:pPr>
          </w:p>
        </w:tc>
      </w:tr>
      <w:tr w14:paraId="5FB8A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41" w:type="dxa"/>
            <w:vAlign w:val="top"/>
          </w:tcPr>
          <w:p w14:paraId="383BCCDE">
            <w:pPr>
              <w:rPr>
                <w:rFonts w:ascii="Arial"/>
                <w:color w:val="auto"/>
                <w:sz w:val="21"/>
                <w:highlight w:val="none"/>
              </w:rPr>
            </w:pPr>
          </w:p>
        </w:tc>
        <w:tc>
          <w:tcPr>
            <w:tcW w:w="987" w:type="dxa"/>
            <w:vAlign w:val="top"/>
          </w:tcPr>
          <w:p w14:paraId="4BF2FBBB">
            <w:pPr>
              <w:rPr>
                <w:rFonts w:ascii="Arial"/>
                <w:color w:val="auto"/>
                <w:sz w:val="21"/>
                <w:highlight w:val="none"/>
              </w:rPr>
            </w:pPr>
          </w:p>
        </w:tc>
        <w:tc>
          <w:tcPr>
            <w:tcW w:w="1218" w:type="dxa"/>
            <w:vAlign w:val="top"/>
          </w:tcPr>
          <w:p w14:paraId="767418E4">
            <w:pPr>
              <w:rPr>
                <w:rFonts w:ascii="Arial"/>
                <w:color w:val="auto"/>
                <w:sz w:val="21"/>
                <w:highlight w:val="none"/>
              </w:rPr>
            </w:pPr>
          </w:p>
        </w:tc>
        <w:tc>
          <w:tcPr>
            <w:tcW w:w="1095" w:type="dxa"/>
            <w:vAlign w:val="top"/>
          </w:tcPr>
          <w:p w14:paraId="67544928">
            <w:pPr>
              <w:rPr>
                <w:rFonts w:ascii="Arial"/>
                <w:color w:val="auto"/>
                <w:sz w:val="21"/>
                <w:highlight w:val="none"/>
              </w:rPr>
            </w:pPr>
          </w:p>
        </w:tc>
        <w:tc>
          <w:tcPr>
            <w:tcW w:w="1339" w:type="dxa"/>
            <w:vAlign w:val="top"/>
          </w:tcPr>
          <w:p w14:paraId="7C4041AD">
            <w:pPr>
              <w:rPr>
                <w:rFonts w:ascii="Arial"/>
                <w:color w:val="auto"/>
                <w:sz w:val="21"/>
                <w:highlight w:val="none"/>
              </w:rPr>
            </w:pPr>
          </w:p>
        </w:tc>
        <w:tc>
          <w:tcPr>
            <w:tcW w:w="1460" w:type="dxa"/>
            <w:vAlign w:val="top"/>
          </w:tcPr>
          <w:p w14:paraId="28B53A85">
            <w:pPr>
              <w:rPr>
                <w:rFonts w:ascii="Arial"/>
                <w:color w:val="auto"/>
                <w:sz w:val="21"/>
                <w:highlight w:val="none"/>
              </w:rPr>
            </w:pPr>
          </w:p>
        </w:tc>
        <w:tc>
          <w:tcPr>
            <w:tcW w:w="1344" w:type="dxa"/>
            <w:vAlign w:val="top"/>
          </w:tcPr>
          <w:p w14:paraId="6E161A43">
            <w:pPr>
              <w:rPr>
                <w:rFonts w:ascii="Arial"/>
                <w:color w:val="auto"/>
                <w:sz w:val="21"/>
                <w:highlight w:val="none"/>
              </w:rPr>
            </w:pPr>
          </w:p>
        </w:tc>
      </w:tr>
      <w:tr w14:paraId="096C0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41" w:type="dxa"/>
            <w:vAlign w:val="top"/>
          </w:tcPr>
          <w:p w14:paraId="57F654FC">
            <w:pPr>
              <w:rPr>
                <w:rFonts w:ascii="Arial"/>
                <w:color w:val="auto"/>
                <w:sz w:val="21"/>
                <w:highlight w:val="none"/>
              </w:rPr>
            </w:pPr>
          </w:p>
        </w:tc>
        <w:tc>
          <w:tcPr>
            <w:tcW w:w="987" w:type="dxa"/>
            <w:vAlign w:val="top"/>
          </w:tcPr>
          <w:p w14:paraId="1AE7780B">
            <w:pPr>
              <w:rPr>
                <w:rFonts w:ascii="Arial"/>
                <w:color w:val="auto"/>
                <w:sz w:val="21"/>
                <w:highlight w:val="none"/>
              </w:rPr>
            </w:pPr>
          </w:p>
        </w:tc>
        <w:tc>
          <w:tcPr>
            <w:tcW w:w="1218" w:type="dxa"/>
            <w:vAlign w:val="top"/>
          </w:tcPr>
          <w:p w14:paraId="4C4F2A71">
            <w:pPr>
              <w:rPr>
                <w:rFonts w:ascii="Arial"/>
                <w:color w:val="auto"/>
                <w:sz w:val="21"/>
                <w:highlight w:val="none"/>
              </w:rPr>
            </w:pPr>
          </w:p>
        </w:tc>
        <w:tc>
          <w:tcPr>
            <w:tcW w:w="1095" w:type="dxa"/>
            <w:vAlign w:val="top"/>
          </w:tcPr>
          <w:p w14:paraId="19BDA3CA">
            <w:pPr>
              <w:rPr>
                <w:rFonts w:ascii="Arial"/>
                <w:color w:val="auto"/>
                <w:sz w:val="21"/>
                <w:highlight w:val="none"/>
              </w:rPr>
            </w:pPr>
          </w:p>
        </w:tc>
        <w:tc>
          <w:tcPr>
            <w:tcW w:w="1339" w:type="dxa"/>
            <w:vAlign w:val="top"/>
          </w:tcPr>
          <w:p w14:paraId="5CCF5BE5">
            <w:pPr>
              <w:rPr>
                <w:rFonts w:ascii="Arial"/>
                <w:color w:val="auto"/>
                <w:sz w:val="21"/>
                <w:highlight w:val="none"/>
              </w:rPr>
            </w:pPr>
          </w:p>
        </w:tc>
        <w:tc>
          <w:tcPr>
            <w:tcW w:w="1460" w:type="dxa"/>
            <w:vAlign w:val="top"/>
          </w:tcPr>
          <w:p w14:paraId="404B8E6F">
            <w:pPr>
              <w:rPr>
                <w:rFonts w:ascii="Arial"/>
                <w:color w:val="auto"/>
                <w:sz w:val="21"/>
                <w:highlight w:val="none"/>
              </w:rPr>
            </w:pPr>
          </w:p>
        </w:tc>
        <w:tc>
          <w:tcPr>
            <w:tcW w:w="1344" w:type="dxa"/>
            <w:vAlign w:val="top"/>
          </w:tcPr>
          <w:p w14:paraId="37B0C11D">
            <w:pPr>
              <w:rPr>
                <w:rFonts w:ascii="Arial"/>
                <w:color w:val="auto"/>
                <w:sz w:val="21"/>
                <w:highlight w:val="none"/>
              </w:rPr>
            </w:pPr>
          </w:p>
        </w:tc>
      </w:tr>
    </w:tbl>
    <w:p w14:paraId="0E9AC911">
      <w:pPr>
        <w:spacing w:line="311" w:lineRule="auto"/>
        <w:rPr>
          <w:rFonts w:ascii="Arial"/>
          <w:color w:val="auto"/>
          <w:sz w:val="21"/>
          <w:highlight w:val="none"/>
        </w:rPr>
      </w:pPr>
    </w:p>
    <w:p w14:paraId="14A7E6DC">
      <w:pPr>
        <w:spacing w:before="91" w:line="221" w:lineRule="auto"/>
        <w:ind w:left="127"/>
        <w:rPr>
          <w:rFonts w:hint="eastAsia" w:ascii="宋体" w:hAnsi="宋体" w:eastAsia="宋体" w:cs="宋体"/>
          <w:color w:val="auto"/>
          <w:sz w:val="28"/>
          <w:szCs w:val="28"/>
          <w:highlight w:val="none"/>
          <w:lang w:eastAsia="zh-CN"/>
        </w:rPr>
      </w:pPr>
      <w:r>
        <w:rPr>
          <w:rFonts w:ascii="宋体" w:hAnsi="宋体" w:eastAsia="宋体" w:cs="宋体"/>
          <w:color w:val="auto"/>
          <w:spacing w:val="-3"/>
          <w:sz w:val="28"/>
          <w:szCs w:val="28"/>
          <w:highlight w:val="none"/>
        </w:rPr>
        <w:t>投标人名称：</w:t>
      </w:r>
    </w:p>
    <w:p w14:paraId="7F323E12">
      <w:pPr>
        <w:spacing w:before="210" w:line="219" w:lineRule="auto"/>
        <w:ind w:left="125"/>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法定代表人或其委托代理人(签字或盖章)：</w:t>
      </w:r>
    </w:p>
    <w:p w14:paraId="13B3B163">
      <w:pPr>
        <w:spacing w:before="91" w:line="219" w:lineRule="auto"/>
        <w:ind w:left="664"/>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注:</w:t>
      </w:r>
      <w:r>
        <w:rPr>
          <w:rFonts w:hint="eastAsia" w:ascii="宋体" w:hAnsi="宋体" w:eastAsia="宋体" w:cs="宋体"/>
          <w:color w:val="auto"/>
          <w:spacing w:val="-1"/>
          <w:sz w:val="28"/>
          <w:szCs w:val="28"/>
          <w:highlight w:val="none"/>
          <w:lang w:val="en-US" w:eastAsia="zh-CN"/>
        </w:rPr>
        <w:t>本表由供应商根据</w:t>
      </w:r>
      <w:r>
        <w:rPr>
          <w:rFonts w:ascii="宋体" w:hAnsi="宋体" w:eastAsia="宋体" w:cs="宋体"/>
          <w:color w:val="auto"/>
          <w:spacing w:val="-1"/>
          <w:sz w:val="28"/>
          <w:szCs w:val="28"/>
          <w:highlight w:val="none"/>
        </w:rPr>
        <w:t>各项货物详细技术性能</w:t>
      </w:r>
      <w:r>
        <w:rPr>
          <w:rFonts w:hint="eastAsia" w:ascii="宋体" w:hAnsi="宋体" w:eastAsia="宋体" w:cs="宋体"/>
          <w:color w:val="auto"/>
          <w:spacing w:val="-1"/>
          <w:sz w:val="28"/>
          <w:szCs w:val="28"/>
          <w:highlight w:val="none"/>
          <w:lang w:val="en-US" w:eastAsia="zh-CN"/>
        </w:rPr>
        <w:t>自行填写，可自行添加行列</w:t>
      </w:r>
      <w:r>
        <w:rPr>
          <w:rFonts w:ascii="宋体" w:hAnsi="宋体" w:eastAsia="宋体" w:cs="宋体"/>
          <w:color w:val="auto"/>
          <w:spacing w:val="-1"/>
          <w:sz w:val="28"/>
          <w:szCs w:val="28"/>
          <w:highlight w:val="none"/>
        </w:rPr>
        <w:t>。</w:t>
      </w:r>
    </w:p>
    <w:p w14:paraId="62979059">
      <w:pPr>
        <w:spacing w:line="219" w:lineRule="auto"/>
        <w:rPr>
          <w:rFonts w:ascii="宋体" w:hAnsi="宋体" w:eastAsia="宋体" w:cs="宋体"/>
          <w:color w:val="auto"/>
          <w:sz w:val="28"/>
          <w:szCs w:val="28"/>
          <w:highlight w:val="none"/>
        </w:rPr>
        <w:sectPr>
          <w:footerReference r:id="rId31" w:type="default"/>
          <w:pgSz w:w="11906" w:h="16839"/>
          <w:pgMar w:top="1424" w:right="1785" w:bottom="1404" w:left="1684" w:header="0" w:footer="1225" w:gutter="0"/>
          <w:pgBorders>
            <w:top w:val="none" w:sz="0" w:space="0"/>
            <w:left w:val="none" w:sz="0" w:space="0"/>
            <w:bottom w:val="none" w:sz="0" w:space="0"/>
            <w:right w:val="none" w:sz="0" w:space="0"/>
          </w:pgBorders>
          <w:pgNumType w:fmt="decimal"/>
          <w:cols w:space="720" w:num="1"/>
        </w:sectPr>
      </w:pPr>
    </w:p>
    <w:p w14:paraId="6E6AE1B6">
      <w:pPr>
        <w:pStyle w:val="5"/>
        <w:spacing w:before="75" w:line="231" w:lineRule="auto"/>
        <w:ind w:left="3162"/>
        <w:outlineLvl w:val="2"/>
        <w:rPr>
          <w:rFonts w:hint="eastAsia" w:ascii="宋体" w:hAnsi="宋体" w:eastAsia="宋体" w:cs="宋体"/>
          <w:i w:val="0"/>
          <w:iCs w:val="0"/>
          <w:color w:val="auto"/>
          <w:sz w:val="28"/>
          <w:szCs w:val="28"/>
          <w:highlight w:val="none"/>
        </w:rPr>
      </w:pPr>
      <w:r>
        <w:rPr>
          <w:rFonts w:hint="eastAsia" w:ascii="宋体" w:hAnsi="宋体" w:eastAsia="宋体" w:cs="宋体"/>
          <w:b/>
          <w:bCs/>
          <w:i w:val="0"/>
          <w:iCs w:val="0"/>
          <w:color w:val="auto"/>
          <w:spacing w:val="5"/>
          <w:sz w:val="28"/>
          <w:szCs w:val="28"/>
          <w:highlight w:val="none"/>
          <w:lang w:val="en-US" w:eastAsia="zh-CN"/>
        </w:rPr>
        <w:t>4.</w:t>
      </w:r>
      <w:r>
        <w:rPr>
          <w:rFonts w:hint="eastAsia" w:ascii="宋体" w:hAnsi="宋体" w:eastAsia="宋体" w:cs="宋体"/>
          <w:b/>
          <w:bCs/>
          <w:i w:val="0"/>
          <w:iCs w:val="0"/>
          <w:color w:val="auto"/>
          <w:spacing w:val="5"/>
          <w:sz w:val="28"/>
          <w:szCs w:val="28"/>
          <w:highlight w:val="none"/>
        </w:rPr>
        <w:t>备品备件分项报价表</w:t>
      </w:r>
    </w:p>
    <w:p w14:paraId="742851D9">
      <w:pPr>
        <w:pStyle w:val="5"/>
        <w:spacing w:before="75" w:line="231" w:lineRule="auto"/>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10"/>
          <w:sz w:val="28"/>
          <w:szCs w:val="28"/>
          <w:highlight w:val="none"/>
        </w:rPr>
        <w:t>招标编号:</w:t>
      </w:r>
    </w:p>
    <w:p w14:paraId="3FD949EA">
      <w:pPr>
        <w:pStyle w:val="5"/>
        <w:spacing w:before="70" w:line="229" w:lineRule="auto"/>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9"/>
          <w:sz w:val="28"/>
          <w:szCs w:val="28"/>
          <w:highlight w:val="none"/>
        </w:rPr>
        <w:t>项目名称:</w:t>
      </w:r>
    </w:p>
    <w:p w14:paraId="07710DB9">
      <w:pPr>
        <w:spacing w:line="20" w:lineRule="auto"/>
        <w:rPr>
          <w:rFonts w:hint="eastAsia" w:ascii="宋体" w:hAnsi="宋体" w:eastAsia="宋体" w:cs="宋体"/>
          <w:i w:val="0"/>
          <w:iCs w:val="0"/>
          <w:color w:val="auto"/>
          <w:sz w:val="28"/>
          <w:szCs w:val="28"/>
          <w:highlight w:val="none"/>
        </w:rPr>
      </w:pPr>
    </w:p>
    <w:tbl>
      <w:tblPr>
        <w:tblStyle w:val="22"/>
        <w:tblW w:w="91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4"/>
        <w:gridCol w:w="838"/>
        <w:gridCol w:w="987"/>
        <w:gridCol w:w="650"/>
        <w:gridCol w:w="950"/>
        <w:gridCol w:w="913"/>
        <w:gridCol w:w="1104"/>
        <w:gridCol w:w="559"/>
        <w:gridCol w:w="450"/>
        <w:gridCol w:w="409"/>
        <w:gridCol w:w="408"/>
        <w:gridCol w:w="739"/>
      </w:tblGrid>
      <w:tr w14:paraId="24343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124" w:type="dxa"/>
            <w:vAlign w:val="top"/>
          </w:tcPr>
          <w:p w14:paraId="7B842C23">
            <w:pPr>
              <w:pStyle w:val="23"/>
              <w:rPr>
                <w:rFonts w:hint="eastAsia" w:ascii="宋体" w:hAnsi="宋体" w:eastAsia="宋体" w:cs="宋体"/>
                <w:i w:val="0"/>
                <w:iCs w:val="0"/>
                <w:color w:val="auto"/>
                <w:sz w:val="28"/>
                <w:szCs w:val="28"/>
                <w:highlight w:val="none"/>
              </w:rPr>
            </w:pPr>
          </w:p>
        </w:tc>
        <w:tc>
          <w:tcPr>
            <w:tcW w:w="838" w:type="dxa"/>
            <w:vAlign w:val="center"/>
          </w:tcPr>
          <w:p w14:paraId="7758A027">
            <w:pPr>
              <w:spacing w:before="295" w:line="232" w:lineRule="auto"/>
              <w:ind w:left="144"/>
              <w:jc w:val="center"/>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2"/>
                <w:sz w:val="28"/>
                <w:szCs w:val="28"/>
                <w:highlight w:val="none"/>
              </w:rPr>
              <w:t>编号</w:t>
            </w:r>
          </w:p>
        </w:tc>
        <w:tc>
          <w:tcPr>
            <w:tcW w:w="987" w:type="dxa"/>
            <w:vAlign w:val="center"/>
          </w:tcPr>
          <w:p w14:paraId="2FFB2609">
            <w:pPr>
              <w:spacing w:before="295" w:line="229" w:lineRule="auto"/>
              <w:ind w:left="204"/>
              <w:jc w:val="center"/>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1"/>
                <w:sz w:val="28"/>
                <w:szCs w:val="28"/>
                <w:highlight w:val="none"/>
                <w:lang w:val="en-US" w:eastAsia="zh-CN"/>
              </w:rPr>
              <w:t>货物</w:t>
            </w:r>
            <w:r>
              <w:rPr>
                <w:rFonts w:hint="eastAsia" w:ascii="宋体" w:hAnsi="宋体" w:eastAsia="宋体" w:cs="宋体"/>
                <w:i w:val="0"/>
                <w:iCs w:val="0"/>
                <w:color w:val="auto"/>
                <w:spacing w:val="-1"/>
                <w:sz w:val="28"/>
                <w:szCs w:val="28"/>
                <w:highlight w:val="none"/>
              </w:rPr>
              <w:t>名称</w:t>
            </w:r>
          </w:p>
        </w:tc>
        <w:tc>
          <w:tcPr>
            <w:tcW w:w="650" w:type="dxa"/>
            <w:vAlign w:val="center"/>
          </w:tcPr>
          <w:p w14:paraId="43E018B7">
            <w:pPr>
              <w:spacing w:before="137" w:line="213" w:lineRule="exact"/>
              <w:jc w:val="center"/>
              <w:rPr>
                <w:rFonts w:hint="eastAsia" w:ascii="宋体" w:hAnsi="宋体" w:eastAsia="宋体" w:cs="宋体"/>
                <w:i w:val="0"/>
                <w:iCs w:val="0"/>
                <w:color w:val="auto"/>
                <w:sz w:val="28"/>
                <w:szCs w:val="28"/>
                <w:highlight w:val="none"/>
                <w:lang w:eastAsia="zh-CN"/>
              </w:rPr>
            </w:pPr>
            <w:r>
              <w:rPr>
                <w:rFonts w:hint="eastAsia" w:ascii="宋体" w:hAnsi="宋体" w:eastAsia="宋体" w:cs="宋体"/>
                <w:i w:val="0"/>
                <w:iCs w:val="0"/>
                <w:color w:val="auto"/>
                <w:spacing w:val="-6"/>
                <w:position w:val="-1"/>
                <w:sz w:val="28"/>
                <w:szCs w:val="28"/>
                <w:highlight w:val="none"/>
                <w:lang w:val="en-US" w:eastAsia="zh-CN"/>
              </w:rPr>
              <w:t>品牌</w:t>
            </w:r>
          </w:p>
        </w:tc>
        <w:tc>
          <w:tcPr>
            <w:tcW w:w="950" w:type="dxa"/>
            <w:vAlign w:val="center"/>
          </w:tcPr>
          <w:p w14:paraId="1423900F">
            <w:pPr>
              <w:spacing w:before="150" w:line="207" w:lineRule="auto"/>
              <w:ind w:left="218" w:right="185" w:hanging="11"/>
              <w:jc w:val="center"/>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规格</w:t>
            </w:r>
          </w:p>
          <w:p w14:paraId="1C21AFC5">
            <w:pPr>
              <w:spacing w:before="150" w:line="207" w:lineRule="auto"/>
              <w:ind w:left="218" w:right="185" w:hanging="11"/>
              <w:jc w:val="center"/>
              <w:rPr>
                <w:rFonts w:hint="eastAsia" w:ascii="宋体" w:hAnsi="宋体" w:eastAsia="宋体" w:cs="宋体"/>
                <w:i w:val="0"/>
                <w:iCs w:val="0"/>
                <w:color w:val="auto"/>
                <w:spacing w:val="-8"/>
                <w:sz w:val="28"/>
                <w:szCs w:val="28"/>
                <w:highlight w:val="none"/>
                <w:lang w:val="en-US" w:eastAsia="zh-CN"/>
              </w:rPr>
            </w:pPr>
            <w:r>
              <w:rPr>
                <w:rFonts w:hint="eastAsia" w:ascii="宋体" w:hAnsi="宋体" w:eastAsia="宋体" w:cs="宋体"/>
                <w:i w:val="0"/>
                <w:iCs w:val="0"/>
                <w:color w:val="auto"/>
                <w:sz w:val="28"/>
                <w:szCs w:val="28"/>
                <w:highlight w:val="none"/>
                <w:lang w:val="en-US" w:eastAsia="zh-CN"/>
              </w:rPr>
              <w:t>型号</w:t>
            </w:r>
          </w:p>
        </w:tc>
        <w:tc>
          <w:tcPr>
            <w:tcW w:w="913" w:type="dxa"/>
            <w:vAlign w:val="center"/>
          </w:tcPr>
          <w:p w14:paraId="1DEC7120">
            <w:pPr>
              <w:spacing w:before="150" w:line="207" w:lineRule="auto"/>
              <w:ind w:left="218" w:right="185" w:hanging="11"/>
              <w:jc w:val="center"/>
              <w:rPr>
                <w:rFonts w:hint="default" w:ascii="宋体" w:hAnsi="宋体" w:eastAsia="宋体" w:cs="宋体"/>
                <w:i w:val="0"/>
                <w:iCs w:val="0"/>
                <w:color w:val="auto"/>
                <w:sz w:val="28"/>
                <w:szCs w:val="28"/>
                <w:highlight w:val="none"/>
                <w:lang w:val="en-US" w:eastAsia="zh-CN"/>
              </w:rPr>
            </w:pPr>
            <w:r>
              <w:rPr>
                <w:rFonts w:hint="eastAsia" w:ascii="宋体" w:hAnsi="宋体" w:eastAsia="宋体" w:cs="宋体"/>
                <w:i w:val="0"/>
                <w:iCs w:val="0"/>
                <w:color w:val="auto"/>
                <w:spacing w:val="-8"/>
                <w:sz w:val="28"/>
                <w:szCs w:val="28"/>
                <w:highlight w:val="none"/>
                <w:lang w:val="en-US" w:eastAsia="zh-CN"/>
              </w:rPr>
              <w:t>制造商名称</w:t>
            </w:r>
          </w:p>
        </w:tc>
        <w:tc>
          <w:tcPr>
            <w:tcW w:w="1104" w:type="dxa"/>
            <w:vAlign w:val="center"/>
          </w:tcPr>
          <w:p w14:paraId="69584F54">
            <w:pPr>
              <w:spacing w:before="146" w:line="206" w:lineRule="auto"/>
              <w:ind w:left="233" w:right="198" w:hanging="14"/>
              <w:jc w:val="center"/>
              <w:rPr>
                <w:rFonts w:hint="eastAsia" w:ascii="宋体" w:hAnsi="宋体" w:eastAsia="宋体" w:cs="宋体"/>
                <w:i w:val="0"/>
                <w:iCs w:val="0"/>
                <w:color w:val="auto"/>
                <w:sz w:val="28"/>
                <w:szCs w:val="28"/>
                <w:highlight w:val="none"/>
                <w:lang w:eastAsia="zh-CN"/>
              </w:rPr>
            </w:pPr>
            <w:r>
              <w:rPr>
                <w:rFonts w:hint="eastAsia" w:ascii="宋体" w:hAnsi="宋体" w:eastAsia="宋体" w:cs="宋体"/>
                <w:i w:val="0"/>
                <w:iCs w:val="0"/>
                <w:color w:val="auto"/>
                <w:spacing w:val="2"/>
                <w:sz w:val="28"/>
                <w:szCs w:val="28"/>
                <w:highlight w:val="none"/>
                <w:lang w:val="en-US" w:eastAsia="zh-CN"/>
              </w:rPr>
              <w:t>产地</w:t>
            </w:r>
          </w:p>
        </w:tc>
        <w:tc>
          <w:tcPr>
            <w:tcW w:w="559" w:type="dxa"/>
            <w:vAlign w:val="center"/>
          </w:tcPr>
          <w:p w14:paraId="6AA6CB7C">
            <w:pPr>
              <w:spacing w:before="124" w:line="222" w:lineRule="exact"/>
              <w:jc w:val="center"/>
              <w:rPr>
                <w:rFonts w:hint="eastAsia" w:ascii="宋体" w:hAnsi="宋体" w:eastAsia="宋体" w:cs="宋体"/>
                <w:i w:val="0"/>
                <w:iCs w:val="0"/>
                <w:color w:val="auto"/>
                <w:sz w:val="28"/>
                <w:szCs w:val="28"/>
                <w:highlight w:val="none"/>
                <w:lang w:val="en-US" w:eastAsia="zh-CN"/>
              </w:rPr>
            </w:pPr>
            <w:r>
              <w:rPr>
                <w:rFonts w:hint="eastAsia" w:ascii="宋体" w:hAnsi="宋体" w:eastAsia="宋体" w:cs="宋体"/>
                <w:i w:val="0"/>
                <w:iCs w:val="0"/>
                <w:color w:val="auto"/>
                <w:sz w:val="28"/>
                <w:szCs w:val="28"/>
                <w:highlight w:val="none"/>
                <w:lang w:val="en-US" w:eastAsia="zh-CN"/>
              </w:rPr>
              <w:t>数量</w:t>
            </w:r>
          </w:p>
        </w:tc>
        <w:tc>
          <w:tcPr>
            <w:tcW w:w="450" w:type="dxa"/>
            <w:vAlign w:val="center"/>
          </w:tcPr>
          <w:p w14:paraId="4B76C3BA">
            <w:pPr>
              <w:spacing w:before="128" w:line="221" w:lineRule="exact"/>
              <w:jc w:val="center"/>
              <w:rPr>
                <w:rFonts w:hint="eastAsia" w:ascii="宋体" w:hAnsi="宋体" w:eastAsia="宋体" w:cs="宋体"/>
                <w:i w:val="0"/>
                <w:iCs w:val="0"/>
                <w:color w:val="auto"/>
                <w:sz w:val="28"/>
                <w:szCs w:val="28"/>
                <w:highlight w:val="none"/>
                <w:lang w:val="en-US" w:eastAsia="zh-CN"/>
              </w:rPr>
            </w:pPr>
            <w:r>
              <w:rPr>
                <w:rFonts w:hint="eastAsia" w:ascii="宋体" w:hAnsi="宋体" w:eastAsia="宋体" w:cs="宋体"/>
                <w:i w:val="0"/>
                <w:iCs w:val="0"/>
                <w:color w:val="auto"/>
                <w:sz w:val="28"/>
                <w:szCs w:val="28"/>
                <w:highlight w:val="none"/>
                <w:lang w:val="en-US" w:eastAsia="zh-CN"/>
              </w:rPr>
              <w:t>单位</w:t>
            </w:r>
          </w:p>
        </w:tc>
        <w:tc>
          <w:tcPr>
            <w:tcW w:w="409" w:type="dxa"/>
            <w:vAlign w:val="center"/>
          </w:tcPr>
          <w:p w14:paraId="42641722">
            <w:pPr>
              <w:spacing w:before="122" w:line="223" w:lineRule="exact"/>
              <w:jc w:val="center"/>
              <w:rPr>
                <w:rFonts w:hint="eastAsia" w:ascii="宋体" w:hAnsi="宋体" w:eastAsia="宋体" w:cs="宋体"/>
                <w:i w:val="0"/>
                <w:iCs w:val="0"/>
                <w:color w:val="auto"/>
                <w:sz w:val="28"/>
                <w:szCs w:val="28"/>
                <w:highlight w:val="none"/>
                <w:lang w:val="en-US" w:eastAsia="zh-CN"/>
              </w:rPr>
            </w:pPr>
            <w:r>
              <w:rPr>
                <w:rFonts w:hint="eastAsia" w:ascii="宋体" w:hAnsi="宋体" w:eastAsia="宋体" w:cs="宋体"/>
                <w:i w:val="0"/>
                <w:iCs w:val="0"/>
                <w:color w:val="auto"/>
                <w:sz w:val="28"/>
                <w:szCs w:val="28"/>
                <w:highlight w:val="none"/>
                <w:lang w:val="en-US" w:eastAsia="zh-CN"/>
              </w:rPr>
              <w:t>单价</w:t>
            </w:r>
          </w:p>
        </w:tc>
        <w:tc>
          <w:tcPr>
            <w:tcW w:w="408" w:type="dxa"/>
            <w:vAlign w:val="center"/>
          </w:tcPr>
          <w:p w14:paraId="5F8044AE">
            <w:pPr>
              <w:spacing w:before="128" w:line="222" w:lineRule="exact"/>
              <w:jc w:val="center"/>
              <w:rPr>
                <w:rFonts w:hint="default" w:ascii="宋体" w:hAnsi="宋体" w:eastAsia="宋体" w:cs="宋体"/>
                <w:i w:val="0"/>
                <w:iCs w:val="0"/>
                <w:color w:val="auto"/>
                <w:sz w:val="28"/>
                <w:szCs w:val="28"/>
                <w:highlight w:val="none"/>
                <w:lang w:val="en-US" w:eastAsia="zh-CN"/>
              </w:rPr>
            </w:pPr>
            <w:r>
              <w:rPr>
                <w:rFonts w:hint="eastAsia" w:ascii="宋体" w:hAnsi="宋体" w:eastAsia="宋体" w:cs="宋体"/>
                <w:i w:val="0"/>
                <w:iCs w:val="0"/>
                <w:color w:val="auto"/>
                <w:sz w:val="28"/>
                <w:szCs w:val="28"/>
                <w:highlight w:val="none"/>
                <w:lang w:val="en-US" w:eastAsia="zh-CN"/>
              </w:rPr>
              <w:t>合价</w:t>
            </w:r>
          </w:p>
        </w:tc>
        <w:tc>
          <w:tcPr>
            <w:tcW w:w="739" w:type="dxa"/>
            <w:vAlign w:val="center"/>
          </w:tcPr>
          <w:p w14:paraId="6EC10E47">
            <w:pPr>
              <w:spacing w:before="121" w:line="220" w:lineRule="exact"/>
              <w:jc w:val="center"/>
              <w:rPr>
                <w:rFonts w:hint="eastAsia" w:ascii="宋体" w:hAnsi="宋体" w:eastAsia="宋体" w:cs="宋体"/>
                <w:i w:val="0"/>
                <w:iCs w:val="0"/>
                <w:color w:val="auto"/>
                <w:sz w:val="28"/>
                <w:szCs w:val="28"/>
                <w:highlight w:val="none"/>
                <w:lang w:eastAsia="zh-CN"/>
              </w:rPr>
            </w:pPr>
            <w:r>
              <w:rPr>
                <w:rFonts w:hint="eastAsia" w:ascii="宋体" w:hAnsi="宋体" w:eastAsia="宋体" w:cs="宋体"/>
                <w:i w:val="0"/>
                <w:iCs w:val="0"/>
                <w:color w:val="auto"/>
                <w:spacing w:val="-3"/>
                <w:w w:val="99"/>
                <w:position w:val="-1"/>
                <w:sz w:val="28"/>
                <w:szCs w:val="28"/>
                <w:highlight w:val="none"/>
                <w:lang w:val="en-US" w:eastAsia="zh-CN"/>
              </w:rPr>
              <w:t>备注</w:t>
            </w:r>
          </w:p>
        </w:tc>
      </w:tr>
      <w:tr w14:paraId="42670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124" w:type="dxa"/>
            <w:vMerge w:val="restart"/>
            <w:tcBorders>
              <w:bottom w:val="nil"/>
            </w:tcBorders>
            <w:vAlign w:val="top"/>
          </w:tcPr>
          <w:p w14:paraId="646F2D6C">
            <w:pPr>
              <w:spacing w:before="75" w:line="224" w:lineRule="auto"/>
              <w:ind w:left="243" w:right="225" w:hanging="2"/>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2"/>
                <w:sz w:val="28"/>
                <w:szCs w:val="28"/>
                <w:highlight w:val="none"/>
              </w:rPr>
              <w:t>质保期内免费设备</w:t>
            </w:r>
          </w:p>
        </w:tc>
        <w:tc>
          <w:tcPr>
            <w:tcW w:w="838" w:type="dxa"/>
            <w:vAlign w:val="top"/>
          </w:tcPr>
          <w:p w14:paraId="40B7E66A">
            <w:pPr>
              <w:spacing w:before="180" w:line="187" w:lineRule="auto"/>
              <w:ind w:left="345"/>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1</w:t>
            </w:r>
          </w:p>
        </w:tc>
        <w:tc>
          <w:tcPr>
            <w:tcW w:w="987" w:type="dxa"/>
            <w:vAlign w:val="top"/>
          </w:tcPr>
          <w:p w14:paraId="15634CCA">
            <w:pPr>
              <w:pStyle w:val="23"/>
              <w:rPr>
                <w:rFonts w:hint="eastAsia" w:ascii="宋体" w:hAnsi="宋体" w:eastAsia="宋体" w:cs="宋体"/>
                <w:i w:val="0"/>
                <w:iCs w:val="0"/>
                <w:color w:val="auto"/>
                <w:sz w:val="28"/>
                <w:szCs w:val="28"/>
                <w:highlight w:val="none"/>
              </w:rPr>
            </w:pPr>
          </w:p>
        </w:tc>
        <w:tc>
          <w:tcPr>
            <w:tcW w:w="650" w:type="dxa"/>
            <w:vAlign w:val="top"/>
          </w:tcPr>
          <w:p w14:paraId="1B3E58FF">
            <w:pPr>
              <w:pStyle w:val="23"/>
              <w:rPr>
                <w:rFonts w:hint="eastAsia" w:ascii="宋体" w:hAnsi="宋体" w:eastAsia="宋体" w:cs="宋体"/>
                <w:i w:val="0"/>
                <w:iCs w:val="0"/>
                <w:color w:val="auto"/>
                <w:sz w:val="28"/>
                <w:szCs w:val="28"/>
                <w:highlight w:val="none"/>
              </w:rPr>
            </w:pPr>
          </w:p>
        </w:tc>
        <w:tc>
          <w:tcPr>
            <w:tcW w:w="950" w:type="dxa"/>
            <w:vAlign w:val="top"/>
          </w:tcPr>
          <w:p w14:paraId="57B5163C">
            <w:pPr>
              <w:pStyle w:val="23"/>
              <w:rPr>
                <w:rFonts w:hint="eastAsia" w:ascii="宋体" w:hAnsi="宋体" w:eastAsia="宋体" w:cs="宋体"/>
                <w:i w:val="0"/>
                <w:iCs w:val="0"/>
                <w:color w:val="auto"/>
                <w:sz w:val="28"/>
                <w:szCs w:val="28"/>
                <w:highlight w:val="none"/>
              </w:rPr>
            </w:pPr>
          </w:p>
        </w:tc>
        <w:tc>
          <w:tcPr>
            <w:tcW w:w="913" w:type="dxa"/>
            <w:vAlign w:val="top"/>
          </w:tcPr>
          <w:p w14:paraId="2D810FD6">
            <w:pPr>
              <w:pStyle w:val="23"/>
              <w:rPr>
                <w:rFonts w:hint="eastAsia" w:ascii="宋体" w:hAnsi="宋体" w:eastAsia="宋体" w:cs="宋体"/>
                <w:i w:val="0"/>
                <w:iCs w:val="0"/>
                <w:color w:val="auto"/>
                <w:sz w:val="28"/>
                <w:szCs w:val="28"/>
                <w:highlight w:val="none"/>
              </w:rPr>
            </w:pPr>
          </w:p>
        </w:tc>
        <w:tc>
          <w:tcPr>
            <w:tcW w:w="1104" w:type="dxa"/>
            <w:vAlign w:val="top"/>
          </w:tcPr>
          <w:p w14:paraId="41A960E2">
            <w:pPr>
              <w:pStyle w:val="23"/>
              <w:rPr>
                <w:rFonts w:hint="eastAsia" w:ascii="宋体" w:hAnsi="宋体" w:eastAsia="宋体" w:cs="宋体"/>
                <w:i w:val="0"/>
                <w:iCs w:val="0"/>
                <w:color w:val="auto"/>
                <w:sz w:val="28"/>
                <w:szCs w:val="28"/>
                <w:highlight w:val="none"/>
              </w:rPr>
            </w:pPr>
          </w:p>
        </w:tc>
        <w:tc>
          <w:tcPr>
            <w:tcW w:w="559" w:type="dxa"/>
            <w:vAlign w:val="top"/>
          </w:tcPr>
          <w:p w14:paraId="38CD71CF">
            <w:pPr>
              <w:pStyle w:val="23"/>
              <w:rPr>
                <w:rFonts w:hint="eastAsia" w:ascii="宋体" w:hAnsi="宋体" w:eastAsia="宋体" w:cs="宋体"/>
                <w:i w:val="0"/>
                <w:iCs w:val="0"/>
                <w:color w:val="auto"/>
                <w:sz w:val="28"/>
                <w:szCs w:val="28"/>
                <w:highlight w:val="none"/>
              </w:rPr>
            </w:pPr>
          </w:p>
        </w:tc>
        <w:tc>
          <w:tcPr>
            <w:tcW w:w="450" w:type="dxa"/>
            <w:vAlign w:val="top"/>
          </w:tcPr>
          <w:p w14:paraId="2A12FB4E">
            <w:pPr>
              <w:pStyle w:val="23"/>
              <w:rPr>
                <w:rFonts w:hint="eastAsia" w:ascii="宋体" w:hAnsi="宋体" w:eastAsia="宋体" w:cs="宋体"/>
                <w:i w:val="0"/>
                <w:iCs w:val="0"/>
                <w:color w:val="auto"/>
                <w:sz w:val="28"/>
                <w:szCs w:val="28"/>
                <w:highlight w:val="none"/>
              </w:rPr>
            </w:pPr>
          </w:p>
        </w:tc>
        <w:tc>
          <w:tcPr>
            <w:tcW w:w="409" w:type="dxa"/>
            <w:tcBorders>
              <w:bottom w:val="single" w:color="000000" w:sz="2" w:space="0"/>
            </w:tcBorders>
            <w:vAlign w:val="top"/>
          </w:tcPr>
          <w:p w14:paraId="02DB5398">
            <w:pPr>
              <w:pStyle w:val="23"/>
              <w:rPr>
                <w:rFonts w:hint="eastAsia" w:ascii="宋体" w:hAnsi="宋体" w:eastAsia="宋体" w:cs="宋体"/>
                <w:i w:val="0"/>
                <w:iCs w:val="0"/>
                <w:color w:val="auto"/>
                <w:sz w:val="28"/>
                <w:szCs w:val="28"/>
                <w:highlight w:val="none"/>
              </w:rPr>
            </w:pPr>
          </w:p>
        </w:tc>
        <w:tc>
          <w:tcPr>
            <w:tcW w:w="408" w:type="dxa"/>
            <w:vAlign w:val="top"/>
          </w:tcPr>
          <w:p w14:paraId="30132882">
            <w:pPr>
              <w:pStyle w:val="23"/>
              <w:rPr>
                <w:rFonts w:hint="eastAsia" w:ascii="宋体" w:hAnsi="宋体" w:eastAsia="宋体" w:cs="宋体"/>
                <w:i w:val="0"/>
                <w:iCs w:val="0"/>
                <w:color w:val="auto"/>
                <w:sz w:val="28"/>
                <w:szCs w:val="28"/>
                <w:highlight w:val="none"/>
              </w:rPr>
            </w:pPr>
          </w:p>
        </w:tc>
        <w:tc>
          <w:tcPr>
            <w:tcW w:w="739" w:type="dxa"/>
            <w:vAlign w:val="top"/>
          </w:tcPr>
          <w:p w14:paraId="13355F04">
            <w:pPr>
              <w:pStyle w:val="23"/>
              <w:rPr>
                <w:rFonts w:hint="eastAsia" w:ascii="宋体" w:hAnsi="宋体" w:eastAsia="宋体" w:cs="宋体"/>
                <w:i w:val="0"/>
                <w:iCs w:val="0"/>
                <w:color w:val="auto"/>
                <w:sz w:val="28"/>
                <w:szCs w:val="28"/>
                <w:highlight w:val="none"/>
              </w:rPr>
            </w:pPr>
          </w:p>
        </w:tc>
      </w:tr>
      <w:tr w14:paraId="78F83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24" w:type="dxa"/>
            <w:vMerge w:val="continue"/>
            <w:tcBorders>
              <w:top w:val="nil"/>
              <w:bottom w:val="nil"/>
            </w:tcBorders>
            <w:vAlign w:val="top"/>
          </w:tcPr>
          <w:p w14:paraId="68E9011D">
            <w:pPr>
              <w:pStyle w:val="23"/>
              <w:rPr>
                <w:rFonts w:hint="eastAsia" w:ascii="宋体" w:hAnsi="宋体" w:eastAsia="宋体" w:cs="宋体"/>
                <w:i w:val="0"/>
                <w:iCs w:val="0"/>
                <w:color w:val="auto"/>
                <w:sz w:val="28"/>
                <w:szCs w:val="28"/>
                <w:highlight w:val="none"/>
              </w:rPr>
            </w:pPr>
          </w:p>
        </w:tc>
        <w:tc>
          <w:tcPr>
            <w:tcW w:w="838" w:type="dxa"/>
            <w:vAlign w:val="top"/>
          </w:tcPr>
          <w:p w14:paraId="15316B10">
            <w:pPr>
              <w:spacing w:before="187" w:line="166" w:lineRule="auto"/>
              <w:ind w:left="318"/>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2</w:t>
            </w:r>
          </w:p>
        </w:tc>
        <w:tc>
          <w:tcPr>
            <w:tcW w:w="987" w:type="dxa"/>
            <w:vAlign w:val="top"/>
          </w:tcPr>
          <w:p w14:paraId="10E6B403">
            <w:pPr>
              <w:pStyle w:val="23"/>
              <w:rPr>
                <w:rFonts w:hint="eastAsia" w:ascii="宋体" w:hAnsi="宋体" w:eastAsia="宋体" w:cs="宋体"/>
                <w:i w:val="0"/>
                <w:iCs w:val="0"/>
                <w:color w:val="auto"/>
                <w:sz w:val="28"/>
                <w:szCs w:val="28"/>
                <w:highlight w:val="none"/>
              </w:rPr>
            </w:pPr>
          </w:p>
        </w:tc>
        <w:tc>
          <w:tcPr>
            <w:tcW w:w="650" w:type="dxa"/>
            <w:vAlign w:val="top"/>
          </w:tcPr>
          <w:p w14:paraId="14415AA0">
            <w:pPr>
              <w:pStyle w:val="23"/>
              <w:rPr>
                <w:rFonts w:hint="eastAsia" w:ascii="宋体" w:hAnsi="宋体" w:eastAsia="宋体" w:cs="宋体"/>
                <w:i w:val="0"/>
                <w:iCs w:val="0"/>
                <w:color w:val="auto"/>
                <w:sz w:val="28"/>
                <w:szCs w:val="28"/>
                <w:highlight w:val="none"/>
              </w:rPr>
            </w:pPr>
          </w:p>
        </w:tc>
        <w:tc>
          <w:tcPr>
            <w:tcW w:w="950" w:type="dxa"/>
            <w:vAlign w:val="top"/>
          </w:tcPr>
          <w:p w14:paraId="494B8CFB">
            <w:pPr>
              <w:pStyle w:val="23"/>
              <w:rPr>
                <w:rFonts w:hint="eastAsia" w:ascii="宋体" w:hAnsi="宋体" w:eastAsia="宋体" w:cs="宋体"/>
                <w:i w:val="0"/>
                <w:iCs w:val="0"/>
                <w:color w:val="auto"/>
                <w:sz w:val="28"/>
                <w:szCs w:val="28"/>
                <w:highlight w:val="none"/>
              </w:rPr>
            </w:pPr>
          </w:p>
        </w:tc>
        <w:tc>
          <w:tcPr>
            <w:tcW w:w="913" w:type="dxa"/>
            <w:vAlign w:val="top"/>
          </w:tcPr>
          <w:p w14:paraId="7EED1844">
            <w:pPr>
              <w:pStyle w:val="23"/>
              <w:rPr>
                <w:rFonts w:hint="eastAsia" w:ascii="宋体" w:hAnsi="宋体" w:eastAsia="宋体" w:cs="宋体"/>
                <w:i w:val="0"/>
                <w:iCs w:val="0"/>
                <w:color w:val="auto"/>
                <w:sz w:val="28"/>
                <w:szCs w:val="28"/>
                <w:highlight w:val="none"/>
              </w:rPr>
            </w:pPr>
          </w:p>
        </w:tc>
        <w:tc>
          <w:tcPr>
            <w:tcW w:w="1104" w:type="dxa"/>
            <w:vAlign w:val="top"/>
          </w:tcPr>
          <w:p w14:paraId="3F35E0E0">
            <w:pPr>
              <w:pStyle w:val="23"/>
              <w:rPr>
                <w:rFonts w:hint="eastAsia" w:ascii="宋体" w:hAnsi="宋体" w:eastAsia="宋体" w:cs="宋体"/>
                <w:i w:val="0"/>
                <w:iCs w:val="0"/>
                <w:color w:val="auto"/>
                <w:sz w:val="28"/>
                <w:szCs w:val="28"/>
                <w:highlight w:val="none"/>
              </w:rPr>
            </w:pPr>
          </w:p>
        </w:tc>
        <w:tc>
          <w:tcPr>
            <w:tcW w:w="559" w:type="dxa"/>
            <w:vAlign w:val="top"/>
          </w:tcPr>
          <w:p w14:paraId="5A0CB2A8">
            <w:pPr>
              <w:pStyle w:val="23"/>
              <w:rPr>
                <w:rFonts w:hint="eastAsia" w:ascii="宋体" w:hAnsi="宋体" w:eastAsia="宋体" w:cs="宋体"/>
                <w:i w:val="0"/>
                <w:iCs w:val="0"/>
                <w:color w:val="auto"/>
                <w:sz w:val="28"/>
                <w:szCs w:val="28"/>
                <w:highlight w:val="none"/>
              </w:rPr>
            </w:pPr>
          </w:p>
        </w:tc>
        <w:tc>
          <w:tcPr>
            <w:tcW w:w="450" w:type="dxa"/>
            <w:vAlign w:val="top"/>
          </w:tcPr>
          <w:p w14:paraId="1D00410D">
            <w:pPr>
              <w:pStyle w:val="23"/>
              <w:rPr>
                <w:rFonts w:hint="eastAsia" w:ascii="宋体" w:hAnsi="宋体" w:eastAsia="宋体" w:cs="宋体"/>
                <w:i w:val="0"/>
                <w:iCs w:val="0"/>
                <w:color w:val="auto"/>
                <w:sz w:val="28"/>
                <w:szCs w:val="28"/>
                <w:highlight w:val="none"/>
              </w:rPr>
            </w:pPr>
          </w:p>
        </w:tc>
        <w:tc>
          <w:tcPr>
            <w:tcW w:w="409" w:type="dxa"/>
            <w:tcBorders>
              <w:top w:val="single" w:color="000000" w:sz="2" w:space="0"/>
            </w:tcBorders>
            <w:vAlign w:val="top"/>
          </w:tcPr>
          <w:p w14:paraId="2E2956D4">
            <w:pPr>
              <w:pStyle w:val="23"/>
              <w:rPr>
                <w:rFonts w:hint="eastAsia" w:ascii="宋体" w:hAnsi="宋体" w:eastAsia="宋体" w:cs="宋体"/>
                <w:i w:val="0"/>
                <w:iCs w:val="0"/>
                <w:color w:val="auto"/>
                <w:sz w:val="28"/>
                <w:szCs w:val="28"/>
                <w:highlight w:val="none"/>
              </w:rPr>
            </w:pPr>
          </w:p>
        </w:tc>
        <w:tc>
          <w:tcPr>
            <w:tcW w:w="408" w:type="dxa"/>
            <w:vAlign w:val="top"/>
          </w:tcPr>
          <w:p w14:paraId="7974CDCF">
            <w:pPr>
              <w:pStyle w:val="23"/>
              <w:rPr>
                <w:rFonts w:hint="eastAsia" w:ascii="宋体" w:hAnsi="宋体" w:eastAsia="宋体" w:cs="宋体"/>
                <w:i w:val="0"/>
                <w:iCs w:val="0"/>
                <w:color w:val="auto"/>
                <w:sz w:val="28"/>
                <w:szCs w:val="28"/>
                <w:highlight w:val="none"/>
              </w:rPr>
            </w:pPr>
          </w:p>
        </w:tc>
        <w:tc>
          <w:tcPr>
            <w:tcW w:w="739" w:type="dxa"/>
            <w:vAlign w:val="top"/>
          </w:tcPr>
          <w:p w14:paraId="155F77DB">
            <w:pPr>
              <w:pStyle w:val="23"/>
              <w:rPr>
                <w:rFonts w:hint="eastAsia" w:ascii="宋体" w:hAnsi="宋体" w:eastAsia="宋体" w:cs="宋体"/>
                <w:i w:val="0"/>
                <w:iCs w:val="0"/>
                <w:color w:val="auto"/>
                <w:sz w:val="28"/>
                <w:szCs w:val="28"/>
                <w:highlight w:val="none"/>
              </w:rPr>
            </w:pPr>
          </w:p>
        </w:tc>
      </w:tr>
      <w:tr w14:paraId="69075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124" w:type="dxa"/>
            <w:vMerge w:val="continue"/>
            <w:tcBorders>
              <w:top w:val="nil"/>
            </w:tcBorders>
            <w:vAlign w:val="top"/>
          </w:tcPr>
          <w:p w14:paraId="58AA3E74">
            <w:pPr>
              <w:pStyle w:val="23"/>
              <w:rPr>
                <w:rFonts w:hint="eastAsia" w:ascii="宋体" w:hAnsi="宋体" w:eastAsia="宋体" w:cs="宋体"/>
                <w:i w:val="0"/>
                <w:iCs w:val="0"/>
                <w:color w:val="auto"/>
                <w:sz w:val="28"/>
                <w:szCs w:val="28"/>
                <w:highlight w:val="none"/>
              </w:rPr>
            </w:pPr>
          </w:p>
        </w:tc>
        <w:tc>
          <w:tcPr>
            <w:tcW w:w="838" w:type="dxa"/>
            <w:vAlign w:val="top"/>
          </w:tcPr>
          <w:p w14:paraId="0BFAC01A">
            <w:pPr>
              <w:spacing w:before="187" w:line="186" w:lineRule="auto"/>
              <w:ind w:left="207"/>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3...</w:t>
            </w:r>
          </w:p>
          <w:p w14:paraId="7BEF414D">
            <w:pPr>
              <w:spacing w:before="166" w:line="55" w:lineRule="exact"/>
              <w:ind w:left="210"/>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position w:val="1"/>
                <w:sz w:val="28"/>
                <w:szCs w:val="28"/>
                <w:highlight w:val="none"/>
              </w:rPr>
              <w:t>.</w:t>
            </w:r>
          </w:p>
        </w:tc>
        <w:tc>
          <w:tcPr>
            <w:tcW w:w="987" w:type="dxa"/>
            <w:vAlign w:val="top"/>
          </w:tcPr>
          <w:p w14:paraId="3EBDA24B">
            <w:pPr>
              <w:pStyle w:val="23"/>
              <w:rPr>
                <w:rFonts w:hint="eastAsia" w:ascii="宋体" w:hAnsi="宋体" w:eastAsia="宋体" w:cs="宋体"/>
                <w:i w:val="0"/>
                <w:iCs w:val="0"/>
                <w:color w:val="auto"/>
                <w:sz w:val="28"/>
                <w:szCs w:val="28"/>
                <w:highlight w:val="none"/>
              </w:rPr>
            </w:pPr>
          </w:p>
        </w:tc>
        <w:tc>
          <w:tcPr>
            <w:tcW w:w="650" w:type="dxa"/>
            <w:vAlign w:val="top"/>
          </w:tcPr>
          <w:p w14:paraId="7CAA6AE7">
            <w:pPr>
              <w:pStyle w:val="23"/>
              <w:rPr>
                <w:rFonts w:hint="eastAsia" w:ascii="宋体" w:hAnsi="宋体" w:eastAsia="宋体" w:cs="宋体"/>
                <w:i w:val="0"/>
                <w:iCs w:val="0"/>
                <w:color w:val="auto"/>
                <w:sz w:val="28"/>
                <w:szCs w:val="28"/>
                <w:highlight w:val="none"/>
              </w:rPr>
            </w:pPr>
          </w:p>
        </w:tc>
        <w:tc>
          <w:tcPr>
            <w:tcW w:w="950" w:type="dxa"/>
            <w:vAlign w:val="top"/>
          </w:tcPr>
          <w:p w14:paraId="00FB733A">
            <w:pPr>
              <w:pStyle w:val="23"/>
              <w:rPr>
                <w:rFonts w:hint="eastAsia" w:ascii="宋体" w:hAnsi="宋体" w:eastAsia="宋体" w:cs="宋体"/>
                <w:i w:val="0"/>
                <w:iCs w:val="0"/>
                <w:color w:val="auto"/>
                <w:sz w:val="28"/>
                <w:szCs w:val="28"/>
                <w:highlight w:val="none"/>
              </w:rPr>
            </w:pPr>
          </w:p>
        </w:tc>
        <w:tc>
          <w:tcPr>
            <w:tcW w:w="913" w:type="dxa"/>
            <w:vAlign w:val="top"/>
          </w:tcPr>
          <w:p w14:paraId="4ECD16FA">
            <w:pPr>
              <w:pStyle w:val="23"/>
              <w:rPr>
                <w:rFonts w:hint="eastAsia" w:ascii="宋体" w:hAnsi="宋体" w:eastAsia="宋体" w:cs="宋体"/>
                <w:i w:val="0"/>
                <w:iCs w:val="0"/>
                <w:color w:val="auto"/>
                <w:sz w:val="28"/>
                <w:szCs w:val="28"/>
                <w:highlight w:val="none"/>
              </w:rPr>
            </w:pPr>
          </w:p>
        </w:tc>
        <w:tc>
          <w:tcPr>
            <w:tcW w:w="1104" w:type="dxa"/>
            <w:vAlign w:val="top"/>
          </w:tcPr>
          <w:p w14:paraId="09610C65">
            <w:pPr>
              <w:pStyle w:val="23"/>
              <w:rPr>
                <w:rFonts w:hint="eastAsia" w:ascii="宋体" w:hAnsi="宋体" w:eastAsia="宋体" w:cs="宋体"/>
                <w:i w:val="0"/>
                <w:iCs w:val="0"/>
                <w:color w:val="auto"/>
                <w:sz w:val="28"/>
                <w:szCs w:val="28"/>
                <w:highlight w:val="none"/>
              </w:rPr>
            </w:pPr>
          </w:p>
        </w:tc>
        <w:tc>
          <w:tcPr>
            <w:tcW w:w="559" w:type="dxa"/>
            <w:vAlign w:val="top"/>
          </w:tcPr>
          <w:p w14:paraId="42E5A5EB">
            <w:pPr>
              <w:pStyle w:val="23"/>
              <w:rPr>
                <w:rFonts w:hint="eastAsia" w:ascii="宋体" w:hAnsi="宋体" w:eastAsia="宋体" w:cs="宋体"/>
                <w:i w:val="0"/>
                <w:iCs w:val="0"/>
                <w:color w:val="auto"/>
                <w:sz w:val="28"/>
                <w:szCs w:val="28"/>
                <w:highlight w:val="none"/>
              </w:rPr>
            </w:pPr>
          </w:p>
        </w:tc>
        <w:tc>
          <w:tcPr>
            <w:tcW w:w="450" w:type="dxa"/>
            <w:vAlign w:val="top"/>
          </w:tcPr>
          <w:p w14:paraId="73D33CFC">
            <w:pPr>
              <w:pStyle w:val="23"/>
              <w:rPr>
                <w:rFonts w:hint="eastAsia" w:ascii="宋体" w:hAnsi="宋体" w:eastAsia="宋体" w:cs="宋体"/>
                <w:i w:val="0"/>
                <w:iCs w:val="0"/>
                <w:color w:val="auto"/>
                <w:sz w:val="28"/>
                <w:szCs w:val="28"/>
                <w:highlight w:val="none"/>
              </w:rPr>
            </w:pPr>
          </w:p>
        </w:tc>
        <w:tc>
          <w:tcPr>
            <w:tcW w:w="409" w:type="dxa"/>
            <w:vAlign w:val="top"/>
          </w:tcPr>
          <w:p w14:paraId="6A25BB2B">
            <w:pPr>
              <w:pStyle w:val="23"/>
              <w:rPr>
                <w:rFonts w:hint="eastAsia" w:ascii="宋体" w:hAnsi="宋体" w:eastAsia="宋体" w:cs="宋体"/>
                <w:i w:val="0"/>
                <w:iCs w:val="0"/>
                <w:color w:val="auto"/>
                <w:sz w:val="28"/>
                <w:szCs w:val="28"/>
                <w:highlight w:val="none"/>
              </w:rPr>
            </w:pPr>
          </w:p>
        </w:tc>
        <w:tc>
          <w:tcPr>
            <w:tcW w:w="408" w:type="dxa"/>
            <w:vAlign w:val="top"/>
          </w:tcPr>
          <w:p w14:paraId="1EAC50D2">
            <w:pPr>
              <w:pStyle w:val="23"/>
              <w:rPr>
                <w:rFonts w:hint="eastAsia" w:ascii="宋体" w:hAnsi="宋体" w:eastAsia="宋体" w:cs="宋体"/>
                <w:i w:val="0"/>
                <w:iCs w:val="0"/>
                <w:color w:val="auto"/>
                <w:sz w:val="28"/>
                <w:szCs w:val="28"/>
                <w:highlight w:val="none"/>
              </w:rPr>
            </w:pPr>
          </w:p>
        </w:tc>
        <w:tc>
          <w:tcPr>
            <w:tcW w:w="739" w:type="dxa"/>
            <w:vAlign w:val="top"/>
          </w:tcPr>
          <w:p w14:paraId="5E0E374D">
            <w:pPr>
              <w:pStyle w:val="23"/>
              <w:rPr>
                <w:rFonts w:hint="eastAsia" w:ascii="宋体" w:hAnsi="宋体" w:eastAsia="宋体" w:cs="宋体"/>
                <w:i w:val="0"/>
                <w:iCs w:val="0"/>
                <w:color w:val="auto"/>
                <w:sz w:val="28"/>
                <w:szCs w:val="28"/>
                <w:highlight w:val="none"/>
              </w:rPr>
            </w:pPr>
          </w:p>
        </w:tc>
      </w:tr>
      <w:tr w14:paraId="22319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24" w:type="dxa"/>
            <w:vMerge w:val="restart"/>
            <w:tcBorders>
              <w:bottom w:val="nil"/>
            </w:tcBorders>
            <w:vAlign w:val="top"/>
          </w:tcPr>
          <w:p w14:paraId="4387C0D0">
            <w:pPr>
              <w:spacing w:before="75" w:line="223" w:lineRule="auto"/>
              <w:ind w:left="237" w:right="225" w:firstLine="4"/>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2"/>
                <w:sz w:val="28"/>
                <w:szCs w:val="28"/>
                <w:highlight w:val="none"/>
              </w:rPr>
              <w:t>质保期外</w:t>
            </w:r>
            <w:r>
              <w:rPr>
                <w:rFonts w:hint="eastAsia" w:ascii="宋体" w:hAnsi="宋体" w:eastAsia="宋体" w:cs="宋体"/>
                <w:i w:val="0"/>
                <w:iCs w:val="0"/>
                <w:color w:val="auto"/>
                <w:spacing w:val="3"/>
                <w:sz w:val="28"/>
                <w:szCs w:val="28"/>
                <w:highlight w:val="none"/>
              </w:rPr>
              <w:t>设备报价</w:t>
            </w:r>
          </w:p>
        </w:tc>
        <w:tc>
          <w:tcPr>
            <w:tcW w:w="838" w:type="dxa"/>
            <w:vAlign w:val="top"/>
          </w:tcPr>
          <w:p w14:paraId="4E11D0B9">
            <w:pPr>
              <w:spacing w:before="189" w:line="165" w:lineRule="auto"/>
              <w:ind w:left="345"/>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1</w:t>
            </w:r>
          </w:p>
        </w:tc>
        <w:tc>
          <w:tcPr>
            <w:tcW w:w="987" w:type="dxa"/>
            <w:vAlign w:val="top"/>
          </w:tcPr>
          <w:p w14:paraId="007D7B67">
            <w:pPr>
              <w:pStyle w:val="23"/>
              <w:rPr>
                <w:rFonts w:hint="eastAsia" w:ascii="宋体" w:hAnsi="宋体" w:eastAsia="宋体" w:cs="宋体"/>
                <w:i w:val="0"/>
                <w:iCs w:val="0"/>
                <w:color w:val="auto"/>
                <w:sz w:val="28"/>
                <w:szCs w:val="28"/>
                <w:highlight w:val="none"/>
              </w:rPr>
            </w:pPr>
          </w:p>
        </w:tc>
        <w:tc>
          <w:tcPr>
            <w:tcW w:w="650" w:type="dxa"/>
            <w:vAlign w:val="top"/>
          </w:tcPr>
          <w:p w14:paraId="59796832">
            <w:pPr>
              <w:pStyle w:val="23"/>
              <w:rPr>
                <w:rFonts w:hint="eastAsia" w:ascii="宋体" w:hAnsi="宋体" w:eastAsia="宋体" w:cs="宋体"/>
                <w:i w:val="0"/>
                <w:iCs w:val="0"/>
                <w:color w:val="auto"/>
                <w:sz w:val="28"/>
                <w:szCs w:val="28"/>
                <w:highlight w:val="none"/>
              </w:rPr>
            </w:pPr>
          </w:p>
        </w:tc>
        <w:tc>
          <w:tcPr>
            <w:tcW w:w="950" w:type="dxa"/>
            <w:vAlign w:val="top"/>
          </w:tcPr>
          <w:p w14:paraId="4005EF72">
            <w:pPr>
              <w:pStyle w:val="23"/>
              <w:rPr>
                <w:rFonts w:hint="eastAsia" w:ascii="宋体" w:hAnsi="宋体" w:eastAsia="宋体" w:cs="宋体"/>
                <w:i w:val="0"/>
                <w:iCs w:val="0"/>
                <w:color w:val="auto"/>
                <w:sz w:val="28"/>
                <w:szCs w:val="28"/>
                <w:highlight w:val="none"/>
              </w:rPr>
            </w:pPr>
          </w:p>
        </w:tc>
        <w:tc>
          <w:tcPr>
            <w:tcW w:w="913" w:type="dxa"/>
            <w:vAlign w:val="top"/>
          </w:tcPr>
          <w:p w14:paraId="39CB5A8B">
            <w:pPr>
              <w:pStyle w:val="23"/>
              <w:rPr>
                <w:rFonts w:hint="eastAsia" w:ascii="宋体" w:hAnsi="宋体" w:eastAsia="宋体" w:cs="宋体"/>
                <w:i w:val="0"/>
                <w:iCs w:val="0"/>
                <w:color w:val="auto"/>
                <w:sz w:val="28"/>
                <w:szCs w:val="28"/>
                <w:highlight w:val="none"/>
              </w:rPr>
            </w:pPr>
          </w:p>
        </w:tc>
        <w:tc>
          <w:tcPr>
            <w:tcW w:w="1104" w:type="dxa"/>
            <w:vAlign w:val="top"/>
          </w:tcPr>
          <w:p w14:paraId="36707718">
            <w:pPr>
              <w:pStyle w:val="23"/>
              <w:rPr>
                <w:rFonts w:hint="eastAsia" w:ascii="宋体" w:hAnsi="宋体" w:eastAsia="宋体" w:cs="宋体"/>
                <w:i w:val="0"/>
                <w:iCs w:val="0"/>
                <w:color w:val="auto"/>
                <w:sz w:val="28"/>
                <w:szCs w:val="28"/>
                <w:highlight w:val="none"/>
              </w:rPr>
            </w:pPr>
          </w:p>
        </w:tc>
        <w:tc>
          <w:tcPr>
            <w:tcW w:w="559" w:type="dxa"/>
            <w:vAlign w:val="top"/>
          </w:tcPr>
          <w:p w14:paraId="21D18A12">
            <w:pPr>
              <w:pStyle w:val="23"/>
              <w:rPr>
                <w:rFonts w:hint="eastAsia" w:ascii="宋体" w:hAnsi="宋体" w:eastAsia="宋体" w:cs="宋体"/>
                <w:i w:val="0"/>
                <w:iCs w:val="0"/>
                <w:color w:val="auto"/>
                <w:sz w:val="28"/>
                <w:szCs w:val="28"/>
                <w:highlight w:val="none"/>
              </w:rPr>
            </w:pPr>
          </w:p>
        </w:tc>
        <w:tc>
          <w:tcPr>
            <w:tcW w:w="450" w:type="dxa"/>
            <w:vAlign w:val="top"/>
          </w:tcPr>
          <w:p w14:paraId="5A25B19B">
            <w:pPr>
              <w:pStyle w:val="23"/>
              <w:rPr>
                <w:rFonts w:hint="eastAsia" w:ascii="宋体" w:hAnsi="宋体" w:eastAsia="宋体" w:cs="宋体"/>
                <w:i w:val="0"/>
                <w:iCs w:val="0"/>
                <w:color w:val="auto"/>
                <w:sz w:val="28"/>
                <w:szCs w:val="28"/>
                <w:highlight w:val="none"/>
              </w:rPr>
            </w:pPr>
          </w:p>
        </w:tc>
        <w:tc>
          <w:tcPr>
            <w:tcW w:w="409" w:type="dxa"/>
            <w:vMerge w:val="restart"/>
            <w:tcBorders>
              <w:bottom w:val="nil"/>
            </w:tcBorders>
            <w:vAlign w:val="top"/>
          </w:tcPr>
          <w:p w14:paraId="13808DE1">
            <w:pPr>
              <w:pStyle w:val="23"/>
              <w:rPr>
                <w:rFonts w:hint="eastAsia" w:ascii="宋体" w:hAnsi="宋体" w:eastAsia="宋体" w:cs="宋体"/>
                <w:i w:val="0"/>
                <w:iCs w:val="0"/>
                <w:color w:val="auto"/>
                <w:sz w:val="28"/>
                <w:szCs w:val="28"/>
                <w:highlight w:val="none"/>
              </w:rPr>
            </w:pPr>
          </w:p>
        </w:tc>
        <w:tc>
          <w:tcPr>
            <w:tcW w:w="408" w:type="dxa"/>
            <w:vAlign w:val="top"/>
          </w:tcPr>
          <w:p w14:paraId="3FDFA462">
            <w:pPr>
              <w:pStyle w:val="23"/>
              <w:rPr>
                <w:rFonts w:hint="eastAsia" w:ascii="宋体" w:hAnsi="宋体" w:eastAsia="宋体" w:cs="宋体"/>
                <w:i w:val="0"/>
                <w:iCs w:val="0"/>
                <w:color w:val="auto"/>
                <w:sz w:val="28"/>
                <w:szCs w:val="28"/>
                <w:highlight w:val="none"/>
              </w:rPr>
            </w:pPr>
          </w:p>
        </w:tc>
        <w:tc>
          <w:tcPr>
            <w:tcW w:w="739" w:type="dxa"/>
            <w:vAlign w:val="top"/>
          </w:tcPr>
          <w:p w14:paraId="5EA9F937">
            <w:pPr>
              <w:pStyle w:val="23"/>
              <w:rPr>
                <w:rFonts w:hint="eastAsia" w:ascii="宋体" w:hAnsi="宋体" w:eastAsia="宋体" w:cs="宋体"/>
                <w:i w:val="0"/>
                <w:iCs w:val="0"/>
                <w:color w:val="auto"/>
                <w:sz w:val="28"/>
                <w:szCs w:val="28"/>
                <w:highlight w:val="none"/>
              </w:rPr>
            </w:pPr>
          </w:p>
        </w:tc>
      </w:tr>
      <w:tr w14:paraId="22F5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24" w:type="dxa"/>
            <w:vMerge w:val="continue"/>
            <w:tcBorders>
              <w:top w:val="nil"/>
              <w:bottom w:val="nil"/>
            </w:tcBorders>
            <w:vAlign w:val="top"/>
          </w:tcPr>
          <w:p w14:paraId="580A27A6">
            <w:pPr>
              <w:pStyle w:val="23"/>
              <w:rPr>
                <w:rFonts w:hint="eastAsia" w:ascii="宋体" w:hAnsi="宋体" w:eastAsia="宋体" w:cs="宋体"/>
                <w:i w:val="0"/>
                <w:iCs w:val="0"/>
                <w:color w:val="auto"/>
                <w:sz w:val="28"/>
                <w:szCs w:val="28"/>
                <w:highlight w:val="none"/>
              </w:rPr>
            </w:pPr>
          </w:p>
        </w:tc>
        <w:tc>
          <w:tcPr>
            <w:tcW w:w="838" w:type="dxa"/>
            <w:vAlign w:val="top"/>
          </w:tcPr>
          <w:p w14:paraId="570AADB1">
            <w:pPr>
              <w:spacing w:before="190" w:line="164" w:lineRule="auto"/>
              <w:ind w:left="318"/>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2</w:t>
            </w:r>
          </w:p>
        </w:tc>
        <w:tc>
          <w:tcPr>
            <w:tcW w:w="987" w:type="dxa"/>
            <w:vAlign w:val="top"/>
          </w:tcPr>
          <w:p w14:paraId="7DD72475">
            <w:pPr>
              <w:pStyle w:val="23"/>
              <w:rPr>
                <w:rFonts w:hint="eastAsia" w:ascii="宋体" w:hAnsi="宋体" w:eastAsia="宋体" w:cs="宋体"/>
                <w:i w:val="0"/>
                <w:iCs w:val="0"/>
                <w:color w:val="auto"/>
                <w:sz w:val="28"/>
                <w:szCs w:val="28"/>
                <w:highlight w:val="none"/>
              </w:rPr>
            </w:pPr>
          </w:p>
        </w:tc>
        <w:tc>
          <w:tcPr>
            <w:tcW w:w="650" w:type="dxa"/>
            <w:vAlign w:val="top"/>
          </w:tcPr>
          <w:p w14:paraId="495A32DB">
            <w:pPr>
              <w:pStyle w:val="23"/>
              <w:rPr>
                <w:rFonts w:hint="eastAsia" w:ascii="宋体" w:hAnsi="宋体" w:eastAsia="宋体" w:cs="宋体"/>
                <w:i w:val="0"/>
                <w:iCs w:val="0"/>
                <w:color w:val="auto"/>
                <w:sz w:val="28"/>
                <w:szCs w:val="28"/>
                <w:highlight w:val="none"/>
              </w:rPr>
            </w:pPr>
          </w:p>
        </w:tc>
        <w:tc>
          <w:tcPr>
            <w:tcW w:w="950" w:type="dxa"/>
            <w:vAlign w:val="top"/>
          </w:tcPr>
          <w:p w14:paraId="165B0864">
            <w:pPr>
              <w:pStyle w:val="23"/>
              <w:rPr>
                <w:rFonts w:hint="eastAsia" w:ascii="宋体" w:hAnsi="宋体" w:eastAsia="宋体" w:cs="宋体"/>
                <w:i w:val="0"/>
                <w:iCs w:val="0"/>
                <w:color w:val="auto"/>
                <w:sz w:val="28"/>
                <w:szCs w:val="28"/>
                <w:highlight w:val="none"/>
              </w:rPr>
            </w:pPr>
          </w:p>
        </w:tc>
        <w:tc>
          <w:tcPr>
            <w:tcW w:w="913" w:type="dxa"/>
            <w:vAlign w:val="top"/>
          </w:tcPr>
          <w:p w14:paraId="3FF69742">
            <w:pPr>
              <w:pStyle w:val="23"/>
              <w:rPr>
                <w:rFonts w:hint="eastAsia" w:ascii="宋体" w:hAnsi="宋体" w:eastAsia="宋体" w:cs="宋体"/>
                <w:i w:val="0"/>
                <w:iCs w:val="0"/>
                <w:color w:val="auto"/>
                <w:sz w:val="28"/>
                <w:szCs w:val="28"/>
                <w:highlight w:val="none"/>
              </w:rPr>
            </w:pPr>
          </w:p>
        </w:tc>
        <w:tc>
          <w:tcPr>
            <w:tcW w:w="1104" w:type="dxa"/>
            <w:vAlign w:val="top"/>
          </w:tcPr>
          <w:p w14:paraId="6BE2D378">
            <w:pPr>
              <w:pStyle w:val="23"/>
              <w:rPr>
                <w:rFonts w:hint="eastAsia" w:ascii="宋体" w:hAnsi="宋体" w:eastAsia="宋体" w:cs="宋体"/>
                <w:i w:val="0"/>
                <w:iCs w:val="0"/>
                <w:color w:val="auto"/>
                <w:sz w:val="28"/>
                <w:szCs w:val="28"/>
                <w:highlight w:val="none"/>
              </w:rPr>
            </w:pPr>
          </w:p>
        </w:tc>
        <w:tc>
          <w:tcPr>
            <w:tcW w:w="559" w:type="dxa"/>
            <w:vAlign w:val="top"/>
          </w:tcPr>
          <w:p w14:paraId="0E522B64">
            <w:pPr>
              <w:pStyle w:val="23"/>
              <w:rPr>
                <w:rFonts w:hint="eastAsia" w:ascii="宋体" w:hAnsi="宋体" w:eastAsia="宋体" w:cs="宋体"/>
                <w:i w:val="0"/>
                <w:iCs w:val="0"/>
                <w:color w:val="auto"/>
                <w:sz w:val="28"/>
                <w:szCs w:val="28"/>
                <w:highlight w:val="none"/>
              </w:rPr>
            </w:pPr>
          </w:p>
        </w:tc>
        <w:tc>
          <w:tcPr>
            <w:tcW w:w="450" w:type="dxa"/>
            <w:vAlign w:val="top"/>
          </w:tcPr>
          <w:p w14:paraId="31BCF23B">
            <w:pPr>
              <w:pStyle w:val="23"/>
              <w:rPr>
                <w:rFonts w:hint="eastAsia" w:ascii="宋体" w:hAnsi="宋体" w:eastAsia="宋体" w:cs="宋体"/>
                <w:i w:val="0"/>
                <w:iCs w:val="0"/>
                <w:color w:val="auto"/>
                <w:sz w:val="28"/>
                <w:szCs w:val="28"/>
                <w:highlight w:val="none"/>
              </w:rPr>
            </w:pPr>
          </w:p>
        </w:tc>
        <w:tc>
          <w:tcPr>
            <w:tcW w:w="409" w:type="dxa"/>
            <w:vMerge w:val="continue"/>
            <w:tcBorders>
              <w:top w:val="nil"/>
            </w:tcBorders>
            <w:vAlign w:val="top"/>
          </w:tcPr>
          <w:p w14:paraId="0352AB7E">
            <w:pPr>
              <w:pStyle w:val="23"/>
              <w:rPr>
                <w:rFonts w:hint="eastAsia" w:ascii="宋体" w:hAnsi="宋体" w:eastAsia="宋体" w:cs="宋体"/>
                <w:i w:val="0"/>
                <w:iCs w:val="0"/>
                <w:color w:val="auto"/>
                <w:sz w:val="28"/>
                <w:szCs w:val="28"/>
                <w:highlight w:val="none"/>
              </w:rPr>
            </w:pPr>
          </w:p>
        </w:tc>
        <w:tc>
          <w:tcPr>
            <w:tcW w:w="408" w:type="dxa"/>
            <w:vAlign w:val="top"/>
          </w:tcPr>
          <w:p w14:paraId="682ACD40">
            <w:pPr>
              <w:pStyle w:val="23"/>
              <w:rPr>
                <w:rFonts w:hint="eastAsia" w:ascii="宋体" w:hAnsi="宋体" w:eastAsia="宋体" w:cs="宋体"/>
                <w:i w:val="0"/>
                <w:iCs w:val="0"/>
                <w:color w:val="auto"/>
                <w:sz w:val="28"/>
                <w:szCs w:val="28"/>
                <w:highlight w:val="none"/>
              </w:rPr>
            </w:pPr>
          </w:p>
        </w:tc>
        <w:tc>
          <w:tcPr>
            <w:tcW w:w="739" w:type="dxa"/>
            <w:vAlign w:val="top"/>
          </w:tcPr>
          <w:p w14:paraId="3CAF1D0D">
            <w:pPr>
              <w:pStyle w:val="23"/>
              <w:rPr>
                <w:rFonts w:hint="eastAsia" w:ascii="宋体" w:hAnsi="宋体" w:eastAsia="宋体" w:cs="宋体"/>
                <w:i w:val="0"/>
                <w:iCs w:val="0"/>
                <w:color w:val="auto"/>
                <w:sz w:val="28"/>
                <w:szCs w:val="28"/>
                <w:highlight w:val="none"/>
              </w:rPr>
            </w:pPr>
          </w:p>
        </w:tc>
      </w:tr>
      <w:tr w14:paraId="57483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124" w:type="dxa"/>
            <w:vMerge w:val="continue"/>
            <w:tcBorders>
              <w:top w:val="nil"/>
            </w:tcBorders>
            <w:vAlign w:val="top"/>
          </w:tcPr>
          <w:p w14:paraId="56B43660">
            <w:pPr>
              <w:pStyle w:val="23"/>
              <w:rPr>
                <w:rFonts w:hint="eastAsia" w:ascii="宋体" w:hAnsi="宋体" w:eastAsia="宋体" w:cs="宋体"/>
                <w:i w:val="0"/>
                <w:iCs w:val="0"/>
                <w:color w:val="auto"/>
                <w:sz w:val="28"/>
                <w:szCs w:val="28"/>
                <w:highlight w:val="none"/>
              </w:rPr>
            </w:pPr>
          </w:p>
        </w:tc>
        <w:tc>
          <w:tcPr>
            <w:tcW w:w="838" w:type="dxa"/>
            <w:vAlign w:val="top"/>
          </w:tcPr>
          <w:p w14:paraId="5E184635">
            <w:pPr>
              <w:spacing w:before="187" w:line="186" w:lineRule="auto"/>
              <w:ind w:left="207"/>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3...</w:t>
            </w:r>
          </w:p>
        </w:tc>
        <w:tc>
          <w:tcPr>
            <w:tcW w:w="987" w:type="dxa"/>
            <w:vAlign w:val="top"/>
          </w:tcPr>
          <w:p w14:paraId="032F85B7">
            <w:pPr>
              <w:pStyle w:val="23"/>
              <w:rPr>
                <w:rFonts w:hint="eastAsia" w:ascii="宋体" w:hAnsi="宋体" w:eastAsia="宋体" w:cs="宋体"/>
                <w:i w:val="0"/>
                <w:iCs w:val="0"/>
                <w:color w:val="auto"/>
                <w:sz w:val="28"/>
                <w:szCs w:val="28"/>
                <w:highlight w:val="none"/>
              </w:rPr>
            </w:pPr>
          </w:p>
        </w:tc>
        <w:tc>
          <w:tcPr>
            <w:tcW w:w="650" w:type="dxa"/>
            <w:vAlign w:val="top"/>
          </w:tcPr>
          <w:p w14:paraId="560E8CFD">
            <w:pPr>
              <w:pStyle w:val="23"/>
              <w:rPr>
                <w:rFonts w:hint="eastAsia" w:ascii="宋体" w:hAnsi="宋体" w:eastAsia="宋体" w:cs="宋体"/>
                <w:i w:val="0"/>
                <w:iCs w:val="0"/>
                <w:color w:val="auto"/>
                <w:sz w:val="28"/>
                <w:szCs w:val="28"/>
                <w:highlight w:val="none"/>
              </w:rPr>
            </w:pPr>
          </w:p>
        </w:tc>
        <w:tc>
          <w:tcPr>
            <w:tcW w:w="950" w:type="dxa"/>
            <w:vAlign w:val="top"/>
          </w:tcPr>
          <w:p w14:paraId="7A5A5A3E">
            <w:pPr>
              <w:pStyle w:val="23"/>
              <w:rPr>
                <w:rFonts w:hint="eastAsia" w:ascii="宋体" w:hAnsi="宋体" w:eastAsia="宋体" w:cs="宋体"/>
                <w:i w:val="0"/>
                <w:iCs w:val="0"/>
                <w:color w:val="auto"/>
                <w:sz w:val="28"/>
                <w:szCs w:val="28"/>
                <w:highlight w:val="none"/>
              </w:rPr>
            </w:pPr>
          </w:p>
        </w:tc>
        <w:tc>
          <w:tcPr>
            <w:tcW w:w="913" w:type="dxa"/>
            <w:vAlign w:val="top"/>
          </w:tcPr>
          <w:p w14:paraId="34649CD5">
            <w:pPr>
              <w:pStyle w:val="23"/>
              <w:rPr>
                <w:rFonts w:hint="eastAsia" w:ascii="宋体" w:hAnsi="宋体" w:eastAsia="宋体" w:cs="宋体"/>
                <w:i w:val="0"/>
                <w:iCs w:val="0"/>
                <w:color w:val="auto"/>
                <w:sz w:val="28"/>
                <w:szCs w:val="28"/>
                <w:highlight w:val="none"/>
              </w:rPr>
            </w:pPr>
          </w:p>
        </w:tc>
        <w:tc>
          <w:tcPr>
            <w:tcW w:w="1104" w:type="dxa"/>
            <w:vAlign w:val="top"/>
          </w:tcPr>
          <w:p w14:paraId="1EE5CD20">
            <w:pPr>
              <w:pStyle w:val="23"/>
              <w:rPr>
                <w:rFonts w:hint="eastAsia" w:ascii="宋体" w:hAnsi="宋体" w:eastAsia="宋体" w:cs="宋体"/>
                <w:i w:val="0"/>
                <w:iCs w:val="0"/>
                <w:color w:val="auto"/>
                <w:sz w:val="28"/>
                <w:szCs w:val="28"/>
                <w:highlight w:val="none"/>
              </w:rPr>
            </w:pPr>
          </w:p>
        </w:tc>
        <w:tc>
          <w:tcPr>
            <w:tcW w:w="559" w:type="dxa"/>
            <w:vAlign w:val="top"/>
          </w:tcPr>
          <w:p w14:paraId="159E7AF1">
            <w:pPr>
              <w:pStyle w:val="23"/>
              <w:rPr>
                <w:rFonts w:hint="eastAsia" w:ascii="宋体" w:hAnsi="宋体" w:eastAsia="宋体" w:cs="宋体"/>
                <w:i w:val="0"/>
                <w:iCs w:val="0"/>
                <w:color w:val="auto"/>
                <w:sz w:val="28"/>
                <w:szCs w:val="28"/>
                <w:highlight w:val="none"/>
              </w:rPr>
            </w:pPr>
          </w:p>
        </w:tc>
        <w:tc>
          <w:tcPr>
            <w:tcW w:w="450" w:type="dxa"/>
            <w:vAlign w:val="top"/>
          </w:tcPr>
          <w:p w14:paraId="67AAE5A5">
            <w:pPr>
              <w:pStyle w:val="23"/>
              <w:rPr>
                <w:rFonts w:hint="eastAsia" w:ascii="宋体" w:hAnsi="宋体" w:eastAsia="宋体" w:cs="宋体"/>
                <w:i w:val="0"/>
                <w:iCs w:val="0"/>
                <w:color w:val="auto"/>
                <w:sz w:val="28"/>
                <w:szCs w:val="28"/>
                <w:highlight w:val="none"/>
              </w:rPr>
            </w:pPr>
          </w:p>
        </w:tc>
        <w:tc>
          <w:tcPr>
            <w:tcW w:w="409" w:type="dxa"/>
            <w:vAlign w:val="top"/>
          </w:tcPr>
          <w:p w14:paraId="2E0F54E4">
            <w:pPr>
              <w:pStyle w:val="23"/>
              <w:rPr>
                <w:rFonts w:hint="eastAsia" w:ascii="宋体" w:hAnsi="宋体" w:eastAsia="宋体" w:cs="宋体"/>
                <w:i w:val="0"/>
                <w:iCs w:val="0"/>
                <w:color w:val="auto"/>
                <w:sz w:val="28"/>
                <w:szCs w:val="28"/>
                <w:highlight w:val="none"/>
              </w:rPr>
            </w:pPr>
          </w:p>
        </w:tc>
        <w:tc>
          <w:tcPr>
            <w:tcW w:w="408" w:type="dxa"/>
            <w:vAlign w:val="top"/>
          </w:tcPr>
          <w:p w14:paraId="59BC9930">
            <w:pPr>
              <w:pStyle w:val="23"/>
              <w:rPr>
                <w:rFonts w:hint="eastAsia" w:ascii="宋体" w:hAnsi="宋体" w:eastAsia="宋体" w:cs="宋体"/>
                <w:i w:val="0"/>
                <w:iCs w:val="0"/>
                <w:color w:val="auto"/>
                <w:sz w:val="28"/>
                <w:szCs w:val="28"/>
                <w:highlight w:val="none"/>
              </w:rPr>
            </w:pPr>
          </w:p>
        </w:tc>
        <w:tc>
          <w:tcPr>
            <w:tcW w:w="739" w:type="dxa"/>
            <w:vAlign w:val="top"/>
          </w:tcPr>
          <w:p w14:paraId="11605E73">
            <w:pPr>
              <w:pStyle w:val="23"/>
              <w:rPr>
                <w:rFonts w:hint="eastAsia" w:ascii="宋体" w:hAnsi="宋体" w:eastAsia="宋体" w:cs="宋体"/>
                <w:i w:val="0"/>
                <w:iCs w:val="0"/>
                <w:color w:val="auto"/>
                <w:sz w:val="28"/>
                <w:szCs w:val="28"/>
                <w:highlight w:val="none"/>
              </w:rPr>
            </w:pPr>
          </w:p>
        </w:tc>
      </w:tr>
      <w:tr w14:paraId="55A7D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124" w:type="dxa"/>
            <w:vAlign w:val="top"/>
          </w:tcPr>
          <w:p w14:paraId="41DDDA95">
            <w:pPr>
              <w:spacing w:before="147" w:line="229" w:lineRule="auto"/>
              <w:ind w:left="135"/>
              <w:rPr>
                <w:rFonts w:hint="eastAsia" w:ascii="宋体" w:hAnsi="宋体" w:eastAsia="宋体" w:cs="宋体"/>
                <w:i w:val="0"/>
                <w:iCs w:val="0"/>
                <w:color w:val="auto"/>
                <w:sz w:val="28"/>
                <w:szCs w:val="28"/>
                <w:highlight w:val="none"/>
              </w:rPr>
            </w:pPr>
          </w:p>
        </w:tc>
        <w:tc>
          <w:tcPr>
            <w:tcW w:w="8007" w:type="dxa"/>
            <w:gridSpan w:val="11"/>
            <w:vAlign w:val="top"/>
          </w:tcPr>
          <w:p w14:paraId="63EC7DCD">
            <w:pPr>
              <w:spacing w:before="147" w:line="229" w:lineRule="auto"/>
              <w:ind w:left="135"/>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总价（元</w:t>
            </w:r>
            <w:r>
              <w:rPr>
                <w:rFonts w:hint="eastAsia" w:ascii="宋体" w:hAnsi="宋体" w:eastAsia="宋体" w:cs="宋体"/>
                <w:i w:val="0"/>
                <w:iCs w:val="0"/>
                <w:color w:val="auto"/>
                <w:spacing w:val="-51"/>
                <w:sz w:val="28"/>
                <w:szCs w:val="28"/>
                <w:highlight w:val="none"/>
              </w:rPr>
              <w:t>）：（</w:t>
            </w:r>
            <w:r>
              <w:rPr>
                <w:rFonts w:hint="eastAsia" w:ascii="宋体" w:hAnsi="宋体" w:eastAsia="宋体" w:cs="宋体"/>
                <w:b/>
                <w:bCs/>
                <w:i w:val="0"/>
                <w:iCs w:val="0"/>
                <w:color w:val="auto"/>
                <w:sz w:val="28"/>
                <w:szCs w:val="28"/>
                <w:highlight w:val="none"/>
              </w:rPr>
              <w:t>质保期外报价）</w:t>
            </w:r>
          </w:p>
        </w:tc>
      </w:tr>
    </w:tbl>
    <w:p w14:paraId="393C89E8">
      <w:pPr>
        <w:spacing w:line="274" w:lineRule="auto"/>
        <w:rPr>
          <w:rFonts w:hint="eastAsia" w:ascii="宋体" w:hAnsi="宋体" w:eastAsia="宋体" w:cs="宋体"/>
          <w:i w:val="0"/>
          <w:iCs w:val="0"/>
          <w:color w:val="auto"/>
          <w:sz w:val="28"/>
          <w:szCs w:val="28"/>
          <w:highlight w:val="none"/>
        </w:rPr>
      </w:pPr>
    </w:p>
    <w:p w14:paraId="437D67E8">
      <w:pPr>
        <w:spacing w:line="274" w:lineRule="auto"/>
        <w:rPr>
          <w:rFonts w:hint="eastAsia" w:ascii="宋体" w:hAnsi="宋体" w:eastAsia="宋体" w:cs="宋体"/>
          <w:i w:val="0"/>
          <w:iCs w:val="0"/>
          <w:color w:val="auto"/>
          <w:sz w:val="28"/>
          <w:szCs w:val="28"/>
          <w:highlight w:val="none"/>
        </w:rPr>
      </w:pPr>
    </w:p>
    <w:p w14:paraId="33A05866">
      <w:pPr>
        <w:pStyle w:val="5"/>
        <w:spacing w:before="74" w:line="375" w:lineRule="auto"/>
        <w:ind w:left="669" w:right="2010"/>
        <w:rPr>
          <w:rFonts w:hint="eastAsia" w:ascii="宋体" w:hAnsi="宋体" w:eastAsia="宋体" w:cs="宋体"/>
          <w:i w:val="0"/>
          <w:iCs w:val="0"/>
          <w:color w:val="auto"/>
          <w:spacing w:val="-38"/>
          <w:sz w:val="28"/>
          <w:szCs w:val="28"/>
          <w:highlight w:val="none"/>
        </w:rPr>
      </w:pPr>
      <w:r>
        <w:rPr>
          <w:rFonts w:hint="eastAsia" w:ascii="宋体" w:hAnsi="宋体" w:eastAsia="宋体" w:cs="宋体"/>
          <w:i w:val="0"/>
          <w:iCs w:val="0"/>
          <w:color w:val="auto"/>
          <w:spacing w:val="6"/>
          <w:sz w:val="28"/>
          <w:szCs w:val="28"/>
          <w:highlight w:val="none"/>
        </w:rPr>
        <w:t>投标人名称（公章</w:t>
      </w:r>
      <w:r>
        <w:rPr>
          <w:rFonts w:hint="eastAsia" w:ascii="宋体" w:hAnsi="宋体" w:eastAsia="宋体" w:cs="宋体"/>
          <w:i w:val="0"/>
          <w:iCs w:val="0"/>
          <w:color w:val="auto"/>
          <w:spacing w:val="-38"/>
          <w:sz w:val="28"/>
          <w:szCs w:val="28"/>
          <w:highlight w:val="none"/>
        </w:rPr>
        <w:t>）：</w:t>
      </w:r>
    </w:p>
    <w:p w14:paraId="36CCDE3E">
      <w:pPr>
        <w:pStyle w:val="5"/>
        <w:spacing w:before="74" w:line="375" w:lineRule="auto"/>
        <w:ind w:left="669" w:right="2010"/>
        <w:rPr>
          <w:rFonts w:hint="eastAsia" w:ascii="宋体" w:hAnsi="宋体" w:eastAsia="宋体" w:cs="宋体"/>
          <w:i w:val="0"/>
          <w:iCs w:val="0"/>
          <w:color w:val="auto"/>
          <w:sz w:val="28"/>
          <w:szCs w:val="28"/>
          <w:highlight w:val="none"/>
          <w:lang w:eastAsia="zh-CN"/>
        </w:rPr>
      </w:pPr>
      <w:r>
        <w:rPr>
          <w:rFonts w:hint="eastAsia" w:ascii="宋体" w:hAnsi="宋体" w:eastAsia="宋体" w:cs="宋体"/>
          <w:i w:val="0"/>
          <w:iCs w:val="0"/>
          <w:color w:val="auto"/>
          <w:spacing w:val="6"/>
          <w:sz w:val="28"/>
          <w:szCs w:val="28"/>
          <w:highlight w:val="none"/>
        </w:rPr>
        <w:t>投标人法人或授权代表（签/章</w:t>
      </w:r>
      <w:r>
        <w:rPr>
          <w:rFonts w:hint="eastAsia" w:ascii="宋体" w:hAnsi="宋体" w:eastAsia="宋体" w:cs="宋体"/>
          <w:i w:val="0"/>
          <w:iCs w:val="0"/>
          <w:color w:val="auto"/>
          <w:spacing w:val="-29"/>
          <w:sz w:val="28"/>
          <w:szCs w:val="28"/>
          <w:highlight w:val="none"/>
        </w:rPr>
        <w:t>）：</w:t>
      </w:r>
    </w:p>
    <w:p w14:paraId="6F2FE4C5">
      <w:pPr>
        <w:pStyle w:val="5"/>
        <w:spacing w:before="124" w:line="231" w:lineRule="auto"/>
        <w:ind w:left="754"/>
        <w:rPr>
          <w:rFonts w:hint="eastAsia" w:ascii="宋体" w:hAnsi="宋体" w:eastAsia="宋体" w:cs="宋体"/>
          <w:i w:val="0"/>
          <w:iCs w:val="0"/>
          <w:color w:val="auto"/>
          <w:spacing w:val="-26"/>
          <w:sz w:val="28"/>
          <w:szCs w:val="28"/>
          <w:highlight w:val="none"/>
        </w:rPr>
      </w:pPr>
      <w:r>
        <w:rPr>
          <w:rFonts w:hint="eastAsia" w:ascii="宋体" w:hAnsi="宋体" w:eastAsia="宋体" w:cs="宋体"/>
          <w:i w:val="0"/>
          <w:iCs w:val="0"/>
          <w:color w:val="auto"/>
          <w:spacing w:val="-26"/>
          <w:sz w:val="28"/>
          <w:szCs w:val="28"/>
          <w:highlight w:val="none"/>
        </w:rPr>
        <w:t>日期：</w:t>
      </w:r>
    </w:p>
    <w:p w14:paraId="3C574977">
      <w:pPr>
        <w:pStyle w:val="5"/>
        <w:spacing w:before="124" w:line="231" w:lineRule="auto"/>
        <w:rPr>
          <w:rFonts w:hint="eastAsia" w:ascii="宋体" w:hAnsi="宋体" w:eastAsia="宋体" w:cs="宋体"/>
          <w:i w:val="0"/>
          <w:iCs w:val="0"/>
          <w:color w:val="auto"/>
          <w:sz w:val="28"/>
          <w:szCs w:val="28"/>
          <w:highlight w:val="none"/>
          <w:lang w:eastAsia="zh-CN"/>
        </w:rPr>
      </w:pPr>
      <w:r>
        <w:rPr>
          <w:rFonts w:hint="eastAsia" w:ascii="宋体" w:hAnsi="宋体" w:eastAsia="宋体" w:cs="宋体"/>
          <w:i w:val="0"/>
          <w:iCs w:val="0"/>
          <w:color w:val="auto"/>
          <w:sz w:val="28"/>
          <w:szCs w:val="28"/>
          <w:highlight w:val="none"/>
        </w:rPr>
        <w:t>注：1.表格长度方向可做扩展根据需求可补充相关资料，但不可减少</w:t>
      </w:r>
      <w:r>
        <w:rPr>
          <w:rFonts w:hint="eastAsia" w:ascii="宋体" w:hAnsi="宋体" w:eastAsia="宋体" w:cs="宋体"/>
          <w:i w:val="0"/>
          <w:iCs w:val="0"/>
          <w:color w:val="auto"/>
          <w:sz w:val="28"/>
          <w:szCs w:val="28"/>
          <w:highlight w:val="none"/>
          <w:lang w:eastAsia="zh-CN"/>
        </w:rPr>
        <w:t>。</w:t>
      </w:r>
    </w:p>
    <w:p w14:paraId="497D325F">
      <w:pPr>
        <w:pStyle w:val="5"/>
        <w:spacing w:before="181" w:line="229" w:lineRule="auto"/>
        <w:rPr>
          <w:rFonts w:hint="eastAsia" w:ascii="宋体" w:hAnsi="宋体" w:eastAsia="宋体" w:cs="宋体"/>
          <w:i w:val="0"/>
          <w:iCs w:val="0"/>
          <w:color w:val="auto"/>
          <w:sz w:val="28"/>
          <w:szCs w:val="28"/>
          <w:highlight w:val="none"/>
          <w:lang w:eastAsia="zh-CN"/>
        </w:rPr>
      </w:pPr>
      <w:r>
        <w:rPr>
          <w:rFonts w:hint="eastAsia" w:ascii="宋体" w:hAnsi="宋体" w:eastAsia="宋体" w:cs="宋体"/>
          <w:i w:val="0"/>
          <w:iCs w:val="0"/>
          <w:color w:val="auto"/>
          <w:spacing w:val="3"/>
          <w:sz w:val="28"/>
          <w:szCs w:val="28"/>
          <w:highlight w:val="none"/>
        </w:rPr>
        <w:t>2、备品备件设备分项报价不合计于开标一览表总价，单独名列即可</w:t>
      </w:r>
      <w:r>
        <w:rPr>
          <w:rFonts w:hint="eastAsia" w:ascii="宋体" w:hAnsi="宋体" w:eastAsia="宋体" w:cs="宋体"/>
          <w:i w:val="0"/>
          <w:iCs w:val="0"/>
          <w:color w:val="auto"/>
          <w:spacing w:val="3"/>
          <w:sz w:val="28"/>
          <w:szCs w:val="28"/>
          <w:highlight w:val="none"/>
          <w:lang w:eastAsia="zh-CN"/>
        </w:rPr>
        <w:t>。</w:t>
      </w:r>
    </w:p>
    <w:p w14:paraId="65EEF053">
      <w:pPr>
        <w:pStyle w:val="5"/>
        <w:spacing w:before="224" w:line="302" w:lineRule="auto"/>
        <w:ind w:right="111"/>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pacing w:val="1"/>
          <w:sz w:val="28"/>
          <w:szCs w:val="28"/>
          <w:highlight w:val="none"/>
        </w:rPr>
        <w:t>3、备品备件分为两部分（1、质保期内免费的备品备件、2、质保期外备品备</w:t>
      </w:r>
      <w:r>
        <w:rPr>
          <w:rFonts w:hint="eastAsia" w:ascii="宋体" w:hAnsi="宋体" w:eastAsia="宋体" w:cs="宋体"/>
          <w:i w:val="0"/>
          <w:iCs w:val="0"/>
          <w:color w:val="auto"/>
          <w:spacing w:val="2"/>
          <w:sz w:val="28"/>
          <w:szCs w:val="28"/>
          <w:highlight w:val="none"/>
        </w:rPr>
        <w:t>件报价）</w:t>
      </w:r>
    </w:p>
    <w:p w14:paraId="349B65D7">
      <w:pP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pP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br w:type="page"/>
      </w:r>
    </w:p>
    <w:p w14:paraId="6E4C06A7">
      <w:pPr>
        <w:spacing w:before="56" w:line="220" w:lineRule="auto"/>
        <w:ind w:left="3222"/>
        <w:outlineLvl w:val="1"/>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5</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.技术规格偏离表</w:t>
      </w:r>
    </w:p>
    <w:p w14:paraId="13412B76">
      <w:pPr>
        <w:spacing w:line="407" w:lineRule="auto"/>
        <w:rPr>
          <w:rFonts w:ascii="Arial"/>
          <w:color w:val="auto"/>
          <w:sz w:val="21"/>
          <w:highlight w:val="none"/>
        </w:rPr>
      </w:pPr>
    </w:p>
    <w:p w14:paraId="5F5D2462">
      <w:pPr>
        <w:spacing w:before="91" w:line="213" w:lineRule="auto"/>
        <w:ind w:left="196"/>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项目名称：项目编号：</w:t>
      </w:r>
    </w:p>
    <w:tbl>
      <w:tblPr>
        <w:tblStyle w:val="22"/>
        <w:tblW w:w="89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1773"/>
        <w:gridCol w:w="1830"/>
        <w:gridCol w:w="1750"/>
        <w:gridCol w:w="1510"/>
        <w:gridCol w:w="1287"/>
      </w:tblGrid>
      <w:tr w14:paraId="67FCC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849" w:type="dxa"/>
            <w:vAlign w:val="center"/>
          </w:tcPr>
          <w:p w14:paraId="0EB66FDC">
            <w:pPr>
              <w:pStyle w:val="23"/>
              <w:spacing w:before="213" w:line="210" w:lineRule="auto"/>
              <w:ind w:left="159"/>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序号</w:t>
            </w:r>
          </w:p>
        </w:tc>
        <w:tc>
          <w:tcPr>
            <w:tcW w:w="1773" w:type="dxa"/>
            <w:vAlign w:val="center"/>
          </w:tcPr>
          <w:p w14:paraId="3F5045F4">
            <w:pPr>
              <w:pStyle w:val="23"/>
              <w:spacing w:before="78" w:line="219" w:lineRule="auto"/>
              <w:ind w:left="233"/>
              <w:jc w:val="center"/>
              <w:rPr>
                <w:color w:val="auto"/>
                <w:sz w:val="24"/>
                <w:szCs w:val="24"/>
                <w:highlight w:val="none"/>
              </w:rPr>
            </w:pPr>
            <w:r>
              <w:rPr>
                <w:color w:val="auto"/>
                <w:spacing w:val="-4"/>
                <w:sz w:val="24"/>
                <w:szCs w:val="24"/>
                <w:highlight w:val="none"/>
              </w:rPr>
              <w:t>货物名称</w:t>
            </w:r>
          </w:p>
        </w:tc>
        <w:tc>
          <w:tcPr>
            <w:tcW w:w="1830" w:type="dxa"/>
            <w:vAlign w:val="center"/>
          </w:tcPr>
          <w:p w14:paraId="41B11164">
            <w:pPr>
              <w:pStyle w:val="23"/>
              <w:spacing w:before="78" w:line="219" w:lineRule="auto"/>
              <w:ind w:left="251"/>
              <w:jc w:val="center"/>
              <w:rPr>
                <w:color w:val="auto"/>
                <w:sz w:val="24"/>
                <w:szCs w:val="24"/>
                <w:highlight w:val="none"/>
              </w:rPr>
            </w:pPr>
            <w:r>
              <w:rPr>
                <w:color w:val="auto"/>
                <w:spacing w:val="-3"/>
                <w:sz w:val="24"/>
                <w:szCs w:val="24"/>
                <w:highlight w:val="none"/>
              </w:rPr>
              <w:t>招标规格</w:t>
            </w:r>
          </w:p>
        </w:tc>
        <w:tc>
          <w:tcPr>
            <w:tcW w:w="1750" w:type="dxa"/>
            <w:vAlign w:val="center"/>
          </w:tcPr>
          <w:p w14:paraId="31190668">
            <w:pPr>
              <w:pStyle w:val="23"/>
              <w:spacing w:before="78" w:line="219" w:lineRule="auto"/>
              <w:ind w:left="223"/>
              <w:jc w:val="center"/>
              <w:rPr>
                <w:color w:val="auto"/>
                <w:sz w:val="24"/>
                <w:szCs w:val="24"/>
                <w:highlight w:val="none"/>
              </w:rPr>
            </w:pPr>
            <w:r>
              <w:rPr>
                <w:color w:val="auto"/>
                <w:spacing w:val="-4"/>
                <w:sz w:val="24"/>
                <w:szCs w:val="24"/>
                <w:highlight w:val="none"/>
              </w:rPr>
              <w:t>投标规格</w:t>
            </w:r>
          </w:p>
        </w:tc>
        <w:tc>
          <w:tcPr>
            <w:tcW w:w="1510" w:type="dxa"/>
            <w:vAlign w:val="center"/>
          </w:tcPr>
          <w:p w14:paraId="64687F63">
            <w:pPr>
              <w:pStyle w:val="23"/>
              <w:spacing w:before="78" w:line="219" w:lineRule="auto"/>
              <w:ind w:left="126"/>
              <w:jc w:val="center"/>
              <w:rPr>
                <w:color w:val="auto"/>
                <w:sz w:val="24"/>
                <w:szCs w:val="24"/>
                <w:highlight w:val="none"/>
              </w:rPr>
            </w:pPr>
            <w:r>
              <w:rPr>
                <w:color w:val="auto"/>
                <w:spacing w:val="-3"/>
                <w:sz w:val="24"/>
                <w:szCs w:val="24"/>
                <w:highlight w:val="none"/>
              </w:rPr>
              <w:t>偏离情况</w:t>
            </w:r>
          </w:p>
        </w:tc>
        <w:tc>
          <w:tcPr>
            <w:tcW w:w="1287" w:type="dxa"/>
            <w:vAlign w:val="center"/>
          </w:tcPr>
          <w:p w14:paraId="2DAEAF6E">
            <w:pPr>
              <w:pStyle w:val="23"/>
              <w:spacing w:before="78" w:line="219" w:lineRule="auto"/>
              <w:ind w:left="152"/>
              <w:jc w:val="center"/>
              <w:rPr>
                <w:color w:val="auto"/>
                <w:sz w:val="24"/>
                <w:szCs w:val="24"/>
                <w:highlight w:val="none"/>
              </w:rPr>
            </w:pPr>
            <w:r>
              <w:rPr>
                <w:rFonts w:hint="eastAsia" w:ascii="仿宋" w:hAnsi="仿宋" w:eastAsia="仿宋" w:cs="仿宋"/>
                <w:color w:val="auto"/>
                <w:sz w:val="24"/>
                <w:highlight w:val="none"/>
              </w:rPr>
              <w:t>说明</w:t>
            </w:r>
            <w:r>
              <w:rPr>
                <w:rFonts w:hint="eastAsia" w:ascii="仿宋" w:hAnsi="仿宋" w:eastAsia="仿宋" w:cs="仿宋"/>
                <w:color w:val="auto"/>
                <w:sz w:val="24"/>
                <w:highlight w:val="none"/>
                <w:lang w:eastAsia="zh-CN"/>
              </w:rPr>
              <w:t>（</w:t>
            </w:r>
            <w:r>
              <w:rPr>
                <w:rFonts w:hint="eastAsia" w:ascii="仿宋" w:hAnsi="仿宋" w:eastAsia="仿宋" w:cs="仿宋"/>
                <w:sz w:val="24"/>
                <w:highlight w:val="none"/>
                <w:lang w:val="en-US" w:eastAsia="zh-CN"/>
              </w:rPr>
              <w:t>需标注佐证材料的页码。</w:t>
            </w:r>
            <w:r>
              <w:rPr>
                <w:rFonts w:hint="eastAsia" w:ascii="仿宋" w:hAnsi="仿宋" w:eastAsia="仿宋" w:cs="仿宋"/>
                <w:color w:val="auto"/>
                <w:sz w:val="24"/>
                <w:highlight w:val="none"/>
                <w:lang w:eastAsia="zh-CN"/>
              </w:rPr>
              <w:t>）</w:t>
            </w:r>
          </w:p>
        </w:tc>
      </w:tr>
      <w:tr w14:paraId="736D0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49" w:type="dxa"/>
            <w:vAlign w:val="top"/>
          </w:tcPr>
          <w:p w14:paraId="247142C1">
            <w:pPr>
              <w:rPr>
                <w:rFonts w:ascii="Arial"/>
                <w:color w:val="auto"/>
                <w:sz w:val="21"/>
                <w:highlight w:val="none"/>
              </w:rPr>
            </w:pPr>
          </w:p>
        </w:tc>
        <w:tc>
          <w:tcPr>
            <w:tcW w:w="1773" w:type="dxa"/>
            <w:vAlign w:val="top"/>
          </w:tcPr>
          <w:p w14:paraId="1C361F58">
            <w:pPr>
              <w:rPr>
                <w:rFonts w:ascii="Arial"/>
                <w:color w:val="auto"/>
                <w:sz w:val="21"/>
                <w:highlight w:val="none"/>
              </w:rPr>
            </w:pPr>
          </w:p>
        </w:tc>
        <w:tc>
          <w:tcPr>
            <w:tcW w:w="1830" w:type="dxa"/>
            <w:vAlign w:val="top"/>
          </w:tcPr>
          <w:p w14:paraId="3C1C5D9B">
            <w:pPr>
              <w:rPr>
                <w:rFonts w:ascii="Arial"/>
                <w:color w:val="auto"/>
                <w:sz w:val="21"/>
                <w:highlight w:val="none"/>
              </w:rPr>
            </w:pPr>
          </w:p>
        </w:tc>
        <w:tc>
          <w:tcPr>
            <w:tcW w:w="1750" w:type="dxa"/>
            <w:vAlign w:val="top"/>
          </w:tcPr>
          <w:p w14:paraId="5C63A46A">
            <w:pPr>
              <w:rPr>
                <w:rFonts w:ascii="Arial"/>
                <w:color w:val="auto"/>
                <w:sz w:val="21"/>
                <w:highlight w:val="none"/>
              </w:rPr>
            </w:pPr>
          </w:p>
        </w:tc>
        <w:tc>
          <w:tcPr>
            <w:tcW w:w="1510" w:type="dxa"/>
            <w:vAlign w:val="top"/>
          </w:tcPr>
          <w:p w14:paraId="59721938">
            <w:pPr>
              <w:rPr>
                <w:rFonts w:ascii="Arial"/>
                <w:color w:val="auto"/>
                <w:sz w:val="21"/>
                <w:highlight w:val="none"/>
              </w:rPr>
            </w:pPr>
          </w:p>
        </w:tc>
        <w:tc>
          <w:tcPr>
            <w:tcW w:w="1287" w:type="dxa"/>
            <w:vAlign w:val="top"/>
          </w:tcPr>
          <w:p w14:paraId="10AB60A1">
            <w:pPr>
              <w:rPr>
                <w:rFonts w:ascii="Arial"/>
                <w:color w:val="auto"/>
                <w:sz w:val="21"/>
                <w:highlight w:val="none"/>
              </w:rPr>
            </w:pPr>
          </w:p>
        </w:tc>
      </w:tr>
      <w:tr w14:paraId="37B28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49" w:type="dxa"/>
            <w:vAlign w:val="top"/>
          </w:tcPr>
          <w:p w14:paraId="4EBF7A7D">
            <w:pPr>
              <w:rPr>
                <w:rFonts w:ascii="Arial"/>
                <w:color w:val="auto"/>
                <w:sz w:val="21"/>
                <w:highlight w:val="none"/>
              </w:rPr>
            </w:pPr>
          </w:p>
        </w:tc>
        <w:tc>
          <w:tcPr>
            <w:tcW w:w="1773" w:type="dxa"/>
            <w:vAlign w:val="top"/>
          </w:tcPr>
          <w:p w14:paraId="12FD2785">
            <w:pPr>
              <w:rPr>
                <w:rFonts w:ascii="Arial"/>
                <w:color w:val="auto"/>
                <w:sz w:val="21"/>
                <w:highlight w:val="none"/>
              </w:rPr>
            </w:pPr>
          </w:p>
        </w:tc>
        <w:tc>
          <w:tcPr>
            <w:tcW w:w="1830" w:type="dxa"/>
            <w:vAlign w:val="top"/>
          </w:tcPr>
          <w:p w14:paraId="2CE1A956">
            <w:pPr>
              <w:rPr>
                <w:rFonts w:ascii="Arial"/>
                <w:color w:val="auto"/>
                <w:sz w:val="21"/>
                <w:highlight w:val="none"/>
              </w:rPr>
            </w:pPr>
          </w:p>
        </w:tc>
        <w:tc>
          <w:tcPr>
            <w:tcW w:w="1750" w:type="dxa"/>
            <w:vAlign w:val="top"/>
          </w:tcPr>
          <w:p w14:paraId="6B92B4D3">
            <w:pPr>
              <w:rPr>
                <w:rFonts w:ascii="Arial"/>
                <w:color w:val="auto"/>
                <w:sz w:val="21"/>
                <w:highlight w:val="none"/>
              </w:rPr>
            </w:pPr>
          </w:p>
        </w:tc>
        <w:tc>
          <w:tcPr>
            <w:tcW w:w="1510" w:type="dxa"/>
            <w:vAlign w:val="top"/>
          </w:tcPr>
          <w:p w14:paraId="71815808">
            <w:pPr>
              <w:rPr>
                <w:rFonts w:ascii="Arial"/>
                <w:color w:val="auto"/>
                <w:sz w:val="21"/>
                <w:highlight w:val="none"/>
              </w:rPr>
            </w:pPr>
          </w:p>
        </w:tc>
        <w:tc>
          <w:tcPr>
            <w:tcW w:w="1287" w:type="dxa"/>
            <w:vAlign w:val="top"/>
          </w:tcPr>
          <w:p w14:paraId="7338E2DE">
            <w:pPr>
              <w:rPr>
                <w:rFonts w:ascii="Arial"/>
                <w:color w:val="auto"/>
                <w:sz w:val="21"/>
                <w:highlight w:val="none"/>
              </w:rPr>
            </w:pPr>
          </w:p>
        </w:tc>
      </w:tr>
      <w:tr w14:paraId="53E86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849" w:type="dxa"/>
            <w:vAlign w:val="top"/>
          </w:tcPr>
          <w:p w14:paraId="314BCBE1">
            <w:pPr>
              <w:rPr>
                <w:rFonts w:ascii="Arial"/>
                <w:color w:val="auto"/>
                <w:sz w:val="21"/>
                <w:highlight w:val="none"/>
              </w:rPr>
            </w:pPr>
          </w:p>
        </w:tc>
        <w:tc>
          <w:tcPr>
            <w:tcW w:w="1773" w:type="dxa"/>
            <w:vAlign w:val="top"/>
          </w:tcPr>
          <w:p w14:paraId="04F35545">
            <w:pPr>
              <w:rPr>
                <w:rFonts w:ascii="Arial"/>
                <w:color w:val="auto"/>
                <w:sz w:val="21"/>
                <w:highlight w:val="none"/>
              </w:rPr>
            </w:pPr>
          </w:p>
        </w:tc>
        <w:tc>
          <w:tcPr>
            <w:tcW w:w="1830" w:type="dxa"/>
            <w:vAlign w:val="top"/>
          </w:tcPr>
          <w:p w14:paraId="61A157DC">
            <w:pPr>
              <w:rPr>
                <w:rFonts w:ascii="Arial"/>
                <w:color w:val="auto"/>
                <w:sz w:val="21"/>
                <w:highlight w:val="none"/>
              </w:rPr>
            </w:pPr>
          </w:p>
        </w:tc>
        <w:tc>
          <w:tcPr>
            <w:tcW w:w="1750" w:type="dxa"/>
            <w:vAlign w:val="top"/>
          </w:tcPr>
          <w:p w14:paraId="1A4C3F23">
            <w:pPr>
              <w:rPr>
                <w:rFonts w:ascii="Arial"/>
                <w:color w:val="auto"/>
                <w:sz w:val="21"/>
                <w:highlight w:val="none"/>
              </w:rPr>
            </w:pPr>
          </w:p>
        </w:tc>
        <w:tc>
          <w:tcPr>
            <w:tcW w:w="1510" w:type="dxa"/>
            <w:vAlign w:val="top"/>
          </w:tcPr>
          <w:p w14:paraId="47CEE33B">
            <w:pPr>
              <w:rPr>
                <w:rFonts w:ascii="Arial"/>
                <w:color w:val="auto"/>
                <w:sz w:val="21"/>
                <w:highlight w:val="none"/>
              </w:rPr>
            </w:pPr>
          </w:p>
        </w:tc>
        <w:tc>
          <w:tcPr>
            <w:tcW w:w="1287" w:type="dxa"/>
            <w:vAlign w:val="top"/>
          </w:tcPr>
          <w:p w14:paraId="5F9AE277">
            <w:pPr>
              <w:rPr>
                <w:rFonts w:ascii="Arial"/>
                <w:color w:val="auto"/>
                <w:sz w:val="21"/>
                <w:highlight w:val="none"/>
              </w:rPr>
            </w:pPr>
          </w:p>
        </w:tc>
      </w:tr>
      <w:tr w14:paraId="34BD0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849" w:type="dxa"/>
            <w:vAlign w:val="top"/>
          </w:tcPr>
          <w:p w14:paraId="10618654">
            <w:pPr>
              <w:rPr>
                <w:rFonts w:ascii="Arial"/>
                <w:color w:val="auto"/>
                <w:sz w:val="21"/>
                <w:highlight w:val="none"/>
              </w:rPr>
            </w:pPr>
          </w:p>
        </w:tc>
        <w:tc>
          <w:tcPr>
            <w:tcW w:w="1773" w:type="dxa"/>
            <w:vAlign w:val="top"/>
          </w:tcPr>
          <w:p w14:paraId="5AEC26CE">
            <w:pPr>
              <w:rPr>
                <w:rFonts w:ascii="Arial"/>
                <w:color w:val="auto"/>
                <w:sz w:val="21"/>
                <w:highlight w:val="none"/>
              </w:rPr>
            </w:pPr>
          </w:p>
        </w:tc>
        <w:tc>
          <w:tcPr>
            <w:tcW w:w="1830" w:type="dxa"/>
            <w:vAlign w:val="top"/>
          </w:tcPr>
          <w:p w14:paraId="54595828">
            <w:pPr>
              <w:rPr>
                <w:rFonts w:ascii="Arial"/>
                <w:color w:val="auto"/>
                <w:sz w:val="21"/>
                <w:highlight w:val="none"/>
              </w:rPr>
            </w:pPr>
          </w:p>
        </w:tc>
        <w:tc>
          <w:tcPr>
            <w:tcW w:w="1750" w:type="dxa"/>
            <w:vAlign w:val="top"/>
          </w:tcPr>
          <w:p w14:paraId="615CA460">
            <w:pPr>
              <w:rPr>
                <w:rFonts w:ascii="Arial"/>
                <w:color w:val="auto"/>
                <w:sz w:val="21"/>
                <w:highlight w:val="none"/>
              </w:rPr>
            </w:pPr>
          </w:p>
        </w:tc>
        <w:tc>
          <w:tcPr>
            <w:tcW w:w="1510" w:type="dxa"/>
            <w:vAlign w:val="top"/>
          </w:tcPr>
          <w:p w14:paraId="4EABFBC6">
            <w:pPr>
              <w:rPr>
                <w:rFonts w:ascii="Arial"/>
                <w:color w:val="auto"/>
                <w:sz w:val="21"/>
                <w:highlight w:val="none"/>
              </w:rPr>
            </w:pPr>
          </w:p>
        </w:tc>
        <w:tc>
          <w:tcPr>
            <w:tcW w:w="1287" w:type="dxa"/>
            <w:vAlign w:val="top"/>
          </w:tcPr>
          <w:p w14:paraId="0E6C84F1">
            <w:pPr>
              <w:rPr>
                <w:rFonts w:ascii="Arial"/>
                <w:color w:val="auto"/>
                <w:sz w:val="21"/>
                <w:highlight w:val="none"/>
              </w:rPr>
            </w:pPr>
          </w:p>
        </w:tc>
      </w:tr>
      <w:tr w14:paraId="7E33B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49" w:type="dxa"/>
            <w:vAlign w:val="top"/>
          </w:tcPr>
          <w:p w14:paraId="3729093A">
            <w:pPr>
              <w:rPr>
                <w:rFonts w:ascii="Arial"/>
                <w:color w:val="auto"/>
                <w:sz w:val="21"/>
                <w:highlight w:val="none"/>
              </w:rPr>
            </w:pPr>
          </w:p>
        </w:tc>
        <w:tc>
          <w:tcPr>
            <w:tcW w:w="1773" w:type="dxa"/>
            <w:vAlign w:val="top"/>
          </w:tcPr>
          <w:p w14:paraId="46F27039">
            <w:pPr>
              <w:rPr>
                <w:rFonts w:ascii="Arial"/>
                <w:color w:val="auto"/>
                <w:sz w:val="21"/>
                <w:highlight w:val="none"/>
              </w:rPr>
            </w:pPr>
          </w:p>
        </w:tc>
        <w:tc>
          <w:tcPr>
            <w:tcW w:w="1830" w:type="dxa"/>
            <w:vAlign w:val="top"/>
          </w:tcPr>
          <w:p w14:paraId="1A98E9A8">
            <w:pPr>
              <w:rPr>
                <w:rFonts w:ascii="Arial"/>
                <w:color w:val="auto"/>
                <w:sz w:val="21"/>
                <w:highlight w:val="none"/>
              </w:rPr>
            </w:pPr>
          </w:p>
        </w:tc>
        <w:tc>
          <w:tcPr>
            <w:tcW w:w="1750" w:type="dxa"/>
            <w:vAlign w:val="top"/>
          </w:tcPr>
          <w:p w14:paraId="6D99FD42">
            <w:pPr>
              <w:rPr>
                <w:rFonts w:ascii="Arial"/>
                <w:color w:val="auto"/>
                <w:sz w:val="21"/>
                <w:highlight w:val="none"/>
              </w:rPr>
            </w:pPr>
          </w:p>
        </w:tc>
        <w:tc>
          <w:tcPr>
            <w:tcW w:w="1510" w:type="dxa"/>
            <w:vAlign w:val="top"/>
          </w:tcPr>
          <w:p w14:paraId="497D42B0">
            <w:pPr>
              <w:rPr>
                <w:rFonts w:ascii="Arial"/>
                <w:color w:val="auto"/>
                <w:sz w:val="21"/>
                <w:highlight w:val="none"/>
              </w:rPr>
            </w:pPr>
          </w:p>
        </w:tc>
        <w:tc>
          <w:tcPr>
            <w:tcW w:w="1287" w:type="dxa"/>
            <w:vAlign w:val="top"/>
          </w:tcPr>
          <w:p w14:paraId="4C3FB961">
            <w:pPr>
              <w:rPr>
                <w:rFonts w:ascii="Arial"/>
                <w:color w:val="auto"/>
                <w:sz w:val="21"/>
                <w:highlight w:val="none"/>
              </w:rPr>
            </w:pPr>
          </w:p>
        </w:tc>
      </w:tr>
      <w:tr w14:paraId="5AB29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849" w:type="dxa"/>
            <w:vAlign w:val="top"/>
          </w:tcPr>
          <w:p w14:paraId="0ADC0F06">
            <w:pPr>
              <w:rPr>
                <w:rFonts w:ascii="Arial"/>
                <w:color w:val="auto"/>
                <w:sz w:val="21"/>
                <w:highlight w:val="none"/>
              </w:rPr>
            </w:pPr>
          </w:p>
        </w:tc>
        <w:tc>
          <w:tcPr>
            <w:tcW w:w="1773" w:type="dxa"/>
            <w:vAlign w:val="top"/>
          </w:tcPr>
          <w:p w14:paraId="2022ED16">
            <w:pPr>
              <w:rPr>
                <w:rFonts w:ascii="Arial"/>
                <w:color w:val="auto"/>
                <w:sz w:val="21"/>
                <w:highlight w:val="none"/>
              </w:rPr>
            </w:pPr>
          </w:p>
        </w:tc>
        <w:tc>
          <w:tcPr>
            <w:tcW w:w="1830" w:type="dxa"/>
            <w:vAlign w:val="top"/>
          </w:tcPr>
          <w:p w14:paraId="3C2D709E">
            <w:pPr>
              <w:rPr>
                <w:rFonts w:ascii="Arial"/>
                <w:color w:val="auto"/>
                <w:sz w:val="21"/>
                <w:highlight w:val="none"/>
              </w:rPr>
            </w:pPr>
          </w:p>
        </w:tc>
        <w:tc>
          <w:tcPr>
            <w:tcW w:w="1750" w:type="dxa"/>
            <w:vAlign w:val="top"/>
          </w:tcPr>
          <w:p w14:paraId="054902CD">
            <w:pPr>
              <w:rPr>
                <w:rFonts w:ascii="Arial"/>
                <w:color w:val="auto"/>
                <w:sz w:val="21"/>
                <w:highlight w:val="none"/>
              </w:rPr>
            </w:pPr>
          </w:p>
        </w:tc>
        <w:tc>
          <w:tcPr>
            <w:tcW w:w="1510" w:type="dxa"/>
            <w:vAlign w:val="top"/>
          </w:tcPr>
          <w:p w14:paraId="62421EB8">
            <w:pPr>
              <w:rPr>
                <w:rFonts w:ascii="Arial"/>
                <w:color w:val="auto"/>
                <w:sz w:val="21"/>
                <w:highlight w:val="none"/>
              </w:rPr>
            </w:pPr>
          </w:p>
        </w:tc>
        <w:tc>
          <w:tcPr>
            <w:tcW w:w="1287" w:type="dxa"/>
            <w:vAlign w:val="top"/>
          </w:tcPr>
          <w:p w14:paraId="3B72C425">
            <w:pPr>
              <w:rPr>
                <w:rFonts w:ascii="Arial"/>
                <w:color w:val="auto"/>
                <w:sz w:val="21"/>
                <w:highlight w:val="none"/>
              </w:rPr>
            </w:pPr>
          </w:p>
        </w:tc>
      </w:tr>
      <w:tr w14:paraId="73F6A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849" w:type="dxa"/>
            <w:vAlign w:val="top"/>
          </w:tcPr>
          <w:p w14:paraId="57B65604">
            <w:pPr>
              <w:rPr>
                <w:rFonts w:ascii="Arial"/>
                <w:color w:val="auto"/>
                <w:sz w:val="21"/>
                <w:highlight w:val="none"/>
              </w:rPr>
            </w:pPr>
          </w:p>
        </w:tc>
        <w:tc>
          <w:tcPr>
            <w:tcW w:w="1773" w:type="dxa"/>
            <w:vAlign w:val="top"/>
          </w:tcPr>
          <w:p w14:paraId="3DB3C91F">
            <w:pPr>
              <w:rPr>
                <w:rFonts w:ascii="Arial"/>
                <w:color w:val="auto"/>
                <w:sz w:val="21"/>
                <w:highlight w:val="none"/>
              </w:rPr>
            </w:pPr>
          </w:p>
        </w:tc>
        <w:tc>
          <w:tcPr>
            <w:tcW w:w="1830" w:type="dxa"/>
            <w:vAlign w:val="top"/>
          </w:tcPr>
          <w:p w14:paraId="25618EE3">
            <w:pPr>
              <w:rPr>
                <w:rFonts w:ascii="Arial"/>
                <w:color w:val="auto"/>
                <w:sz w:val="21"/>
                <w:highlight w:val="none"/>
              </w:rPr>
            </w:pPr>
          </w:p>
        </w:tc>
        <w:tc>
          <w:tcPr>
            <w:tcW w:w="1750" w:type="dxa"/>
            <w:vAlign w:val="top"/>
          </w:tcPr>
          <w:p w14:paraId="7D9B5B4D">
            <w:pPr>
              <w:rPr>
                <w:rFonts w:ascii="Arial"/>
                <w:color w:val="auto"/>
                <w:sz w:val="21"/>
                <w:highlight w:val="none"/>
              </w:rPr>
            </w:pPr>
          </w:p>
        </w:tc>
        <w:tc>
          <w:tcPr>
            <w:tcW w:w="1510" w:type="dxa"/>
            <w:vAlign w:val="top"/>
          </w:tcPr>
          <w:p w14:paraId="09D571A5">
            <w:pPr>
              <w:rPr>
                <w:rFonts w:ascii="Arial"/>
                <w:color w:val="auto"/>
                <w:sz w:val="21"/>
                <w:highlight w:val="none"/>
              </w:rPr>
            </w:pPr>
          </w:p>
        </w:tc>
        <w:tc>
          <w:tcPr>
            <w:tcW w:w="1287" w:type="dxa"/>
            <w:vAlign w:val="top"/>
          </w:tcPr>
          <w:p w14:paraId="2934B5F6">
            <w:pPr>
              <w:rPr>
                <w:rFonts w:ascii="Arial"/>
                <w:color w:val="auto"/>
                <w:sz w:val="21"/>
                <w:highlight w:val="none"/>
              </w:rPr>
            </w:pPr>
          </w:p>
        </w:tc>
      </w:tr>
      <w:tr w14:paraId="348AB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849" w:type="dxa"/>
            <w:vAlign w:val="top"/>
          </w:tcPr>
          <w:p w14:paraId="48873363">
            <w:pPr>
              <w:rPr>
                <w:rFonts w:ascii="Arial"/>
                <w:color w:val="auto"/>
                <w:sz w:val="21"/>
                <w:highlight w:val="none"/>
              </w:rPr>
            </w:pPr>
          </w:p>
        </w:tc>
        <w:tc>
          <w:tcPr>
            <w:tcW w:w="1773" w:type="dxa"/>
            <w:vAlign w:val="top"/>
          </w:tcPr>
          <w:p w14:paraId="51DF860D">
            <w:pPr>
              <w:rPr>
                <w:rFonts w:ascii="Arial"/>
                <w:color w:val="auto"/>
                <w:sz w:val="21"/>
                <w:highlight w:val="none"/>
              </w:rPr>
            </w:pPr>
          </w:p>
        </w:tc>
        <w:tc>
          <w:tcPr>
            <w:tcW w:w="1830" w:type="dxa"/>
            <w:vAlign w:val="top"/>
          </w:tcPr>
          <w:p w14:paraId="1B51B8C4">
            <w:pPr>
              <w:rPr>
                <w:rFonts w:ascii="Arial"/>
                <w:color w:val="auto"/>
                <w:sz w:val="21"/>
                <w:highlight w:val="none"/>
              </w:rPr>
            </w:pPr>
          </w:p>
        </w:tc>
        <w:tc>
          <w:tcPr>
            <w:tcW w:w="1750" w:type="dxa"/>
            <w:vAlign w:val="top"/>
          </w:tcPr>
          <w:p w14:paraId="3D47BC8C">
            <w:pPr>
              <w:rPr>
                <w:rFonts w:ascii="Arial"/>
                <w:color w:val="auto"/>
                <w:sz w:val="21"/>
                <w:highlight w:val="none"/>
              </w:rPr>
            </w:pPr>
          </w:p>
        </w:tc>
        <w:tc>
          <w:tcPr>
            <w:tcW w:w="1510" w:type="dxa"/>
            <w:vAlign w:val="top"/>
          </w:tcPr>
          <w:p w14:paraId="0F67E5B9">
            <w:pPr>
              <w:rPr>
                <w:rFonts w:ascii="Arial"/>
                <w:color w:val="auto"/>
                <w:sz w:val="21"/>
                <w:highlight w:val="none"/>
              </w:rPr>
            </w:pPr>
          </w:p>
        </w:tc>
        <w:tc>
          <w:tcPr>
            <w:tcW w:w="1287" w:type="dxa"/>
            <w:vAlign w:val="top"/>
          </w:tcPr>
          <w:p w14:paraId="55AF9B24">
            <w:pPr>
              <w:rPr>
                <w:rFonts w:ascii="Arial"/>
                <w:color w:val="auto"/>
                <w:sz w:val="21"/>
                <w:highlight w:val="none"/>
              </w:rPr>
            </w:pPr>
          </w:p>
        </w:tc>
      </w:tr>
    </w:tbl>
    <w:p w14:paraId="16125520">
      <w:pPr>
        <w:spacing w:line="246" w:lineRule="auto"/>
        <w:rPr>
          <w:rFonts w:ascii="Arial"/>
          <w:color w:val="auto"/>
          <w:sz w:val="21"/>
          <w:highlight w:val="none"/>
        </w:rPr>
      </w:pPr>
    </w:p>
    <w:p w14:paraId="46593DAE">
      <w:pPr>
        <w:spacing w:line="246" w:lineRule="auto"/>
        <w:rPr>
          <w:rFonts w:ascii="Arial"/>
          <w:color w:val="auto"/>
          <w:sz w:val="21"/>
          <w:highlight w:val="none"/>
        </w:rPr>
      </w:pPr>
    </w:p>
    <w:p w14:paraId="3EA8D122">
      <w:pPr>
        <w:spacing w:before="91" w:line="221" w:lineRule="auto"/>
        <w:ind w:left="195"/>
        <w:rPr>
          <w:rFonts w:hint="eastAsia" w:ascii="宋体" w:hAnsi="宋体" w:eastAsia="宋体" w:cs="宋体"/>
          <w:color w:val="auto"/>
          <w:sz w:val="28"/>
          <w:szCs w:val="28"/>
          <w:highlight w:val="none"/>
          <w:lang w:eastAsia="zh-CN"/>
        </w:rPr>
      </w:pPr>
      <w:r>
        <w:rPr>
          <w:rFonts w:ascii="宋体" w:hAnsi="宋体" w:eastAsia="宋体" w:cs="宋体"/>
          <w:color w:val="auto"/>
          <w:spacing w:val="-3"/>
          <w:sz w:val="28"/>
          <w:szCs w:val="28"/>
          <w:highlight w:val="none"/>
        </w:rPr>
        <w:t>投标人名称：</w:t>
      </w:r>
    </w:p>
    <w:p w14:paraId="2D969DDC">
      <w:pPr>
        <w:spacing w:before="210" w:line="219" w:lineRule="auto"/>
        <w:ind w:left="193"/>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法定代表人或其委托代理人(签字或盖章)：</w:t>
      </w:r>
    </w:p>
    <w:p w14:paraId="286E82C5">
      <w:pPr>
        <w:spacing w:line="219" w:lineRule="auto"/>
        <w:rPr>
          <w:rFonts w:ascii="宋体" w:hAnsi="宋体" w:eastAsia="宋体" w:cs="宋体"/>
          <w:color w:val="auto"/>
          <w:sz w:val="28"/>
          <w:szCs w:val="28"/>
          <w:highlight w:val="none"/>
        </w:rPr>
        <w:sectPr>
          <w:footerReference r:id="rId32" w:type="default"/>
          <w:pgSz w:w="11906" w:h="16839"/>
          <w:pgMar w:top="1424" w:right="1617" w:bottom="1404" w:left="1616" w:header="0" w:footer="1225" w:gutter="0"/>
          <w:pgBorders>
            <w:top w:val="none" w:sz="0" w:space="0"/>
            <w:left w:val="none" w:sz="0" w:space="0"/>
            <w:bottom w:val="none" w:sz="0" w:space="0"/>
            <w:right w:val="none" w:sz="0" w:space="0"/>
          </w:pgBorders>
          <w:pgNumType w:fmt="decimal"/>
          <w:cols w:space="720" w:num="1"/>
        </w:sectPr>
      </w:pPr>
    </w:p>
    <w:p w14:paraId="77DEC59E">
      <w:pPr>
        <w:spacing w:before="91" w:line="220" w:lineRule="auto"/>
        <w:ind w:left="3203"/>
        <w:outlineLvl w:val="1"/>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6</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.商务条款偏离表</w:t>
      </w:r>
    </w:p>
    <w:p w14:paraId="7FDC3986">
      <w:pPr>
        <w:spacing w:before="28" w:line="212" w:lineRule="auto"/>
        <w:ind w:left="2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项目名称：项目编号：</w:t>
      </w:r>
    </w:p>
    <w:tbl>
      <w:tblPr>
        <w:tblStyle w:val="22"/>
        <w:tblW w:w="83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556"/>
        <w:gridCol w:w="1556"/>
        <w:gridCol w:w="1425"/>
        <w:gridCol w:w="2494"/>
      </w:tblGrid>
      <w:tr w14:paraId="09207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308" w:type="dxa"/>
            <w:tcBorders>
              <w:bottom w:val="single" w:color="000000" w:sz="2" w:space="0"/>
            </w:tcBorders>
            <w:vAlign w:val="center"/>
          </w:tcPr>
          <w:p w14:paraId="6ED7F481">
            <w:pPr>
              <w:pStyle w:val="23"/>
              <w:spacing w:before="78" w:line="221" w:lineRule="auto"/>
              <w:ind w:left="326"/>
              <w:jc w:val="center"/>
              <w:rPr>
                <w:color w:val="auto"/>
                <w:sz w:val="24"/>
                <w:szCs w:val="24"/>
                <w:highlight w:val="none"/>
              </w:rPr>
            </w:pPr>
            <w:r>
              <w:rPr>
                <w:color w:val="auto"/>
                <w:spacing w:val="-5"/>
                <w:sz w:val="24"/>
                <w:szCs w:val="24"/>
                <w:highlight w:val="none"/>
              </w:rPr>
              <w:t>序号</w:t>
            </w:r>
          </w:p>
        </w:tc>
        <w:tc>
          <w:tcPr>
            <w:tcW w:w="1556" w:type="dxa"/>
            <w:tcBorders>
              <w:bottom w:val="single" w:color="000000" w:sz="2" w:space="0"/>
            </w:tcBorders>
            <w:vAlign w:val="center"/>
          </w:tcPr>
          <w:p w14:paraId="5342C7D4">
            <w:pPr>
              <w:pStyle w:val="23"/>
              <w:spacing w:before="201" w:line="219" w:lineRule="auto"/>
              <w:ind w:left="194"/>
              <w:jc w:val="center"/>
              <w:rPr>
                <w:color w:val="auto"/>
                <w:spacing w:val="-4"/>
                <w:sz w:val="24"/>
                <w:szCs w:val="24"/>
                <w:highlight w:val="none"/>
              </w:rPr>
            </w:pPr>
            <w:r>
              <w:rPr>
                <w:rFonts w:hint="eastAsia"/>
                <w:color w:val="auto"/>
                <w:spacing w:val="-4"/>
                <w:sz w:val="24"/>
                <w:szCs w:val="24"/>
                <w:highlight w:val="none"/>
                <w:lang w:val="en-US" w:eastAsia="zh-CN"/>
              </w:rPr>
              <w:t>招</w:t>
            </w:r>
            <w:r>
              <w:rPr>
                <w:color w:val="auto"/>
                <w:spacing w:val="-4"/>
                <w:sz w:val="24"/>
                <w:szCs w:val="24"/>
                <w:highlight w:val="none"/>
              </w:rPr>
              <w:t>标文件</w:t>
            </w:r>
            <w:r>
              <w:rPr>
                <w:color w:val="auto"/>
                <w:spacing w:val="-6"/>
                <w:sz w:val="24"/>
                <w:szCs w:val="24"/>
                <w:highlight w:val="none"/>
              </w:rPr>
              <w:t>条款</w:t>
            </w:r>
          </w:p>
        </w:tc>
        <w:tc>
          <w:tcPr>
            <w:tcW w:w="1556" w:type="dxa"/>
            <w:tcBorders>
              <w:bottom w:val="single" w:color="000000" w:sz="2" w:space="0"/>
            </w:tcBorders>
            <w:vAlign w:val="center"/>
          </w:tcPr>
          <w:p w14:paraId="28DAC651">
            <w:pPr>
              <w:pStyle w:val="23"/>
              <w:spacing w:before="201" w:line="219" w:lineRule="auto"/>
              <w:ind w:left="194"/>
              <w:jc w:val="center"/>
              <w:rPr>
                <w:color w:val="auto"/>
                <w:sz w:val="24"/>
                <w:szCs w:val="24"/>
                <w:highlight w:val="none"/>
              </w:rPr>
            </w:pPr>
            <w:r>
              <w:rPr>
                <w:color w:val="auto"/>
                <w:spacing w:val="-4"/>
                <w:sz w:val="24"/>
                <w:szCs w:val="24"/>
                <w:highlight w:val="none"/>
              </w:rPr>
              <w:t>投标文件</w:t>
            </w:r>
            <w:r>
              <w:rPr>
                <w:color w:val="auto"/>
                <w:spacing w:val="-6"/>
                <w:sz w:val="24"/>
                <w:szCs w:val="24"/>
                <w:highlight w:val="none"/>
              </w:rPr>
              <w:t>条款</w:t>
            </w:r>
          </w:p>
        </w:tc>
        <w:tc>
          <w:tcPr>
            <w:tcW w:w="1425" w:type="dxa"/>
            <w:tcBorders>
              <w:bottom w:val="single" w:color="000000" w:sz="2" w:space="0"/>
            </w:tcBorders>
            <w:vAlign w:val="center"/>
          </w:tcPr>
          <w:p w14:paraId="4B78E36F">
            <w:pPr>
              <w:pStyle w:val="23"/>
              <w:spacing w:before="78" w:line="219" w:lineRule="auto"/>
              <w:ind w:left="135"/>
              <w:jc w:val="center"/>
              <w:rPr>
                <w:color w:val="auto"/>
                <w:sz w:val="24"/>
                <w:szCs w:val="24"/>
                <w:highlight w:val="none"/>
              </w:rPr>
            </w:pPr>
            <w:r>
              <w:rPr>
                <w:color w:val="auto"/>
                <w:spacing w:val="-3"/>
                <w:sz w:val="24"/>
                <w:szCs w:val="24"/>
                <w:highlight w:val="none"/>
              </w:rPr>
              <w:t>偏离情况</w:t>
            </w:r>
          </w:p>
        </w:tc>
        <w:tc>
          <w:tcPr>
            <w:tcW w:w="2494" w:type="dxa"/>
            <w:tcBorders>
              <w:bottom w:val="single" w:color="000000" w:sz="2" w:space="0"/>
            </w:tcBorders>
            <w:vAlign w:val="center"/>
          </w:tcPr>
          <w:p w14:paraId="0EDD0951">
            <w:pPr>
              <w:pStyle w:val="23"/>
              <w:spacing w:before="78" w:line="219" w:lineRule="auto"/>
              <w:ind w:left="836"/>
              <w:jc w:val="center"/>
              <w:rPr>
                <w:color w:val="auto"/>
                <w:sz w:val="24"/>
                <w:szCs w:val="24"/>
                <w:highlight w:val="none"/>
              </w:rPr>
            </w:pPr>
            <w:r>
              <w:rPr>
                <w:color w:val="auto"/>
                <w:spacing w:val="-7"/>
                <w:sz w:val="24"/>
                <w:szCs w:val="24"/>
                <w:highlight w:val="none"/>
              </w:rPr>
              <w:t>说明</w:t>
            </w:r>
          </w:p>
        </w:tc>
      </w:tr>
      <w:tr w14:paraId="59FFB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308" w:type="dxa"/>
            <w:tcBorders>
              <w:top w:val="single" w:color="000000" w:sz="2" w:space="0"/>
            </w:tcBorders>
            <w:vAlign w:val="center"/>
          </w:tcPr>
          <w:p w14:paraId="4542C788">
            <w:pPr>
              <w:jc w:val="center"/>
              <w:rPr>
                <w:rFonts w:ascii="Arial"/>
                <w:color w:val="auto"/>
                <w:sz w:val="21"/>
                <w:highlight w:val="none"/>
              </w:rPr>
            </w:pPr>
          </w:p>
        </w:tc>
        <w:tc>
          <w:tcPr>
            <w:tcW w:w="1556" w:type="dxa"/>
            <w:tcBorders>
              <w:top w:val="single" w:color="000000" w:sz="2" w:space="0"/>
            </w:tcBorders>
            <w:vAlign w:val="center"/>
          </w:tcPr>
          <w:p w14:paraId="2574F57C">
            <w:pPr>
              <w:jc w:val="center"/>
              <w:rPr>
                <w:rFonts w:ascii="Arial"/>
                <w:color w:val="auto"/>
                <w:sz w:val="21"/>
                <w:highlight w:val="none"/>
              </w:rPr>
            </w:pPr>
          </w:p>
        </w:tc>
        <w:tc>
          <w:tcPr>
            <w:tcW w:w="1556" w:type="dxa"/>
            <w:tcBorders>
              <w:top w:val="single" w:color="000000" w:sz="2" w:space="0"/>
            </w:tcBorders>
            <w:vAlign w:val="center"/>
          </w:tcPr>
          <w:p w14:paraId="7AD05C8A">
            <w:pPr>
              <w:jc w:val="center"/>
              <w:rPr>
                <w:rFonts w:ascii="Arial"/>
                <w:color w:val="auto"/>
                <w:sz w:val="21"/>
                <w:highlight w:val="none"/>
              </w:rPr>
            </w:pPr>
          </w:p>
        </w:tc>
        <w:tc>
          <w:tcPr>
            <w:tcW w:w="1425" w:type="dxa"/>
            <w:tcBorders>
              <w:top w:val="single" w:color="000000" w:sz="2" w:space="0"/>
            </w:tcBorders>
            <w:vAlign w:val="center"/>
          </w:tcPr>
          <w:p w14:paraId="7F922A84">
            <w:pPr>
              <w:jc w:val="center"/>
              <w:rPr>
                <w:rFonts w:ascii="Arial"/>
                <w:color w:val="auto"/>
                <w:sz w:val="21"/>
                <w:highlight w:val="none"/>
              </w:rPr>
            </w:pPr>
          </w:p>
        </w:tc>
        <w:tc>
          <w:tcPr>
            <w:tcW w:w="2494" w:type="dxa"/>
            <w:tcBorders>
              <w:top w:val="single" w:color="000000" w:sz="2" w:space="0"/>
            </w:tcBorders>
            <w:vAlign w:val="center"/>
          </w:tcPr>
          <w:p w14:paraId="59B45F04">
            <w:pPr>
              <w:jc w:val="center"/>
              <w:rPr>
                <w:rFonts w:ascii="Arial"/>
                <w:color w:val="auto"/>
                <w:sz w:val="21"/>
                <w:highlight w:val="none"/>
              </w:rPr>
            </w:pPr>
          </w:p>
        </w:tc>
      </w:tr>
      <w:tr w14:paraId="1A43F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9" w:hRule="atLeast"/>
        </w:trPr>
        <w:tc>
          <w:tcPr>
            <w:tcW w:w="1308" w:type="dxa"/>
            <w:vAlign w:val="center"/>
          </w:tcPr>
          <w:p w14:paraId="099BBD3E">
            <w:pPr>
              <w:jc w:val="center"/>
              <w:rPr>
                <w:rFonts w:ascii="Arial"/>
                <w:color w:val="auto"/>
                <w:sz w:val="21"/>
                <w:highlight w:val="none"/>
              </w:rPr>
            </w:pPr>
          </w:p>
        </w:tc>
        <w:tc>
          <w:tcPr>
            <w:tcW w:w="1556" w:type="dxa"/>
            <w:vAlign w:val="center"/>
          </w:tcPr>
          <w:p w14:paraId="6D79E718">
            <w:pPr>
              <w:jc w:val="center"/>
              <w:rPr>
                <w:rFonts w:ascii="Arial"/>
                <w:color w:val="auto"/>
                <w:sz w:val="21"/>
                <w:highlight w:val="none"/>
              </w:rPr>
            </w:pPr>
          </w:p>
        </w:tc>
        <w:tc>
          <w:tcPr>
            <w:tcW w:w="1556" w:type="dxa"/>
            <w:vAlign w:val="center"/>
          </w:tcPr>
          <w:p w14:paraId="1ACD81A7">
            <w:pPr>
              <w:jc w:val="center"/>
              <w:rPr>
                <w:rFonts w:ascii="Arial"/>
                <w:color w:val="auto"/>
                <w:sz w:val="21"/>
                <w:highlight w:val="none"/>
              </w:rPr>
            </w:pPr>
          </w:p>
        </w:tc>
        <w:tc>
          <w:tcPr>
            <w:tcW w:w="1425" w:type="dxa"/>
            <w:vAlign w:val="center"/>
          </w:tcPr>
          <w:p w14:paraId="40C22412">
            <w:pPr>
              <w:jc w:val="center"/>
              <w:rPr>
                <w:rFonts w:ascii="Arial"/>
                <w:color w:val="auto"/>
                <w:sz w:val="21"/>
                <w:highlight w:val="none"/>
              </w:rPr>
            </w:pPr>
          </w:p>
        </w:tc>
        <w:tc>
          <w:tcPr>
            <w:tcW w:w="2494" w:type="dxa"/>
            <w:vAlign w:val="center"/>
          </w:tcPr>
          <w:p w14:paraId="148FBDB7">
            <w:pPr>
              <w:jc w:val="center"/>
              <w:rPr>
                <w:rFonts w:ascii="Arial"/>
                <w:color w:val="auto"/>
                <w:sz w:val="21"/>
                <w:highlight w:val="none"/>
              </w:rPr>
            </w:pPr>
          </w:p>
        </w:tc>
      </w:tr>
      <w:tr w14:paraId="65A76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1308" w:type="dxa"/>
            <w:vAlign w:val="center"/>
          </w:tcPr>
          <w:p w14:paraId="501B6D66">
            <w:pPr>
              <w:jc w:val="center"/>
              <w:rPr>
                <w:rFonts w:ascii="Arial"/>
                <w:color w:val="auto"/>
                <w:sz w:val="21"/>
                <w:highlight w:val="none"/>
              </w:rPr>
            </w:pPr>
          </w:p>
        </w:tc>
        <w:tc>
          <w:tcPr>
            <w:tcW w:w="1556" w:type="dxa"/>
            <w:vAlign w:val="center"/>
          </w:tcPr>
          <w:p w14:paraId="7FFDDDDC">
            <w:pPr>
              <w:jc w:val="center"/>
              <w:rPr>
                <w:rFonts w:ascii="Arial"/>
                <w:color w:val="auto"/>
                <w:sz w:val="21"/>
                <w:highlight w:val="none"/>
              </w:rPr>
            </w:pPr>
          </w:p>
        </w:tc>
        <w:tc>
          <w:tcPr>
            <w:tcW w:w="1556" w:type="dxa"/>
            <w:vAlign w:val="center"/>
          </w:tcPr>
          <w:p w14:paraId="4C95E0BC">
            <w:pPr>
              <w:jc w:val="center"/>
              <w:rPr>
                <w:rFonts w:ascii="Arial"/>
                <w:color w:val="auto"/>
                <w:sz w:val="21"/>
                <w:highlight w:val="none"/>
              </w:rPr>
            </w:pPr>
          </w:p>
        </w:tc>
        <w:tc>
          <w:tcPr>
            <w:tcW w:w="1425" w:type="dxa"/>
            <w:vAlign w:val="center"/>
          </w:tcPr>
          <w:p w14:paraId="152ADCD5">
            <w:pPr>
              <w:jc w:val="center"/>
              <w:rPr>
                <w:rFonts w:ascii="Arial"/>
                <w:color w:val="auto"/>
                <w:sz w:val="21"/>
                <w:highlight w:val="none"/>
              </w:rPr>
            </w:pPr>
          </w:p>
        </w:tc>
        <w:tc>
          <w:tcPr>
            <w:tcW w:w="2494" w:type="dxa"/>
            <w:vAlign w:val="center"/>
          </w:tcPr>
          <w:p w14:paraId="70E5343C">
            <w:pPr>
              <w:jc w:val="center"/>
              <w:rPr>
                <w:rFonts w:ascii="Arial"/>
                <w:color w:val="auto"/>
                <w:sz w:val="21"/>
                <w:highlight w:val="none"/>
              </w:rPr>
            </w:pPr>
          </w:p>
        </w:tc>
      </w:tr>
      <w:tr w14:paraId="19A4D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308" w:type="dxa"/>
            <w:vAlign w:val="center"/>
          </w:tcPr>
          <w:p w14:paraId="372DAA3F">
            <w:pPr>
              <w:jc w:val="center"/>
              <w:rPr>
                <w:rFonts w:ascii="Arial"/>
                <w:color w:val="auto"/>
                <w:sz w:val="21"/>
                <w:highlight w:val="none"/>
              </w:rPr>
            </w:pPr>
          </w:p>
        </w:tc>
        <w:tc>
          <w:tcPr>
            <w:tcW w:w="1556" w:type="dxa"/>
            <w:vAlign w:val="center"/>
          </w:tcPr>
          <w:p w14:paraId="27C061FF">
            <w:pPr>
              <w:jc w:val="center"/>
              <w:rPr>
                <w:rFonts w:ascii="Arial"/>
                <w:color w:val="auto"/>
                <w:sz w:val="21"/>
                <w:highlight w:val="none"/>
              </w:rPr>
            </w:pPr>
          </w:p>
        </w:tc>
        <w:tc>
          <w:tcPr>
            <w:tcW w:w="1556" w:type="dxa"/>
            <w:vAlign w:val="center"/>
          </w:tcPr>
          <w:p w14:paraId="4B118532">
            <w:pPr>
              <w:jc w:val="center"/>
              <w:rPr>
                <w:rFonts w:ascii="Arial"/>
                <w:color w:val="auto"/>
                <w:sz w:val="21"/>
                <w:highlight w:val="none"/>
              </w:rPr>
            </w:pPr>
          </w:p>
        </w:tc>
        <w:tc>
          <w:tcPr>
            <w:tcW w:w="1425" w:type="dxa"/>
            <w:vAlign w:val="center"/>
          </w:tcPr>
          <w:p w14:paraId="3F7E01D5">
            <w:pPr>
              <w:jc w:val="center"/>
              <w:rPr>
                <w:rFonts w:ascii="Arial"/>
                <w:color w:val="auto"/>
                <w:sz w:val="21"/>
                <w:highlight w:val="none"/>
              </w:rPr>
            </w:pPr>
          </w:p>
        </w:tc>
        <w:tc>
          <w:tcPr>
            <w:tcW w:w="2494" w:type="dxa"/>
            <w:vAlign w:val="center"/>
          </w:tcPr>
          <w:p w14:paraId="33BA0D2A">
            <w:pPr>
              <w:jc w:val="center"/>
              <w:rPr>
                <w:rFonts w:ascii="Arial"/>
                <w:color w:val="auto"/>
                <w:sz w:val="21"/>
                <w:highlight w:val="none"/>
              </w:rPr>
            </w:pPr>
          </w:p>
        </w:tc>
      </w:tr>
      <w:tr w14:paraId="16D6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308" w:type="dxa"/>
            <w:vAlign w:val="center"/>
          </w:tcPr>
          <w:p w14:paraId="052631FF">
            <w:pPr>
              <w:jc w:val="center"/>
              <w:rPr>
                <w:rFonts w:ascii="Arial"/>
                <w:color w:val="auto"/>
                <w:sz w:val="21"/>
                <w:highlight w:val="none"/>
              </w:rPr>
            </w:pPr>
          </w:p>
        </w:tc>
        <w:tc>
          <w:tcPr>
            <w:tcW w:w="1556" w:type="dxa"/>
            <w:vAlign w:val="center"/>
          </w:tcPr>
          <w:p w14:paraId="191B4711">
            <w:pPr>
              <w:jc w:val="center"/>
              <w:rPr>
                <w:rFonts w:ascii="Arial"/>
                <w:color w:val="auto"/>
                <w:sz w:val="21"/>
                <w:highlight w:val="none"/>
              </w:rPr>
            </w:pPr>
          </w:p>
        </w:tc>
        <w:tc>
          <w:tcPr>
            <w:tcW w:w="1556" w:type="dxa"/>
            <w:vAlign w:val="center"/>
          </w:tcPr>
          <w:p w14:paraId="64CE4F4E">
            <w:pPr>
              <w:jc w:val="center"/>
              <w:rPr>
                <w:rFonts w:ascii="Arial"/>
                <w:color w:val="auto"/>
                <w:sz w:val="21"/>
                <w:highlight w:val="none"/>
              </w:rPr>
            </w:pPr>
          </w:p>
        </w:tc>
        <w:tc>
          <w:tcPr>
            <w:tcW w:w="1425" w:type="dxa"/>
            <w:vAlign w:val="center"/>
          </w:tcPr>
          <w:p w14:paraId="54451F3D">
            <w:pPr>
              <w:jc w:val="center"/>
              <w:rPr>
                <w:rFonts w:ascii="Arial"/>
                <w:color w:val="auto"/>
                <w:sz w:val="21"/>
                <w:highlight w:val="none"/>
              </w:rPr>
            </w:pPr>
          </w:p>
        </w:tc>
        <w:tc>
          <w:tcPr>
            <w:tcW w:w="2494" w:type="dxa"/>
            <w:vAlign w:val="center"/>
          </w:tcPr>
          <w:p w14:paraId="40DD6C45">
            <w:pPr>
              <w:jc w:val="center"/>
              <w:rPr>
                <w:rFonts w:ascii="Arial"/>
                <w:color w:val="auto"/>
                <w:sz w:val="21"/>
                <w:highlight w:val="none"/>
              </w:rPr>
            </w:pPr>
          </w:p>
        </w:tc>
      </w:tr>
      <w:tr w14:paraId="672D8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308" w:type="dxa"/>
            <w:vAlign w:val="center"/>
          </w:tcPr>
          <w:p w14:paraId="27E70160">
            <w:pPr>
              <w:jc w:val="center"/>
              <w:rPr>
                <w:rFonts w:ascii="Arial"/>
                <w:color w:val="auto"/>
                <w:sz w:val="21"/>
                <w:highlight w:val="none"/>
              </w:rPr>
            </w:pPr>
          </w:p>
        </w:tc>
        <w:tc>
          <w:tcPr>
            <w:tcW w:w="1556" w:type="dxa"/>
            <w:vAlign w:val="center"/>
          </w:tcPr>
          <w:p w14:paraId="0BCAFFF4">
            <w:pPr>
              <w:jc w:val="center"/>
              <w:rPr>
                <w:rFonts w:ascii="Arial"/>
                <w:color w:val="auto"/>
                <w:sz w:val="21"/>
                <w:highlight w:val="none"/>
              </w:rPr>
            </w:pPr>
          </w:p>
        </w:tc>
        <w:tc>
          <w:tcPr>
            <w:tcW w:w="1556" w:type="dxa"/>
            <w:vAlign w:val="center"/>
          </w:tcPr>
          <w:p w14:paraId="5B454186">
            <w:pPr>
              <w:jc w:val="center"/>
              <w:rPr>
                <w:rFonts w:ascii="Arial"/>
                <w:color w:val="auto"/>
                <w:sz w:val="21"/>
                <w:highlight w:val="none"/>
              </w:rPr>
            </w:pPr>
          </w:p>
        </w:tc>
        <w:tc>
          <w:tcPr>
            <w:tcW w:w="1425" w:type="dxa"/>
            <w:vAlign w:val="center"/>
          </w:tcPr>
          <w:p w14:paraId="7D7CA3F9">
            <w:pPr>
              <w:jc w:val="center"/>
              <w:rPr>
                <w:rFonts w:ascii="Arial"/>
                <w:color w:val="auto"/>
                <w:sz w:val="21"/>
                <w:highlight w:val="none"/>
              </w:rPr>
            </w:pPr>
          </w:p>
        </w:tc>
        <w:tc>
          <w:tcPr>
            <w:tcW w:w="2494" w:type="dxa"/>
            <w:vAlign w:val="center"/>
          </w:tcPr>
          <w:p w14:paraId="318ADA9C">
            <w:pPr>
              <w:jc w:val="center"/>
              <w:rPr>
                <w:rFonts w:ascii="Arial"/>
                <w:color w:val="auto"/>
                <w:sz w:val="21"/>
                <w:highlight w:val="none"/>
              </w:rPr>
            </w:pPr>
          </w:p>
        </w:tc>
      </w:tr>
      <w:tr w14:paraId="39793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308" w:type="dxa"/>
            <w:vAlign w:val="center"/>
          </w:tcPr>
          <w:p w14:paraId="03F45285">
            <w:pPr>
              <w:jc w:val="center"/>
              <w:rPr>
                <w:rFonts w:ascii="Arial"/>
                <w:color w:val="auto"/>
                <w:sz w:val="21"/>
                <w:highlight w:val="none"/>
              </w:rPr>
            </w:pPr>
          </w:p>
        </w:tc>
        <w:tc>
          <w:tcPr>
            <w:tcW w:w="1556" w:type="dxa"/>
            <w:vAlign w:val="center"/>
          </w:tcPr>
          <w:p w14:paraId="68D9705B">
            <w:pPr>
              <w:jc w:val="center"/>
              <w:rPr>
                <w:rFonts w:ascii="Arial"/>
                <w:color w:val="auto"/>
                <w:sz w:val="21"/>
                <w:highlight w:val="none"/>
              </w:rPr>
            </w:pPr>
          </w:p>
        </w:tc>
        <w:tc>
          <w:tcPr>
            <w:tcW w:w="1556" w:type="dxa"/>
            <w:vAlign w:val="center"/>
          </w:tcPr>
          <w:p w14:paraId="4F0CA792">
            <w:pPr>
              <w:jc w:val="center"/>
              <w:rPr>
                <w:rFonts w:ascii="Arial"/>
                <w:color w:val="auto"/>
                <w:sz w:val="21"/>
                <w:highlight w:val="none"/>
              </w:rPr>
            </w:pPr>
          </w:p>
        </w:tc>
        <w:tc>
          <w:tcPr>
            <w:tcW w:w="1425" w:type="dxa"/>
            <w:vAlign w:val="center"/>
          </w:tcPr>
          <w:p w14:paraId="0B846A70">
            <w:pPr>
              <w:jc w:val="center"/>
              <w:rPr>
                <w:rFonts w:ascii="Arial"/>
                <w:color w:val="auto"/>
                <w:sz w:val="21"/>
                <w:highlight w:val="none"/>
              </w:rPr>
            </w:pPr>
          </w:p>
        </w:tc>
        <w:tc>
          <w:tcPr>
            <w:tcW w:w="2494" w:type="dxa"/>
            <w:vAlign w:val="center"/>
          </w:tcPr>
          <w:p w14:paraId="49E58F1B">
            <w:pPr>
              <w:jc w:val="center"/>
              <w:rPr>
                <w:rFonts w:ascii="Arial"/>
                <w:color w:val="auto"/>
                <w:sz w:val="21"/>
                <w:highlight w:val="none"/>
              </w:rPr>
            </w:pPr>
          </w:p>
        </w:tc>
      </w:tr>
      <w:tr w14:paraId="2FA02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1308" w:type="dxa"/>
            <w:vAlign w:val="center"/>
          </w:tcPr>
          <w:p w14:paraId="4C07E7F5">
            <w:pPr>
              <w:jc w:val="center"/>
              <w:rPr>
                <w:rFonts w:ascii="Arial"/>
                <w:color w:val="auto"/>
                <w:sz w:val="21"/>
                <w:highlight w:val="none"/>
              </w:rPr>
            </w:pPr>
          </w:p>
        </w:tc>
        <w:tc>
          <w:tcPr>
            <w:tcW w:w="1556" w:type="dxa"/>
            <w:vAlign w:val="center"/>
          </w:tcPr>
          <w:p w14:paraId="039ADBDA">
            <w:pPr>
              <w:jc w:val="center"/>
              <w:rPr>
                <w:rFonts w:ascii="Arial"/>
                <w:color w:val="auto"/>
                <w:sz w:val="21"/>
                <w:highlight w:val="none"/>
              </w:rPr>
            </w:pPr>
          </w:p>
        </w:tc>
        <w:tc>
          <w:tcPr>
            <w:tcW w:w="1556" w:type="dxa"/>
            <w:vAlign w:val="center"/>
          </w:tcPr>
          <w:p w14:paraId="3EA1FAAF">
            <w:pPr>
              <w:jc w:val="center"/>
              <w:rPr>
                <w:rFonts w:ascii="Arial"/>
                <w:color w:val="auto"/>
                <w:sz w:val="21"/>
                <w:highlight w:val="none"/>
              </w:rPr>
            </w:pPr>
          </w:p>
        </w:tc>
        <w:tc>
          <w:tcPr>
            <w:tcW w:w="1425" w:type="dxa"/>
            <w:vAlign w:val="center"/>
          </w:tcPr>
          <w:p w14:paraId="1AD1E782">
            <w:pPr>
              <w:jc w:val="center"/>
              <w:rPr>
                <w:rFonts w:ascii="Arial"/>
                <w:color w:val="auto"/>
                <w:sz w:val="21"/>
                <w:highlight w:val="none"/>
              </w:rPr>
            </w:pPr>
          </w:p>
        </w:tc>
        <w:tc>
          <w:tcPr>
            <w:tcW w:w="2494" w:type="dxa"/>
            <w:vAlign w:val="center"/>
          </w:tcPr>
          <w:p w14:paraId="6B427A77">
            <w:pPr>
              <w:jc w:val="center"/>
              <w:rPr>
                <w:rFonts w:ascii="Arial"/>
                <w:color w:val="auto"/>
                <w:sz w:val="21"/>
                <w:highlight w:val="none"/>
              </w:rPr>
            </w:pPr>
          </w:p>
        </w:tc>
      </w:tr>
      <w:tr w14:paraId="510CC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308" w:type="dxa"/>
            <w:vAlign w:val="center"/>
          </w:tcPr>
          <w:p w14:paraId="448FF410">
            <w:pPr>
              <w:jc w:val="center"/>
              <w:rPr>
                <w:rFonts w:ascii="Arial"/>
                <w:color w:val="auto"/>
                <w:sz w:val="21"/>
                <w:highlight w:val="none"/>
              </w:rPr>
            </w:pPr>
          </w:p>
        </w:tc>
        <w:tc>
          <w:tcPr>
            <w:tcW w:w="1556" w:type="dxa"/>
            <w:vAlign w:val="center"/>
          </w:tcPr>
          <w:p w14:paraId="78AF7EAC">
            <w:pPr>
              <w:jc w:val="center"/>
              <w:rPr>
                <w:rFonts w:ascii="Arial"/>
                <w:color w:val="auto"/>
                <w:sz w:val="21"/>
                <w:highlight w:val="none"/>
              </w:rPr>
            </w:pPr>
          </w:p>
        </w:tc>
        <w:tc>
          <w:tcPr>
            <w:tcW w:w="1556" w:type="dxa"/>
            <w:vAlign w:val="center"/>
          </w:tcPr>
          <w:p w14:paraId="4AA75BDE">
            <w:pPr>
              <w:jc w:val="center"/>
              <w:rPr>
                <w:rFonts w:ascii="Arial"/>
                <w:color w:val="auto"/>
                <w:sz w:val="21"/>
                <w:highlight w:val="none"/>
              </w:rPr>
            </w:pPr>
          </w:p>
        </w:tc>
        <w:tc>
          <w:tcPr>
            <w:tcW w:w="1425" w:type="dxa"/>
            <w:vAlign w:val="center"/>
          </w:tcPr>
          <w:p w14:paraId="0E8C8976">
            <w:pPr>
              <w:jc w:val="center"/>
              <w:rPr>
                <w:rFonts w:ascii="Arial"/>
                <w:color w:val="auto"/>
                <w:sz w:val="21"/>
                <w:highlight w:val="none"/>
              </w:rPr>
            </w:pPr>
          </w:p>
        </w:tc>
        <w:tc>
          <w:tcPr>
            <w:tcW w:w="2494" w:type="dxa"/>
            <w:vAlign w:val="center"/>
          </w:tcPr>
          <w:p w14:paraId="7240CF46">
            <w:pPr>
              <w:jc w:val="center"/>
              <w:rPr>
                <w:rFonts w:ascii="Arial"/>
                <w:color w:val="auto"/>
                <w:sz w:val="21"/>
                <w:highlight w:val="none"/>
              </w:rPr>
            </w:pPr>
          </w:p>
        </w:tc>
      </w:tr>
      <w:tr w14:paraId="40011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308" w:type="dxa"/>
            <w:vAlign w:val="center"/>
          </w:tcPr>
          <w:p w14:paraId="70BD36B7">
            <w:pPr>
              <w:jc w:val="center"/>
              <w:rPr>
                <w:rFonts w:ascii="Arial"/>
                <w:color w:val="auto"/>
                <w:sz w:val="21"/>
                <w:highlight w:val="none"/>
              </w:rPr>
            </w:pPr>
          </w:p>
        </w:tc>
        <w:tc>
          <w:tcPr>
            <w:tcW w:w="1556" w:type="dxa"/>
            <w:vAlign w:val="center"/>
          </w:tcPr>
          <w:p w14:paraId="15D67DA3">
            <w:pPr>
              <w:jc w:val="center"/>
              <w:rPr>
                <w:rFonts w:ascii="Arial"/>
                <w:color w:val="auto"/>
                <w:sz w:val="21"/>
                <w:highlight w:val="none"/>
              </w:rPr>
            </w:pPr>
          </w:p>
        </w:tc>
        <w:tc>
          <w:tcPr>
            <w:tcW w:w="1556" w:type="dxa"/>
            <w:vAlign w:val="center"/>
          </w:tcPr>
          <w:p w14:paraId="05632648">
            <w:pPr>
              <w:jc w:val="center"/>
              <w:rPr>
                <w:rFonts w:ascii="Arial"/>
                <w:color w:val="auto"/>
                <w:sz w:val="21"/>
                <w:highlight w:val="none"/>
              </w:rPr>
            </w:pPr>
          </w:p>
        </w:tc>
        <w:tc>
          <w:tcPr>
            <w:tcW w:w="1425" w:type="dxa"/>
            <w:vAlign w:val="center"/>
          </w:tcPr>
          <w:p w14:paraId="6B573255">
            <w:pPr>
              <w:jc w:val="center"/>
              <w:rPr>
                <w:rFonts w:ascii="Arial"/>
                <w:color w:val="auto"/>
                <w:sz w:val="21"/>
                <w:highlight w:val="none"/>
              </w:rPr>
            </w:pPr>
          </w:p>
        </w:tc>
        <w:tc>
          <w:tcPr>
            <w:tcW w:w="2494" w:type="dxa"/>
            <w:vAlign w:val="center"/>
          </w:tcPr>
          <w:p w14:paraId="0761DAB0">
            <w:pPr>
              <w:jc w:val="center"/>
              <w:rPr>
                <w:rFonts w:ascii="Arial"/>
                <w:color w:val="auto"/>
                <w:sz w:val="21"/>
                <w:highlight w:val="none"/>
              </w:rPr>
            </w:pPr>
          </w:p>
        </w:tc>
      </w:tr>
      <w:tr w14:paraId="6A06A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308" w:type="dxa"/>
            <w:vAlign w:val="center"/>
          </w:tcPr>
          <w:p w14:paraId="26BB0E02">
            <w:pPr>
              <w:jc w:val="center"/>
              <w:rPr>
                <w:rFonts w:ascii="Arial"/>
                <w:color w:val="auto"/>
                <w:sz w:val="21"/>
                <w:highlight w:val="none"/>
              </w:rPr>
            </w:pPr>
          </w:p>
        </w:tc>
        <w:tc>
          <w:tcPr>
            <w:tcW w:w="1556" w:type="dxa"/>
            <w:vAlign w:val="center"/>
          </w:tcPr>
          <w:p w14:paraId="0D22E615">
            <w:pPr>
              <w:jc w:val="center"/>
              <w:rPr>
                <w:rFonts w:ascii="Arial"/>
                <w:color w:val="auto"/>
                <w:sz w:val="21"/>
                <w:highlight w:val="none"/>
              </w:rPr>
            </w:pPr>
          </w:p>
        </w:tc>
        <w:tc>
          <w:tcPr>
            <w:tcW w:w="1556" w:type="dxa"/>
            <w:vAlign w:val="center"/>
          </w:tcPr>
          <w:p w14:paraId="01D5238E">
            <w:pPr>
              <w:jc w:val="center"/>
              <w:rPr>
                <w:rFonts w:ascii="Arial"/>
                <w:color w:val="auto"/>
                <w:sz w:val="21"/>
                <w:highlight w:val="none"/>
              </w:rPr>
            </w:pPr>
          </w:p>
        </w:tc>
        <w:tc>
          <w:tcPr>
            <w:tcW w:w="1425" w:type="dxa"/>
            <w:vAlign w:val="center"/>
          </w:tcPr>
          <w:p w14:paraId="3D1849FB">
            <w:pPr>
              <w:jc w:val="center"/>
              <w:rPr>
                <w:rFonts w:ascii="Arial"/>
                <w:color w:val="auto"/>
                <w:sz w:val="21"/>
                <w:highlight w:val="none"/>
              </w:rPr>
            </w:pPr>
          </w:p>
        </w:tc>
        <w:tc>
          <w:tcPr>
            <w:tcW w:w="2494" w:type="dxa"/>
            <w:vAlign w:val="center"/>
          </w:tcPr>
          <w:p w14:paraId="53770F44">
            <w:pPr>
              <w:jc w:val="center"/>
              <w:rPr>
                <w:rFonts w:ascii="Arial"/>
                <w:color w:val="auto"/>
                <w:sz w:val="21"/>
                <w:highlight w:val="none"/>
              </w:rPr>
            </w:pPr>
          </w:p>
        </w:tc>
      </w:tr>
      <w:tr w14:paraId="5BA0D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308" w:type="dxa"/>
            <w:vAlign w:val="center"/>
          </w:tcPr>
          <w:p w14:paraId="7D72E82F">
            <w:pPr>
              <w:jc w:val="center"/>
              <w:rPr>
                <w:rFonts w:ascii="Arial"/>
                <w:color w:val="auto"/>
                <w:sz w:val="21"/>
                <w:highlight w:val="none"/>
              </w:rPr>
            </w:pPr>
          </w:p>
        </w:tc>
        <w:tc>
          <w:tcPr>
            <w:tcW w:w="1556" w:type="dxa"/>
            <w:vAlign w:val="center"/>
          </w:tcPr>
          <w:p w14:paraId="073C1896">
            <w:pPr>
              <w:jc w:val="center"/>
              <w:rPr>
                <w:rFonts w:ascii="Arial"/>
                <w:color w:val="auto"/>
                <w:sz w:val="21"/>
                <w:highlight w:val="none"/>
              </w:rPr>
            </w:pPr>
          </w:p>
        </w:tc>
        <w:tc>
          <w:tcPr>
            <w:tcW w:w="1556" w:type="dxa"/>
            <w:vAlign w:val="center"/>
          </w:tcPr>
          <w:p w14:paraId="6EB9C55F">
            <w:pPr>
              <w:jc w:val="center"/>
              <w:rPr>
                <w:rFonts w:ascii="Arial"/>
                <w:color w:val="auto"/>
                <w:sz w:val="21"/>
                <w:highlight w:val="none"/>
              </w:rPr>
            </w:pPr>
          </w:p>
        </w:tc>
        <w:tc>
          <w:tcPr>
            <w:tcW w:w="1425" w:type="dxa"/>
            <w:vAlign w:val="center"/>
          </w:tcPr>
          <w:p w14:paraId="63B4A04A">
            <w:pPr>
              <w:jc w:val="center"/>
              <w:rPr>
                <w:rFonts w:ascii="Arial"/>
                <w:color w:val="auto"/>
                <w:sz w:val="21"/>
                <w:highlight w:val="none"/>
              </w:rPr>
            </w:pPr>
          </w:p>
        </w:tc>
        <w:tc>
          <w:tcPr>
            <w:tcW w:w="2494" w:type="dxa"/>
            <w:vAlign w:val="center"/>
          </w:tcPr>
          <w:p w14:paraId="5EC8E991">
            <w:pPr>
              <w:jc w:val="center"/>
              <w:rPr>
                <w:rFonts w:ascii="Arial"/>
                <w:color w:val="auto"/>
                <w:sz w:val="21"/>
                <w:highlight w:val="none"/>
              </w:rPr>
            </w:pPr>
          </w:p>
        </w:tc>
      </w:tr>
    </w:tbl>
    <w:p w14:paraId="1DE3AAB2">
      <w:pPr>
        <w:spacing w:line="365" w:lineRule="auto"/>
        <w:rPr>
          <w:rFonts w:ascii="Arial"/>
          <w:color w:val="auto"/>
          <w:sz w:val="21"/>
          <w:highlight w:val="none"/>
        </w:rPr>
      </w:pPr>
    </w:p>
    <w:p w14:paraId="6CD133EE">
      <w:pPr>
        <w:spacing w:before="91" w:line="221" w:lineRule="auto"/>
        <w:ind w:left="26"/>
        <w:rPr>
          <w:rFonts w:hint="eastAsia" w:ascii="宋体" w:hAnsi="宋体" w:eastAsia="宋体" w:cs="宋体"/>
          <w:color w:val="auto"/>
          <w:sz w:val="28"/>
          <w:szCs w:val="28"/>
          <w:highlight w:val="none"/>
          <w:lang w:eastAsia="zh-CN"/>
        </w:rPr>
      </w:pPr>
      <w:r>
        <w:rPr>
          <w:rFonts w:ascii="宋体" w:hAnsi="宋体" w:eastAsia="宋体" w:cs="宋体"/>
          <w:color w:val="auto"/>
          <w:spacing w:val="-3"/>
          <w:sz w:val="28"/>
          <w:szCs w:val="28"/>
          <w:highlight w:val="none"/>
        </w:rPr>
        <w:t>投标人名称：</w:t>
      </w:r>
    </w:p>
    <w:p w14:paraId="2A8CC65C">
      <w:pPr>
        <w:spacing w:before="210" w:line="219" w:lineRule="auto"/>
        <w:ind w:left="23"/>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法定代表人或其委托代理人(签字或盖章)：</w:t>
      </w:r>
    </w:p>
    <w:p w14:paraId="07219B4D">
      <w:pPr>
        <w:spacing w:line="219" w:lineRule="auto"/>
        <w:rPr>
          <w:rFonts w:ascii="宋体" w:hAnsi="宋体" w:eastAsia="宋体" w:cs="宋体"/>
          <w:color w:val="auto"/>
          <w:sz w:val="28"/>
          <w:szCs w:val="28"/>
          <w:highlight w:val="none"/>
        </w:rPr>
        <w:sectPr>
          <w:footerReference r:id="rId33" w:type="default"/>
          <w:pgSz w:w="11906" w:h="16839"/>
          <w:pgMar w:top="1431" w:right="1785" w:bottom="1171" w:left="1785" w:header="0" w:footer="992" w:gutter="0"/>
          <w:pgBorders>
            <w:top w:val="none" w:sz="0" w:space="0"/>
            <w:left w:val="none" w:sz="0" w:space="0"/>
            <w:bottom w:val="none" w:sz="0" w:space="0"/>
            <w:right w:val="none" w:sz="0" w:space="0"/>
          </w:pgBorders>
          <w:pgNumType w:fmt="decimal"/>
          <w:cols w:space="720" w:num="1"/>
        </w:sectPr>
      </w:pPr>
    </w:p>
    <w:p w14:paraId="71863A0C">
      <w:pPr>
        <w:spacing w:before="56" w:line="219" w:lineRule="auto"/>
        <w:ind w:left="2631"/>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t>7</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-1.中小企业声明函（货物）</w:t>
      </w:r>
    </w:p>
    <w:p w14:paraId="0C5E4298">
      <w:pPr>
        <w:spacing w:before="213" w:line="359" w:lineRule="auto"/>
        <w:ind w:left="22" w:right="11" w:firstLine="560"/>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本公司（联合体）郑重声明，根据《政府采购促进中小企业发展</w:t>
      </w:r>
      <w:r>
        <w:rPr>
          <w:rFonts w:ascii="宋体" w:hAnsi="宋体" w:eastAsia="宋体" w:cs="宋体"/>
          <w:color w:val="auto"/>
          <w:spacing w:val="-18"/>
          <w:sz w:val="28"/>
          <w:szCs w:val="28"/>
          <w:highlight w:val="none"/>
        </w:rPr>
        <w:t>管理办法》（财库﹝2020﹞46号）的规定，</w:t>
      </w:r>
      <w:r>
        <w:rPr>
          <w:rFonts w:ascii="宋体" w:hAnsi="宋体" w:eastAsia="宋体" w:cs="宋体"/>
          <w:color w:val="auto"/>
          <w:spacing w:val="-19"/>
          <w:sz w:val="28"/>
          <w:szCs w:val="28"/>
          <w:highlight w:val="none"/>
        </w:rPr>
        <w:t>本公司（联合体）参加</w:t>
      </w:r>
      <w:r>
        <w:rPr>
          <w:rFonts w:ascii="宋体" w:hAnsi="宋体" w:eastAsia="宋体" w:cs="宋体"/>
          <w:color w:val="auto"/>
          <w:spacing w:val="-19"/>
          <w:sz w:val="28"/>
          <w:szCs w:val="28"/>
          <w:highlight w:val="none"/>
          <w:u w:val="single" w:color="auto"/>
        </w:rPr>
        <w:t>（单</w:t>
      </w:r>
      <w:r>
        <w:rPr>
          <w:rFonts w:ascii="宋体" w:hAnsi="宋体" w:eastAsia="宋体" w:cs="宋体"/>
          <w:color w:val="auto"/>
          <w:sz w:val="28"/>
          <w:szCs w:val="28"/>
          <w:highlight w:val="none"/>
          <w:u w:val="single" w:color="auto"/>
        </w:rPr>
        <w:t>位名称）</w:t>
      </w:r>
      <w:r>
        <w:rPr>
          <w:rFonts w:ascii="宋体" w:hAnsi="宋体" w:eastAsia="宋体" w:cs="宋体"/>
          <w:color w:val="auto"/>
          <w:sz w:val="28"/>
          <w:szCs w:val="28"/>
          <w:highlight w:val="none"/>
        </w:rPr>
        <w:t>的</w:t>
      </w:r>
      <w:r>
        <w:rPr>
          <w:rFonts w:ascii="宋体" w:hAnsi="宋体" w:eastAsia="宋体" w:cs="宋体"/>
          <w:color w:val="auto"/>
          <w:sz w:val="28"/>
          <w:szCs w:val="28"/>
          <w:highlight w:val="none"/>
          <w:u w:val="single" w:color="auto"/>
        </w:rPr>
        <w:t>（项目名称）</w:t>
      </w:r>
      <w:r>
        <w:rPr>
          <w:rFonts w:ascii="宋体" w:hAnsi="宋体" w:eastAsia="宋体" w:cs="宋体"/>
          <w:color w:val="auto"/>
          <w:sz w:val="28"/>
          <w:szCs w:val="28"/>
          <w:highlight w:val="none"/>
        </w:rPr>
        <w:t>采购活动，提供的货物全部由符合政策</w:t>
      </w:r>
      <w:r>
        <w:rPr>
          <w:rFonts w:ascii="宋体" w:hAnsi="宋体" w:eastAsia="宋体" w:cs="宋体"/>
          <w:color w:val="auto"/>
          <w:spacing w:val="-3"/>
          <w:sz w:val="28"/>
          <w:szCs w:val="28"/>
          <w:highlight w:val="none"/>
        </w:rPr>
        <w:t>要求的中小企业制造。相关企业（含联合体</w:t>
      </w:r>
      <w:r>
        <w:rPr>
          <w:rFonts w:ascii="宋体" w:hAnsi="宋体" w:eastAsia="宋体" w:cs="宋体"/>
          <w:color w:val="auto"/>
          <w:spacing w:val="-4"/>
          <w:sz w:val="28"/>
          <w:szCs w:val="28"/>
          <w:highlight w:val="none"/>
        </w:rPr>
        <w:t>中的中小企业、签订分包</w:t>
      </w:r>
    </w:p>
    <w:p w14:paraId="219953EA">
      <w:pPr>
        <w:spacing w:before="1" w:line="220" w:lineRule="auto"/>
        <w:ind w:left="3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意向协议的中小企业）的具体情况如下：</w:t>
      </w:r>
    </w:p>
    <w:p w14:paraId="6DA2F2E9">
      <w:pPr>
        <w:spacing w:before="211" w:line="359" w:lineRule="auto"/>
        <w:ind w:left="24" w:right="11" w:firstLine="577"/>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w:t>
      </w:r>
      <w:r>
        <w:rPr>
          <w:rFonts w:ascii="宋体" w:hAnsi="宋体" w:eastAsia="宋体" w:cs="宋体"/>
          <w:color w:val="auto"/>
          <w:spacing w:val="-1"/>
          <w:sz w:val="28"/>
          <w:szCs w:val="28"/>
          <w:highlight w:val="none"/>
          <w:u w:val="single" w:color="auto"/>
        </w:rPr>
        <w:t>（标的名称</w:t>
      </w:r>
      <w:r>
        <w:rPr>
          <w:rFonts w:ascii="宋体" w:hAnsi="宋体" w:eastAsia="宋体" w:cs="宋体"/>
          <w:color w:val="auto"/>
          <w:spacing w:val="-4"/>
          <w:sz w:val="28"/>
          <w:szCs w:val="28"/>
          <w:highlight w:val="none"/>
          <w:u w:val="single" w:color="auto"/>
        </w:rPr>
        <w:t>）</w:t>
      </w:r>
      <w:r>
        <w:rPr>
          <w:rFonts w:ascii="宋体" w:hAnsi="宋体" w:eastAsia="宋体" w:cs="宋体"/>
          <w:color w:val="auto"/>
          <w:spacing w:val="-4"/>
          <w:sz w:val="28"/>
          <w:szCs w:val="28"/>
          <w:highlight w:val="none"/>
        </w:rPr>
        <w:t>，</w:t>
      </w:r>
      <w:r>
        <w:rPr>
          <w:rFonts w:ascii="宋体" w:hAnsi="宋体" w:eastAsia="宋体" w:cs="宋体"/>
          <w:color w:val="auto"/>
          <w:spacing w:val="-1"/>
          <w:sz w:val="28"/>
          <w:szCs w:val="28"/>
          <w:highlight w:val="none"/>
        </w:rPr>
        <w:t>属于（采购文件中明确的所属行业）</w:t>
      </w:r>
      <w:r>
        <w:rPr>
          <w:rFonts w:ascii="宋体" w:hAnsi="宋体" w:eastAsia="宋体" w:cs="宋体"/>
          <w:color w:val="auto"/>
          <w:spacing w:val="-7"/>
          <w:sz w:val="28"/>
          <w:szCs w:val="28"/>
          <w:highlight w:val="none"/>
        </w:rPr>
        <w:t>行业；制造商为</w:t>
      </w:r>
      <w:r>
        <w:rPr>
          <w:rFonts w:ascii="宋体" w:hAnsi="宋体" w:eastAsia="宋体" w:cs="宋体"/>
          <w:color w:val="auto"/>
          <w:spacing w:val="-7"/>
          <w:sz w:val="28"/>
          <w:szCs w:val="28"/>
          <w:highlight w:val="none"/>
          <w:u w:val="single" w:color="auto"/>
        </w:rPr>
        <w:t>（企业名称</w:t>
      </w:r>
      <w:r>
        <w:rPr>
          <w:rFonts w:ascii="宋体" w:hAnsi="宋体" w:eastAsia="宋体" w:cs="宋体"/>
          <w:color w:val="auto"/>
          <w:spacing w:val="-68"/>
          <w:w w:val="91"/>
          <w:sz w:val="28"/>
          <w:szCs w:val="28"/>
          <w:highlight w:val="none"/>
          <w:u w:val="single" w:color="auto"/>
        </w:rPr>
        <w:t>）</w:t>
      </w:r>
      <w:r>
        <w:rPr>
          <w:rFonts w:ascii="宋体" w:hAnsi="宋体" w:eastAsia="宋体" w:cs="宋体"/>
          <w:color w:val="auto"/>
          <w:spacing w:val="-68"/>
          <w:w w:val="91"/>
          <w:sz w:val="28"/>
          <w:szCs w:val="28"/>
          <w:highlight w:val="none"/>
        </w:rPr>
        <w:t>，</w:t>
      </w:r>
      <w:r>
        <w:rPr>
          <w:rFonts w:ascii="宋体" w:hAnsi="宋体" w:eastAsia="宋体" w:cs="宋体"/>
          <w:color w:val="auto"/>
          <w:spacing w:val="-7"/>
          <w:sz w:val="28"/>
          <w:szCs w:val="28"/>
          <w:highlight w:val="none"/>
        </w:rPr>
        <w:t>从业人员人，营业收入为万</w:t>
      </w:r>
      <w:r>
        <w:rPr>
          <w:rFonts w:ascii="宋体" w:hAnsi="宋体" w:eastAsia="宋体" w:cs="宋体"/>
          <w:color w:val="auto"/>
          <w:spacing w:val="1"/>
          <w:sz w:val="28"/>
          <w:szCs w:val="28"/>
          <w:highlight w:val="none"/>
        </w:rPr>
        <w:t>元，资产总额为万元，属于</w:t>
      </w:r>
      <w:r>
        <w:rPr>
          <w:rFonts w:ascii="宋体" w:hAnsi="宋体" w:eastAsia="宋体" w:cs="宋体"/>
          <w:color w:val="auto"/>
          <w:sz w:val="28"/>
          <w:szCs w:val="28"/>
          <w:highlight w:val="none"/>
        </w:rPr>
        <w:t>（中型企业、小型企业、微型</w:t>
      </w:r>
      <w:r>
        <w:rPr>
          <w:rFonts w:ascii="宋体" w:hAnsi="宋体" w:eastAsia="宋体" w:cs="宋体"/>
          <w:color w:val="auto"/>
          <w:spacing w:val="-7"/>
          <w:sz w:val="28"/>
          <w:szCs w:val="28"/>
          <w:highlight w:val="none"/>
        </w:rPr>
        <w:t>企业</w:t>
      </w:r>
      <w:r>
        <w:rPr>
          <w:rFonts w:ascii="宋体" w:hAnsi="宋体" w:eastAsia="宋体" w:cs="宋体"/>
          <w:color w:val="auto"/>
          <w:spacing w:val="-2"/>
          <w:sz w:val="28"/>
          <w:szCs w:val="28"/>
          <w:highlight w:val="none"/>
        </w:rPr>
        <w:t>）；</w:t>
      </w:r>
    </w:p>
    <w:p w14:paraId="3F6C001B">
      <w:pPr>
        <w:spacing w:before="206" w:line="359" w:lineRule="auto"/>
        <w:ind w:left="27" w:right="11" w:firstLine="558"/>
        <w:rPr>
          <w:rFonts w:ascii="宋体" w:hAnsi="宋体" w:eastAsia="宋体" w:cs="宋体"/>
          <w:color w:val="auto"/>
          <w:sz w:val="28"/>
          <w:szCs w:val="28"/>
          <w:highlight w:val="none"/>
        </w:rPr>
      </w:pPr>
      <w:r>
        <w:rPr>
          <w:rFonts w:ascii="宋体" w:hAnsi="宋体" w:eastAsia="宋体" w:cs="宋体"/>
          <w:color w:val="auto"/>
          <w:sz w:val="28"/>
          <w:szCs w:val="28"/>
          <w:highlight w:val="none"/>
        </w:rPr>
        <w:t>2.</w:t>
      </w:r>
      <w:r>
        <w:rPr>
          <w:rFonts w:ascii="宋体" w:hAnsi="宋体" w:eastAsia="宋体" w:cs="宋体"/>
          <w:color w:val="auto"/>
          <w:sz w:val="28"/>
          <w:szCs w:val="28"/>
          <w:highlight w:val="none"/>
          <w:u w:val="single" w:color="auto"/>
        </w:rPr>
        <w:t>（标的名称</w:t>
      </w:r>
      <w:r>
        <w:rPr>
          <w:rFonts w:ascii="宋体" w:hAnsi="宋体" w:eastAsia="宋体" w:cs="宋体"/>
          <w:color w:val="auto"/>
          <w:spacing w:val="-9"/>
          <w:sz w:val="28"/>
          <w:szCs w:val="28"/>
          <w:highlight w:val="none"/>
          <w:u w:val="single" w:color="auto"/>
        </w:rPr>
        <w:t>）</w:t>
      </w:r>
      <w:r>
        <w:rPr>
          <w:rFonts w:ascii="宋体" w:hAnsi="宋体" w:eastAsia="宋体" w:cs="宋体"/>
          <w:color w:val="auto"/>
          <w:spacing w:val="-9"/>
          <w:sz w:val="28"/>
          <w:szCs w:val="28"/>
          <w:highlight w:val="none"/>
        </w:rPr>
        <w:t>，</w:t>
      </w:r>
      <w:r>
        <w:rPr>
          <w:rFonts w:ascii="宋体" w:hAnsi="宋体" w:eastAsia="宋体" w:cs="宋体"/>
          <w:color w:val="auto"/>
          <w:sz w:val="28"/>
          <w:szCs w:val="28"/>
          <w:highlight w:val="none"/>
        </w:rPr>
        <w:t>属于（采购文件中明确的所属行业）</w:t>
      </w:r>
      <w:r>
        <w:rPr>
          <w:rFonts w:ascii="宋体" w:hAnsi="宋体" w:eastAsia="宋体" w:cs="宋体"/>
          <w:color w:val="auto"/>
          <w:spacing w:val="-1"/>
          <w:sz w:val="28"/>
          <w:szCs w:val="28"/>
          <w:highlight w:val="none"/>
        </w:rPr>
        <w:t>行业；制造商为</w:t>
      </w:r>
      <w:r>
        <w:rPr>
          <w:rFonts w:ascii="宋体" w:hAnsi="宋体" w:eastAsia="宋体" w:cs="宋体"/>
          <w:color w:val="auto"/>
          <w:spacing w:val="-1"/>
          <w:sz w:val="28"/>
          <w:szCs w:val="28"/>
          <w:highlight w:val="none"/>
          <w:u w:val="single" w:color="auto"/>
        </w:rPr>
        <w:t>（企业名称</w:t>
      </w:r>
      <w:r>
        <w:rPr>
          <w:rFonts w:ascii="宋体" w:hAnsi="宋体" w:eastAsia="宋体" w:cs="宋体"/>
          <w:color w:val="auto"/>
          <w:spacing w:val="-9"/>
          <w:sz w:val="28"/>
          <w:szCs w:val="28"/>
          <w:highlight w:val="none"/>
          <w:u w:val="single" w:color="auto"/>
        </w:rPr>
        <w:t>）</w:t>
      </w:r>
      <w:r>
        <w:rPr>
          <w:rFonts w:ascii="宋体" w:hAnsi="宋体" w:eastAsia="宋体" w:cs="宋体"/>
          <w:color w:val="auto"/>
          <w:spacing w:val="-9"/>
          <w:sz w:val="28"/>
          <w:szCs w:val="28"/>
          <w:highlight w:val="none"/>
        </w:rPr>
        <w:t>，</w:t>
      </w:r>
      <w:r>
        <w:rPr>
          <w:rFonts w:ascii="宋体" w:hAnsi="宋体" w:eastAsia="宋体" w:cs="宋体"/>
          <w:color w:val="auto"/>
          <w:spacing w:val="-1"/>
          <w:sz w:val="28"/>
          <w:szCs w:val="28"/>
          <w:highlight w:val="none"/>
        </w:rPr>
        <w:t>从业人员人，</w:t>
      </w:r>
      <w:r>
        <w:rPr>
          <w:rFonts w:ascii="宋体" w:hAnsi="宋体" w:eastAsia="宋体" w:cs="宋体"/>
          <w:color w:val="auto"/>
          <w:spacing w:val="-2"/>
          <w:sz w:val="28"/>
          <w:szCs w:val="28"/>
          <w:highlight w:val="none"/>
        </w:rPr>
        <w:t>营业收入为</w:t>
      </w:r>
      <w:r>
        <w:rPr>
          <w:rFonts w:ascii="宋体" w:hAnsi="宋体" w:eastAsia="宋体" w:cs="宋体"/>
          <w:color w:val="auto"/>
          <w:sz w:val="28"/>
          <w:szCs w:val="28"/>
          <w:highlight w:val="none"/>
        </w:rPr>
        <w:t>万元，资产总额为万元，属于（中型企业、小型企业、</w:t>
      </w:r>
      <w:r>
        <w:rPr>
          <w:rFonts w:ascii="宋体" w:hAnsi="宋体" w:eastAsia="宋体" w:cs="宋体"/>
          <w:color w:val="auto"/>
          <w:spacing w:val="-3"/>
          <w:sz w:val="28"/>
          <w:szCs w:val="28"/>
          <w:highlight w:val="none"/>
        </w:rPr>
        <w:t>微型企业</w:t>
      </w:r>
      <w:r>
        <w:rPr>
          <w:rFonts w:ascii="宋体" w:hAnsi="宋体" w:eastAsia="宋体" w:cs="宋体"/>
          <w:color w:val="auto"/>
          <w:sz w:val="28"/>
          <w:szCs w:val="28"/>
          <w:highlight w:val="none"/>
        </w:rPr>
        <w:t>）；</w:t>
      </w:r>
    </w:p>
    <w:p w14:paraId="735D2C50">
      <w:pPr>
        <w:spacing w:before="213" w:line="545" w:lineRule="exact"/>
        <w:ind w:right="8"/>
        <w:jc w:val="right"/>
        <w:rPr>
          <w:rFonts w:ascii="宋体" w:hAnsi="宋体" w:eastAsia="宋体" w:cs="宋体"/>
          <w:color w:val="auto"/>
          <w:sz w:val="28"/>
          <w:szCs w:val="28"/>
          <w:highlight w:val="none"/>
        </w:rPr>
      </w:pPr>
      <w:r>
        <w:rPr>
          <w:rFonts w:ascii="宋体" w:hAnsi="宋体" w:eastAsia="宋体" w:cs="宋体"/>
          <w:color w:val="auto"/>
          <w:spacing w:val="-5"/>
          <w:position w:val="19"/>
          <w:sz w:val="28"/>
          <w:szCs w:val="28"/>
          <w:highlight w:val="none"/>
        </w:rPr>
        <w:t>以上企业，不属于大企业的分支机构，不存在控股股东为大企业</w:t>
      </w:r>
    </w:p>
    <w:p w14:paraId="2982409A">
      <w:pPr>
        <w:spacing w:before="2" w:line="219" w:lineRule="auto"/>
        <w:ind w:left="4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的情形，也不存在与大企业的负责人为同一人的情形。</w:t>
      </w:r>
    </w:p>
    <w:p w14:paraId="777A6890">
      <w:pPr>
        <w:spacing w:before="211" w:line="542" w:lineRule="exact"/>
        <w:ind w:right="9"/>
        <w:jc w:val="right"/>
        <w:rPr>
          <w:rFonts w:ascii="宋体" w:hAnsi="宋体" w:eastAsia="宋体" w:cs="宋体"/>
          <w:color w:val="auto"/>
          <w:sz w:val="28"/>
          <w:szCs w:val="28"/>
          <w:highlight w:val="none"/>
        </w:rPr>
      </w:pPr>
      <w:r>
        <w:rPr>
          <w:rFonts w:ascii="宋体" w:hAnsi="宋体" w:eastAsia="宋体" w:cs="宋体"/>
          <w:color w:val="auto"/>
          <w:spacing w:val="-4"/>
          <w:position w:val="19"/>
          <w:sz w:val="28"/>
          <w:szCs w:val="28"/>
          <w:highlight w:val="none"/>
        </w:rPr>
        <w:t>本企业对上述声明内容的真实性负责。如有虚假，将依法承担相</w:t>
      </w:r>
    </w:p>
    <w:p w14:paraId="73ED063A">
      <w:pPr>
        <w:spacing w:before="2" w:line="219" w:lineRule="auto"/>
        <w:ind w:left="22"/>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应责任。</w:t>
      </w:r>
    </w:p>
    <w:p w14:paraId="62501BA0">
      <w:pPr>
        <w:spacing w:line="398" w:lineRule="auto"/>
        <w:rPr>
          <w:rFonts w:ascii="Arial"/>
          <w:color w:val="auto"/>
          <w:sz w:val="21"/>
          <w:highlight w:val="none"/>
        </w:rPr>
      </w:pPr>
    </w:p>
    <w:p w14:paraId="0156980C">
      <w:pPr>
        <w:spacing w:before="91" w:line="424" w:lineRule="auto"/>
        <w:ind w:left="4646"/>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投标人名称（单位盖章</w:t>
      </w:r>
      <w:r>
        <w:rPr>
          <w:rFonts w:ascii="宋体" w:hAnsi="宋体" w:eastAsia="宋体" w:cs="宋体"/>
          <w:color w:val="auto"/>
          <w:spacing w:val="2"/>
          <w:sz w:val="28"/>
          <w:szCs w:val="28"/>
          <w:highlight w:val="none"/>
        </w:rPr>
        <w:t>）：</w:t>
      </w:r>
    </w:p>
    <w:p w14:paraId="3FED07EA">
      <w:pPr>
        <w:spacing w:before="1" w:line="220" w:lineRule="auto"/>
        <w:ind w:left="4690"/>
        <w:rPr>
          <w:rFonts w:hint="eastAsia" w:ascii="宋体" w:hAnsi="宋体" w:eastAsia="宋体" w:cs="宋体"/>
          <w:color w:val="auto"/>
          <w:sz w:val="28"/>
          <w:szCs w:val="28"/>
          <w:highlight w:val="none"/>
          <w:lang w:eastAsia="zh-CN"/>
        </w:rPr>
      </w:pPr>
      <w:r>
        <w:rPr>
          <w:rFonts w:ascii="宋体" w:hAnsi="宋体" w:eastAsia="宋体" w:cs="宋体"/>
          <w:color w:val="auto"/>
          <w:spacing w:val="-25"/>
          <w:sz w:val="28"/>
          <w:szCs w:val="28"/>
          <w:highlight w:val="none"/>
        </w:rPr>
        <w:t>日期：</w:t>
      </w:r>
    </w:p>
    <w:p w14:paraId="572FAE97">
      <w:pPr>
        <w:spacing w:line="220" w:lineRule="auto"/>
        <w:rPr>
          <w:rFonts w:ascii="宋体" w:hAnsi="宋体" w:eastAsia="宋体" w:cs="宋体"/>
          <w:color w:val="auto"/>
          <w:sz w:val="28"/>
          <w:szCs w:val="28"/>
          <w:highlight w:val="none"/>
        </w:rPr>
        <w:sectPr>
          <w:footerReference r:id="rId34" w:type="default"/>
          <w:pgSz w:w="11906" w:h="16839"/>
          <w:pgMar w:top="1424" w:right="1785" w:bottom="1171" w:left="1785" w:header="0" w:footer="992" w:gutter="0"/>
          <w:pgBorders>
            <w:top w:val="none" w:sz="0" w:space="0"/>
            <w:left w:val="none" w:sz="0" w:space="0"/>
            <w:bottom w:val="none" w:sz="0" w:space="0"/>
            <w:right w:val="none" w:sz="0" w:space="0"/>
          </w:pgBorders>
          <w:pgNumType w:fmt="decimal"/>
          <w:cols w:space="720" w:num="1"/>
        </w:sectPr>
      </w:pPr>
    </w:p>
    <w:p w14:paraId="5E23E4AD">
      <w:pPr>
        <w:spacing w:before="56" w:line="220" w:lineRule="auto"/>
        <w:ind w:left="2352"/>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t>7</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-2.残疾人福利性单位声明函</w:t>
      </w:r>
    </w:p>
    <w:p w14:paraId="19AE8617">
      <w:pPr>
        <w:pStyle w:val="3"/>
        <w:pageBreakBefore w:val="0"/>
        <w:numPr>
          <w:ilvl w:val="0"/>
          <w:numId w:val="0"/>
        </w:numPr>
        <w:tabs>
          <w:tab w:val="left" w:pos="540"/>
        </w:tabs>
        <w:kinsoku/>
        <w:wordWrap/>
        <w:overflowPunct/>
        <w:topLinePunct w:val="0"/>
        <w:bidi w:val="0"/>
        <w:spacing w:before="0" w:beforeAutospacing="0" w:after="0" w:afterAutospacing="0" w:line="312" w:lineRule="auto"/>
        <w:ind w:left="0" w:leftChars="0" w:right="0" w:rightChars="0" w:hanging="432" w:firstLineChars="0"/>
        <w:jc w:val="center"/>
        <w:outlineLvl w:val="1"/>
        <w:rPr>
          <w:rFonts w:hint="eastAsia" w:ascii="宋体" w:hAnsi="宋体" w:eastAsia="宋体" w:cs="宋体"/>
          <w:bCs w:val="0"/>
          <w:color w:val="auto"/>
          <w:sz w:val="24"/>
          <w:szCs w:val="24"/>
          <w:highlight w:val="none"/>
          <w:lang w:eastAsia="zh-CN"/>
        </w:rPr>
      </w:pPr>
      <w:bookmarkStart w:id="14" w:name="_Toc32747"/>
      <w:bookmarkStart w:id="15" w:name="_Toc22109"/>
      <w:bookmarkStart w:id="16" w:name="_Toc27305"/>
      <w:r>
        <w:rPr>
          <w:rFonts w:hint="eastAsia" w:ascii="宋体" w:hAnsi="宋体" w:eastAsia="宋体" w:cs="宋体"/>
          <w:bCs w:val="0"/>
          <w:color w:val="auto"/>
          <w:sz w:val="24"/>
          <w:szCs w:val="24"/>
          <w:highlight w:val="none"/>
          <w:lang w:eastAsia="zh-CN"/>
        </w:rPr>
        <w:t>残疾人福利性单位声明函（如有）</w:t>
      </w:r>
      <w:bookmarkEnd w:id="14"/>
      <w:bookmarkEnd w:id="15"/>
      <w:bookmarkEnd w:id="16"/>
    </w:p>
    <w:p w14:paraId="3B6C0FD0">
      <w:pPr>
        <w:spacing w:before="213" w:line="359" w:lineRule="auto"/>
        <w:ind w:left="22" w:right="11" w:firstLine="560"/>
        <w:rPr>
          <w:rFonts w:hint="eastAsia" w:ascii="宋体" w:hAnsi="宋体" w:eastAsia="宋体" w:cs="宋体"/>
          <w:color w:val="auto"/>
          <w:spacing w:val="-18"/>
          <w:sz w:val="28"/>
          <w:szCs w:val="28"/>
          <w:highlight w:val="none"/>
        </w:rPr>
      </w:pPr>
      <w:r>
        <w:rPr>
          <w:rFonts w:hint="eastAsia" w:ascii="宋体" w:hAnsi="宋体" w:eastAsia="宋体" w:cs="宋体"/>
          <w:color w:val="auto"/>
          <w:spacing w:val="-18"/>
          <w:sz w:val="28"/>
          <w:szCs w:val="28"/>
          <w:highlight w:val="none"/>
        </w:rPr>
        <w:t>本单位郑重声明，根据《财政部 民政部 中国残疾人联合会关于促进残疾人就业政府采购政策的通知》（财库</w:t>
      </w:r>
      <w:r>
        <w:rPr>
          <w:rFonts w:hint="eastAsia" w:ascii="宋体" w:hAnsi="宋体" w:eastAsia="宋体" w:cs="宋体"/>
          <w:color w:val="auto"/>
          <w:spacing w:val="-18"/>
          <w:sz w:val="28"/>
          <w:szCs w:val="28"/>
          <w:highlight w:val="none"/>
          <w:lang w:eastAsia="zh-CN"/>
        </w:rPr>
        <w:t>〔2017〕141号</w:t>
      </w:r>
      <w:r>
        <w:rPr>
          <w:rFonts w:hint="eastAsia" w:ascii="宋体" w:hAnsi="宋体" w:eastAsia="宋体" w:cs="宋体"/>
          <w:color w:val="auto"/>
          <w:spacing w:val="-18"/>
          <w:sz w:val="28"/>
          <w:szCs w:val="28"/>
          <w:highlight w:val="none"/>
        </w:rPr>
        <w:t>）的规定，本单位为符合条件的残疾人福利性单位，且本单位参加_（采购人）_单位的_（项目名称）__项目采购活动提供本单位制造的货物（由本单位承担工程/提供服务），或者提供其他残疾人福利性单位制造的货物（不包括使用非残疾人福利性单位注册商标的货物）。</w:t>
      </w:r>
    </w:p>
    <w:p w14:paraId="45A78C01">
      <w:pPr>
        <w:spacing w:before="213" w:line="359" w:lineRule="auto"/>
        <w:ind w:left="22" w:right="11" w:firstLine="560"/>
        <w:rPr>
          <w:rFonts w:hint="eastAsia" w:ascii="宋体" w:hAnsi="宋体" w:eastAsia="宋体" w:cs="宋体"/>
          <w:color w:val="auto"/>
          <w:spacing w:val="-18"/>
          <w:sz w:val="28"/>
          <w:szCs w:val="28"/>
          <w:highlight w:val="none"/>
        </w:rPr>
      </w:pPr>
      <w:r>
        <w:rPr>
          <w:rFonts w:hint="eastAsia" w:ascii="宋体" w:hAnsi="宋体" w:eastAsia="宋体" w:cs="宋体"/>
          <w:color w:val="auto"/>
          <w:spacing w:val="-18"/>
          <w:sz w:val="28"/>
          <w:szCs w:val="28"/>
          <w:highlight w:val="none"/>
        </w:rPr>
        <w:t>本单位对上述声明的真实性负责。如有虚假，将依法承担相应责任。</w:t>
      </w:r>
    </w:p>
    <w:p w14:paraId="43CE7ADB">
      <w:pPr>
        <w:spacing w:before="213" w:line="359" w:lineRule="auto"/>
        <w:ind w:left="22" w:right="11" w:firstLine="560"/>
        <w:rPr>
          <w:rFonts w:hint="eastAsia" w:ascii="宋体" w:hAnsi="宋体" w:eastAsia="宋体" w:cs="宋体"/>
          <w:color w:val="auto"/>
          <w:spacing w:val="-18"/>
          <w:sz w:val="28"/>
          <w:szCs w:val="28"/>
          <w:highlight w:val="none"/>
        </w:rPr>
      </w:pPr>
    </w:p>
    <w:p w14:paraId="3EFC1108">
      <w:pPr>
        <w:spacing w:before="213" w:line="359" w:lineRule="auto"/>
        <w:ind w:left="22" w:right="11" w:firstLine="560"/>
        <w:rPr>
          <w:rFonts w:hint="eastAsia" w:ascii="宋体" w:hAnsi="宋体" w:eastAsia="宋体" w:cs="宋体"/>
          <w:color w:val="auto"/>
          <w:spacing w:val="-18"/>
          <w:sz w:val="28"/>
          <w:szCs w:val="28"/>
          <w:highlight w:val="none"/>
        </w:rPr>
      </w:pPr>
    </w:p>
    <w:p w14:paraId="214634B2">
      <w:pPr>
        <w:spacing w:before="213" w:line="359" w:lineRule="auto"/>
        <w:ind w:left="22" w:right="11" w:firstLine="560"/>
        <w:rPr>
          <w:rFonts w:hint="eastAsia" w:ascii="宋体" w:hAnsi="宋体" w:eastAsia="宋体" w:cs="宋体"/>
          <w:color w:val="auto"/>
          <w:spacing w:val="-18"/>
          <w:sz w:val="28"/>
          <w:szCs w:val="28"/>
          <w:highlight w:val="none"/>
        </w:rPr>
      </w:pPr>
      <w:r>
        <w:rPr>
          <w:rFonts w:hint="eastAsia" w:ascii="宋体" w:hAnsi="宋体" w:eastAsia="宋体" w:cs="宋体"/>
          <w:color w:val="auto"/>
          <w:spacing w:val="-18"/>
          <w:sz w:val="28"/>
          <w:szCs w:val="28"/>
          <w:highlight w:val="none"/>
        </w:rPr>
        <w:t xml:space="preserve">               </w:t>
      </w:r>
      <w:r>
        <w:rPr>
          <w:rFonts w:hint="eastAsia" w:ascii="宋体" w:hAnsi="宋体" w:eastAsia="宋体" w:cs="宋体"/>
          <w:color w:val="auto"/>
          <w:spacing w:val="-18"/>
          <w:sz w:val="28"/>
          <w:szCs w:val="28"/>
          <w:highlight w:val="none"/>
          <w:lang w:val="zh-CN"/>
        </w:rPr>
        <w:t>投标人名称（</w:t>
      </w:r>
      <w:r>
        <w:rPr>
          <w:rFonts w:hint="eastAsia" w:ascii="宋体" w:hAnsi="宋体" w:eastAsia="宋体" w:cs="宋体"/>
          <w:color w:val="auto"/>
          <w:spacing w:val="-18"/>
          <w:sz w:val="28"/>
          <w:szCs w:val="28"/>
          <w:highlight w:val="none"/>
          <w:lang w:val="en-US" w:eastAsia="zh-CN"/>
        </w:rPr>
        <w:t>公章</w:t>
      </w:r>
      <w:r>
        <w:rPr>
          <w:rFonts w:hint="eastAsia" w:ascii="宋体" w:hAnsi="宋体" w:eastAsia="宋体" w:cs="宋体"/>
          <w:color w:val="auto"/>
          <w:spacing w:val="-18"/>
          <w:sz w:val="28"/>
          <w:szCs w:val="28"/>
          <w:highlight w:val="none"/>
          <w:lang w:val="zh-CN"/>
        </w:rPr>
        <w:t>）</w:t>
      </w:r>
      <w:r>
        <w:rPr>
          <w:rFonts w:hint="eastAsia" w:ascii="宋体" w:hAnsi="宋体" w:eastAsia="宋体" w:cs="宋体"/>
          <w:color w:val="auto"/>
          <w:spacing w:val="-18"/>
          <w:sz w:val="28"/>
          <w:szCs w:val="28"/>
          <w:highlight w:val="none"/>
        </w:rPr>
        <w:t>：</w:t>
      </w:r>
    </w:p>
    <w:p w14:paraId="75B9763B">
      <w:pPr>
        <w:spacing w:before="213" w:line="359" w:lineRule="auto"/>
        <w:ind w:left="22" w:right="11" w:firstLine="560"/>
        <w:rPr>
          <w:rFonts w:hint="eastAsia" w:ascii="宋体" w:hAnsi="宋体" w:eastAsia="宋体" w:cs="宋体"/>
          <w:color w:val="auto"/>
          <w:spacing w:val="-18"/>
          <w:sz w:val="28"/>
          <w:szCs w:val="28"/>
          <w:highlight w:val="none"/>
        </w:rPr>
      </w:pPr>
      <w:r>
        <w:rPr>
          <w:rFonts w:hint="eastAsia" w:ascii="宋体" w:hAnsi="宋体" w:eastAsia="宋体" w:cs="宋体"/>
          <w:color w:val="auto"/>
          <w:spacing w:val="-18"/>
          <w:sz w:val="28"/>
          <w:szCs w:val="28"/>
          <w:highlight w:val="none"/>
        </w:rPr>
        <w:t xml:space="preserve">       </w:t>
      </w:r>
      <w:r>
        <w:rPr>
          <w:rFonts w:hint="eastAsia" w:ascii="宋体" w:hAnsi="宋体" w:eastAsia="宋体" w:cs="宋体"/>
          <w:color w:val="auto"/>
          <w:spacing w:val="-18"/>
          <w:sz w:val="28"/>
          <w:szCs w:val="28"/>
          <w:highlight w:val="none"/>
          <w:lang w:val="en-US" w:eastAsia="zh-CN"/>
        </w:rPr>
        <w:t xml:space="preserve">         </w:t>
      </w:r>
      <w:r>
        <w:rPr>
          <w:rFonts w:hint="eastAsia" w:ascii="宋体" w:hAnsi="宋体" w:eastAsia="宋体" w:cs="宋体"/>
          <w:color w:val="auto"/>
          <w:spacing w:val="-18"/>
          <w:sz w:val="28"/>
          <w:szCs w:val="28"/>
          <w:highlight w:val="none"/>
        </w:rPr>
        <w:t>日  期：</w:t>
      </w:r>
    </w:p>
    <w:p w14:paraId="12033A81">
      <w:pPr>
        <w:spacing w:before="213" w:line="359" w:lineRule="auto"/>
        <w:ind w:left="22" w:right="11" w:firstLine="560"/>
        <w:rPr>
          <w:rFonts w:hint="eastAsia" w:ascii="宋体" w:hAnsi="宋体" w:eastAsia="宋体" w:cs="宋体"/>
          <w:color w:val="auto"/>
          <w:spacing w:val="-18"/>
          <w:sz w:val="28"/>
          <w:szCs w:val="28"/>
          <w:highlight w:val="none"/>
        </w:rPr>
      </w:pPr>
    </w:p>
    <w:p w14:paraId="5E9248A3">
      <w:pPr>
        <w:spacing w:before="213" w:line="359" w:lineRule="auto"/>
        <w:ind w:left="22" w:right="11" w:firstLine="560"/>
        <w:rPr>
          <w:rFonts w:ascii="宋体" w:hAnsi="宋体" w:eastAsia="宋体" w:cs="宋体"/>
          <w:color w:val="auto"/>
          <w:spacing w:val="-18"/>
          <w:sz w:val="28"/>
          <w:szCs w:val="28"/>
          <w:highlight w:val="none"/>
        </w:rPr>
        <w:sectPr>
          <w:footerReference r:id="rId35" w:type="default"/>
          <w:pgSz w:w="11906" w:h="16839"/>
          <w:pgMar w:top="1424" w:right="1785" w:bottom="1171" w:left="1785" w:header="0" w:footer="992" w:gutter="0"/>
          <w:pgBorders>
            <w:top w:val="none" w:sz="0" w:space="0"/>
            <w:left w:val="none" w:sz="0" w:space="0"/>
            <w:bottom w:val="none" w:sz="0" w:space="0"/>
            <w:right w:val="none" w:sz="0" w:space="0"/>
          </w:pgBorders>
          <w:pgNumType w:fmt="decimal"/>
          <w:cols w:space="720" w:num="1"/>
        </w:sectPr>
      </w:pPr>
    </w:p>
    <w:p w14:paraId="4891FDE0">
      <w:pPr>
        <w:spacing w:before="56" w:line="220" w:lineRule="auto"/>
        <w:ind w:left="2633"/>
        <w:outlineLvl w:val="1"/>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7</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-3.《监狱企业声明函》</w:t>
      </w:r>
    </w:p>
    <w:p w14:paraId="7521493C">
      <w:pPr>
        <w:spacing w:line="289" w:lineRule="auto"/>
        <w:rPr>
          <w:rFonts w:ascii="Arial"/>
          <w:color w:val="auto"/>
          <w:sz w:val="21"/>
          <w:highlight w:val="none"/>
        </w:rPr>
      </w:pPr>
    </w:p>
    <w:p w14:paraId="3D33846D">
      <w:pPr>
        <w:spacing w:line="289" w:lineRule="auto"/>
        <w:rPr>
          <w:rFonts w:ascii="Arial"/>
          <w:color w:val="auto"/>
          <w:sz w:val="21"/>
          <w:highlight w:val="none"/>
        </w:rPr>
      </w:pPr>
    </w:p>
    <w:p w14:paraId="72B83FA8">
      <w:pPr>
        <w:spacing w:before="91" w:line="359" w:lineRule="auto"/>
        <w:ind w:left="22" w:right="97" w:firstLine="560"/>
        <w:jc w:val="both"/>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本公司（联合体）郑重声明，根据《政府采购促进中小企业发展</w:t>
      </w:r>
      <w:r>
        <w:rPr>
          <w:rFonts w:ascii="宋体" w:hAnsi="宋体" w:eastAsia="宋体" w:cs="宋体"/>
          <w:color w:val="auto"/>
          <w:spacing w:val="-17"/>
          <w:sz w:val="28"/>
          <w:szCs w:val="28"/>
          <w:highlight w:val="none"/>
        </w:rPr>
        <w:t>管理办法》（财库﹝2020﹞46号）的规定，本公司（联合体）参加</w:t>
      </w:r>
      <w:r>
        <w:rPr>
          <w:rFonts w:ascii="宋体" w:hAnsi="宋体" w:eastAsia="宋体" w:cs="宋体"/>
          <w:color w:val="auto"/>
          <w:spacing w:val="-17"/>
          <w:sz w:val="28"/>
          <w:szCs w:val="28"/>
          <w:highlight w:val="none"/>
          <w:u w:val="single" w:color="auto"/>
        </w:rPr>
        <w:t>（单</w:t>
      </w:r>
      <w:r>
        <w:rPr>
          <w:rFonts w:ascii="宋体" w:hAnsi="宋体" w:eastAsia="宋体" w:cs="宋体"/>
          <w:color w:val="auto"/>
          <w:sz w:val="28"/>
          <w:szCs w:val="28"/>
          <w:highlight w:val="none"/>
          <w:u w:val="single" w:color="auto"/>
        </w:rPr>
        <w:t>位名称）</w:t>
      </w:r>
      <w:r>
        <w:rPr>
          <w:rFonts w:ascii="宋体" w:hAnsi="宋体" w:eastAsia="宋体" w:cs="宋体"/>
          <w:color w:val="auto"/>
          <w:sz w:val="28"/>
          <w:szCs w:val="28"/>
          <w:highlight w:val="none"/>
        </w:rPr>
        <w:t>的</w:t>
      </w:r>
      <w:r>
        <w:rPr>
          <w:rFonts w:ascii="宋体" w:hAnsi="宋体" w:eastAsia="宋体" w:cs="宋体"/>
          <w:color w:val="auto"/>
          <w:sz w:val="28"/>
          <w:szCs w:val="28"/>
          <w:highlight w:val="none"/>
          <w:u w:val="single" w:color="auto"/>
        </w:rPr>
        <w:t>（项目名称）</w:t>
      </w:r>
      <w:r>
        <w:rPr>
          <w:rFonts w:ascii="宋体" w:hAnsi="宋体" w:eastAsia="宋体" w:cs="宋体"/>
          <w:color w:val="auto"/>
          <w:sz w:val="28"/>
          <w:szCs w:val="28"/>
          <w:highlight w:val="none"/>
        </w:rPr>
        <w:t>采购活动，货物全部为符合政策要求的</w:t>
      </w:r>
      <w:r>
        <w:rPr>
          <w:rFonts w:ascii="宋体" w:hAnsi="宋体" w:eastAsia="宋体" w:cs="宋体"/>
          <w:color w:val="auto"/>
          <w:spacing w:val="-3"/>
          <w:sz w:val="28"/>
          <w:szCs w:val="28"/>
          <w:highlight w:val="none"/>
        </w:rPr>
        <w:t>中小企业（或者：服务全部由符合政策要求的中</w:t>
      </w:r>
      <w:r>
        <w:rPr>
          <w:rFonts w:ascii="宋体" w:hAnsi="宋体" w:eastAsia="宋体" w:cs="宋体"/>
          <w:color w:val="auto"/>
          <w:spacing w:val="-4"/>
          <w:sz w:val="28"/>
          <w:szCs w:val="28"/>
          <w:highlight w:val="none"/>
        </w:rPr>
        <w:t>小企业承接）。相关</w:t>
      </w:r>
      <w:r>
        <w:rPr>
          <w:rFonts w:ascii="宋体" w:hAnsi="宋体" w:eastAsia="宋体" w:cs="宋体"/>
          <w:color w:val="auto"/>
          <w:spacing w:val="-3"/>
          <w:sz w:val="28"/>
          <w:szCs w:val="28"/>
          <w:highlight w:val="none"/>
        </w:rPr>
        <w:t>企业（含联合体中的中小企业、签订分包意向协</w:t>
      </w:r>
      <w:r>
        <w:rPr>
          <w:rFonts w:ascii="宋体" w:hAnsi="宋体" w:eastAsia="宋体" w:cs="宋体"/>
          <w:color w:val="auto"/>
          <w:spacing w:val="-4"/>
          <w:sz w:val="28"/>
          <w:szCs w:val="28"/>
          <w:highlight w:val="none"/>
        </w:rPr>
        <w:t>议的中小企业）的具</w:t>
      </w:r>
    </w:p>
    <w:p w14:paraId="5B98E1A8">
      <w:pPr>
        <w:spacing w:before="1" w:line="220" w:lineRule="auto"/>
        <w:ind w:left="2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体情况如下：</w:t>
      </w:r>
    </w:p>
    <w:p w14:paraId="5425899A">
      <w:pPr>
        <w:spacing w:before="209" w:line="349" w:lineRule="auto"/>
        <w:ind w:left="585" w:right="333" w:firstLine="17"/>
        <w:jc w:val="both"/>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1.</w:t>
      </w:r>
      <w:r>
        <w:rPr>
          <w:rFonts w:ascii="宋体" w:hAnsi="宋体" w:eastAsia="宋体" w:cs="宋体"/>
          <w:color w:val="auto"/>
          <w:spacing w:val="-4"/>
          <w:sz w:val="28"/>
          <w:szCs w:val="28"/>
          <w:highlight w:val="none"/>
          <w:u w:val="single" w:color="auto"/>
        </w:rPr>
        <w:t>（标的名称</w:t>
      </w:r>
      <w:r>
        <w:rPr>
          <w:rFonts w:ascii="宋体" w:hAnsi="宋体" w:eastAsia="宋体" w:cs="宋体"/>
          <w:color w:val="auto"/>
          <w:spacing w:val="5"/>
          <w:sz w:val="28"/>
          <w:szCs w:val="28"/>
          <w:highlight w:val="none"/>
          <w:u w:val="single" w:color="auto"/>
        </w:rPr>
        <w:t>）</w:t>
      </w:r>
      <w:r>
        <w:rPr>
          <w:rFonts w:ascii="宋体" w:hAnsi="宋体" w:eastAsia="宋体" w:cs="宋体"/>
          <w:color w:val="auto"/>
          <w:spacing w:val="5"/>
          <w:sz w:val="28"/>
          <w:szCs w:val="28"/>
          <w:highlight w:val="none"/>
        </w:rPr>
        <w:t>，</w:t>
      </w:r>
      <w:r>
        <w:rPr>
          <w:rFonts w:ascii="宋体" w:hAnsi="宋体" w:eastAsia="宋体" w:cs="宋体"/>
          <w:color w:val="auto"/>
          <w:spacing w:val="-4"/>
          <w:sz w:val="28"/>
          <w:szCs w:val="28"/>
          <w:highlight w:val="none"/>
        </w:rPr>
        <w:t>承接单位为</w:t>
      </w:r>
      <w:r>
        <w:rPr>
          <w:rFonts w:ascii="宋体" w:hAnsi="宋体" w:eastAsia="宋体" w:cs="宋体"/>
          <w:color w:val="auto"/>
          <w:spacing w:val="-4"/>
          <w:sz w:val="28"/>
          <w:szCs w:val="28"/>
          <w:highlight w:val="none"/>
          <w:u w:val="single" w:color="auto"/>
        </w:rPr>
        <w:t>（企业名称</w:t>
      </w:r>
      <w:r>
        <w:rPr>
          <w:rFonts w:ascii="宋体" w:hAnsi="宋体" w:eastAsia="宋体" w:cs="宋体"/>
          <w:color w:val="auto"/>
          <w:spacing w:val="5"/>
          <w:sz w:val="28"/>
          <w:szCs w:val="28"/>
          <w:highlight w:val="none"/>
          <w:u w:val="single" w:color="auto"/>
        </w:rPr>
        <w:t>）</w:t>
      </w:r>
      <w:r>
        <w:rPr>
          <w:rFonts w:ascii="宋体" w:hAnsi="宋体" w:eastAsia="宋体" w:cs="宋体"/>
          <w:color w:val="auto"/>
          <w:spacing w:val="5"/>
          <w:sz w:val="28"/>
          <w:szCs w:val="28"/>
          <w:highlight w:val="none"/>
        </w:rPr>
        <w:t>，</w:t>
      </w:r>
      <w:r>
        <w:rPr>
          <w:rFonts w:ascii="宋体" w:hAnsi="宋体" w:eastAsia="宋体" w:cs="宋体"/>
          <w:color w:val="auto"/>
          <w:spacing w:val="-4"/>
          <w:sz w:val="28"/>
          <w:szCs w:val="28"/>
          <w:highlight w:val="none"/>
        </w:rPr>
        <w:t>属于</w:t>
      </w:r>
      <w:r>
        <w:rPr>
          <w:rFonts w:ascii="宋体" w:hAnsi="宋体" w:eastAsia="宋体" w:cs="宋体"/>
          <w:color w:val="auto"/>
          <w:spacing w:val="-4"/>
          <w:sz w:val="28"/>
          <w:szCs w:val="28"/>
          <w:highlight w:val="none"/>
          <w:u w:val="single" w:color="auto"/>
        </w:rPr>
        <w:t>监狱企业</w:t>
      </w:r>
      <w:r>
        <w:rPr>
          <w:rFonts w:ascii="宋体" w:hAnsi="宋体" w:eastAsia="宋体" w:cs="宋体"/>
          <w:color w:val="auto"/>
          <w:spacing w:val="-4"/>
          <w:sz w:val="28"/>
          <w:szCs w:val="28"/>
          <w:highlight w:val="none"/>
        </w:rPr>
        <w:t>；2.</w:t>
      </w:r>
      <w:r>
        <w:rPr>
          <w:rFonts w:ascii="宋体" w:hAnsi="宋体" w:eastAsia="宋体" w:cs="宋体"/>
          <w:color w:val="auto"/>
          <w:spacing w:val="-4"/>
          <w:sz w:val="28"/>
          <w:szCs w:val="28"/>
          <w:highlight w:val="none"/>
          <w:u w:val="single" w:color="auto"/>
        </w:rPr>
        <w:t>（标的名称</w:t>
      </w:r>
      <w:r>
        <w:rPr>
          <w:rFonts w:ascii="宋体" w:hAnsi="宋体" w:eastAsia="宋体" w:cs="宋体"/>
          <w:color w:val="auto"/>
          <w:spacing w:val="9"/>
          <w:sz w:val="28"/>
          <w:szCs w:val="28"/>
          <w:highlight w:val="none"/>
          <w:u w:val="single" w:color="auto"/>
        </w:rPr>
        <w:t>）</w:t>
      </w:r>
      <w:r>
        <w:rPr>
          <w:rFonts w:ascii="宋体" w:hAnsi="宋体" w:eastAsia="宋体" w:cs="宋体"/>
          <w:color w:val="auto"/>
          <w:spacing w:val="9"/>
          <w:sz w:val="28"/>
          <w:szCs w:val="28"/>
          <w:highlight w:val="none"/>
        </w:rPr>
        <w:t>，</w:t>
      </w:r>
      <w:r>
        <w:rPr>
          <w:rFonts w:ascii="宋体" w:hAnsi="宋体" w:eastAsia="宋体" w:cs="宋体"/>
          <w:color w:val="auto"/>
          <w:spacing w:val="-4"/>
          <w:sz w:val="28"/>
          <w:szCs w:val="28"/>
          <w:highlight w:val="none"/>
        </w:rPr>
        <w:t>承接单位为</w:t>
      </w:r>
      <w:r>
        <w:rPr>
          <w:rFonts w:ascii="宋体" w:hAnsi="宋体" w:eastAsia="宋体" w:cs="宋体"/>
          <w:color w:val="auto"/>
          <w:spacing w:val="-4"/>
          <w:sz w:val="28"/>
          <w:szCs w:val="28"/>
          <w:highlight w:val="none"/>
          <w:u w:val="single" w:color="auto"/>
        </w:rPr>
        <w:t>（企业名称</w:t>
      </w:r>
      <w:r>
        <w:rPr>
          <w:rFonts w:ascii="宋体" w:hAnsi="宋体" w:eastAsia="宋体" w:cs="宋体"/>
          <w:color w:val="auto"/>
          <w:spacing w:val="9"/>
          <w:sz w:val="28"/>
          <w:szCs w:val="28"/>
          <w:highlight w:val="none"/>
          <w:u w:val="single" w:color="auto"/>
        </w:rPr>
        <w:t>）</w:t>
      </w:r>
      <w:r>
        <w:rPr>
          <w:rFonts w:ascii="宋体" w:hAnsi="宋体" w:eastAsia="宋体" w:cs="宋体"/>
          <w:color w:val="auto"/>
          <w:spacing w:val="9"/>
          <w:sz w:val="28"/>
          <w:szCs w:val="28"/>
          <w:highlight w:val="none"/>
        </w:rPr>
        <w:t>，</w:t>
      </w:r>
      <w:r>
        <w:rPr>
          <w:rFonts w:ascii="宋体" w:hAnsi="宋体" w:eastAsia="宋体" w:cs="宋体"/>
          <w:color w:val="auto"/>
          <w:spacing w:val="-4"/>
          <w:sz w:val="28"/>
          <w:szCs w:val="28"/>
          <w:highlight w:val="none"/>
        </w:rPr>
        <w:t>属于</w:t>
      </w:r>
      <w:r>
        <w:rPr>
          <w:rFonts w:ascii="宋体" w:hAnsi="宋体" w:eastAsia="宋体" w:cs="宋体"/>
          <w:color w:val="auto"/>
          <w:spacing w:val="-4"/>
          <w:sz w:val="28"/>
          <w:szCs w:val="28"/>
          <w:highlight w:val="none"/>
          <w:u w:val="single" w:color="auto"/>
        </w:rPr>
        <w:t>监狱企业</w:t>
      </w:r>
      <w:r>
        <w:rPr>
          <w:rFonts w:ascii="宋体" w:hAnsi="宋体" w:eastAsia="宋体" w:cs="宋体"/>
          <w:color w:val="auto"/>
          <w:spacing w:val="-4"/>
          <w:sz w:val="28"/>
          <w:szCs w:val="28"/>
          <w:highlight w:val="none"/>
        </w:rPr>
        <w:t>。</w:t>
      </w:r>
    </w:p>
    <w:p w14:paraId="651A0473">
      <w:pPr>
        <w:spacing w:line="441" w:lineRule="exact"/>
        <w:ind w:left="599"/>
        <w:rPr>
          <w:rFonts w:ascii="宋体" w:hAnsi="宋体" w:eastAsia="宋体" w:cs="宋体"/>
          <w:color w:val="auto"/>
          <w:sz w:val="28"/>
          <w:szCs w:val="28"/>
          <w:highlight w:val="none"/>
        </w:rPr>
      </w:pPr>
      <w:r>
        <w:rPr>
          <w:rFonts w:ascii="宋体" w:hAnsi="宋体" w:eastAsia="宋体" w:cs="宋体"/>
          <w:color w:val="auto"/>
          <w:spacing w:val="-14"/>
          <w:position w:val="3"/>
          <w:sz w:val="28"/>
          <w:szCs w:val="28"/>
          <w:highlight w:val="none"/>
        </w:rPr>
        <w:t>……</w:t>
      </w:r>
    </w:p>
    <w:p w14:paraId="39C57BE5">
      <w:pPr>
        <w:spacing w:before="72" w:line="219" w:lineRule="auto"/>
        <w:jc w:val="right"/>
        <w:rPr>
          <w:rFonts w:ascii="宋体" w:hAnsi="宋体" w:eastAsia="宋体" w:cs="宋体"/>
          <w:color w:val="auto"/>
          <w:sz w:val="28"/>
          <w:szCs w:val="28"/>
          <w:highlight w:val="none"/>
        </w:rPr>
      </w:pPr>
      <w:r>
        <w:rPr>
          <w:rFonts w:ascii="宋体" w:hAnsi="宋体" w:eastAsia="宋体" w:cs="宋体"/>
          <w:color w:val="auto"/>
          <w:spacing w:val="-10"/>
          <w:sz w:val="28"/>
          <w:szCs w:val="28"/>
          <w:highlight w:val="none"/>
        </w:rPr>
        <w:t>本单位对上述声明的真实性负责。如有虚假，依法承担相应责任。</w:t>
      </w:r>
    </w:p>
    <w:p w14:paraId="425D2268">
      <w:pPr>
        <w:spacing w:line="330" w:lineRule="auto"/>
        <w:rPr>
          <w:rFonts w:ascii="Arial"/>
          <w:color w:val="auto"/>
          <w:sz w:val="21"/>
          <w:highlight w:val="none"/>
        </w:rPr>
      </w:pPr>
    </w:p>
    <w:p w14:paraId="7453E230">
      <w:pPr>
        <w:spacing w:line="331" w:lineRule="auto"/>
        <w:rPr>
          <w:rFonts w:ascii="Arial"/>
          <w:color w:val="auto"/>
          <w:sz w:val="21"/>
          <w:highlight w:val="none"/>
        </w:rPr>
      </w:pPr>
    </w:p>
    <w:p w14:paraId="393A4F3C">
      <w:pPr>
        <w:spacing w:before="92" w:line="545" w:lineRule="exact"/>
        <w:ind w:right="31"/>
        <w:jc w:val="right"/>
        <w:rPr>
          <w:rFonts w:ascii="宋体" w:hAnsi="宋体" w:eastAsia="宋体" w:cs="宋体"/>
          <w:color w:val="auto"/>
          <w:sz w:val="28"/>
          <w:szCs w:val="28"/>
          <w:highlight w:val="none"/>
        </w:rPr>
      </w:pPr>
      <w:r>
        <w:rPr>
          <w:rFonts w:ascii="宋体" w:hAnsi="宋体" w:eastAsia="宋体" w:cs="宋体"/>
          <w:color w:val="auto"/>
          <w:spacing w:val="-1"/>
          <w:position w:val="19"/>
          <w:sz w:val="28"/>
          <w:szCs w:val="28"/>
          <w:highlight w:val="none"/>
        </w:rPr>
        <w:t>附：省级以上监狱管理局、戒毒管理局（含新疆生</w:t>
      </w:r>
      <w:r>
        <w:rPr>
          <w:rFonts w:ascii="宋体" w:hAnsi="宋体" w:eastAsia="宋体" w:cs="宋体"/>
          <w:color w:val="auto"/>
          <w:spacing w:val="-2"/>
          <w:position w:val="19"/>
          <w:sz w:val="28"/>
          <w:szCs w:val="28"/>
          <w:highlight w:val="none"/>
        </w:rPr>
        <w:t>产建设兵团）</w:t>
      </w:r>
    </w:p>
    <w:p w14:paraId="7F55381F">
      <w:pPr>
        <w:spacing w:before="2" w:line="219" w:lineRule="auto"/>
        <w:ind w:left="1126"/>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出具的监狱企业证明文件。</w:t>
      </w:r>
    </w:p>
    <w:p w14:paraId="183EB88B">
      <w:pPr>
        <w:spacing w:line="330" w:lineRule="auto"/>
        <w:rPr>
          <w:rFonts w:ascii="Arial"/>
          <w:color w:val="auto"/>
          <w:sz w:val="21"/>
          <w:highlight w:val="none"/>
        </w:rPr>
      </w:pPr>
    </w:p>
    <w:p w14:paraId="7C021259">
      <w:pPr>
        <w:spacing w:line="331" w:lineRule="auto"/>
        <w:rPr>
          <w:rFonts w:ascii="Arial"/>
          <w:color w:val="auto"/>
          <w:sz w:val="21"/>
          <w:highlight w:val="none"/>
        </w:rPr>
      </w:pPr>
    </w:p>
    <w:p w14:paraId="7952D64B">
      <w:pPr>
        <w:spacing w:before="91" w:line="359" w:lineRule="auto"/>
        <w:ind w:left="566"/>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投标人（单位盖章</w:t>
      </w:r>
      <w:r>
        <w:rPr>
          <w:rFonts w:ascii="宋体" w:hAnsi="宋体" w:eastAsia="宋体" w:cs="宋体"/>
          <w:color w:val="auto"/>
          <w:spacing w:val="-1"/>
          <w:sz w:val="28"/>
          <w:szCs w:val="28"/>
          <w:highlight w:val="none"/>
        </w:rPr>
        <w:t>）：</w:t>
      </w:r>
    </w:p>
    <w:p w14:paraId="101E8564">
      <w:pPr>
        <w:spacing w:before="1" w:line="220" w:lineRule="auto"/>
        <w:ind w:left="610"/>
        <w:rPr>
          <w:rFonts w:hint="eastAsia" w:ascii="宋体" w:hAnsi="宋体" w:eastAsia="宋体" w:cs="宋体"/>
          <w:color w:val="auto"/>
          <w:sz w:val="28"/>
          <w:szCs w:val="28"/>
          <w:highlight w:val="none"/>
          <w:lang w:eastAsia="zh-CN"/>
        </w:rPr>
      </w:pPr>
      <w:r>
        <w:rPr>
          <w:rFonts w:ascii="宋体" w:hAnsi="宋体" w:eastAsia="宋体" w:cs="宋体"/>
          <w:color w:val="auto"/>
          <w:spacing w:val="-25"/>
          <w:sz w:val="28"/>
          <w:szCs w:val="28"/>
          <w:highlight w:val="none"/>
        </w:rPr>
        <w:t>日期：</w:t>
      </w:r>
    </w:p>
    <w:p w14:paraId="24541FAC">
      <w:pPr>
        <w:spacing w:line="220" w:lineRule="auto"/>
        <w:rPr>
          <w:rFonts w:ascii="宋体" w:hAnsi="宋体" w:eastAsia="宋体" w:cs="宋体"/>
          <w:color w:val="auto"/>
          <w:sz w:val="28"/>
          <w:szCs w:val="28"/>
          <w:highlight w:val="none"/>
        </w:rPr>
        <w:sectPr>
          <w:footerReference r:id="rId36" w:type="default"/>
          <w:pgSz w:w="11906" w:h="16839"/>
          <w:pgMar w:top="1424" w:right="1696" w:bottom="1171" w:left="1785" w:header="0" w:footer="992" w:gutter="0"/>
          <w:pgBorders>
            <w:top w:val="none" w:sz="0" w:space="0"/>
            <w:left w:val="none" w:sz="0" w:space="0"/>
            <w:bottom w:val="none" w:sz="0" w:space="0"/>
            <w:right w:val="none" w:sz="0" w:space="0"/>
          </w:pgBorders>
          <w:pgNumType w:fmt="decimal"/>
          <w:cols w:space="720" w:num="1"/>
        </w:sectPr>
      </w:pPr>
    </w:p>
    <w:p w14:paraId="74DCBF49">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7-4 关于符合本国产品标准的声明函</w:t>
      </w:r>
    </w:p>
    <w:p w14:paraId="0BE425A3">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3EB6B65D">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《关于符合本国产品标准的声明函》</w:t>
      </w:r>
    </w:p>
    <w:p w14:paraId="2A2775E2">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5766DB0B">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14:paraId="71CC71D0">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1.（产品名称1）1，生产厂为（厂名）2，厂址为（生产厂址）。（产品名称1）的中国境内生产的组件成本占比≥（规定比例）3。（产品名称1）的（关键组件）4在中国境内生产。（产品名称1）的（关键工序）5在中国境内完成。</w:t>
      </w:r>
    </w:p>
    <w:p w14:paraId="60769DDD">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2.（产品名称2），生产厂为（厂名），厂址为（生产厂址）。（产品名称2）的中国境内生产的组件成本占比≥（规定比例）。（产品名称2）的（关键组件）在中国境内生产。（产品名称2）的（关键工序）在中国境内完成。</w:t>
      </w:r>
    </w:p>
    <w:p w14:paraId="41D00B27">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w:t>
      </w:r>
    </w:p>
    <w:p w14:paraId="23EFCF2D">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本公司（单位）对上述声明内容的真实性负责。如有虚假，愿承担相应法律责任。</w:t>
      </w:r>
    </w:p>
    <w:p w14:paraId="7E99AA6E">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 </w:t>
      </w:r>
    </w:p>
    <w:p w14:paraId="26B9C957">
      <w:pPr>
        <w:spacing w:before="91" w:line="359" w:lineRule="auto"/>
        <w:ind w:left="22" w:right="97" w:firstLine="560"/>
        <w:jc w:val="both"/>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pacing w:val="-4"/>
          <w:sz w:val="28"/>
          <w:szCs w:val="28"/>
          <w:highlight w:val="none"/>
          <w:lang w:val="en-US" w:eastAsia="zh-CN"/>
        </w:rPr>
        <w:t>公司（单位）名称（盖章）：　        </w:t>
      </w:r>
    </w:p>
    <w:p w14:paraId="6F9E8C76">
      <w:pPr>
        <w:spacing w:before="91" w:line="359" w:lineRule="auto"/>
        <w:ind w:left="22" w:right="97" w:firstLine="560"/>
        <w:jc w:val="both"/>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4"/>
          <w:sz w:val="28"/>
          <w:szCs w:val="28"/>
          <w:highlight w:val="none"/>
          <w:lang w:val="en-US" w:eastAsia="zh-CN"/>
        </w:rPr>
        <w:t>日期：　     年　  月　  日 </w:t>
      </w: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        </w:t>
      </w:r>
    </w:p>
    <w:p w14:paraId="18549645">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6A534F1B">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4CEB31CF">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3AD5C6C">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说明：相关政策详见《国务院办公厅关于在政府采购中实施本国产品标准及相关政策的通知》（国办发〔2025〕34号）</w:t>
      </w:r>
    </w:p>
    <w:p w14:paraId="6227DAD9">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1.产品如有型号，请在“产品名称”栏一并填写。</w:t>
      </w:r>
    </w:p>
    <w:p w14:paraId="3D2366B2">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2.生产厂名与厂址应与生产厂营业执照载明的相关信息保持一致。</w:t>
      </w:r>
    </w:p>
    <w:p w14:paraId="58F52FC5">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3.该产品的中国境内生产的组件成本占比相关要求实施前，“规定比例”栏可不填，下同。</w:t>
      </w:r>
    </w:p>
    <w:p w14:paraId="5A96026F">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4.该产品的关键组件要求实施前，“关键组件”栏可不填，下同。</w:t>
      </w:r>
    </w:p>
    <w:p w14:paraId="70D710CF">
      <w:pPr>
        <w:spacing w:before="56" w:line="220" w:lineRule="auto"/>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5.该产品的关键工序要求实施前，“关键工序”栏可不填，下同。</w:t>
      </w:r>
    </w:p>
    <w:p w14:paraId="5CF464A8">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43DEF5B9">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1A10BFE4">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4C41C13B">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FD872B3">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41D9E7AF">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444ACBD6">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1B779EF9">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1BAB1AE3">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2FF12C9B">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6F75977">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78674B89">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3433B82F">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524C9429">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F95D247">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56BB0756">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5558B541">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D1BC7D3">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6AD276F0">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1597AD1A">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5F1AD68">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63AA541D">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36B73FB5">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3119B6DF">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C5F1D2A">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14D30BA6">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5C2100AC">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41C7ED40">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32EFE63">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56E38609">
      <w:pPr>
        <w:spacing w:before="56" w:line="220" w:lineRule="auto"/>
        <w:ind w:left="2638"/>
        <w:outlineLvl w:val="1"/>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pPr>
    </w:p>
    <w:p w14:paraId="0DA399DC">
      <w:pPr>
        <w:spacing w:before="56" w:line="220" w:lineRule="auto"/>
        <w:ind w:left="2638"/>
        <w:outlineLvl w:val="1"/>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14:textOutline w14:w="5103" w14:cap="sq" w14:cmpd="sng">
            <w14:solidFill>
              <w14:srgbClr w14:val="000000"/>
            </w14:solidFill>
            <w14:prstDash w14:val="solid"/>
            <w14:bevel/>
          </w14:textOutline>
        </w:rPr>
        <w:t>8</w:t>
      </w:r>
      <w:r>
        <w:rPr>
          <w:rFonts w:ascii="宋体" w:hAnsi="宋体" w:eastAsia="宋体" w:cs="宋体"/>
          <w:color w:val="auto"/>
          <w:spacing w:val="-1"/>
          <w:sz w:val="28"/>
          <w:szCs w:val="28"/>
          <w:highlight w:val="none"/>
          <w14:textOutline w14:w="5103" w14:cap="sq" w14:cmpd="sng">
            <w14:solidFill>
              <w14:srgbClr w14:val="000000"/>
            </w14:solidFill>
            <w14:prstDash w14:val="solid"/>
            <w14:bevel/>
          </w14:textOutline>
        </w:rPr>
        <w:t>.投标人关联单位的说明</w:t>
      </w:r>
    </w:p>
    <w:p w14:paraId="3B2AB63C">
      <w:pPr>
        <w:spacing w:line="479" w:lineRule="auto"/>
        <w:rPr>
          <w:rFonts w:ascii="Arial"/>
          <w:color w:val="auto"/>
          <w:sz w:val="21"/>
          <w:highlight w:val="none"/>
        </w:rPr>
      </w:pPr>
    </w:p>
    <w:p w14:paraId="768B9A19">
      <w:pPr>
        <w:spacing w:before="91" w:line="545" w:lineRule="exact"/>
        <w:jc w:val="right"/>
        <w:rPr>
          <w:rFonts w:ascii="宋体" w:hAnsi="宋体" w:eastAsia="宋体" w:cs="宋体"/>
          <w:color w:val="auto"/>
          <w:sz w:val="28"/>
          <w:szCs w:val="28"/>
          <w:highlight w:val="none"/>
        </w:rPr>
      </w:pPr>
      <w:r>
        <w:rPr>
          <w:rFonts w:ascii="宋体" w:hAnsi="宋体" w:eastAsia="宋体" w:cs="宋体"/>
          <w:color w:val="auto"/>
          <w:spacing w:val="-7"/>
          <w:position w:val="19"/>
          <w:sz w:val="28"/>
          <w:szCs w:val="28"/>
          <w:highlight w:val="none"/>
        </w:rPr>
        <w:t>说明：供应商应当如实披露与本单位存在下列关联关系的单位名称：</w:t>
      </w:r>
    </w:p>
    <w:p w14:paraId="3E281C73">
      <w:pPr>
        <w:spacing w:line="219" w:lineRule="auto"/>
        <w:ind w:left="3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（1）与供应商单位负责人为同一人的其他单位；</w:t>
      </w:r>
    </w:p>
    <w:p w14:paraId="237CE8A4">
      <w:pPr>
        <w:spacing w:before="215" w:line="219" w:lineRule="auto"/>
        <w:ind w:left="3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（2）与供应商存在直接控股、管理关系的其他单位。</w:t>
      </w:r>
    </w:p>
    <w:p w14:paraId="239D5F9B">
      <w:pPr>
        <w:spacing w:line="329" w:lineRule="auto"/>
        <w:rPr>
          <w:rFonts w:ascii="Arial"/>
          <w:color w:val="auto"/>
          <w:sz w:val="21"/>
          <w:highlight w:val="none"/>
        </w:rPr>
      </w:pPr>
    </w:p>
    <w:p w14:paraId="4D7D6711">
      <w:pPr>
        <w:spacing w:line="330" w:lineRule="auto"/>
        <w:rPr>
          <w:rFonts w:ascii="Arial"/>
          <w:color w:val="auto"/>
          <w:sz w:val="21"/>
          <w:highlight w:val="none"/>
        </w:rPr>
      </w:pPr>
    </w:p>
    <w:p w14:paraId="6D21A74A">
      <w:pPr>
        <w:spacing w:before="91" w:line="219" w:lineRule="auto"/>
        <w:ind w:left="26"/>
        <w:rPr>
          <w:rFonts w:hint="eastAsia" w:ascii="宋体" w:hAnsi="宋体" w:eastAsia="宋体" w:cs="宋体"/>
          <w:color w:val="auto"/>
          <w:sz w:val="28"/>
          <w:szCs w:val="28"/>
          <w:highlight w:val="none"/>
          <w:lang w:eastAsia="zh-CN"/>
        </w:rPr>
      </w:pPr>
      <w:r>
        <w:rPr>
          <w:rFonts w:ascii="宋体" w:hAnsi="宋体" w:eastAsia="宋体" w:cs="宋体"/>
          <w:color w:val="auto"/>
          <w:spacing w:val="-2"/>
          <w:sz w:val="28"/>
          <w:szCs w:val="28"/>
          <w:highlight w:val="none"/>
        </w:rPr>
        <w:t>投标人名称（单位盖章）:</w:t>
      </w:r>
    </w:p>
    <w:p w14:paraId="7F0788B8">
      <w:pPr>
        <w:spacing w:before="212" w:line="359" w:lineRule="auto"/>
        <w:ind w:left="23"/>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法定代表人或委托代理(签字或盖章):</w:t>
      </w:r>
    </w:p>
    <w:p w14:paraId="183E77B7">
      <w:pPr>
        <w:spacing w:before="2" w:line="219" w:lineRule="auto"/>
        <w:ind w:left="70"/>
        <w:rPr>
          <w:rFonts w:ascii="宋体" w:hAnsi="宋体" w:eastAsia="宋体" w:cs="宋体"/>
          <w:color w:val="auto"/>
          <w:sz w:val="28"/>
          <w:szCs w:val="28"/>
          <w:highlight w:val="none"/>
        </w:rPr>
      </w:pPr>
      <w:r>
        <w:rPr>
          <w:rFonts w:ascii="宋体" w:hAnsi="宋体" w:eastAsia="宋体" w:cs="宋体"/>
          <w:color w:val="auto"/>
          <w:spacing w:val="-15"/>
          <w:sz w:val="28"/>
          <w:szCs w:val="28"/>
          <w:highlight w:val="none"/>
        </w:rPr>
        <w:t>日期：年月日</w:t>
      </w:r>
    </w:p>
    <w:p w14:paraId="53532FDD">
      <w:pPr>
        <w:spacing w:line="219" w:lineRule="auto"/>
        <w:rPr>
          <w:rFonts w:ascii="宋体" w:hAnsi="宋体" w:eastAsia="宋体" w:cs="宋体"/>
          <w:color w:val="auto"/>
          <w:sz w:val="28"/>
          <w:szCs w:val="28"/>
          <w:highlight w:val="none"/>
        </w:rPr>
        <w:sectPr>
          <w:footerReference r:id="rId37" w:type="default"/>
          <w:pgSz w:w="11906" w:h="16839"/>
          <w:pgMar w:top="1424" w:right="1720" w:bottom="1171" w:left="1785" w:header="0" w:footer="992" w:gutter="0"/>
          <w:pgBorders>
            <w:top w:val="none" w:sz="0" w:space="0"/>
            <w:left w:val="none" w:sz="0" w:space="0"/>
            <w:bottom w:val="none" w:sz="0" w:space="0"/>
            <w:right w:val="none" w:sz="0" w:space="0"/>
          </w:pgBorders>
          <w:pgNumType w:fmt="decimal"/>
          <w:cols w:space="720" w:num="1"/>
        </w:sectPr>
      </w:pPr>
    </w:p>
    <w:p w14:paraId="2EE7B986">
      <w:pPr>
        <w:numPr>
          <w:ilvl w:val="0"/>
          <w:numId w:val="3"/>
        </w:numPr>
        <w:spacing w:before="56" w:line="219" w:lineRule="auto"/>
        <w:ind w:left="2763"/>
        <w:outlineLvl w:val="1"/>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t>质保期承诺书</w:t>
      </w:r>
    </w:p>
    <w:p w14:paraId="68246939">
      <w:pPr>
        <w:spacing w:before="91" w:line="229" w:lineRule="auto"/>
        <w:ind w:firstLine="3288" w:firstLineChars="1200"/>
        <w:rPr>
          <w:rFonts w:hint="default" w:ascii="宋体" w:hAnsi="宋体" w:eastAsia="宋体" w:cs="宋体"/>
          <w:color w:val="auto"/>
          <w:spacing w:val="-3"/>
          <w:sz w:val="28"/>
          <w:szCs w:val="28"/>
          <w:highlight w:val="none"/>
          <w:lang w:val="en-US" w:eastAsia="zh-CN"/>
        </w:rPr>
      </w:pPr>
      <w:r>
        <w:rPr>
          <w:rFonts w:hint="eastAsia" w:ascii="宋体" w:hAnsi="宋体" w:eastAsia="宋体" w:cs="宋体"/>
          <w:color w:val="auto"/>
          <w:spacing w:val="-3"/>
          <w:sz w:val="28"/>
          <w:szCs w:val="28"/>
          <w:highlight w:val="none"/>
          <w:lang w:val="en-US" w:eastAsia="zh-CN"/>
        </w:rPr>
        <w:t>格式自拟</w:t>
      </w:r>
    </w:p>
    <w:p w14:paraId="24FF2D80">
      <w:pPr>
        <w:spacing w:before="56" w:line="219" w:lineRule="auto"/>
        <w:ind w:left="2763"/>
        <w:outlineLvl w:val="1"/>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pPr>
    </w:p>
    <w:p w14:paraId="15B54E67">
      <w:pPr>
        <w:spacing w:before="56" w:line="219" w:lineRule="auto"/>
        <w:ind w:left="2763"/>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t>10</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.其他有利于投标人的文件或证明材料</w:t>
      </w:r>
    </w:p>
    <w:p w14:paraId="2E5D3D31">
      <w:pPr>
        <w:spacing w:line="306" w:lineRule="auto"/>
        <w:rPr>
          <w:rFonts w:ascii="Arial"/>
          <w:color w:val="auto"/>
          <w:sz w:val="21"/>
          <w:highlight w:val="none"/>
        </w:rPr>
      </w:pPr>
    </w:p>
    <w:p w14:paraId="344B929F">
      <w:pPr>
        <w:spacing w:line="307" w:lineRule="auto"/>
        <w:rPr>
          <w:rFonts w:ascii="Arial"/>
          <w:color w:val="auto"/>
          <w:sz w:val="21"/>
          <w:highlight w:val="none"/>
        </w:rPr>
      </w:pPr>
    </w:p>
    <w:p w14:paraId="3BE3670E">
      <w:pPr>
        <w:spacing w:before="91" w:line="229" w:lineRule="auto"/>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注：参照“第五章采购需求”“第六章评分方法和标准”，提供有利于投标人的</w:t>
      </w:r>
      <w:r>
        <w:rPr>
          <w:rFonts w:ascii="宋体" w:hAnsi="宋体" w:eastAsia="宋体" w:cs="宋体"/>
          <w:color w:val="auto"/>
          <w:spacing w:val="-2"/>
          <w:sz w:val="28"/>
          <w:szCs w:val="28"/>
          <w:highlight w:val="none"/>
        </w:rPr>
        <w:t>证明资料。</w:t>
      </w:r>
    </w:p>
    <w:p w14:paraId="32DCA73B">
      <w:pPr>
        <w:spacing w:line="229" w:lineRule="auto"/>
        <w:rPr>
          <w:rFonts w:ascii="宋体" w:hAnsi="宋体" w:eastAsia="宋体" w:cs="宋体"/>
          <w:color w:val="auto"/>
          <w:sz w:val="28"/>
          <w:szCs w:val="28"/>
          <w:highlight w:val="none"/>
        </w:rPr>
        <w:sectPr>
          <w:footerReference r:id="rId38" w:type="default"/>
          <w:pgSz w:w="11906" w:h="16839"/>
          <w:pgMar w:top="1424" w:right="1079" w:bottom="1171" w:left="1090" w:header="0" w:footer="992" w:gutter="0"/>
          <w:pgBorders>
            <w:top w:val="none" w:sz="0" w:space="0"/>
            <w:left w:val="none" w:sz="0" w:space="0"/>
            <w:bottom w:val="none" w:sz="0" w:space="0"/>
            <w:right w:val="none" w:sz="0" w:space="0"/>
          </w:pgBorders>
          <w:pgNumType w:fmt="decimal"/>
          <w:cols w:space="720" w:num="1"/>
        </w:sectPr>
      </w:pPr>
    </w:p>
    <w:p w14:paraId="41803738">
      <w:pPr>
        <w:spacing w:before="56" w:line="219" w:lineRule="auto"/>
        <w:ind w:left="2273"/>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14:textOutline w14:w="5103" w14:cap="sq" w14:cmpd="sng">
            <w14:solidFill>
              <w14:srgbClr w14:val="000000"/>
            </w14:solidFill>
            <w14:prstDash w14:val="solid"/>
            <w14:bevel/>
          </w14:textOutline>
        </w:rPr>
        <w:t>11</w:t>
      </w:r>
      <w:r>
        <w:rPr>
          <w:rFonts w:ascii="宋体" w:hAnsi="宋体" w:eastAsia="宋体" w:cs="宋体"/>
          <w:color w:val="auto"/>
          <w:sz w:val="28"/>
          <w:szCs w:val="28"/>
          <w:highlight w:val="none"/>
          <w14:textOutline w14:w="5103" w14:cap="sq" w14:cmpd="sng">
            <w14:solidFill>
              <w14:srgbClr w14:val="000000"/>
            </w14:solidFill>
            <w14:prstDash w14:val="solid"/>
            <w14:bevel/>
          </w14:textOutline>
        </w:rPr>
        <w:t>、关于对本投标文件中资料真实性的承诺</w:t>
      </w:r>
    </w:p>
    <w:p w14:paraId="05D2D597">
      <w:pPr>
        <w:spacing w:line="302" w:lineRule="auto"/>
        <w:rPr>
          <w:rFonts w:ascii="Arial"/>
          <w:color w:val="auto"/>
          <w:sz w:val="21"/>
          <w:highlight w:val="none"/>
        </w:rPr>
      </w:pPr>
    </w:p>
    <w:p w14:paraId="4C8E154A">
      <w:pPr>
        <w:spacing w:before="91" w:line="219" w:lineRule="auto"/>
        <w:ind w:left="2"/>
        <w:rPr>
          <w:rFonts w:hint="eastAsia" w:ascii="宋体" w:hAnsi="宋体" w:eastAsia="宋体" w:cs="宋体"/>
          <w:color w:val="auto"/>
          <w:sz w:val="28"/>
          <w:szCs w:val="28"/>
          <w:highlight w:val="none"/>
          <w:lang w:eastAsia="zh-CN"/>
        </w:rPr>
      </w:pPr>
      <w:r>
        <w:rPr>
          <w:rFonts w:ascii="宋体" w:hAnsi="宋体" w:eastAsia="宋体" w:cs="宋体"/>
          <w:color w:val="auto"/>
          <w:spacing w:val="3"/>
          <w:sz w:val="28"/>
          <w:szCs w:val="28"/>
          <w:highlight w:val="none"/>
          <w14:textOutline w14:w="5103" w14:cap="sq" w14:cmpd="sng">
            <w14:solidFill>
              <w14:srgbClr w14:val="000000"/>
            </w14:solidFill>
            <w14:prstDash w14:val="solid"/>
            <w14:bevel/>
          </w14:textOutline>
        </w:rPr>
        <w:t>至</w:t>
      </w:r>
      <w:r>
        <w:rPr>
          <w:rFonts w:ascii="宋体" w:hAnsi="宋体" w:eastAsia="宋体" w:cs="宋体"/>
          <w:color w:val="auto"/>
          <w:spacing w:val="-20"/>
          <w:sz w:val="28"/>
          <w:szCs w:val="28"/>
          <w:highlight w:val="none"/>
          <w14:textOutline w14:w="5103" w14:cap="sq" w14:cmpd="sng">
            <w14:solidFill>
              <w14:srgbClr w14:val="000000"/>
            </w14:solidFill>
            <w14:prstDash w14:val="solid"/>
            <w14:bevel/>
          </w14:textOutline>
        </w:rPr>
        <w:t>：</w:t>
      </w:r>
      <w:r>
        <w:rPr>
          <w:rFonts w:ascii="宋体" w:hAnsi="宋体" w:eastAsia="宋体" w:cs="宋体"/>
          <w:color w:val="auto"/>
          <w:spacing w:val="-20"/>
          <w:sz w:val="28"/>
          <w:szCs w:val="28"/>
          <w:highlight w:val="none"/>
          <w:u w:val="single" w:color="000000"/>
          <w14:textOutline w14:w="5103" w14:cap="sq" w14:cmpd="sng">
            <w14:solidFill>
              <w14:srgbClr w14:val="000000"/>
            </w14:solidFill>
            <w14:prstDash w14:val="solid"/>
            <w14:bevel/>
          </w14:textOutline>
        </w:rPr>
        <w:t>（</w:t>
      </w:r>
      <w:r>
        <w:rPr>
          <w:rFonts w:ascii="宋体" w:hAnsi="宋体" w:eastAsia="宋体" w:cs="宋体"/>
          <w:color w:val="auto"/>
          <w:spacing w:val="3"/>
          <w:sz w:val="28"/>
          <w:szCs w:val="28"/>
          <w:highlight w:val="none"/>
          <w:u w:val="single" w:color="000000"/>
          <w14:textOutline w14:w="5103" w14:cap="sq" w14:cmpd="sng">
            <w14:solidFill>
              <w14:srgbClr w14:val="000000"/>
            </w14:solidFill>
            <w14:prstDash w14:val="solid"/>
            <w14:bevel/>
          </w14:textOutline>
        </w:rPr>
        <w:t>项目名称）评标委员会</w:t>
      </w:r>
    </w:p>
    <w:p w14:paraId="6F6160DE">
      <w:pPr>
        <w:spacing w:before="212" w:line="359" w:lineRule="auto"/>
        <w:ind w:left="2" w:firstLine="837"/>
        <w:jc w:val="both"/>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根据《中华人民共和国政府采购法》、《中华人民共和国政府采购法</w:t>
      </w:r>
      <w:r>
        <w:rPr>
          <w:rFonts w:ascii="宋体" w:hAnsi="宋体" w:eastAsia="宋体" w:cs="宋体"/>
          <w:color w:val="auto"/>
          <w:spacing w:val="-3"/>
          <w:sz w:val="28"/>
          <w:szCs w:val="28"/>
          <w:highlight w:val="none"/>
        </w:rPr>
        <w:t>实施条例》等有关法律、法规的规定和</w:t>
      </w:r>
      <w:r>
        <w:rPr>
          <w:rFonts w:ascii="宋体" w:hAnsi="宋体" w:eastAsia="宋体" w:cs="宋体"/>
          <w:color w:val="auto"/>
          <w:spacing w:val="-3"/>
          <w:sz w:val="28"/>
          <w:szCs w:val="28"/>
          <w:highlight w:val="none"/>
          <w:u w:val="single" w:color="auto"/>
        </w:rPr>
        <w:t>（项目名称）</w:t>
      </w:r>
      <w:r>
        <w:rPr>
          <w:rFonts w:ascii="宋体" w:hAnsi="宋体" w:eastAsia="宋体" w:cs="宋体"/>
          <w:color w:val="auto"/>
          <w:spacing w:val="-3"/>
          <w:sz w:val="28"/>
          <w:szCs w:val="28"/>
          <w:highlight w:val="none"/>
        </w:rPr>
        <w:t>的采购文件的要求，我</w:t>
      </w:r>
      <w:r>
        <w:rPr>
          <w:rFonts w:ascii="宋体" w:hAnsi="宋体" w:eastAsia="宋体" w:cs="宋体"/>
          <w:color w:val="auto"/>
          <w:spacing w:val="-1"/>
          <w:sz w:val="28"/>
          <w:szCs w:val="28"/>
          <w:highlight w:val="none"/>
        </w:rPr>
        <w:t>公司在</w:t>
      </w:r>
      <w:r>
        <w:rPr>
          <w:rFonts w:ascii="宋体" w:hAnsi="宋体" w:eastAsia="宋体" w:cs="宋体"/>
          <w:color w:val="auto"/>
          <w:spacing w:val="-1"/>
          <w:sz w:val="28"/>
          <w:szCs w:val="28"/>
          <w:highlight w:val="none"/>
          <w:u w:val="single" w:color="auto"/>
        </w:rPr>
        <w:t>（项目名称）</w:t>
      </w:r>
      <w:r>
        <w:rPr>
          <w:rFonts w:ascii="宋体" w:hAnsi="宋体" w:eastAsia="宋体" w:cs="宋体"/>
          <w:color w:val="auto"/>
          <w:spacing w:val="-1"/>
          <w:sz w:val="28"/>
          <w:szCs w:val="28"/>
          <w:highlight w:val="none"/>
        </w:rPr>
        <w:t>投标文件中所提供资料真实性作如下承诺：</w:t>
      </w:r>
    </w:p>
    <w:p w14:paraId="429EACE3">
      <w:pPr>
        <w:spacing w:before="212" w:line="359" w:lineRule="auto"/>
        <w:ind w:firstLine="842"/>
        <w:jc w:val="both"/>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我公司将严格按采购文件要求，在编制本投标文件时，对投标文</w:t>
      </w:r>
      <w:r>
        <w:rPr>
          <w:rFonts w:ascii="宋体" w:hAnsi="宋体" w:eastAsia="宋体" w:cs="宋体"/>
          <w:color w:val="auto"/>
          <w:spacing w:val="-3"/>
          <w:sz w:val="28"/>
          <w:szCs w:val="28"/>
          <w:highlight w:val="none"/>
        </w:rPr>
        <w:t>件中所提</w:t>
      </w:r>
      <w:r>
        <w:rPr>
          <w:rFonts w:ascii="宋体" w:hAnsi="宋体" w:eastAsia="宋体" w:cs="宋体"/>
          <w:color w:val="auto"/>
          <w:spacing w:val="-2"/>
          <w:sz w:val="28"/>
          <w:szCs w:val="28"/>
          <w:highlight w:val="none"/>
        </w:rPr>
        <w:t>供的资料全部真实和正确，并对提供的所有资料（资格、其他材料等）的真实性</w:t>
      </w:r>
    </w:p>
    <w:p w14:paraId="1F353D48">
      <w:pPr>
        <w:spacing w:before="2" w:line="219" w:lineRule="auto"/>
        <w:ind w:left="10"/>
        <w:rPr>
          <w:rFonts w:ascii="宋体" w:hAnsi="宋体" w:eastAsia="宋体" w:cs="宋体"/>
          <w:color w:val="auto"/>
          <w:sz w:val="28"/>
          <w:szCs w:val="28"/>
          <w:highlight w:val="none"/>
        </w:rPr>
      </w:pPr>
      <w:r>
        <w:rPr>
          <w:rFonts w:ascii="宋体" w:hAnsi="宋体" w:eastAsia="宋体" w:cs="宋体"/>
          <w:color w:val="auto"/>
          <w:spacing w:val="-7"/>
          <w:sz w:val="28"/>
          <w:szCs w:val="28"/>
          <w:highlight w:val="none"/>
        </w:rPr>
        <w:t>负责！</w:t>
      </w:r>
    </w:p>
    <w:p w14:paraId="6C5E22F5">
      <w:pPr>
        <w:spacing w:before="211" w:line="542" w:lineRule="exact"/>
        <w:jc w:val="right"/>
        <w:rPr>
          <w:rFonts w:ascii="宋体" w:hAnsi="宋体" w:eastAsia="宋体" w:cs="宋体"/>
          <w:color w:val="auto"/>
          <w:sz w:val="28"/>
          <w:szCs w:val="28"/>
          <w:highlight w:val="none"/>
        </w:rPr>
      </w:pPr>
      <w:r>
        <w:rPr>
          <w:rFonts w:ascii="宋体" w:hAnsi="宋体" w:eastAsia="宋体" w:cs="宋体"/>
          <w:color w:val="auto"/>
          <w:spacing w:val="-2"/>
          <w:position w:val="19"/>
          <w:sz w:val="28"/>
          <w:szCs w:val="28"/>
          <w:highlight w:val="none"/>
        </w:rPr>
        <w:t>对提供的全部资料中有存在不真实（伪造或租借等虚假资料）情形，将无</w:t>
      </w:r>
    </w:p>
    <w:p w14:paraId="21B173FF">
      <w:pPr>
        <w:spacing w:before="2" w:line="219" w:lineRule="auto"/>
        <w:ind w:left="2"/>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条件接受任何处罚，自行承担由此引起的一切责</w:t>
      </w:r>
      <w:r>
        <w:rPr>
          <w:rFonts w:ascii="宋体" w:hAnsi="宋体" w:eastAsia="宋体" w:cs="宋体"/>
          <w:color w:val="auto"/>
          <w:spacing w:val="-4"/>
          <w:sz w:val="28"/>
          <w:szCs w:val="28"/>
          <w:highlight w:val="none"/>
        </w:rPr>
        <w:t>任！</w:t>
      </w:r>
    </w:p>
    <w:p w14:paraId="1A80228D">
      <w:pPr>
        <w:spacing w:line="331" w:lineRule="auto"/>
        <w:rPr>
          <w:rFonts w:ascii="Arial"/>
          <w:color w:val="auto"/>
          <w:sz w:val="21"/>
          <w:highlight w:val="none"/>
        </w:rPr>
      </w:pPr>
    </w:p>
    <w:p w14:paraId="49173230">
      <w:pPr>
        <w:spacing w:line="332" w:lineRule="auto"/>
        <w:rPr>
          <w:rFonts w:ascii="Arial"/>
          <w:color w:val="auto"/>
          <w:sz w:val="21"/>
          <w:highlight w:val="none"/>
        </w:rPr>
      </w:pPr>
    </w:p>
    <w:p w14:paraId="680B7E8F">
      <w:pPr>
        <w:spacing w:before="91" w:line="220" w:lineRule="auto"/>
        <w:ind w:left="84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14:textOutline w14:w="5103" w14:cap="sq" w14:cmpd="sng">
            <w14:solidFill>
              <w14:srgbClr w14:val="000000"/>
            </w14:solidFill>
            <w14:prstDash w14:val="solid"/>
            <w14:bevel/>
          </w14:textOutline>
        </w:rPr>
        <w:t>特此承诺！</w:t>
      </w:r>
    </w:p>
    <w:p w14:paraId="22424DA3">
      <w:pPr>
        <w:spacing w:line="248" w:lineRule="auto"/>
        <w:rPr>
          <w:rFonts w:ascii="Arial"/>
          <w:color w:val="auto"/>
          <w:sz w:val="21"/>
          <w:highlight w:val="none"/>
        </w:rPr>
      </w:pPr>
    </w:p>
    <w:p w14:paraId="4BEB752A">
      <w:pPr>
        <w:spacing w:line="248" w:lineRule="auto"/>
        <w:rPr>
          <w:rFonts w:ascii="Arial"/>
          <w:color w:val="auto"/>
          <w:sz w:val="21"/>
          <w:highlight w:val="none"/>
        </w:rPr>
      </w:pPr>
    </w:p>
    <w:p w14:paraId="3B3FA578">
      <w:pPr>
        <w:spacing w:line="249" w:lineRule="auto"/>
        <w:rPr>
          <w:rFonts w:ascii="Arial"/>
          <w:color w:val="auto"/>
          <w:sz w:val="21"/>
          <w:highlight w:val="none"/>
        </w:rPr>
      </w:pPr>
    </w:p>
    <w:p w14:paraId="22D37559">
      <w:pPr>
        <w:spacing w:line="249" w:lineRule="auto"/>
        <w:rPr>
          <w:rFonts w:ascii="Arial"/>
          <w:color w:val="auto"/>
          <w:sz w:val="21"/>
          <w:highlight w:val="none"/>
        </w:rPr>
      </w:pPr>
    </w:p>
    <w:p w14:paraId="58AB5004">
      <w:pPr>
        <w:spacing w:line="249" w:lineRule="auto"/>
        <w:rPr>
          <w:rFonts w:ascii="Arial"/>
          <w:color w:val="auto"/>
          <w:sz w:val="21"/>
          <w:highlight w:val="none"/>
        </w:rPr>
      </w:pPr>
    </w:p>
    <w:p w14:paraId="38C8BAAB">
      <w:pPr>
        <w:spacing w:line="249" w:lineRule="auto"/>
        <w:rPr>
          <w:rFonts w:ascii="Arial"/>
          <w:color w:val="auto"/>
          <w:sz w:val="21"/>
          <w:highlight w:val="none"/>
        </w:rPr>
      </w:pPr>
    </w:p>
    <w:p w14:paraId="43C975B9">
      <w:pPr>
        <w:spacing w:line="249" w:lineRule="auto"/>
        <w:rPr>
          <w:rFonts w:ascii="Arial"/>
          <w:color w:val="auto"/>
          <w:sz w:val="21"/>
          <w:highlight w:val="none"/>
        </w:rPr>
      </w:pPr>
    </w:p>
    <w:p w14:paraId="0DDDB951">
      <w:pPr>
        <w:spacing w:before="92" w:line="219" w:lineRule="auto"/>
        <w:ind w:left="562"/>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投标人名称（单位盖章）:</w:t>
      </w:r>
    </w:p>
    <w:p w14:paraId="4E1EBFBB">
      <w:pPr>
        <w:spacing w:before="213" w:line="359" w:lineRule="auto"/>
        <w:ind w:left="560"/>
        <w:rPr>
          <w:rFonts w:hint="eastAsia" w:ascii="宋体" w:hAnsi="宋体" w:eastAsia="宋体" w:cs="宋体"/>
          <w:color w:val="auto"/>
          <w:sz w:val="28"/>
          <w:szCs w:val="28"/>
          <w:highlight w:val="none"/>
          <w:lang w:eastAsia="zh-CN"/>
        </w:rPr>
      </w:pPr>
      <w:r>
        <w:rPr>
          <w:rFonts w:ascii="宋体" w:hAnsi="宋体" w:eastAsia="宋体" w:cs="宋体"/>
          <w:color w:val="auto"/>
          <w:spacing w:val="-1"/>
          <w:sz w:val="28"/>
          <w:szCs w:val="28"/>
          <w:highlight w:val="none"/>
        </w:rPr>
        <w:t>法定代表人或委托代理人(签字或盖章):</w:t>
      </w:r>
    </w:p>
    <w:p w14:paraId="185526E6">
      <w:pPr>
        <w:spacing w:before="1" w:line="219" w:lineRule="auto"/>
        <w:ind w:left="607"/>
        <w:rPr>
          <w:rFonts w:ascii="宋体" w:hAnsi="宋体" w:eastAsia="宋体" w:cs="宋体"/>
          <w:color w:val="auto"/>
          <w:sz w:val="28"/>
          <w:szCs w:val="28"/>
          <w:highlight w:val="none"/>
        </w:rPr>
      </w:pPr>
      <w:r>
        <w:rPr>
          <w:rFonts w:ascii="宋体" w:hAnsi="宋体" w:eastAsia="宋体" w:cs="宋体"/>
          <w:color w:val="auto"/>
          <w:spacing w:val="-15"/>
          <w:sz w:val="28"/>
          <w:szCs w:val="28"/>
          <w:highlight w:val="none"/>
        </w:rPr>
        <w:t>日期：年月日</w:t>
      </w:r>
    </w:p>
    <w:p w14:paraId="53B8B774">
      <w:pPr>
        <w:spacing w:line="219" w:lineRule="auto"/>
        <w:rPr>
          <w:rFonts w:ascii="宋体" w:hAnsi="宋体" w:eastAsia="宋体" w:cs="宋体"/>
          <w:color w:val="auto"/>
          <w:sz w:val="28"/>
          <w:szCs w:val="28"/>
          <w:highlight w:val="none"/>
        </w:rPr>
        <w:sectPr>
          <w:footerReference r:id="rId39" w:type="default"/>
          <w:pgSz w:w="11906" w:h="16839"/>
          <w:pgMar w:top="1424" w:right="1079" w:bottom="1171" w:left="1090" w:header="0" w:footer="992" w:gutter="0"/>
          <w:pgBorders>
            <w:top w:val="none" w:sz="0" w:space="0"/>
            <w:left w:val="none" w:sz="0" w:space="0"/>
            <w:bottom w:val="none" w:sz="0" w:space="0"/>
            <w:right w:val="none" w:sz="0" w:space="0"/>
          </w:pgBorders>
          <w:pgNumType w:fmt="decimal"/>
          <w:cols w:space="720" w:num="1"/>
        </w:sectPr>
      </w:pPr>
    </w:p>
    <w:p w14:paraId="3B52C5C4">
      <w:pPr>
        <w:spacing w:line="322" w:lineRule="auto"/>
        <w:rPr>
          <w:rFonts w:ascii="Arial"/>
          <w:color w:val="auto"/>
          <w:sz w:val="21"/>
          <w:highlight w:val="none"/>
        </w:rPr>
      </w:pPr>
    </w:p>
    <w:p w14:paraId="535D0748">
      <w:pPr>
        <w:spacing w:line="323" w:lineRule="auto"/>
        <w:rPr>
          <w:rFonts w:ascii="Arial"/>
          <w:color w:val="auto"/>
          <w:sz w:val="21"/>
          <w:highlight w:val="none"/>
        </w:rPr>
      </w:pPr>
    </w:p>
    <w:p w14:paraId="10D99308">
      <w:pPr>
        <w:spacing w:line="264" w:lineRule="auto"/>
        <w:jc w:val="center"/>
        <w:rPr>
          <w:rFonts w:hint="eastAsia" w:ascii="宋体" w:hAnsi="宋体" w:eastAsia="宋体" w:cs="宋体"/>
          <w:color w:val="auto"/>
          <w:spacing w:val="9"/>
          <w:position w:val="19"/>
          <w:sz w:val="40"/>
          <w:szCs w:val="40"/>
          <w:highlight w:val="none"/>
          <w:lang w:eastAsia="zh-CN"/>
          <w14:textOutline w14:w="6537" w14:cap="sq" w14:cmpd="sng">
            <w14:solidFill>
              <w14:srgbClr w14:val="000000"/>
            </w14:solidFill>
            <w14:prstDash w14:val="solid"/>
            <w14:bevel/>
          </w14:textOutline>
        </w:rPr>
      </w:pPr>
      <w:r>
        <w:rPr>
          <w:rFonts w:hint="eastAsia" w:ascii="宋体" w:hAnsi="宋体" w:eastAsia="宋体" w:cs="宋体"/>
          <w:color w:val="auto"/>
          <w:spacing w:val="9"/>
          <w:position w:val="19"/>
          <w:sz w:val="40"/>
          <w:szCs w:val="40"/>
          <w:highlight w:val="none"/>
          <w:lang w:eastAsia="zh-CN"/>
          <w14:textOutline w14:w="6537" w14:cap="sq" w14:cmpd="sng">
            <w14:solidFill>
              <w14:srgbClr w14:val="000000"/>
            </w14:solidFill>
            <w14:prstDash w14:val="solid"/>
            <w14:bevel/>
          </w14:textOutline>
        </w:rPr>
        <w:t>喀什地区伽师县紧密型县域医共体建设项目</w:t>
      </w:r>
    </w:p>
    <w:p w14:paraId="55D48AE7">
      <w:pPr>
        <w:spacing w:line="264" w:lineRule="auto"/>
        <w:jc w:val="center"/>
        <w:rPr>
          <w:rFonts w:hint="default" w:ascii="Arial"/>
          <w:color w:val="auto"/>
          <w:sz w:val="21"/>
          <w:highlight w:val="none"/>
        </w:rPr>
      </w:pPr>
      <w:r>
        <w:rPr>
          <w:rFonts w:hint="eastAsia" w:ascii="宋体" w:hAnsi="宋体" w:eastAsia="宋体" w:cs="宋体"/>
          <w:color w:val="auto"/>
          <w:spacing w:val="9"/>
          <w:position w:val="19"/>
          <w:sz w:val="36"/>
          <w:szCs w:val="36"/>
          <w:highlight w:val="none"/>
          <w:lang w:eastAsia="zh-CN"/>
          <w14:textOutline w14:w="6537" w14:cap="sq" w14:cmpd="sng">
            <w14:solidFill>
              <w14:srgbClr w14:val="000000"/>
            </w14:solidFill>
            <w14:prstDash w14:val="solid"/>
            <w14:bevel/>
          </w14:textOutline>
        </w:rPr>
        <w:t>(第一批)</w:t>
      </w:r>
    </w:p>
    <w:p w14:paraId="10523364">
      <w:pPr>
        <w:spacing w:line="265" w:lineRule="auto"/>
        <w:rPr>
          <w:rFonts w:ascii="Arial"/>
          <w:color w:val="auto"/>
          <w:sz w:val="21"/>
          <w:highlight w:val="none"/>
        </w:rPr>
      </w:pPr>
    </w:p>
    <w:p w14:paraId="7F883964">
      <w:pPr>
        <w:spacing w:line="265" w:lineRule="auto"/>
        <w:rPr>
          <w:rFonts w:ascii="Arial"/>
          <w:color w:val="auto"/>
          <w:sz w:val="21"/>
          <w:highlight w:val="none"/>
        </w:rPr>
      </w:pPr>
    </w:p>
    <w:p w14:paraId="79AD64DB">
      <w:pPr>
        <w:spacing w:line="265" w:lineRule="auto"/>
        <w:rPr>
          <w:rFonts w:ascii="Arial"/>
          <w:color w:val="auto"/>
          <w:sz w:val="21"/>
          <w:highlight w:val="none"/>
        </w:rPr>
      </w:pPr>
    </w:p>
    <w:p w14:paraId="2405D974">
      <w:pPr>
        <w:spacing w:before="114" w:line="225" w:lineRule="auto"/>
        <w:ind w:left="3426"/>
        <w:rPr>
          <w:rFonts w:ascii="宋体" w:hAnsi="宋体" w:eastAsia="宋体" w:cs="宋体"/>
          <w:color w:val="auto"/>
          <w:sz w:val="35"/>
          <w:szCs w:val="35"/>
          <w:highlight w:val="none"/>
        </w:rPr>
      </w:pPr>
      <w:r>
        <w:rPr>
          <w:rFonts w:ascii="宋体" w:hAnsi="宋体" w:eastAsia="宋体" w:cs="宋体"/>
          <w:color w:val="auto"/>
          <w:spacing w:val="6"/>
          <w:sz w:val="35"/>
          <w:szCs w:val="35"/>
          <w:highlight w:val="none"/>
          <w14:textOutline w14:w="6537" w14:cap="sq" w14:cmpd="sng">
            <w14:solidFill>
              <w14:srgbClr w14:val="000000"/>
            </w14:solidFill>
            <w14:prstDash w14:val="solid"/>
            <w14:bevel/>
          </w14:textOutline>
        </w:rPr>
        <w:t>公开招标文件</w:t>
      </w:r>
    </w:p>
    <w:p w14:paraId="590A0D61">
      <w:pPr>
        <w:spacing w:line="252" w:lineRule="auto"/>
        <w:rPr>
          <w:rFonts w:ascii="Arial"/>
          <w:color w:val="auto"/>
          <w:sz w:val="21"/>
          <w:highlight w:val="none"/>
        </w:rPr>
      </w:pPr>
    </w:p>
    <w:p w14:paraId="025FE78B">
      <w:pPr>
        <w:spacing w:line="252" w:lineRule="auto"/>
        <w:rPr>
          <w:rFonts w:ascii="Arial"/>
          <w:color w:val="auto"/>
          <w:sz w:val="21"/>
          <w:highlight w:val="none"/>
        </w:rPr>
      </w:pPr>
    </w:p>
    <w:p w14:paraId="3F9AF370">
      <w:pPr>
        <w:spacing w:line="252" w:lineRule="auto"/>
        <w:rPr>
          <w:rFonts w:ascii="Arial"/>
          <w:color w:val="auto"/>
          <w:sz w:val="21"/>
          <w:highlight w:val="none"/>
        </w:rPr>
      </w:pPr>
    </w:p>
    <w:p w14:paraId="06D86235">
      <w:pPr>
        <w:spacing w:line="252" w:lineRule="auto"/>
        <w:rPr>
          <w:rFonts w:ascii="Arial"/>
          <w:color w:val="auto"/>
          <w:sz w:val="21"/>
          <w:highlight w:val="none"/>
        </w:rPr>
      </w:pPr>
    </w:p>
    <w:p w14:paraId="4DEA4B0D">
      <w:pPr>
        <w:spacing w:line="252" w:lineRule="auto"/>
        <w:rPr>
          <w:rFonts w:ascii="Arial"/>
          <w:color w:val="auto"/>
          <w:sz w:val="21"/>
          <w:highlight w:val="none"/>
        </w:rPr>
      </w:pPr>
    </w:p>
    <w:p w14:paraId="015E6397">
      <w:pPr>
        <w:spacing w:line="252" w:lineRule="auto"/>
        <w:rPr>
          <w:rFonts w:ascii="Arial"/>
          <w:color w:val="auto"/>
          <w:sz w:val="21"/>
          <w:highlight w:val="none"/>
        </w:rPr>
      </w:pPr>
    </w:p>
    <w:p w14:paraId="47D82A9B">
      <w:pPr>
        <w:spacing w:line="252" w:lineRule="auto"/>
        <w:rPr>
          <w:rFonts w:ascii="Arial"/>
          <w:color w:val="auto"/>
          <w:sz w:val="21"/>
          <w:highlight w:val="none"/>
        </w:rPr>
      </w:pPr>
    </w:p>
    <w:p w14:paraId="592786F6">
      <w:pPr>
        <w:spacing w:line="252" w:lineRule="auto"/>
        <w:rPr>
          <w:rFonts w:ascii="Arial"/>
          <w:color w:val="auto"/>
          <w:sz w:val="21"/>
          <w:highlight w:val="none"/>
        </w:rPr>
      </w:pPr>
    </w:p>
    <w:p w14:paraId="67DEABAF">
      <w:pPr>
        <w:spacing w:line="252" w:lineRule="auto"/>
        <w:rPr>
          <w:rFonts w:ascii="Arial"/>
          <w:color w:val="auto"/>
          <w:sz w:val="21"/>
          <w:highlight w:val="none"/>
        </w:rPr>
      </w:pPr>
    </w:p>
    <w:p w14:paraId="522DC9B1">
      <w:pPr>
        <w:spacing w:line="252" w:lineRule="auto"/>
        <w:rPr>
          <w:rFonts w:ascii="Arial"/>
          <w:color w:val="auto"/>
          <w:sz w:val="21"/>
          <w:highlight w:val="none"/>
        </w:rPr>
      </w:pPr>
    </w:p>
    <w:p w14:paraId="77DE4DAB">
      <w:pPr>
        <w:spacing w:line="253" w:lineRule="auto"/>
        <w:rPr>
          <w:rFonts w:ascii="Arial"/>
          <w:color w:val="auto"/>
          <w:sz w:val="21"/>
          <w:highlight w:val="none"/>
        </w:rPr>
      </w:pPr>
    </w:p>
    <w:p w14:paraId="4E88DC24">
      <w:pPr>
        <w:spacing w:line="253" w:lineRule="auto"/>
        <w:rPr>
          <w:rFonts w:ascii="Arial"/>
          <w:color w:val="auto"/>
          <w:sz w:val="21"/>
          <w:highlight w:val="none"/>
        </w:rPr>
      </w:pPr>
    </w:p>
    <w:p w14:paraId="1B6B0C0B">
      <w:pPr>
        <w:spacing w:line="253" w:lineRule="auto"/>
        <w:rPr>
          <w:rFonts w:ascii="Arial"/>
          <w:color w:val="auto"/>
          <w:sz w:val="21"/>
          <w:highlight w:val="none"/>
        </w:rPr>
      </w:pPr>
    </w:p>
    <w:p w14:paraId="66CB7E2C">
      <w:pPr>
        <w:spacing w:before="101" w:line="225" w:lineRule="auto"/>
        <w:ind w:left="4015"/>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14:textOutline w14:w="5793" w14:cap="sq" w14:cmpd="sng">
            <w14:solidFill>
              <w14:srgbClr w14:val="000000"/>
            </w14:solidFill>
            <w14:prstDash w14:val="solid"/>
            <w14:bevel/>
          </w14:textOutline>
        </w:rPr>
        <w:t>第二册</w:t>
      </w:r>
    </w:p>
    <w:p w14:paraId="24E44EE5">
      <w:pPr>
        <w:spacing w:line="225" w:lineRule="auto"/>
        <w:rPr>
          <w:rFonts w:ascii="宋体" w:hAnsi="宋体" w:eastAsia="宋体" w:cs="宋体"/>
          <w:color w:val="auto"/>
          <w:sz w:val="31"/>
          <w:szCs w:val="31"/>
          <w:highlight w:val="none"/>
        </w:rPr>
        <w:sectPr>
          <w:footerReference r:id="rId40" w:type="default"/>
          <w:pgSz w:w="11906" w:h="16839"/>
          <w:pgMar w:top="1431" w:right="1238" w:bottom="1169" w:left="1694" w:header="0" w:footer="992" w:gutter="0"/>
          <w:pgBorders>
            <w:top w:val="none" w:sz="0" w:space="0"/>
            <w:left w:val="none" w:sz="0" w:space="0"/>
            <w:bottom w:val="none" w:sz="0" w:space="0"/>
            <w:right w:val="none" w:sz="0" w:space="0"/>
          </w:pgBorders>
          <w:pgNumType w:fmt="decimal"/>
          <w:cols w:space="720" w:num="1"/>
        </w:sectPr>
      </w:pPr>
    </w:p>
    <w:p w14:paraId="4B33EB68">
      <w:pPr>
        <w:spacing w:before="63" w:line="224" w:lineRule="auto"/>
        <w:ind w:left="3930"/>
        <w:outlineLvl w:val="0"/>
        <w:rPr>
          <w:rFonts w:ascii="宋体" w:hAnsi="宋体" w:eastAsia="宋体" w:cs="宋体"/>
          <w:color w:val="auto"/>
          <w:sz w:val="31"/>
          <w:szCs w:val="31"/>
          <w:highlight w:val="none"/>
        </w:rPr>
      </w:pPr>
      <w:bookmarkStart w:id="17" w:name="_Toc11204"/>
      <w:r>
        <w:rPr>
          <w:rFonts w:ascii="宋体" w:hAnsi="宋体" w:eastAsia="宋体" w:cs="宋体"/>
          <w:color w:val="auto"/>
          <w:spacing w:val="8"/>
          <w:sz w:val="31"/>
          <w:szCs w:val="31"/>
          <w:highlight w:val="none"/>
          <w14:textOutline w14:w="5793" w14:cap="sq" w14:cmpd="sng">
            <w14:solidFill>
              <w14:srgbClr w14:val="000000"/>
            </w14:solidFill>
            <w14:prstDash w14:val="solid"/>
            <w14:bevel/>
          </w14:textOutline>
        </w:rPr>
        <w:t>第3章投标邀请</w:t>
      </w:r>
      <w:bookmarkEnd w:id="17"/>
    </w:p>
    <w:p w14:paraId="031BCBE8">
      <w:pPr>
        <w:spacing w:before="69" w:line="219" w:lineRule="auto"/>
        <w:ind w:left="545"/>
        <w:jc w:val="center"/>
        <w:outlineLvl w:val="0"/>
        <w:rPr>
          <w:rFonts w:ascii="宋体" w:hAnsi="宋体" w:eastAsia="宋体" w:cs="宋体"/>
          <w:color w:val="auto"/>
          <w:sz w:val="30"/>
          <w:szCs w:val="30"/>
          <w:highlight w:val="none"/>
        </w:rPr>
      </w:pPr>
      <w:bookmarkStart w:id="18" w:name="_Toc8238"/>
      <w:bookmarkStart w:id="19" w:name="_Toc29090"/>
      <w:r>
        <w:rPr>
          <w:rFonts w:hint="eastAsia" w:ascii="宋体" w:hAnsi="宋体" w:eastAsia="宋体" w:cs="宋体"/>
          <w:color w:val="auto"/>
          <w:sz w:val="30"/>
          <w:szCs w:val="30"/>
          <w:highlight w:val="none"/>
          <w:lang w:eastAsia="zh-CN"/>
          <w14:textOutline w14:w="5448" w14:cap="sq" w14:cmpd="sng">
            <w14:solidFill>
              <w14:srgbClr w14:val="000000"/>
            </w14:solidFill>
            <w14:prstDash w14:val="solid"/>
            <w14:bevel/>
          </w14:textOutline>
        </w:rPr>
        <w:t xml:space="preserve">喀什地区伽师县紧密型县域医共体建设项目(第一批) </w:t>
      </w:r>
      <w:r>
        <w:rPr>
          <w:rFonts w:ascii="宋体" w:hAnsi="宋体" w:eastAsia="宋体" w:cs="宋体"/>
          <w:color w:val="auto"/>
          <w:spacing w:val="-5"/>
          <w:sz w:val="30"/>
          <w:szCs w:val="30"/>
          <w:highlight w:val="none"/>
          <w14:textOutline w14:w="5448" w14:cap="sq" w14:cmpd="sng">
            <w14:solidFill>
              <w14:srgbClr w14:val="000000"/>
            </w14:solidFill>
            <w14:prstDash w14:val="solid"/>
            <w14:bevel/>
          </w14:textOutline>
        </w:rPr>
        <w:t>公开招标公告</w:t>
      </w:r>
      <w:bookmarkEnd w:id="18"/>
      <w:bookmarkEnd w:id="19"/>
    </w:p>
    <w:tbl>
      <w:tblPr>
        <w:tblStyle w:val="22"/>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14:paraId="5CB437B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729" w:hRule="atLeast"/>
        </w:trPr>
        <w:tc>
          <w:tcPr>
            <w:tcW w:w="9919" w:type="dxa"/>
            <w:vAlign w:val="top"/>
          </w:tcPr>
          <w:p w14:paraId="6DBC3153">
            <w:pPr>
              <w:pStyle w:val="23"/>
              <w:spacing w:before="155" w:line="219" w:lineRule="auto"/>
              <w:ind w:left="98"/>
              <w:rPr>
                <w:color w:val="auto"/>
                <w:sz w:val="24"/>
                <w:szCs w:val="24"/>
                <w:highlight w:val="none"/>
              </w:rPr>
            </w:pPr>
            <w:r>
              <w:rPr>
                <w:color w:val="auto"/>
                <w:spacing w:val="-4"/>
                <w:sz w:val="24"/>
                <w:szCs w:val="24"/>
                <w:highlight w:val="none"/>
              </w:rPr>
              <w:t>项目概况</w:t>
            </w:r>
          </w:p>
          <w:p w14:paraId="0E90E13A">
            <w:pPr>
              <w:pStyle w:val="23"/>
              <w:spacing w:before="135" w:line="323" w:lineRule="auto"/>
              <w:ind w:left="97" w:right="82" w:firstLine="488"/>
              <w:jc w:val="both"/>
              <w:rPr>
                <w:color w:val="auto"/>
                <w:sz w:val="24"/>
                <w:szCs w:val="24"/>
                <w:highlight w:val="none"/>
              </w:rPr>
            </w:pPr>
            <w:r>
              <w:rPr>
                <w:rFonts w:hint="eastAsia"/>
                <w:color w:val="auto"/>
                <w:spacing w:val="-3"/>
                <w:sz w:val="24"/>
                <w:szCs w:val="24"/>
                <w:highlight w:val="none"/>
                <w:u w:val="single"/>
                <w:lang w:eastAsia="zh-CN"/>
              </w:rPr>
              <w:t xml:space="preserve">喀什地区伽师县紧密型县域医共体建设项目(第一批) </w:t>
            </w:r>
            <w:r>
              <w:rPr>
                <w:color w:val="auto"/>
                <w:spacing w:val="-3"/>
                <w:sz w:val="24"/>
                <w:szCs w:val="24"/>
                <w:highlight w:val="none"/>
              </w:rPr>
              <w:t>的潜在投标人应在</w:t>
            </w:r>
            <w:r>
              <w:rPr>
                <w:rFonts w:hint="eastAsia"/>
                <w:color w:val="auto"/>
                <w:spacing w:val="-3"/>
                <w:sz w:val="24"/>
                <w:szCs w:val="24"/>
                <w:highlight w:val="none"/>
                <w:u w:val="single" w:color="auto"/>
                <w:lang w:val="en-US" w:eastAsia="zh-CN"/>
              </w:rPr>
              <w:t>政采云平台线上</w:t>
            </w:r>
            <w:r>
              <w:rPr>
                <w:color w:val="auto"/>
                <w:spacing w:val="-5"/>
                <w:sz w:val="24"/>
                <w:szCs w:val="24"/>
                <w:highlight w:val="none"/>
              </w:rPr>
              <w:t>获取招标文件，并于</w:t>
            </w:r>
            <w:r>
              <w:rPr>
                <w:rFonts w:hint="eastAsia"/>
                <w:color w:val="auto"/>
                <w:spacing w:val="-5"/>
                <w:sz w:val="24"/>
                <w:szCs w:val="24"/>
                <w:highlight w:val="none"/>
                <w:u w:val="single" w:color="auto"/>
                <w:lang w:eastAsia="zh-CN"/>
              </w:rPr>
              <w:t>2026年7月3日11点00分（北京时间）</w:t>
            </w:r>
            <w:r>
              <w:rPr>
                <w:color w:val="auto"/>
                <w:spacing w:val="-5"/>
                <w:sz w:val="24"/>
                <w:szCs w:val="24"/>
                <w:highlight w:val="none"/>
              </w:rPr>
              <w:t>前递交投标文件。</w:t>
            </w:r>
          </w:p>
        </w:tc>
      </w:tr>
    </w:tbl>
    <w:p w14:paraId="7247FE34">
      <w:pPr>
        <w:spacing w:line="419" w:lineRule="auto"/>
        <w:rPr>
          <w:rFonts w:ascii="Arial"/>
          <w:color w:val="auto"/>
          <w:sz w:val="21"/>
          <w:highlight w:val="none"/>
        </w:rPr>
      </w:pPr>
    </w:p>
    <w:p w14:paraId="05EBB5FD">
      <w:pPr>
        <w:spacing w:before="78" w:line="219" w:lineRule="auto"/>
        <w:ind w:left="103"/>
        <w:outlineLvl w:val="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一、项目基本情况</w:t>
      </w:r>
    </w:p>
    <w:p w14:paraId="23049332">
      <w:pPr>
        <w:spacing w:before="183" w:line="218" w:lineRule="auto"/>
        <w:ind w:left="583"/>
        <w:rPr>
          <w:rFonts w:hint="eastAsia" w:ascii="宋体" w:hAnsi="宋体" w:eastAsia="宋体" w:cs="宋体"/>
          <w:color w:val="auto"/>
          <w:sz w:val="24"/>
          <w:szCs w:val="24"/>
          <w:highlight w:val="none"/>
          <w:lang w:val="en-US" w:eastAsia="zh-CN"/>
        </w:rPr>
      </w:pPr>
      <w:r>
        <w:rPr>
          <w:rFonts w:ascii="宋体" w:hAnsi="宋体" w:eastAsia="宋体" w:cs="宋体"/>
          <w:color w:val="auto"/>
          <w:spacing w:val="-1"/>
          <w:sz w:val="24"/>
          <w:szCs w:val="24"/>
          <w:highlight w:val="none"/>
        </w:rPr>
        <w:t>项目编号：</w:t>
      </w:r>
      <w:r>
        <w:rPr>
          <w:rFonts w:hint="eastAsia" w:ascii="宋体" w:hAnsi="宋体" w:eastAsia="宋体" w:cs="宋体"/>
          <w:color w:val="auto"/>
          <w:spacing w:val="-1"/>
          <w:sz w:val="24"/>
          <w:szCs w:val="24"/>
          <w:highlight w:val="none"/>
          <w:lang w:eastAsia="zh-CN"/>
        </w:rPr>
        <w:t>XBZX-GK-2026-019</w:t>
      </w:r>
    </w:p>
    <w:p w14:paraId="5DDB5DE2">
      <w:pPr>
        <w:spacing w:before="181" w:line="219" w:lineRule="auto"/>
        <w:ind w:left="578"/>
        <w:rPr>
          <w:rFonts w:hint="default" w:ascii="宋体" w:hAnsi="宋体" w:eastAsia="宋体" w:cs="宋体"/>
          <w:color w:val="auto"/>
          <w:spacing w:val="-1"/>
          <w:sz w:val="24"/>
          <w:szCs w:val="24"/>
          <w:highlight w:val="none"/>
          <w:lang w:eastAsia="zh-CN"/>
        </w:rPr>
      </w:pPr>
      <w:r>
        <w:rPr>
          <w:rFonts w:ascii="宋体" w:hAnsi="宋体" w:eastAsia="宋体" w:cs="宋体"/>
          <w:color w:val="auto"/>
          <w:spacing w:val="-1"/>
          <w:sz w:val="24"/>
          <w:szCs w:val="24"/>
          <w:highlight w:val="none"/>
        </w:rPr>
        <w:t>项目名称：</w:t>
      </w:r>
      <w:r>
        <w:rPr>
          <w:rFonts w:hint="eastAsia" w:ascii="宋体" w:hAnsi="宋体" w:eastAsia="宋体" w:cs="宋体"/>
          <w:color w:val="auto"/>
          <w:spacing w:val="-1"/>
          <w:sz w:val="24"/>
          <w:szCs w:val="24"/>
          <w:highlight w:val="none"/>
          <w:lang w:eastAsia="zh-CN"/>
        </w:rPr>
        <w:t>喀什地区伽师县紧密型县域医共体建设项目(第一批)</w:t>
      </w:r>
    </w:p>
    <w:p w14:paraId="16930EAD">
      <w:pPr>
        <w:spacing w:before="181" w:line="219" w:lineRule="auto"/>
        <w:ind w:left="5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采购方式：公开招标</w:t>
      </w:r>
    </w:p>
    <w:p w14:paraId="4D637027">
      <w:pPr>
        <w:spacing w:before="181" w:line="219" w:lineRule="auto"/>
        <w:ind w:left="578"/>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预算金额：</w:t>
      </w:r>
    </w:p>
    <w:p w14:paraId="41BF78C7">
      <w:pPr>
        <w:spacing w:before="181" w:line="219" w:lineRule="auto"/>
        <w:ind w:left="578"/>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一标段预算金额：2119800元，</w:t>
      </w:r>
      <w:r>
        <w:rPr>
          <w:rFonts w:hint="eastAsia" w:ascii="宋体" w:hAnsi="宋体" w:eastAsia="宋体" w:cs="宋体"/>
          <w:color w:val="auto"/>
          <w:spacing w:val="-1"/>
          <w:sz w:val="24"/>
          <w:szCs w:val="24"/>
          <w:highlight w:val="none"/>
          <w:lang w:eastAsia="zh-CN"/>
        </w:rPr>
        <w:t>最高限价（元）：</w:t>
      </w:r>
      <w:r>
        <w:rPr>
          <w:rFonts w:hint="eastAsia" w:ascii="宋体" w:hAnsi="宋体" w:eastAsia="宋体" w:cs="宋体"/>
          <w:color w:val="auto"/>
          <w:spacing w:val="-1"/>
          <w:sz w:val="24"/>
          <w:szCs w:val="24"/>
          <w:highlight w:val="none"/>
          <w:lang w:val="en-US" w:eastAsia="zh-CN"/>
        </w:rPr>
        <w:t>2119800元</w:t>
      </w:r>
    </w:p>
    <w:p w14:paraId="42E84D63">
      <w:pPr>
        <w:spacing w:before="181" w:line="219" w:lineRule="auto"/>
        <w:ind w:left="578"/>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二标段预算金额：3860000元，</w:t>
      </w:r>
      <w:r>
        <w:rPr>
          <w:rFonts w:hint="eastAsia" w:ascii="宋体" w:hAnsi="宋体" w:eastAsia="宋体" w:cs="宋体"/>
          <w:color w:val="auto"/>
          <w:spacing w:val="-1"/>
          <w:sz w:val="24"/>
          <w:szCs w:val="24"/>
          <w:highlight w:val="none"/>
          <w:lang w:eastAsia="zh-CN"/>
        </w:rPr>
        <w:t>最高限价（元）：</w:t>
      </w:r>
      <w:r>
        <w:rPr>
          <w:rFonts w:hint="eastAsia" w:ascii="宋体" w:hAnsi="宋体" w:eastAsia="宋体" w:cs="宋体"/>
          <w:color w:val="auto"/>
          <w:spacing w:val="-1"/>
          <w:sz w:val="24"/>
          <w:szCs w:val="24"/>
          <w:highlight w:val="none"/>
          <w:lang w:val="en-US" w:eastAsia="zh-CN"/>
        </w:rPr>
        <w:t>3860000元</w:t>
      </w:r>
    </w:p>
    <w:p w14:paraId="59223CE0">
      <w:pPr>
        <w:spacing w:before="181" w:line="219" w:lineRule="auto"/>
        <w:ind w:left="578"/>
        <w:rPr>
          <w:rFonts w:hint="default"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三标段预算金额：3069000元，</w:t>
      </w:r>
      <w:r>
        <w:rPr>
          <w:rFonts w:hint="eastAsia" w:ascii="宋体" w:hAnsi="宋体" w:eastAsia="宋体" w:cs="宋体"/>
          <w:color w:val="auto"/>
          <w:spacing w:val="-1"/>
          <w:sz w:val="24"/>
          <w:szCs w:val="24"/>
          <w:highlight w:val="none"/>
          <w:lang w:eastAsia="zh-CN"/>
        </w:rPr>
        <w:t>最高限价（元）：</w:t>
      </w:r>
      <w:r>
        <w:rPr>
          <w:rFonts w:hint="eastAsia" w:ascii="宋体" w:hAnsi="宋体" w:eastAsia="宋体" w:cs="宋体"/>
          <w:color w:val="auto"/>
          <w:spacing w:val="-1"/>
          <w:sz w:val="24"/>
          <w:szCs w:val="24"/>
          <w:highlight w:val="none"/>
          <w:lang w:val="en-US" w:eastAsia="zh-CN"/>
        </w:rPr>
        <w:t>3069000元</w:t>
      </w:r>
    </w:p>
    <w:p w14:paraId="137EDB4F">
      <w:pPr>
        <w:spacing w:before="184" w:line="360" w:lineRule="auto"/>
        <w:ind w:left="580"/>
        <w:rPr>
          <w:rFonts w:hint="eastAsia" w:ascii="宋体" w:hAnsi="宋体" w:eastAsia="宋体" w:cs="宋体"/>
          <w:color w:val="auto"/>
          <w:spacing w:val="-1"/>
          <w:sz w:val="24"/>
          <w:szCs w:val="24"/>
          <w:highlight w:val="none"/>
          <w:lang w:val="en-US" w:eastAsia="zh-CN"/>
        </w:rPr>
      </w:pPr>
      <w:r>
        <w:rPr>
          <w:rFonts w:ascii="宋体" w:hAnsi="宋体" w:eastAsia="宋体" w:cs="宋体"/>
          <w:color w:val="auto"/>
          <w:spacing w:val="-1"/>
          <w:sz w:val="24"/>
          <w:szCs w:val="24"/>
          <w:highlight w:val="none"/>
        </w:rPr>
        <w:t>采购需求：</w:t>
      </w:r>
      <w:r>
        <w:rPr>
          <w:rFonts w:hint="eastAsia" w:ascii="宋体" w:hAnsi="宋体" w:eastAsia="宋体" w:cs="宋体"/>
          <w:color w:val="auto"/>
          <w:spacing w:val="-1"/>
          <w:sz w:val="24"/>
          <w:szCs w:val="24"/>
          <w:highlight w:val="none"/>
          <w:lang w:val="en-US" w:eastAsia="zh-CN"/>
        </w:rPr>
        <w:t>采购医疗设备一批（具体详见采购文件清单项）。</w:t>
      </w:r>
    </w:p>
    <w:p w14:paraId="0C4A41B5">
      <w:pPr>
        <w:spacing w:before="184" w:line="360" w:lineRule="auto"/>
        <w:ind w:left="580"/>
        <w:rPr>
          <w:rFonts w:hint="default"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合同履约期限：签订合同后60天内供货安装调试完毕（具体以签订的合同为准）</w:t>
      </w:r>
    </w:p>
    <w:p w14:paraId="366A683B">
      <w:pPr>
        <w:spacing w:before="1" w:line="360" w:lineRule="auto"/>
        <w:ind w:left="5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本项目（否）接受联合体投标。</w:t>
      </w:r>
    </w:p>
    <w:p w14:paraId="59984BE7">
      <w:pPr>
        <w:spacing w:before="182" w:line="219" w:lineRule="auto"/>
        <w:ind w:left="103"/>
        <w:outlineLvl w:val="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二、申请人的资格要求：</w:t>
      </w:r>
    </w:p>
    <w:p w14:paraId="4AF76EE9">
      <w:pPr>
        <w:spacing w:before="182" w:line="219" w:lineRule="auto"/>
        <w:ind w:left="35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1.满足《中华人民共和国政府采购法》第二十二条</w:t>
      </w:r>
      <w:r>
        <w:rPr>
          <w:rFonts w:ascii="宋体" w:hAnsi="宋体" w:eastAsia="宋体" w:cs="宋体"/>
          <w:color w:val="auto"/>
          <w:spacing w:val="-2"/>
          <w:sz w:val="24"/>
          <w:szCs w:val="24"/>
          <w:highlight w:val="none"/>
        </w:rPr>
        <w:t>规定；</w:t>
      </w:r>
    </w:p>
    <w:p w14:paraId="77B660CA">
      <w:pPr>
        <w:spacing w:before="182" w:line="374" w:lineRule="exact"/>
        <w:ind w:left="342"/>
        <w:rPr>
          <w:rFonts w:ascii="宋体" w:hAnsi="宋体" w:eastAsia="宋体" w:cs="宋体"/>
          <w:color w:val="auto"/>
          <w:spacing w:val="-1"/>
          <w:position w:val="9"/>
          <w:sz w:val="24"/>
          <w:szCs w:val="24"/>
          <w:highlight w:val="none"/>
        </w:rPr>
      </w:pPr>
      <w:r>
        <w:rPr>
          <w:rFonts w:ascii="宋体" w:hAnsi="宋体" w:eastAsia="宋体" w:cs="宋体"/>
          <w:color w:val="auto"/>
          <w:spacing w:val="-1"/>
          <w:position w:val="9"/>
          <w:sz w:val="24"/>
          <w:szCs w:val="24"/>
          <w:highlight w:val="none"/>
        </w:rPr>
        <w:t>2.落实政府采购政策需满足的资格要求：</w:t>
      </w:r>
      <w:r>
        <w:rPr>
          <w:rFonts w:hint="eastAsia" w:ascii="宋体" w:hAnsi="宋体" w:eastAsia="宋体" w:cs="宋体"/>
          <w:color w:val="auto"/>
          <w:spacing w:val="-1"/>
          <w:position w:val="9"/>
          <w:sz w:val="24"/>
          <w:szCs w:val="24"/>
          <w:highlight w:val="none"/>
        </w:rPr>
        <w:t>本</w:t>
      </w:r>
      <w:r>
        <w:rPr>
          <w:rFonts w:hint="eastAsia" w:ascii="宋体" w:hAnsi="宋体" w:eastAsia="宋体" w:cs="宋体"/>
          <w:color w:val="auto"/>
          <w:spacing w:val="-1"/>
          <w:position w:val="9"/>
          <w:sz w:val="24"/>
          <w:szCs w:val="24"/>
          <w:highlight w:val="none"/>
          <w:lang w:val="en-US" w:eastAsia="zh-CN"/>
        </w:rPr>
        <w:t>项目不</w:t>
      </w:r>
      <w:r>
        <w:rPr>
          <w:rFonts w:hint="eastAsia" w:ascii="宋体" w:hAnsi="宋体" w:eastAsia="宋体" w:cs="宋体"/>
          <w:color w:val="auto"/>
          <w:spacing w:val="-1"/>
          <w:position w:val="9"/>
          <w:sz w:val="24"/>
          <w:szCs w:val="24"/>
          <w:highlight w:val="none"/>
        </w:rPr>
        <w:t>专门面向中小企业</w:t>
      </w:r>
      <w:r>
        <w:rPr>
          <w:rFonts w:hint="eastAsia" w:ascii="宋体" w:hAnsi="宋体" w:eastAsia="宋体" w:cs="宋体"/>
          <w:color w:val="auto"/>
          <w:spacing w:val="-1"/>
          <w:position w:val="9"/>
          <w:sz w:val="24"/>
          <w:szCs w:val="24"/>
          <w:highlight w:val="none"/>
          <w:lang w:val="en-US" w:eastAsia="zh-CN"/>
        </w:rPr>
        <w:t>采购</w:t>
      </w:r>
      <w:r>
        <w:rPr>
          <w:rFonts w:hint="eastAsia" w:ascii="宋体" w:hAnsi="宋体" w:eastAsia="宋体" w:cs="宋体"/>
          <w:color w:val="auto"/>
          <w:spacing w:val="-1"/>
          <w:position w:val="9"/>
          <w:sz w:val="24"/>
          <w:szCs w:val="24"/>
          <w:highlight w:val="none"/>
        </w:rPr>
        <w:t>；</w:t>
      </w:r>
    </w:p>
    <w:p w14:paraId="4344B123">
      <w:pPr>
        <w:spacing w:before="1" w:line="218" w:lineRule="auto"/>
        <w:ind w:left="343"/>
        <w:rPr>
          <w:rFonts w:hint="eastAsia" w:ascii="宋体" w:hAnsi="宋体" w:eastAsia="宋体" w:cs="宋体"/>
          <w:color w:val="auto"/>
          <w:sz w:val="24"/>
          <w:szCs w:val="24"/>
          <w:highlight w:val="none"/>
          <w:lang w:eastAsia="zh-CN"/>
        </w:rPr>
      </w:pPr>
      <w:r>
        <w:rPr>
          <w:rFonts w:ascii="宋体" w:hAnsi="宋体" w:eastAsia="宋体" w:cs="宋体"/>
          <w:color w:val="auto"/>
          <w:spacing w:val="-1"/>
          <w:sz w:val="24"/>
          <w:szCs w:val="24"/>
          <w:highlight w:val="none"/>
        </w:rPr>
        <w:t>3.本项目的特定资格要求：</w:t>
      </w:r>
      <w:r>
        <w:rPr>
          <w:rFonts w:hint="eastAsia" w:ascii="宋体" w:hAnsi="宋体" w:eastAsia="宋体" w:cs="宋体"/>
          <w:color w:val="auto"/>
          <w:spacing w:val="-1"/>
          <w:sz w:val="24"/>
          <w:szCs w:val="24"/>
          <w:highlight w:val="none"/>
          <w:lang w:eastAsia="zh-CN"/>
        </w:rPr>
        <w:t>所投产品属于第二类医疗器械的，需提供有效的行政主管部门颁发的医疗器械经营备案凭证（医疗器械生产许可证或医疗器械经营许可证或其他医疗器械生产经营许可证明文件）；所投产品属于第三类医疗器械的，需提供有效的行政主管部门颁发的医疗器械生产许可证（医疗器械经营许可证或其他医疗器械生产经营许可证明文件）</w:t>
      </w:r>
    </w:p>
    <w:p w14:paraId="08E7E9AC">
      <w:pPr>
        <w:spacing w:before="78" w:line="219" w:lineRule="auto"/>
        <w:ind w:left="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三、获取招标文件</w:t>
      </w:r>
    </w:p>
    <w:p w14:paraId="06A35C74">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时间：202</w:t>
      </w:r>
      <w:r>
        <w:rPr>
          <w:rFonts w:hint="eastAsia" w:ascii="宋体" w:hAnsi="宋体" w:eastAsia="宋体" w:cs="宋体"/>
          <w:color w:val="auto"/>
          <w:spacing w:val="-3"/>
          <w:sz w:val="24"/>
          <w:szCs w:val="24"/>
          <w:highlight w:val="none"/>
          <w:lang w:val="en-US" w:eastAsia="zh-CN"/>
        </w:rPr>
        <w:t>6</w:t>
      </w:r>
      <w:r>
        <w:rPr>
          <w:rFonts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6</w:t>
      </w:r>
      <w:r>
        <w:rPr>
          <w:rFonts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12</w:t>
      </w:r>
      <w:r>
        <w:rPr>
          <w:rFonts w:ascii="宋体" w:hAnsi="宋体" w:eastAsia="宋体" w:cs="宋体"/>
          <w:color w:val="auto"/>
          <w:spacing w:val="-3"/>
          <w:sz w:val="24"/>
          <w:szCs w:val="24"/>
          <w:highlight w:val="none"/>
        </w:rPr>
        <w:t>日至202</w:t>
      </w:r>
      <w:r>
        <w:rPr>
          <w:rFonts w:hint="eastAsia" w:ascii="宋体" w:hAnsi="宋体" w:eastAsia="宋体" w:cs="宋体"/>
          <w:color w:val="auto"/>
          <w:spacing w:val="-3"/>
          <w:sz w:val="24"/>
          <w:szCs w:val="24"/>
          <w:highlight w:val="none"/>
          <w:lang w:val="en-US" w:eastAsia="zh-CN"/>
        </w:rPr>
        <w:t>6</w:t>
      </w:r>
      <w:r>
        <w:rPr>
          <w:rFonts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7</w:t>
      </w:r>
      <w:r>
        <w:rPr>
          <w:rFonts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2</w:t>
      </w:r>
      <w:r>
        <w:rPr>
          <w:rFonts w:ascii="宋体" w:hAnsi="宋体" w:eastAsia="宋体" w:cs="宋体"/>
          <w:color w:val="auto"/>
          <w:spacing w:val="-3"/>
          <w:sz w:val="24"/>
          <w:szCs w:val="24"/>
          <w:highlight w:val="none"/>
        </w:rPr>
        <w:t>日，每天上午00:00至12:00，下午12:00至</w:t>
      </w:r>
      <w:r>
        <w:rPr>
          <w:rFonts w:hint="eastAsia" w:ascii="宋体" w:hAnsi="宋体" w:eastAsia="宋体" w:cs="宋体"/>
          <w:color w:val="auto"/>
          <w:spacing w:val="-3"/>
          <w:sz w:val="24"/>
          <w:szCs w:val="24"/>
          <w:highlight w:val="none"/>
        </w:rPr>
        <w:t>23:59（北京时间，法定节假日除外）</w:t>
      </w:r>
    </w:p>
    <w:p w14:paraId="567771D4">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地点：政采云平台线上获取文件https://www.zcygov.cn/</w:t>
      </w:r>
    </w:p>
    <w:p w14:paraId="2534B467">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方式：供应商登录政采云平台</w:t>
      </w:r>
      <w:r>
        <w:rPr>
          <w:rFonts w:ascii="宋体" w:hAnsi="宋体" w:eastAsia="宋体" w:cs="宋体"/>
          <w:color w:val="auto"/>
          <w:spacing w:val="-3"/>
          <w:sz w:val="24"/>
          <w:szCs w:val="24"/>
          <w:highlight w:val="none"/>
        </w:rPr>
        <w:fldChar w:fldCharType="begin"/>
      </w:r>
      <w:r>
        <w:rPr>
          <w:rFonts w:ascii="宋体" w:hAnsi="宋体" w:eastAsia="宋体" w:cs="宋体"/>
          <w:color w:val="auto"/>
          <w:spacing w:val="-3"/>
          <w:sz w:val="24"/>
          <w:szCs w:val="24"/>
          <w:highlight w:val="none"/>
        </w:rPr>
        <w:instrText xml:space="preserve"> HYPERLINK "https://www.zcygov.cn/" </w:instrText>
      </w:r>
      <w:r>
        <w:rPr>
          <w:rFonts w:ascii="宋体" w:hAnsi="宋体" w:eastAsia="宋体" w:cs="宋体"/>
          <w:color w:val="auto"/>
          <w:spacing w:val="-3"/>
          <w:sz w:val="24"/>
          <w:szCs w:val="24"/>
          <w:highlight w:val="none"/>
        </w:rPr>
        <w:fldChar w:fldCharType="separate"/>
      </w:r>
      <w:r>
        <w:rPr>
          <w:rFonts w:ascii="宋体" w:hAnsi="宋体" w:eastAsia="宋体" w:cs="宋体"/>
          <w:color w:val="auto"/>
          <w:spacing w:val="-3"/>
          <w:sz w:val="24"/>
          <w:szCs w:val="24"/>
          <w:highlight w:val="none"/>
        </w:rPr>
        <w:t>https://www.zcygov.cn/</w:t>
      </w:r>
      <w:r>
        <w:rPr>
          <w:rFonts w:ascii="宋体" w:hAnsi="宋体" w:eastAsia="宋体" w:cs="宋体"/>
          <w:color w:val="auto"/>
          <w:spacing w:val="-3"/>
          <w:sz w:val="24"/>
          <w:szCs w:val="24"/>
          <w:highlight w:val="none"/>
        </w:rPr>
        <w:fldChar w:fldCharType="end"/>
      </w:r>
      <w:r>
        <w:rPr>
          <w:rFonts w:ascii="宋体" w:hAnsi="宋体" w:eastAsia="宋体" w:cs="宋体"/>
          <w:color w:val="auto"/>
          <w:spacing w:val="-3"/>
          <w:sz w:val="24"/>
          <w:szCs w:val="24"/>
          <w:highlight w:val="none"/>
        </w:rPr>
        <w:t>在线申请获取采购文件（进入“项</w:t>
      </w:r>
    </w:p>
    <w:p w14:paraId="09D60E48">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目采购”应用，在获取采购文件菜单中选择项目，申请获取采购文件）</w:t>
      </w:r>
    </w:p>
    <w:p w14:paraId="08442405">
      <w:pPr>
        <w:spacing w:before="185" w:line="219" w:lineRule="auto"/>
        <w:ind w:left="121"/>
        <w:outlineLvl w:val="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四、提交投标文件截止时间、开标时间和地点</w:t>
      </w:r>
    </w:p>
    <w:p w14:paraId="6BE4E6E7">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提交投标文件截止时间：</w:t>
      </w:r>
      <w:r>
        <w:rPr>
          <w:rFonts w:hint="eastAsia" w:ascii="宋体" w:hAnsi="宋体" w:eastAsia="宋体" w:cs="宋体"/>
          <w:color w:val="auto"/>
          <w:spacing w:val="-3"/>
          <w:sz w:val="24"/>
          <w:szCs w:val="24"/>
          <w:highlight w:val="none"/>
          <w:lang w:eastAsia="zh-CN"/>
        </w:rPr>
        <w:t>2026年7月3日11点00分（北京时间）</w:t>
      </w:r>
    </w:p>
    <w:p w14:paraId="7E06E662">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投标地点：政采云平台（https://login.zcygov.cn/user-login/#/login）</w:t>
      </w:r>
    </w:p>
    <w:p w14:paraId="40399D09">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开标时间：</w:t>
      </w:r>
      <w:r>
        <w:rPr>
          <w:rFonts w:hint="eastAsia" w:ascii="宋体" w:hAnsi="宋体" w:eastAsia="宋体" w:cs="宋体"/>
          <w:color w:val="auto"/>
          <w:spacing w:val="-3"/>
          <w:sz w:val="24"/>
          <w:szCs w:val="24"/>
          <w:highlight w:val="none"/>
          <w:lang w:eastAsia="zh-CN"/>
        </w:rPr>
        <w:t>2026年7月3日11点00分（北京时间）</w:t>
      </w:r>
    </w:p>
    <w:p w14:paraId="3D7102B5">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开标地点：政采云平台（https://login.zcygov.cn/user-login/#/login）</w:t>
      </w:r>
    </w:p>
    <w:p w14:paraId="7C677019">
      <w:pPr>
        <w:spacing w:before="187" w:line="218" w:lineRule="auto"/>
        <w:ind w:left="6"/>
        <w:outlineLvl w:val="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五、公告期限</w:t>
      </w:r>
    </w:p>
    <w:p w14:paraId="5FC3ACD2">
      <w:pPr>
        <w:spacing w:before="184" w:line="218" w:lineRule="auto"/>
        <w:ind w:left="52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自本公告发布之日起5个工作日。</w:t>
      </w:r>
    </w:p>
    <w:p w14:paraId="4C707E3C">
      <w:pPr>
        <w:spacing w:before="182" w:line="220" w:lineRule="auto"/>
        <w:ind w:left="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六、其他补充事宜</w:t>
      </w:r>
    </w:p>
    <w:p w14:paraId="0EA4BE88">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5F2EA7E9">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2.本项目实行网上投标，采用电子投标文件(供应商须使用CA加密设备通过政采云电子投标客户端制作投标文件)。若供应商参与投标，自行承担投标一切费用。</w:t>
      </w:r>
    </w:p>
    <w:p w14:paraId="427309A4">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5CF1E6BC">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4.供应商将政采云电子交易客户端下载、安装完成后，可通过账号密码或CA登录客户端进行投标文件制作。在使用政采云投标客户端时，建议使用WIN7及以上操作系统。客户端请至新疆政府采购网（</w:t>
      </w:r>
      <w:r>
        <w:rPr>
          <w:rFonts w:ascii="宋体" w:hAnsi="宋体" w:eastAsia="宋体" w:cs="宋体"/>
          <w:color w:val="auto"/>
          <w:spacing w:val="-3"/>
          <w:sz w:val="24"/>
          <w:szCs w:val="24"/>
          <w:highlight w:val="none"/>
        </w:rPr>
        <w:fldChar w:fldCharType="begin"/>
      </w:r>
      <w:r>
        <w:rPr>
          <w:rFonts w:ascii="宋体" w:hAnsi="宋体" w:eastAsia="宋体" w:cs="宋体"/>
          <w:color w:val="auto"/>
          <w:spacing w:val="-3"/>
          <w:sz w:val="24"/>
          <w:szCs w:val="24"/>
          <w:highlight w:val="none"/>
        </w:rPr>
        <w:instrText xml:space="preserve"> HYPERLINK "http://www.ccgp-xinjiang.gov.cn/" </w:instrText>
      </w:r>
      <w:r>
        <w:rPr>
          <w:rFonts w:ascii="宋体" w:hAnsi="宋体" w:eastAsia="宋体" w:cs="宋体"/>
          <w:color w:val="auto"/>
          <w:spacing w:val="-3"/>
          <w:sz w:val="24"/>
          <w:szCs w:val="24"/>
          <w:highlight w:val="none"/>
        </w:rPr>
        <w:fldChar w:fldCharType="separate"/>
      </w:r>
      <w:r>
        <w:rPr>
          <w:rFonts w:ascii="宋体" w:hAnsi="宋体" w:eastAsia="宋体" w:cs="宋体"/>
          <w:color w:val="auto"/>
          <w:spacing w:val="-3"/>
          <w:sz w:val="24"/>
          <w:szCs w:val="24"/>
          <w:highlight w:val="none"/>
        </w:rPr>
        <w:t>http://www.ccgp-xinjiang.gov.cn/</w:t>
      </w:r>
      <w:r>
        <w:rPr>
          <w:rFonts w:ascii="宋体" w:hAnsi="宋体" w:eastAsia="宋体" w:cs="宋体"/>
          <w:color w:val="auto"/>
          <w:spacing w:val="-3"/>
          <w:sz w:val="24"/>
          <w:szCs w:val="24"/>
          <w:highlight w:val="none"/>
        </w:rPr>
        <w:fldChar w:fldCharType="end"/>
      </w:r>
      <w:r>
        <w:rPr>
          <w:rFonts w:ascii="宋体" w:hAnsi="宋体" w:eastAsia="宋体" w:cs="宋体"/>
          <w:color w:val="auto"/>
          <w:spacing w:val="-3"/>
          <w:sz w:val="24"/>
          <w:szCs w:val="24"/>
          <w:highlight w:val="none"/>
        </w:rPr>
        <w:t>）下载专区查看，如有问题可拨打政采云客户服务热线400-881-7190进行咨询。</w:t>
      </w:r>
    </w:p>
    <w:p w14:paraId="60A4A9DC">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5.供应商在开标时须使用制作加密电子投标文件所使用的CA锁及电脑，电脑须提前配置好浏览器（建议使用谷歌浏览器），以便开标时解锁。</w:t>
      </w:r>
    </w:p>
    <w:p w14:paraId="6597532A">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6.投标保证金缴纳及确认时间：凡拟参加本次招标项目的供应商，必须在开标前将投标保证金汇入指定账户。投标保证金汇款凭证上用途栏应注明:招标项目名称+标项号+投标保证金。</w:t>
      </w:r>
    </w:p>
    <w:p w14:paraId="04D7D7D9">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否则，届时其投标将被拒绝。</w:t>
      </w:r>
    </w:p>
    <w:p w14:paraId="19574B2D">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7.供应商对不见面开评标系统的技术操作咨询，可通过</w:t>
      </w:r>
      <w:r>
        <w:rPr>
          <w:rFonts w:ascii="宋体" w:hAnsi="宋体" w:eastAsia="宋体" w:cs="宋体"/>
          <w:color w:val="auto"/>
          <w:spacing w:val="-3"/>
          <w:sz w:val="24"/>
          <w:szCs w:val="24"/>
          <w:highlight w:val="none"/>
        </w:rPr>
        <w:fldChar w:fldCharType="begin"/>
      </w:r>
      <w:r>
        <w:rPr>
          <w:rFonts w:ascii="宋体" w:hAnsi="宋体" w:eastAsia="宋体" w:cs="宋体"/>
          <w:color w:val="auto"/>
          <w:spacing w:val="-3"/>
          <w:sz w:val="24"/>
          <w:szCs w:val="24"/>
          <w:highlight w:val="none"/>
        </w:rPr>
        <w:instrText xml:space="preserve"> HYPERLINK "https://edu.zcygov.cn/luban/xinjiang-e-biding" </w:instrText>
      </w:r>
      <w:r>
        <w:rPr>
          <w:rFonts w:ascii="宋体" w:hAnsi="宋体" w:eastAsia="宋体" w:cs="宋体"/>
          <w:color w:val="auto"/>
          <w:spacing w:val="-3"/>
          <w:sz w:val="24"/>
          <w:szCs w:val="24"/>
          <w:highlight w:val="none"/>
        </w:rPr>
        <w:fldChar w:fldCharType="separate"/>
      </w:r>
      <w:r>
        <w:rPr>
          <w:rFonts w:ascii="宋体" w:hAnsi="宋体" w:eastAsia="宋体" w:cs="宋体"/>
          <w:color w:val="auto"/>
          <w:spacing w:val="-3"/>
          <w:sz w:val="24"/>
          <w:szCs w:val="24"/>
          <w:highlight w:val="none"/>
        </w:rPr>
        <w:t>https://edu.zcygov.cn/luban/xinjiang-e-biding</w:t>
      </w:r>
      <w:r>
        <w:rPr>
          <w:rFonts w:ascii="宋体" w:hAnsi="宋体" w:eastAsia="宋体" w:cs="宋体"/>
          <w:color w:val="auto"/>
          <w:spacing w:val="-3"/>
          <w:sz w:val="24"/>
          <w:szCs w:val="24"/>
          <w:highlight w:val="none"/>
        </w:rPr>
        <w:fldChar w:fldCharType="end"/>
      </w:r>
      <w:r>
        <w:rPr>
          <w:rFonts w:ascii="宋体" w:hAnsi="宋体" w:eastAsia="宋体" w:cs="宋体"/>
          <w:color w:val="auto"/>
          <w:spacing w:val="-3"/>
          <w:sz w:val="24"/>
          <w:szCs w:val="24"/>
          <w:highlight w:val="none"/>
        </w:rPr>
        <w:t>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复加入，十一个群联动直播），钉钉工具软件具有回放功能，直播培训结束后可在钉钉群中回</w:t>
      </w:r>
      <w:r>
        <w:rPr>
          <w:rFonts w:hint="eastAsia" w:ascii="宋体" w:hAnsi="宋体" w:eastAsia="宋体" w:cs="宋体"/>
          <w:color w:val="auto"/>
          <w:spacing w:val="-3"/>
          <w:sz w:val="24"/>
          <w:szCs w:val="24"/>
          <w:highlight w:val="none"/>
        </w:rPr>
        <w:t>放观看学习。</w:t>
      </w:r>
    </w:p>
    <w:p w14:paraId="4C54619B">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特别提示：</w:t>
      </w:r>
    </w:p>
    <w:p w14:paraId="0CBA3B7F">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1、超过200万元的货物和服务采购项目、超过400万元的工程采购项目中适宜由中小企业提供的，预留该部分采购项目预算总额的30%以上专门面向中小企业采购，其中预留给小微企业的比例不低于60%。</w:t>
      </w:r>
    </w:p>
    <w:p w14:paraId="2EE1DDAA">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00847FD">
      <w:pPr>
        <w:spacing w:before="180" w:line="219" w:lineRule="auto"/>
        <w:ind w:left="520"/>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3、接受大中型企业与小微企业组成联合体或者允许大中型企业向一家或者多家小微企业分包的采购项目，对于联合协议或者分包意向协议约定小微企业的合同份额占到</w:t>
      </w:r>
      <w:r>
        <w:rPr>
          <w:rFonts w:hint="eastAsia" w:ascii="宋体" w:hAnsi="宋体" w:eastAsia="宋体" w:cs="宋体"/>
          <w:color w:val="auto"/>
          <w:spacing w:val="-3"/>
          <w:sz w:val="24"/>
          <w:szCs w:val="24"/>
          <w:highlight w:val="none"/>
          <w:lang w:val="en-US" w:eastAsia="zh-CN"/>
        </w:rPr>
        <w:t>合</w:t>
      </w:r>
      <w:r>
        <w:rPr>
          <w:rFonts w:ascii="宋体" w:hAnsi="宋体" w:eastAsia="宋体" w:cs="宋体"/>
          <w:color w:val="auto"/>
          <w:spacing w:val="-3"/>
          <w:sz w:val="24"/>
          <w:szCs w:val="24"/>
          <w:highlight w:val="none"/>
        </w:rPr>
        <w:t>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0F5624F">
      <w:pPr>
        <w:spacing w:before="78" w:line="543" w:lineRule="exact"/>
        <w:rPr>
          <w:rFonts w:ascii="宋体" w:hAnsi="宋体" w:eastAsia="宋体" w:cs="宋体"/>
          <w:color w:val="auto"/>
          <w:sz w:val="24"/>
          <w:szCs w:val="24"/>
          <w:highlight w:val="none"/>
        </w:rPr>
      </w:pPr>
      <w:r>
        <w:rPr>
          <w:rFonts w:ascii="宋体" w:hAnsi="宋体" w:eastAsia="宋体" w:cs="宋体"/>
          <w:color w:val="auto"/>
          <w:position w:val="23"/>
          <w:sz w:val="24"/>
          <w:szCs w:val="24"/>
          <w:highlight w:val="none"/>
          <w14:textOutline w14:w="4358" w14:cap="sq" w14:cmpd="sng">
            <w14:solidFill>
              <w14:srgbClr w14:val="000000"/>
            </w14:solidFill>
            <w14:prstDash w14:val="solid"/>
            <w14:bevel/>
          </w14:textOutline>
        </w:rPr>
        <w:t>七、对本次采购提出询问，请按以下方式联系</w:t>
      </w:r>
    </w:p>
    <w:p w14:paraId="1F54A1CF">
      <w:pPr>
        <w:spacing w:before="1" w:line="218" w:lineRule="auto"/>
        <w:ind w:left="25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14:textOutline w14:w="4358" w14:cap="sq" w14:cmpd="sng">
            <w14:solidFill>
              <w14:srgbClr w14:val="000000"/>
            </w14:solidFill>
            <w14:prstDash w14:val="solid"/>
            <w14:bevel/>
          </w14:textOutline>
        </w:rPr>
        <w:t>1.采购人信息</w:t>
      </w:r>
    </w:p>
    <w:p w14:paraId="4A759859">
      <w:pPr>
        <w:spacing w:before="181" w:line="219" w:lineRule="auto"/>
        <w:ind w:left="484"/>
        <w:rPr>
          <w:rFonts w:hint="default" w:ascii="宋体" w:hAnsi="宋体" w:eastAsia="宋体" w:cs="宋体"/>
          <w:color w:val="auto"/>
          <w:sz w:val="24"/>
          <w:szCs w:val="24"/>
          <w:highlight w:val="none"/>
          <w:lang w:eastAsia="zh-CN"/>
        </w:rPr>
      </w:pPr>
      <w:r>
        <w:rPr>
          <w:rFonts w:ascii="宋体" w:hAnsi="宋体" w:eastAsia="宋体" w:cs="宋体"/>
          <w:color w:val="auto"/>
          <w:spacing w:val="-2"/>
          <w:sz w:val="24"/>
          <w:szCs w:val="24"/>
          <w:highlight w:val="none"/>
        </w:rPr>
        <w:t>名称：</w:t>
      </w:r>
      <w:r>
        <w:rPr>
          <w:rFonts w:hint="eastAsia" w:ascii="宋体" w:hAnsi="宋体" w:eastAsia="宋体" w:cs="宋体"/>
          <w:color w:val="auto"/>
          <w:spacing w:val="-2"/>
          <w:sz w:val="24"/>
          <w:szCs w:val="24"/>
          <w:highlight w:val="none"/>
          <w:lang w:eastAsia="zh-CN"/>
        </w:rPr>
        <w:t>伽师县人民医院</w:t>
      </w:r>
    </w:p>
    <w:p w14:paraId="0712EC34">
      <w:pPr>
        <w:spacing w:before="184" w:line="219" w:lineRule="auto"/>
        <w:ind w:left="481"/>
        <w:rPr>
          <w:rFonts w:hint="default" w:ascii="宋体" w:hAnsi="宋体" w:eastAsia="宋体" w:cs="宋体"/>
          <w:color w:val="auto"/>
          <w:sz w:val="24"/>
          <w:szCs w:val="24"/>
          <w:highlight w:val="none"/>
          <w:lang w:val="en-US" w:eastAsia="zh-CN"/>
        </w:rPr>
      </w:pPr>
      <w:r>
        <w:rPr>
          <w:rFonts w:ascii="宋体" w:hAnsi="宋体" w:eastAsia="宋体" w:cs="宋体"/>
          <w:color w:val="auto"/>
          <w:spacing w:val="-1"/>
          <w:sz w:val="24"/>
          <w:szCs w:val="24"/>
          <w:highlight w:val="none"/>
        </w:rPr>
        <w:t>地址：</w:t>
      </w:r>
      <w:r>
        <w:rPr>
          <w:rFonts w:hint="eastAsia" w:ascii="宋体" w:hAnsi="宋体" w:eastAsia="宋体" w:cs="宋体"/>
          <w:color w:val="auto"/>
          <w:spacing w:val="-1"/>
          <w:sz w:val="24"/>
          <w:szCs w:val="24"/>
          <w:highlight w:val="none"/>
          <w:lang w:val="en-US" w:eastAsia="zh-CN"/>
        </w:rPr>
        <w:t>伽师县团结路32号</w:t>
      </w:r>
    </w:p>
    <w:p w14:paraId="4725416F">
      <w:pPr>
        <w:spacing w:before="181" w:line="219" w:lineRule="auto"/>
        <w:ind w:left="484"/>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联系人：申彩红</w:t>
      </w:r>
    </w:p>
    <w:p w14:paraId="148DA58A">
      <w:pPr>
        <w:spacing w:before="181" w:line="219" w:lineRule="auto"/>
        <w:ind w:left="484"/>
        <w:rPr>
          <w:rFonts w:hint="default"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lang w:val="en-US" w:eastAsia="zh-CN"/>
        </w:rPr>
        <w:t>联系电话：18799559096</w:t>
      </w:r>
    </w:p>
    <w:p w14:paraId="6CCD79DF">
      <w:pPr>
        <w:spacing w:before="178" w:line="219" w:lineRule="auto"/>
        <w:ind w:left="24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2.采购代理机构信息</w:t>
      </w:r>
    </w:p>
    <w:p w14:paraId="5472BBD9">
      <w:pPr>
        <w:spacing w:before="181" w:line="219" w:lineRule="auto"/>
        <w:ind w:left="484"/>
        <w:rPr>
          <w:rFonts w:hint="default"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rPr>
        <w:t>代理机构：</w:t>
      </w:r>
      <w:r>
        <w:rPr>
          <w:rFonts w:hint="eastAsia" w:ascii="宋体" w:hAnsi="宋体" w:eastAsia="宋体" w:cs="宋体"/>
          <w:color w:val="auto"/>
          <w:spacing w:val="-2"/>
          <w:sz w:val="24"/>
          <w:szCs w:val="24"/>
          <w:highlight w:val="none"/>
          <w:lang w:eastAsia="zh-CN"/>
        </w:rPr>
        <w:t>新疆西北中信项目管理有限公司</w:t>
      </w:r>
    </w:p>
    <w:p w14:paraId="3A7945E4">
      <w:pPr>
        <w:spacing w:before="181" w:line="219" w:lineRule="auto"/>
        <w:ind w:left="484"/>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地址：</w:t>
      </w:r>
      <w:r>
        <w:rPr>
          <w:rFonts w:hint="eastAsia" w:asciiTheme="minorEastAsia" w:hAnsiTheme="minorEastAsia" w:eastAsiaTheme="minorEastAsia" w:cstheme="minorEastAsia"/>
          <w:color w:val="auto"/>
          <w:sz w:val="24"/>
          <w:szCs w:val="24"/>
          <w:highlight w:val="none"/>
          <w:lang w:eastAsia="zh-CN"/>
        </w:rPr>
        <w:t>新疆喀什地区喀什市夏马勒巴格镇 10 村明宇路1号（明宇广场）1幢13层B22号</w:t>
      </w:r>
    </w:p>
    <w:p w14:paraId="3FC0DB22">
      <w:pPr>
        <w:spacing w:before="181" w:line="219" w:lineRule="auto"/>
        <w:ind w:left="484"/>
        <w:rPr>
          <w:rFonts w:hint="default"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联系人：</w:t>
      </w:r>
      <w:r>
        <w:rPr>
          <w:rFonts w:hint="eastAsia" w:ascii="宋体" w:hAnsi="宋体" w:eastAsia="宋体" w:cs="宋体"/>
          <w:color w:val="auto"/>
          <w:spacing w:val="-2"/>
          <w:sz w:val="24"/>
          <w:szCs w:val="24"/>
          <w:highlight w:val="none"/>
          <w:lang w:eastAsia="zh-CN"/>
        </w:rPr>
        <w:t>姚鹏、牛国栋、曹忠孝</w:t>
      </w:r>
    </w:p>
    <w:p w14:paraId="193A2815">
      <w:pPr>
        <w:spacing w:before="181" w:line="219" w:lineRule="auto"/>
        <w:ind w:left="484"/>
        <w:rPr>
          <w:rFonts w:hint="default"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联系电话：</w:t>
      </w:r>
      <w:r>
        <w:rPr>
          <w:rFonts w:hint="eastAsia" w:ascii="宋体" w:hAnsi="宋体" w:eastAsia="宋体" w:cs="宋体"/>
          <w:color w:val="auto"/>
          <w:spacing w:val="-2"/>
          <w:sz w:val="24"/>
          <w:szCs w:val="24"/>
          <w:highlight w:val="none"/>
          <w:lang w:eastAsia="zh-CN"/>
        </w:rPr>
        <w:t>19190009309</w:t>
      </w:r>
    </w:p>
    <w:p w14:paraId="20C84965">
      <w:pPr>
        <w:spacing w:before="63" w:line="224" w:lineRule="auto"/>
        <w:ind w:left="324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p>
    <w:p w14:paraId="30E66E18">
      <w:pPr>
        <w:spacing w:before="63" w:line="224" w:lineRule="auto"/>
        <w:ind w:left="324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p>
    <w:p w14:paraId="3A6FC387">
      <w:pPr>
        <w:spacing w:before="63" w:line="224" w:lineRule="auto"/>
        <w:ind w:left="324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p>
    <w:p w14:paraId="54EF7826">
      <w:pPr>
        <w:spacing w:before="63" w:line="224" w:lineRule="auto"/>
        <w:ind w:left="324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p>
    <w:p w14:paraId="20949F4B">
      <w:pPr>
        <w:spacing w:before="63" w:line="224" w:lineRule="auto"/>
        <w:ind w:left="324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p>
    <w:p w14:paraId="435704F9">
      <w:pPr>
        <w:spacing w:before="63" w:line="224" w:lineRule="auto"/>
        <w:outlineLvl w:val="0"/>
        <w:rPr>
          <w:rFonts w:hint="eastAsia" w:ascii="宋体" w:hAnsi="宋体" w:eastAsia="宋体" w:cs="宋体"/>
          <w:color w:val="auto"/>
          <w:spacing w:val="9"/>
          <w:sz w:val="31"/>
          <w:szCs w:val="31"/>
          <w:highlight w:val="none"/>
          <w:lang w:val="en-US" w:eastAsia="zh-CN"/>
          <w14:textOutline w14:w="5793" w14:cap="sq" w14:cmpd="sng">
            <w14:solidFill>
              <w14:srgbClr w14:val="000000"/>
            </w14:solidFill>
            <w14:prstDash w14:val="solid"/>
            <w14:bevel/>
          </w14:textOutline>
        </w:rPr>
      </w:pPr>
    </w:p>
    <w:p w14:paraId="710ED626">
      <w:pPr>
        <w:spacing w:before="63" w:line="224" w:lineRule="auto"/>
        <w:ind w:left="324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p>
    <w:p w14:paraId="095E22FC">
      <w:pP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br w:type="page"/>
      </w:r>
    </w:p>
    <w:p w14:paraId="0B7ABE67">
      <w:pPr>
        <w:spacing w:before="63" w:line="224" w:lineRule="auto"/>
        <w:ind w:left="3249"/>
        <w:outlineLvl w:val="0"/>
        <w:rPr>
          <w:rFonts w:ascii="宋体" w:hAnsi="宋体" w:eastAsia="宋体" w:cs="宋体"/>
          <w:color w:val="auto"/>
          <w:sz w:val="31"/>
          <w:szCs w:val="31"/>
          <w:highlight w:val="none"/>
        </w:rPr>
      </w:pPr>
      <w:bookmarkStart w:id="20" w:name="_Toc22652"/>
      <w: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t>第4章投标人须知资料表</w:t>
      </w:r>
      <w:bookmarkEnd w:id="20"/>
    </w:p>
    <w:p w14:paraId="155AA0E9">
      <w:pPr>
        <w:spacing w:line="311" w:lineRule="auto"/>
        <w:rPr>
          <w:rFonts w:ascii="Arial"/>
          <w:color w:val="auto"/>
          <w:sz w:val="21"/>
          <w:highlight w:val="none"/>
        </w:rPr>
      </w:pPr>
    </w:p>
    <w:p w14:paraId="21A4A7E1">
      <w:pPr>
        <w:spacing w:before="78" w:line="225" w:lineRule="auto"/>
        <w:ind w:left="46" w:right="44" w:firstLine="360"/>
        <w:rPr>
          <w:rFonts w:ascii="宋体" w:hAnsi="宋体" w:eastAsia="宋体" w:cs="宋体"/>
          <w:color w:val="auto"/>
          <w:sz w:val="24"/>
          <w:szCs w:val="24"/>
          <w:highlight w:val="none"/>
        </w:rPr>
      </w:pPr>
      <w:r>
        <w:rPr>
          <w:rFonts w:ascii="宋体" w:hAnsi="宋体" w:eastAsia="宋体" w:cs="宋体"/>
          <w:color w:val="auto"/>
          <w:sz w:val="24"/>
          <w:szCs w:val="24"/>
          <w:highlight w:val="none"/>
        </w:rPr>
        <w:t>本表是本招标项目的具体资料，是对投标人须知的具体补充和修改，如有矛盾，应以本资</w:t>
      </w:r>
      <w:r>
        <w:rPr>
          <w:rFonts w:ascii="宋体" w:hAnsi="宋体" w:eastAsia="宋体" w:cs="宋体"/>
          <w:color w:val="auto"/>
          <w:spacing w:val="-2"/>
          <w:sz w:val="24"/>
          <w:szCs w:val="24"/>
          <w:highlight w:val="none"/>
        </w:rPr>
        <w:t>料表为准。</w:t>
      </w:r>
    </w:p>
    <w:tbl>
      <w:tblPr>
        <w:tblStyle w:val="22"/>
        <w:tblW w:w="980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2"/>
        <w:gridCol w:w="8530"/>
      </w:tblGrid>
      <w:tr w14:paraId="5343D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72" w:type="dxa"/>
            <w:tcBorders>
              <w:top w:val="single" w:color="000000" w:sz="10" w:space="0"/>
              <w:left w:val="single" w:color="000000" w:sz="10" w:space="0"/>
            </w:tcBorders>
            <w:vAlign w:val="top"/>
          </w:tcPr>
          <w:p w14:paraId="59D635FD">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条款号</w:t>
            </w:r>
          </w:p>
        </w:tc>
        <w:tc>
          <w:tcPr>
            <w:tcW w:w="8530" w:type="dxa"/>
            <w:tcBorders>
              <w:top w:val="single" w:color="000000" w:sz="10" w:space="0"/>
              <w:right w:val="single" w:color="000000" w:sz="10" w:space="0"/>
            </w:tcBorders>
            <w:vAlign w:val="top"/>
          </w:tcPr>
          <w:p w14:paraId="3D0EC484">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内容</w:t>
            </w:r>
          </w:p>
        </w:tc>
      </w:tr>
      <w:tr w14:paraId="1B47B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1272" w:type="dxa"/>
            <w:tcBorders>
              <w:left w:val="single" w:color="000000" w:sz="10" w:space="0"/>
            </w:tcBorders>
            <w:vAlign w:val="top"/>
          </w:tcPr>
          <w:p w14:paraId="1C7FF350">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w:t>
            </w:r>
          </w:p>
        </w:tc>
        <w:tc>
          <w:tcPr>
            <w:tcW w:w="8530" w:type="dxa"/>
            <w:tcBorders>
              <w:right w:val="single" w:color="000000" w:sz="10" w:space="0"/>
            </w:tcBorders>
            <w:vAlign w:val="top"/>
          </w:tcPr>
          <w:p w14:paraId="50FDA800">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采购人：</w:t>
            </w:r>
            <w:r>
              <w:rPr>
                <w:rFonts w:hint="eastAsia" w:asciiTheme="minorEastAsia" w:hAnsiTheme="minorEastAsia" w:eastAsiaTheme="minorEastAsia" w:cstheme="minorEastAsia"/>
                <w:color w:val="auto"/>
                <w:sz w:val="24"/>
                <w:szCs w:val="24"/>
                <w:highlight w:val="none"/>
                <w:lang w:eastAsia="zh-CN"/>
              </w:rPr>
              <w:t>伽师县人民医院</w:t>
            </w:r>
          </w:p>
          <w:p w14:paraId="1E689E5B">
            <w:pPr>
              <w:bidi w:val="0"/>
              <w:spacing w:line="360" w:lineRule="auto"/>
              <w:rPr>
                <w:rFonts w:hint="eastAsia" w:ascii="宋体" w:hAnsi="宋体" w:eastAsia="宋体" w:cs="宋体"/>
                <w:color w:val="auto"/>
                <w:spacing w:val="-1"/>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地址：</w:t>
            </w:r>
            <w:r>
              <w:rPr>
                <w:rFonts w:hint="eastAsia" w:ascii="宋体" w:hAnsi="宋体" w:eastAsia="宋体" w:cs="宋体"/>
                <w:color w:val="auto"/>
                <w:spacing w:val="-1"/>
                <w:sz w:val="24"/>
                <w:szCs w:val="24"/>
                <w:highlight w:val="none"/>
                <w:lang w:val="en-US" w:eastAsia="zh-CN"/>
              </w:rPr>
              <w:t>伽师县团结路32号</w:t>
            </w:r>
          </w:p>
          <w:p w14:paraId="758ABE12">
            <w:pPr>
              <w:bidi w:val="0"/>
              <w:spacing w:line="360" w:lineRule="auto"/>
              <w:rPr>
                <w:rFonts w:hint="eastAsia" w:ascii="宋体" w:hAnsi="宋体" w:eastAsia="宋体" w:cs="宋体"/>
                <w:color w:val="auto"/>
                <w:spacing w:val="-2"/>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联系人：</w:t>
            </w:r>
            <w:r>
              <w:rPr>
                <w:rFonts w:hint="eastAsia" w:ascii="宋体" w:hAnsi="宋体" w:eastAsia="宋体" w:cs="宋体"/>
                <w:color w:val="auto"/>
                <w:spacing w:val="-2"/>
                <w:sz w:val="24"/>
                <w:szCs w:val="24"/>
                <w:highlight w:val="none"/>
                <w:lang w:val="en-US" w:eastAsia="zh-CN"/>
              </w:rPr>
              <w:t>申彩红</w:t>
            </w:r>
          </w:p>
          <w:p w14:paraId="0307C540">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联系电话：18799559096</w:t>
            </w:r>
          </w:p>
        </w:tc>
      </w:tr>
      <w:tr w14:paraId="74393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2" w:hRule="atLeast"/>
        </w:trPr>
        <w:tc>
          <w:tcPr>
            <w:tcW w:w="1272" w:type="dxa"/>
            <w:tcBorders>
              <w:left w:val="single" w:color="000000" w:sz="10" w:space="0"/>
            </w:tcBorders>
            <w:vAlign w:val="top"/>
          </w:tcPr>
          <w:p w14:paraId="31D1AC65">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w:t>
            </w:r>
          </w:p>
        </w:tc>
        <w:tc>
          <w:tcPr>
            <w:tcW w:w="8530" w:type="dxa"/>
            <w:tcBorders>
              <w:right w:val="single" w:color="000000" w:sz="10" w:space="0"/>
            </w:tcBorders>
            <w:vAlign w:val="top"/>
          </w:tcPr>
          <w:p w14:paraId="3E3C7171">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代理机构：新疆西北中信项目管理有限公司</w:t>
            </w:r>
          </w:p>
          <w:p w14:paraId="261F2991">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地址：新疆喀什地区喀什市夏马勒巴格镇 10 村明宇路1号（明宇广场）1幢13层B22号</w:t>
            </w:r>
          </w:p>
          <w:p w14:paraId="173B3C73">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联系人：姚鹏、牛国栋、曹忠孝</w:t>
            </w:r>
          </w:p>
          <w:p w14:paraId="13D608A6">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联系电话：19190009309</w:t>
            </w:r>
          </w:p>
        </w:tc>
      </w:tr>
      <w:tr w14:paraId="7C701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2" w:hRule="atLeast"/>
        </w:trPr>
        <w:tc>
          <w:tcPr>
            <w:tcW w:w="1272" w:type="dxa"/>
            <w:tcBorders>
              <w:left w:val="single" w:color="000000" w:sz="10" w:space="0"/>
              <w:bottom w:val="single" w:color="000000" w:sz="10" w:space="0"/>
            </w:tcBorders>
            <w:vAlign w:val="top"/>
          </w:tcPr>
          <w:p w14:paraId="197CE80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1.3.4</w:t>
            </w:r>
          </w:p>
        </w:tc>
        <w:tc>
          <w:tcPr>
            <w:tcW w:w="8530" w:type="dxa"/>
            <w:tcBorders>
              <w:bottom w:val="single" w:color="000000" w:sz="10" w:space="0"/>
              <w:right w:val="single" w:color="000000" w:sz="10" w:space="0"/>
            </w:tcBorders>
            <w:vAlign w:val="top"/>
          </w:tcPr>
          <w:p w14:paraId="07660FA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1"/>
                <w:sz w:val="24"/>
                <w:szCs w:val="24"/>
                <w:highlight w:val="none"/>
              </w:rPr>
              <w:t>合格投标人资格要求：投标人必须满足《中华人民共和国政府采购法》第二十二条</w:t>
            </w:r>
            <w:r>
              <w:rPr>
                <w:rFonts w:hint="eastAsia" w:asciiTheme="minorEastAsia" w:hAnsiTheme="minorEastAsia" w:eastAsiaTheme="minorEastAsia" w:cstheme="minorEastAsia"/>
                <w:color w:val="auto"/>
                <w:sz w:val="24"/>
                <w:szCs w:val="24"/>
                <w:highlight w:val="none"/>
              </w:rPr>
              <w:t>。</w:t>
            </w:r>
          </w:p>
          <w:p w14:paraId="344A3A80">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1.具备有效的营业执照；</w:t>
            </w:r>
          </w:p>
          <w:p w14:paraId="29AA593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2.法定代表人(或授权人)资格证明及授权书；(法定代表人投标需提供法定代表人(负责人)资格证明)；</w:t>
            </w:r>
          </w:p>
          <w:p w14:paraId="6DC330DE">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pacing w:val="-6"/>
                <w:sz w:val="24"/>
                <w:szCs w:val="24"/>
                <w:highlight w:val="none"/>
                <w:lang w:val="en-US" w:eastAsia="zh-CN"/>
              </w:rPr>
              <w:t>2024或2025年度</w:t>
            </w:r>
            <w:r>
              <w:rPr>
                <w:rFonts w:hint="eastAsia" w:asciiTheme="minorEastAsia" w:hAnsiTheme="minorEastAsia" w:eastAsiaTheme="minorEastAsia" w:cstheme="minorEastAsia"/>
                <w:color w:val="auto"/>
                <w:spacing w:val="-6"/>
                <w:sz w:val="24"/>
                <w:szCs w:val="24"/>
                <w:highlight w:val="none"/>
              </w:rPr>
              <w:t>的财务审计报告（新成立公司提供有效期内的银行资信证明）</w:t>
            </w:r>
            <w:r>
              <w:rPr>
                <w:rFonts w:hint="eastAsia" w:asciiTheme="minorEastAsia" w:hAnsiTheme="minorEastAsia" w:eastAsiaTheme="minorEastAsia" w:cstheme="minorEastAsia"/>
                <w:color w:val="auto"/>
                <w:sz w:val="24"/>
                <w:szCs w:val="24"/>
                <w:highlight w:val="none"/>
                <w:lang w:eastAsia="zh-CN"/>
              </w:rPr>
              <w:t>；</w:t>
            </w:r>
          </w:p>
          <w:p w14:paraId="6AD6122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4.提供依法缴纳近六个月中任意一个月社会保险的凭据；</w:t>
            </w:r>
          </w:p>
          <w:p w14:paraId="7A23123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5.提供税务部门出具的近六个月中任意一个月的完税证明；</w:t>
            </w:r>
          </w:p>
          <w:p w14:paraId="693C9C2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根据《财政部关于在政府采购活动中查询及使用信用记录有关问题的通知》（财库﹝2016﹞125号）的要求，凡拟参加本次招标项目的投标人，如在“信用中国”网站被列入失信被执行人、重大税收违法失信主体(信用中国首页-点击信用服务-查询、网页打印)、中国政府采购网严重违法失信行为记录名单的（尚在处罚期内的），将拒绝其参加本次招标活动（现场查询核实，查询结果以甲方单位或代理机构开标现场查询为准）；</w:t>
            </w:r>
          </w:p>
          <w:p w14:paraId="4B996A2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7.提供针对本次项目《反商业贿赂承诺书》；</w:t>
            </w:r>
          </w:p>
          <w:p w14:paraId="6975AC8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8.参加政府采购活动前3年内在经营活动中没有重大违法违规记录的书面声明；</w:t>
            </w:r>
          </w:p>
          <w:p w14:paraId="6864F43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pacing w:val="-1"/>
                <w:sz w:val="24"/>
                <w:szCs w:val="24"/>
                <w:highlight w:val="none"/>
                <w:lang w:val="en-US" w:eastAsia="zh-CN"/>
              </w:rPr>
              <w:t>9.</w:t>
            </w:r>
            <w:r>
              <w:rPr>
                <w:rFonts w:ascii="宋体" w:hAnsi="宋体" w:eastAsia="宋体" w:cs="宋体"/>
                <w:color w:val="auto"/>
                <w:spacing w:val="-1"/>
                <w:sz w:val="24"/>
                <w:szCs w:val="24"/>
                <w:highlight w:val="none"/>
              </w:rPr>
              <w:t>本项目的特定资格要求：</w:t>
            </w:r>
            <w:r>
              <w:rPr>
                <w:rFonts w:hint="eastAsia" w:ascii="宋体" w:hAnsi="宋体" w:eastAsia="宋体" w:cs="宋体"/>
                <w:color w:val="auto"/>
                <w:spacing w:val="-1"/>
                <w:sz w:val="24"/>
                <w:szCs w:val="24"/>
                <w:highlight w:val="none"/>
                <w:lang w:eastAsia="zh-CN"/>
              </w:rPr>
              <w:t>所投产品属于第二类医疗器械的，需提供有效的行政主管部门颁发的医疗器械经营备案凭证（医疗器械生产许可证或医疗器械经营许可证或其他医疗器械生产经营许可证明文件）；所投产品属于第三类医疗器械的，需提供有效的行政主管部门颁发的医疗器械生产许可证（医疗器械经营许可证或其他医疗器械生产经营许可证明文件）</w:t>
            </w:r>
          </w:p>
          <w:p w14:paraId="2DB4B4BC">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注：完税证明中“税种”非养老保险、医疗保险、失业保险、工伤保险和生育保险。请各供应商注意！</w:t>
            </w:r>
          </w:p>
        </w:tc>
      </w:tr>
      <w:tr w14:paraId="5A5E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272" w:type="dxa"/>
            <w:tcBorders>
              <w:top w:val="single" w:color="000000" w:sz="10" w:space="0"/>
              <w:left w:val="single" w:color="000000" w:sz="10" w:space="0"/>
            </w:tcBorders>
            <w:vAlign w:val="top"/>
          </w:tcPr>
          <w:p w14:paraId="05CB542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1.3.5</w:t>
            </w:r>
          </w:p>
        </w:tc>
        <w:tc>
          <w:tcPr>
            <w:tcW w:w="8530" w:type="dxa"/>
            <w:tcBorders>
              <w:top w:val="single" w:color="000000" w:sz="10" w:space="0"/>
              <w:right w:val="single" w:color="000000" w:sz="10" w:space="0"/>
            </w:tcBorders>
            <w:vAlign w:val="top"/>
          </w:tcPr>
          <w:p w14:paraId="1424FE0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是否允许采购进口产品：否（是、否）</w:t>
            </w:r>
          </w:p>
        </w:tc>
      </w:tr>
      <w:tr w14:paraId="6D508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1272" w:type="dxa"/>
            <w:tcBorders>
              <w:left w:val="single" w:color="000000" w:sz="10" w:space="0"/>
            </w:tcBorders>
            <w:vAlign w:val="top"/>
          </w:tcPr>
          <w:p w14:paraId="2B6940AC">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1.3.6</w:t>
            </w:r>
          </w:p>
        </w:tc>
        <w:tc>
          <w:tcPr>
            <w:tcW w:w="8530" w:type="dxa"/>
            <w:tcBorders>
              <w:right w:val="single" w:color="000000" w:sz="10" w:space="0"/>
            </w:tcBorders>
            <w:vAlign w:val="top"/>
          </w:tcPr>
          <w:p w14:paraId="0FFDBA4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是否为专门面向中小企业采购：</w:t>
            </w:r>
            <w:r>
              <w:rPr>
                <w:rFonts w:hint="eastAsia" w:asciiTheme="minorEastAsia" w:hAnsiTheme="minorEastAsia" w:eastAsiaTheme="minorEastAsia" w:cstheme="minorEastAsia"/>
                <w:color w:val="auto"/>
                <w:sz w:val="24"/>
                <w:szCs w:val="24"/>
                <w:highlight w:val="none"/>
                <w:lang w:val="en-US" w:eastAsia="zh-CN"/>
              </w:rPr>
              <w:t>否</w:t>
            </w:r>
            <w:r>
              <w:rPr>
                <w:rFonts w:hint="eastAsia" w:asciiTheme="minorEastAsia" w:hAnsiTheme="minorEastAsia" w:eastAsiaTheme="minorEastAsia" w:cstheme="minorEastAsia"/>
                <w:color w:val="auto"/>
                <w:sz w:val="24"/>
                <w:szCs w:val="24"/>
                <w:highlight w:val="none"/>
              </w:rPr>
              <w:t>（是、否）</w:t>
            </w:r>
          </w:p>
          <w:p w14:paraId="4A2CCA6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（注：潜在投标企业属于中小微企业的，请在投标文件中提供“中小企业声明函”，如果未提供或提供虚假的“中小企业声明函”，投标企业将承担由此造成的一切不利后果；</w:t>
            </w:r>
            <w:r>
              <w:rPr>
                <w:rFonts w:hint="eastAsia" w:asciiTheme="minorEastAsia" w:hAnsiTheme="minorEastAsia" w:eastAsiaTheme="minorEastAsia" w:cstheme="minorEastAsia"/>
                <w:b/>
                <w:bCs/>
                <w:color w:val="auto"/>
                <w:sz w:val="24"/>
                <w:szCs w:val="24"/>
                <w:highlight w:val="none"/>
              </w:rPr>
              <w:t>本项目属于</w:t>
            </w:r>
            <w:r>
              <w:rPr>
                <w:rFonts w:hint="eastAsia" w:asciiTheme="minorEastAsia" w:hAnsiTheme="minorEastAsia" w:eastAsiaTheme="minorEastAsia" w:cstheme="minorEastAsia"/>
                <w:b/>
                <w:bCs/>
                <w:color w:val="auto"/>
                <w:sz w:val="24"/>
                <w:szCs w:val="24"/>
                <w:highlight w:val="none"/>
                <w:lang w:val="en-US" w:eastAsia="zh-CN"/>
              </w:rPr>
              <w:t>工业</w:t>
            </w:r>
            <w:r>
              <w:rPr>
                <w:rFonts w:hint="eastAsia" w:asciiTheme="minorEastAsia" w:hAnsiTheme="minorEastAsia" w:eastAsiaTheme="minorEastAsia" w:cstheme="minorEastAsia"/>
                <w:color w:val="auto"/>
                <w:sz w:val="24"/>
                <w:szCs w:val="24"/>
                <w:highlight w:val="none"/>
              </w:rPr>
              <w:t>）</w:t>
            </w:r>
          </w:p>
          <w:p w14:paraId="65C5EF81">
            <w:pPr>
              <w:spacing w:before="216" w:line="383" w:lineRule="auto"/>
              <w:ind w:left="1" w:right="80" w:firstLine="479"/>
              <w:jc w:val="both"/>
              <w:rPr>
                <w:rFonts w:hint="eastAsia" w:asciiTheme="minorEastAsia" w:hAnsiTheme="minorEastAsia" w:eastAsiaTheme="minorEastAsia" w:cstheme="minorEastAsia"/>
                <w:color w:val="auto"/>
                <w:sz w:val="24"/>
                <w:szCs w:val="24"/>
                <w:highlight w:val="none"/>
              </w:rPr>
            </w:pPr>
            <w:r>
              <w:rPr>
                <w:rFonts w:ascii="宋体" w:hAnsi="宋体" w:eastAsia="宋体" w:cs="宋体"/>
                <w:color w:val="auto"/>
                <w:spacing w:val="-1"/>
                <w:sz w:val="24"/>
                <w:szCs w:val="24"/>
                <w:highlight w:val="none"/>
              </w:rPr>
              <w:t>根据《政府采购促进中小企业发展管理办法》（财库[2020]46号）、关于进</w:t>
            </w:r>
            <w:r>
              <w:rPr>
                <w:rFonts w:ascii="宋体" w:hAnsi="宋体" w:eastAsia="宋体" w:cs="宋体"/>
                <w:color w:val="auto"/>
                <w:spacing w:val="-2"/>
                <w:sz w:val="24"/>
                <w:szCs w:val="24"/>
                <w:highlight w:val="none"/>
              </w:rPr>
              <w:t>一步加</w:t>
            </w:r>
            <w:r>
              <w:rPr>
                <w:rFonts w:ascii="宋体" w:hAnsi="宋体" w:eastAsia="宋体" w:cs="宋体"/>
                <w:color w:val="auto"/>
                <w:spacing w:val="-1"/>
                <w:sz w:val="24"/>
                <w:szCs w:val="24"/>
                <w:highlight w:val="none"/>
              </w:rPr>
              <w:t>大政府采购支持中小企业力度的通知财库〔2022〕19号，《财政部司法部关于政府采</w:t>
            </w:r>
            <w:r>
              <w:rPr>
                <w:rFonts w:ascii="宋体" w:hAnsi="宋体" w:eastAsia="宋体" w:cs="宋体"/>
                <w:color w:val="auto"/>
                <w:spacing w:val="-2"/>
                <w:sz w:val="24"/>
                <w:szCs w:val="24"/>
                <w:highlight w:val="none"/>
              </w:rPr>
              <w:t>购支持</w:t>
            </w:r>
            <w:r>
              <w:rPr>
                <w:rFonts w:ascii="宋体" w:hAnsi="宋体" w:eastAsia="宋体" w:cs="宋体"/>
                <w:color w:val="auto"/>
                <w:spacing w:val="-1"/>
                <w:sz w:val="24"/>
                <w:szCs w:val="24"/>
                <w:highlight w:val="none"/>
              </w:rPr>
              <w:t>监狱企业发展有关问题的通知》（财库〔2014〕68号）和《三部门联合发布关于促进</w:t>
            </w:r>
            <w:r>
              <w:rPr>
                <w:rFonts w:ascii="宋体" w:hAnsi="宋体" w:eastAsia="宋体" w:cs="宋体"/>
                <w:color w:val="auto"/>
                <w:spacing w:val="-2"/>
                <w:sz w:val="24"/>
                <w:szCs w:val="24"/>
                <w:highlight w:val="none"/>
              </w:rPr>
              <w:t>残疾人</w:t>
            </w:r>
            <w:r>
              <w:rPr>
                <w:rFonts w:ascii="宋体" w:hAnsi="宋体" w:eastAsia="宋体" w:cs="宋体"/>
                <w:color w:val="auto"/>
                <w:spacing w:val="2"/>
                <w:sz w:val="24"/>
                <w:szCs w:val="24"/>
                <w:highlight w:val="none"/>
              </w:rPr>
              <w:t>就业政府采购政策的通知》（财库〔2017〕141号）</w:t>
            </w:r>
            <w:r>
              <w:rPr>
                <w:rFonts w:ascii="宋体" w:hAnsi="宋体" w:eastAsia="宋体" w:cs="宋体"/>
                <w:color w:val="auto"/>
                <w:spacing w:val="1"/>
                <w:sz w:val="24"/>
                <w:szCs w:val="24"/>
                <w:highlight w:val="none"/>
              </w:rPr>
              <w:t>的规定，对满足价格扣除条件且在投标文件中提交了《中小企业声明函》或省级以上监狱管理局、</w:t>
            </w:r>
            <w:r>
              <w:rPr>
                <w:rFonts w:ascii="宋体" w:hAnsi="宋体" w:eastAsia="宋体" w:cs="宋体"/>
                <w:color w:val="auto"/>
                <w:sz w:val="24"/>
                <w:szCs w:val="24"/>
                <w:highlight w:val="none"/>
              </w:rPr>
              <w:t>戒毒管理局（含新疆生产建设兵</w:t>
            </w:r>
            <w:r>
              <w:rPr>
                <w:rFonts w:ascii="宋体" w:hAnsi="宋体" w:eastAsia="宋体" w:cs="宋体"/>
                <w:color w:val="auto"/>
                <w:spacing w:val="-2"/>
                <w:sz w:val="24"/>
                <w:szCs w:val="24"/>
                <w:highlight w:val="none"/>
              </w:rPr>
              <w:t>团）出具的属于监狱企业的证明文件的投标人，其投标报价扣除</w:t>
            </w:r>
            <w:r>
              <w:rPr>
                <w:rFonts w:ascii="宋体" w:hAnsi="宋体" w:eastAsia="宋体" w:cs="宋体"/>
                <w:b/>
                <w:bCs/>
                <w:color w:val="auto"/>
                <w:spacing w:val="-2"/>
                <w:sz w:val="24"/>
                <w:szCs w:val="24"/>
                <w:highlight w:val="none"/>
                <w:u w:val="single" w:color="auto"/>
              </w:rPr>
              <w:t>10%</w:t>
            </w:r>
            <w:r>
              <w:rPr>
                <w:rFonts w:ascii="宋体" w:hAnsi="宋体" w:eastAsia="宋体" w:cs="宋体"/>
                <w:color w:val="auto"/>
                <w:spacing w:val="-2"/>
                <w:sz w:val="24"/>
                <w:szCs w:val="24"/>
                <w:highlight w:val="none"/>
              </w:rPr>
              <w:t>后参与评审</w:t>
            </w:r>
            <w:r>
              <w:rPr>
                <w:rFonts w:ascii="宋体" w:hAnsi="宋体" w:eastAsia="宋体" w:cs="宋体"/>
                <w:color w:val="auto"/>
                <w:spacing w:val="-3"/>
                <w:sz w:val="24"/>
                <w:szCs w:val="24"/>
                <w:highlight w:val="none"/>
              </w:rPr>
              <w:t>。对于同时</w:t>
            </w:r>
            <w:r>
              <w:rPr>
                <w:rFonts w:ascii="宋体" w:hAnsi="宋体" w:eastAsia="宋体" w:cs="宋体"/>
                <w:color w:val="auto"/>
                <w:sz w:val="24"/>
                <w:szCs w:val="24"/>
                <w:highlight w:val="none"/>
              </w:rPr>
              <w:t>属于小微企业、监狱企业或残疾人福利性单位的</w:t>
            </w:r>
            <w:r>
              <w:rPr>
                <w:rFonts w:ascii="宋体" w:hAnsi="宋体" w:eastAsia="宋体" w:cs="宋体"/>
                <w:color w:val="auto"/>
                <w:spacing w:val="-1"/>
                <w:sz w:val="24"/>
                <w:szCs w:val="24"/>
                <w:highlight w:val="none"/>
              </w:rPr>
              <w:t>，不重复进行投标报价扣除。</w:t>
            </w:r>
          </w:p>
        </w:tc>
      </w:tr>
      <w:tr w14:paraId="678FA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72" w:type="dxa"/>
            <w:tcBorders>
              <w:left w:val="single" w:color="000000" w:sz="10" w:space="0"/>
            </w:tcBorders>
            <w:vAlign w:val="top"/>
          </w:tcPr>
          <w:p w14:paraId="549B232B">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1.3.7</w:t>
            </w:r>
          </w:p>
        </w:tc>
        <w:tc>
          <w:tcPr>
            <w:tcW w:w="8530" w:type="dxa"/>
            <w:tcBorders>
              <w:right w:val="single" w:color="000000" w:sz="10" w:space="0"/>
            </w:tcBorders>
            <w:vAlign w:val="top"/>
          </w:tcPr>
          <w:p w14:paraId="46B0B6BA">
            <w:pPr>
              <w:bidi w:val="0"/>
              <w:spacing w:line="360" w:lineRule="auto"/>
              <w:rPr>
                <w:rFonts w:hint="eastAsia" w:eastAsia="宋体" w:asciiTheme="minorEastAsia" w:hAnsiTheme="minorEastAsia" w:cstheme="minorEastAsia"/>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资金来源：</w:t>
            </w:r>
            <w:r>
              <w:rPr>
                <w:rFonts w:hint="eastAsia" w:ascii="宋体" w:hAnsi="宋体" w:eastAsia="宋体" w:cs="宋体"/>
                <w:color w:val="auto"/>
                <w:sz w:val="24"/>
                <w:szCs w:val="24"/>
                <w:highlight w:val="none"/>
                <w:lang w:eastAsia="zh-CN"/>
              </w:rPr>
              <w:t>中央预算内资金</w:t>
            </w:r>
            <w:r>
              <w:rPr>
                <w:rFonts w:hint="eastAsia" w:ascii="宋体" w:hAnsi="宋体" w:eastAsia="宋体" w:cs="宋体"/>
                <w:color w:val="auto"/>
                <w:sz w:val="24"/>
                <w:szCs w:val="24"/>
                <w:highlight w:val="none"/>
              </w:rPr>
              <w:t>。</w:t>
            </w:r>
          </w:p>
        </w:tc>
      </w:tr>
      <w:tr w14:paraId="690FF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72" w:type="dxa"/>
            <w:tcBorders>
              <w:left w:val="single" w:color="000000" w:sz="10" w:space="0"/>
            </w:tcBorders>
            <w:vAlign w:val="top"/>
          </w:tcPr>
          <w:p w14:paraId="25D4F7B8">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1.3.8</w:t>
            </w:r>
          </w:p>
        </w:tc>
        <w:tc>
          <w:tcPr>
            <w:tcW w:w="8530" w:type="dxa"/>
            <w:tcBorders>
              <w:right w:val="single" w:color="000000" w:sz="10" w:space="0"/>
            </w:tcBorders>
            <w:vAlign w:val="top"/>
          </w:tcPr>
          <w:p w14:paraId="5DCCF8AF">
            <w:pPr>
              <w:bidi w:val="0"/>
              <w:spacing w:line="360" w:lineRule="auto"/>
              <w:rPr>
                <w:rFonts w:hint="eastAsia"/>
                <w:b w:val="0"/>
                <w:bCs w:val="0"/>
                <w:color w:val="auto"/>
                <w:sz w:val="24"/>
                <w:szCs w:val="24"/>
                <w:highlight w:val="none"/>
                <w:vertAlign w:val="baseline"/>
                <w:lang w:val="en-US" w:eastAsia="zh-CN"/>
              </w:rPr>
            </w:pPr>
            <w:r>
              <w:rPr>
                <w:rFonts w:hint="eastAsia" w:ascii="宋体" w:hAnsi="宋体" w:eastAsia="宋体" w:cs="宋体"/>
                <w:color w:val="auto"/>
                <w:spacing w:val="-1"/>
                <w:sz w:val="24"/>
                <w:szCs w:val="24"/>
                <w:highlight w:val="none"/>
                <w:lang w:val="en-US" w:eastAsia="zh-CN"/>
              </w:rPr>
              <w:t>供货期限：签订合同后60天内供货安装调试完毕（具体以签订合同为准）</w:t>
            </w:r>
          </w:p>
        </w:tc>
      </w:tr>
      <w:tr w14:paraId="18C7D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72" w:type="dxa"/>
            <w:tcBorders>
              <w:left w:val="single" w:color="000000" w:sz="10" w:space="0"/>
            </w:tcBorders>
            <w:vAlign w:val="top"/>
          </w:tcPr>
          <w:p w14:paraId="033A8A22">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1.3.9</w:t>
            </w:r>
          </w:p>
        </w:tc>
        <w:tc>
          <w:tcPr>
            <w:tcW w:w="8530" w:type="dxa"/>
            <w:tcBorders>
              <w:right w:val="single" w:color="000000" w:sz="10" w:space="0"/>
            </w:tcBorders>
            <w:vAlign w:val="top"/>
          </w:tcPr>
          <w:p w14:paraId="32B5544E">
            <w:pPr>
              <w:bidi w:val="0"/>
              <w:spacing w:line="360" w:lineRule="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供货地点：</w:t>
            </w:r>
            <w:r>
              <w:rPr>
                <w:rFonts w:hint="eastAsia" w:ascii="宋体" w:hAnsi="宋体" w:eastAsia="宋体" w:cs="宋体"/>
                <w:b w:val="0"/>
                <w:bCs w:val="0"/>
                <w:color w:val="auto"/>
                <w:spacing w:val="-1"/>
                <w:sz w:val="24"/>
                <w:szCs w:val="24"/>
                <w:highlight w:val="none"/>
                <w:lang w:val="en-US" w:eastAsia="zh-CN"/>
              </w:rPr>
              <w:t>甲方指定地点</w:t>
            </w:r>
            <w:r>
              <w:rPr>
                <w:rFonts w:hint="eastAsia" w:ascii="宋体" w:hAnsi="宋体" w:eastAsia="宋体" w:cs="宋体"/>
                <w:color w:val="auto"/>
                <w:spacing w:val="-1"/>
                <w:sz w:val="24"/>
                <w:szCs w:val="24"/>
                <w:highlight w:val="none"/>
                <w:lang w:val="en-US" w:eastAsia="zh-CN"/>
              </w:rPr>
              <w:t>（具体以签订的合同为准）</w:t>
            </w:r>
          </w:p>
        </w:tc>
      </w:tr>
      <w:tr w14:paraId="11537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72" w:type="dxa"/>
            <w:tcBorders>
              <w:left w:val="single" w:color="000000" w:sz="10" w:space="0"/>
            </w:tcBorders>
            <w:vAlign w:val="top"/>
          </w:tcPr>
          <w:p w14:paraId="1F82487F">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1.3.10</w:t>
            </w:r>
          </w:p>
        </w:tc>
        <w:tc>
          <w:tcPr>
            <w:tcW w:w="8530" w:type="dxa"/>
            <w:tcBorders>
              <w:right w:val="single" w:color="000000" w:sz="10" w:space="0"/>
            </w:tcBorders>
            <w:vAlign w:val="top"/>
          </w:tcPr>
          <w:p w14:paraId="7435270A">
            <w:pPr>
              <w:bidi w:val="0"/>
              <w:spacing w:line="360" w:lineRule="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付款方式：中标人签订合同后，采购人支付合同总价款的30%；安装、调试、培训完毕后，初步验收合格后，采购人向成交供应商支付合同款总额的50%，产品正常运行且经最终验收合格后，采购人向成交供应商支付合同款总额的20%(具体付款方式以签订合同为准)</w:t>
            </w:r>
          </w:p>
        </w:tc>
      </w:tr>
      <w:tr w14:paraId="5261B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72" w:type="dxa"/>
            <w:tcBorders>
              <w:left w:val="single" w:color="000000" w:sz="10" w:space="0"/>
            </w:tcBorders>
            <w:vAlign w:val="top"/>
          </w:tcPr>
          <w:p w14:paraId="7193C8A9">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1.3.11</w:t>
            </w:r>
          </w:p>
        </w:tc>
        <w:tc>
          <w:tcPr>
            <w:tcW w:w="8530" w:type="dxa"/>
            <w:tcBorders>
              <w:right w:val="single" w:color="000000" w:sz="10" w:space="0"/>
            </w:tcBorders>
            <w:vAlign w:val="top"/>
          </w:tcPr>
          <w:p w14:paraId="08DA4540">
            <w:pPr>
              <w:bidi w:val="0"/>
              <w:spacing w:line="360" w:lineRule="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整机质保期：3年（包括维修及更换的配件费用）。</w:t>
            </w:r>
          </w:p>
        </w:tc>
      </w:tr>
      <w:tr w14:paraId="6062A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2" w:type="dxa"/>
            <w:tcBorders>
              <w:left w:val="single" w:color="000000" w:sz="10" w:space="0"/>
            </w:tcBorders>
            <w:vAlign w:val="top"/>
          </w:tcPr>
          <w:p w14:paraId="48F6A841">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lang w:val="en-US" w:eastAsia="zh-CN"/>
              </w:rPr>
              <w:t>.1</w:t>
            </w:r>
          </w:p>
        </w:tc>
        <w:tc>
          <w:tcPr>
            <w:tcW w:w="8530" w:type="dxa"/>
            <w:tcBorders>
              <w:right w:val="single" w:color="000000" w:sz="10" w:space="0"/>
            </w:tcBorders>
            <w:vAlign w:val="top"/>
          </w:tcPr>
          <w:p w14:paraId="3220E7EB">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是否允许联合体投标：否（是、否）</w:t>
            </w:r>
          </w:p>
        </w:tc>
      </w:tr>
      <w:tr w14:paraId="454DF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2" w:type="dxa"/>
            <w:tcBorders>
              <w:left w:val="single" w:color="000000" w:sz="10" w:space="0"/>
            </w:tcBorders>
            <w:vAlign w:val="top"/>
          </w:tcPr>
          <w:p w14:paraId="7BCD79A1">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lang w:val="en-US" w:eastAsia="zh-CN"/>
              </w:rPr>
              <w:t>2</w:t>
            </w:r>
          </w:p>
        </w:tc>
        <w:tc>
          <w:tcPr>
            <w:tcW w:w="8530" w:type="dxa"/>
            <w:tcBorders>
              <w:right w:val="single" w:color="000000" w:sz="10" w:space="0"/>
            </w:tcBorders>
            <w:vAlign w:val="top"/>
          </w:tcPr>
          <w:p w14:paraId="14E6E2F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联合体的其他资格要求：不接受联合体投标。</w:t>
            </w:r>
          </w:p>
        </w:tc>
      </w:tr>
      <w:tr w14:paraId="72DA7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2" w:type="dxa"/>
            <w:tcBorders>
              <w:left w:val="single" w:color="000000" w:sz="10" w:space="0"/>
            </w:tcBorders>
            <w:vAlign w:val="top"/>
          </w:tcPr>
          <w:p w14:paraId="7282F9B3">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.1</w:t>
            </w:r>
          </w:p>
        </w:tc>
        <w:tc>
          <w:tcPr>
            <w:tcW w:w="8530" w:type="dxa"/>
            <w:tcBorders>
              <w:right w:val="single" w:color="000000" w:sz="10" w:space="0"/>
            </w:tcBorders>
            <w:vAlign w:val="top"/>
          </w:tcPr>
          <w:p w14:paraId="6677B4F4">
            <w:pPr>
              <w:spacing w:before="181" w:line="219" w:lineRule="auto"/>
              <w:ind w:left="578"/>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一标段预算金额：2119800元，</w:t>
            </w:r>
            <w:r>
              <w:rPr>
                <w:rFonts w:hint="eastAsia" w:ascii="宋体" w:hAnsi="宋体" w:eastAsia="宋体" w:cs="宋体"/>
                <w:color w:val="auto"/>
                <w:spacing w:val="-1"/>
                <w:sz w:val="24"/>
                <w:szCs w:val="24"/>
                <w:highlight w:val="none"/>
                <w:lang w:eastAsia="zh-CN"/>
              </w:rPr>
              <w:t>最高限价（元）：</w:t>
            </w:r>
            <w:r>
              <w:rPr>
                <w:rFonts w:hint="eastAsia" w:ascii="宋体" w:hAnsi="宋体" w:eastAsia="宋体" w:cs="宋体"/>
                <w:color w:val="auto"/>
                <w:spacing w:val="-1"/>
                <w:sz w:val="24"/>
                <w:szCs w:val="24"/>
                <w:highlight w:val="none"/>
                <w:lang w:val="en-US" w:eastAsia="zh-CN"/>
              </w:rPr>
              <w:t>2119800元</w:t>
            </w:r>
          </w:p>
          <w:p w14:paraId="1180E2B8">
            <w:pPr>
              <w:spacing w:before="181" w:line="219" w:lineRule="auto"/>
              <w:ind w:left="578"/>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二标段预算金额：3860000元，</w:t>
            </w:r>
            <w:r>
              <w:rPr>
                <w:rFonts w:hint="eastAsia" w:ascii="宋体" w:hAnsi="宋体" w:eastAsia="宋体" w:cs="宋体"/>
                <w:color w:val="auto"/>
                <w:spacing w:val="-1"/>
                <w:sz w:val="24"/>
                <w:szCs w:val="24"/>
                <w:highlight w:val="none"/>
                <w:lang w:eastAsia="zh-CN"/>
              </w:rPr>
              <w:t>最高限价（元）：</w:t>
            </w:r>
            <w:r>
              <w:rPr>
                <w:rFonts w:hint="eastAsia" w:ascii="宋体" w:hAnsi="宋体" w:eastAsia="宋体" w:cs="宋体"/>
                <w:color w:val="auto"/>
                <w:spacing w:val="-1"/>
                <w:sz w:val="24"/>
                <w:szCs w:val="24"/>
                <w:highlight w:val="none"/>
                <w:lang w:val="en-US" w:eastAsia="zh-CN"/>
              </w:rPr>
              <w:t>3860000元</w:t>
            </w:r>
          </w:p>
          <w:p w14:paraId="1D80FBB5">
            <w:pPr>
              <w:spacing w:before="181" w:line="219" w:lineRule="auto"/>
              <w:ind w:left="578"/>
              <w:rPr>
                <w:rFonts w:hint="default"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三标段预算金额：3069000元，</w:t>
            </w:r>
            <w:r>
              <w:rPr>
                <w:rFonts w:hint="eastAsia" w:ascii="宋体" w:hAnsi="宋体" w:eastAsia="宋体" w:cs="宋体"/>
                <w:color w:val="auto"/>
                <w:spacing w:val="-1"/>
                <w:sz w:val="24"/>
                <w:szCs w:val="24"/>
                <w:highlight w:val="none"/>
                <w:lang w:eastAsia="zh-CN"/>
              </w:rPr>
              <w:t>最高限价（元）：</w:t>
            </w:r>
            <w:r>
              <w:rPr>
                <w:rFonts w:hint="eastAsia" w:ascii="宋体" w:hAnsi="宋体" w:eastAsia="宋体" w:cs="宋体"/>
                <w:color w:val="auto"/>
                <w:spacing w:val="-1"/>
                <w:sz w:val="24"/>
                <w:szCs w:val="24"/>
                <w:highlight w:val="none"/>
                <w:lang w:val="en-US" w:eastAsia="zh-CN"/>
              </w:rPr>
              <w:t>3069000元</w:t>
            </w:r>
          </w:p>
          <w:p w14:paraId="48C646EA">
            <w:pPr>
              <w:bidi w:val="0"/>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投标报价超过最高限价为无效报价</w:t>
            </w:r>
          </w:p>
        </w:tc>
      </w:tr>
      <w:tr w14:paraId="6D2CB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272" w:type="dxa"/>
            <w:tcBorders>
              <w:left w:val="single" w:color="000000" w:sz="10" w:space="0"/>
            </w:tcBorders>
            <w:vAlign w:val="top"/>
          </w:tcPr>
          <w:p w14:paraId="78C79FE2">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.1</w:t>
            </w:r>
          </w:p>
        </w:tc>
        <w:tc>
          <w:tcPr>
            <w:tcW w:w="8530" w:type="dxa"/>
            <w:tcBorders>
              <w:right w:val="single" w:color="000000" w:sz="10" w:space="0"/>
            </w:tcBorders>
            <w:vAlign w:val="top"/>
          </w:tcPr>
          <w:p w14:paraId="21A5C27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如投标人对多个包进行投标，可以中标1个包段，本项目不可兼中兼得</w:t>
            </w:r>
          </w:p>
        </w:tc>
      </w:tr>
      <w:tr w14:paraId="4A049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272" w:type="dxa"/>
            <w:tcBorders>
              <w:left w:val="single" w:color="000000" w:sz="10" w:space="0"/>
            </w:tcBorders>
            <w:vAlign w:val="top"/>
          </w:tcPr>
          <w:p w14:paraId="40630A81">
            <w:pPr>
              <w:bidi w:val="0"/>
              <w:spacing w:line="360" w:lineRule="auto"/>
              <w:rPr>
                <w:rFonts w:hint="eastAsia" w:asciiTheme="minorEastAsia" w:hAnsiTheme="minorEastAsia" w:eastAsiaTheme="minorEastAsia" w:cstheme="minorEastAsia"/>
                <w:color w:val="auto"/>
                <w:sz w:val="24"/>
                <w:szCs w:val="24"/>
                <w:highlight w:val="none"/>
              </w:rPr>
            </w:pPr>
          </w:p>
          <w:p w14:paraId="51E00228">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12.1</w:t>
            </w:r>
          </w:p>
        </w:tc>
        <w:tc>
          <w:tcPr>
            <w:tcW w:w="8530" w:type="dxa"/>
            <w:tcBorders>
              <w:right w:val="single" w:color="000000" w:sz="10" w:space="0"/>
            </w:tcBorders>
            <w:vAlign w:val="top"/>
          </w:tcPr>
          <w:p w14:paraId="50920B4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保证金形式：☑电汇☑保函☑转账（本项目允许的其他形式）</w:t>
            </w:r>
          </w:p>
          <w:p w14:paraId="6FC7DA2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保证金数额：</w:t>
            </w:r>
            <w:r>
              <w:rPr>
                <w:rFonts w:hint="eastAsia" w:asciiTheme="minorEastAsia" w:hAnsiTheme="minorEastAsia" w:eastAsiaTheme="minorEastAsia" w:cstheme="minorEastAsia"/>
                <w:color w:val="auto"/>
                <w:sz w:val="24"/>
                <w:szCs w:val="24"/>
                <w:highlight w:val="none"/>
                <w:lang w:val="en-US" w:eastAsia="zh-CN"/>
              </w:rPr>
              <w:t>一标段：40000元，二标段：70000元，三标段：60000元，</w:t>
            </w:r>
          </w:p>
          <w:p w14:paraId="28F7B2F0">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单位名称：</w:t>
            </w:r>
            <w:r>
              <w:rPr>
                <w:rFonts w:hint="eastAsia" w:asciiTheme="minorEastAsia" w:hAnsiTheme="minorEastAsia" w:eastAsiaTheme="minorEastAsia" w:cstheme="minorEastAsia"/>
                <w:color w:val="auto"/>
                <w:sz w:val="24"/>
                <w:szCs w:val="24"/>
                <w:highlight w:val="none"/>
                <w:lang w:eastAsia="zh-CN"/>
              </w:rPr>
              <w:t>新疆西北中信项目管理有限公司</w:t>
            </w:r>
          </w:p>
          <w:p w14:paraId="4F952BEB">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 户 行：中国建设银行股份有限公司喀什克孜都维路支行</w:t>
            </w:r>
          </w:p>
          <w:p w14:paraId="36414A5C">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账 号：6505 0174 6042 0969 9999</w:t>
            </w:r>
          </w:p>
          <w:p w14:paraId="2B6EA6C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行 号：1058 9400 0094</w:t>
            </w:r>
          </w:p>
          <w:p w14:paraId="68BF79D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（电汇时请在汇款备注栏注明项目名称及编号、包号（如有），并注明是投标保</w:t>
            </w:r>
          </w:p>
          <w:p w14:paraId="303BC158">
            <w:pPr>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证金）采用电汇或银行转账形式：保证金截止时间与投标（响应）截止时间一致，截止时间前交到</w:t>
            </w:r>
            <w:r>
              <w:rPr>
                <w:rFonts w:hint="eastAsia" w:asciiTheme="minorEastAsia" w:hAnsiTheme="minorEastAsia" w:eastAsiaTheme="minorEastAsia" w:cstheme="minorEastAsia"/>
                <w:color w:val="auto"/>
                <w:sz w:val="24"/>
                <w:szCs w:val="24"/>
                <w:highlight w:val="none"/>
                <w:lang w:eastAsia="zh-CN"/>
              </w:rPr>
              <w:t>新疆西北中信项目管理有限公司</w:t>
            </w:r>
            <w:r>
              <w:rPr>
                <w:rFonts w:hint="eastAsia" w:asciiTheme="minorEastAsia" w:hAnsiTheme="minorEastAsia" w:eastAsiaTheme="minorEastAsia" w:cstheme="minorEastAsia"/>
                <w:color w:val="auto"/>
                <w:sz w:val="24"/>
                <w:szCs w:val="24"/>
                <w:highlight w:val="none"/>
              </w:rPr>
              <w:t>账户中。不接受现金、支票及任何个人、分公司汇款</w:t>
            </w:r>
            <w:r>
              <w:rPr>
                <w:rFonts w:hint="eastAsia" w:asciiTheme="minorEastAsia" w:hAnsiTheme="minorEastAsia" w:eastAsiaTheme="minorEastAsia" w:cstheme="minorEastAsia"/>
                <w:color w:val="auto"/>
                <w:sz w:val="24"/>
                <w:szCs w:val="24"/>
                <w:highlight w:val="none"/>
                <w:lang w:eastAsia="zh-CN"/>
              </w:rPr>
              <w:t>。</w:t>
            </w:r>
          </w:p>
          <w:p w14:paraId="0D7D0535">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采用银行保函形式：将银行保函正本扫描件制作在响应文件中；</w:t>
            </w:r>
          </w:p>
          <w:p w14:paraId="6B9BD42E">
            <w:pPr>
              <w:bidi w:val="0"/>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采用电子保函形式：按照政采云电子投标流程制作并上传电子保函；</w:t>
            </w:r>
          </w:p>
        </w:tc>
      </w:tr>
      <w:tr w14:paraId="3462E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2" w:type="dxa"/>
            <w:tcBorders>
              <w:left w:val="single" w:color="000000" w:sz="10" w:space="0"/>
            </w:tcBorders>
            <w:vAlign w:val="top"/>
          </w:tcPr>
          <w:p w14:paraId="199B3B9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13.1</w:t>
            </w:r>
          </w:p>
        </w:tc>
        <w:tc>
          <w:tcPr>
            <w:tcW w:w="8530" w:type="dxa"/>
            <w:tcBorders>
              <w:right w:val="single" w:color="000000" w:sz="10" w:space="0"/>
            </w:tcBorders>
            <w:vAlign w:val="top"/>
          </w:tcPr>
          <w:p w14:paraId="30CE36D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投标有效期：自投标截止之日起90个日历日</w:t>
            </w:r>
          </w:p>
        </w:tc>
      </w:tr>
      <w:tr w14:paraId="6F37A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72" w:type="dxa"/>
            <w:tcBorders>
              <w:left w:val="single" w:color="000000" w:sz="10" w:space="0"/>
            </w:tcBorders>
            <w:vAlign w:val="top"/>
          </w:tcPr>
          <w:p w14:paraId="153EFEDC">
            <w:pPr>
              <w:bidi w:val="0"/>
              <w:spacing w:line="360" w:lineRule="auto"/>
              <w:rPr>
                <w:rFonts w:hint="eastAsia" w:asciiTheme="minorEastAsia" w:hAnsiTheme="minorEastAsia" w:eastAsiaTheme="minorEastAsia" w:cstheme="minorEastAsia"/>
                <w:color w:val="auto"/>
                <w:sz w:val="24"/>
                <w:szCs w:val="24"/>
                <w:highlight w:val="none"/>
              </w:rPr>
            </w:pPr>
          </w:p>
          <w:p w14:paraId="5838B4CD">
            <w:pPr>
              <w:bidi w:val="0"/>
              <w:spacing w:line="360" w:lineRule="auto"/>
              <w:rPr>
                <w:rFonts w:hint="eastAsia" w:asciiTheme="minorEastAsia" w:hAnsiTheme="minorEastAsia" w:eastAsiaTheme="minorEastAsia" w:cstheme="minorEastAsia"/>
                <w:color w:val="auto"/>
                <w:sz w:val="24"/>
                <w:szCs w:val="24"/>
                <w:highlight w:val="none"/>
              </w:rPr>
            </w:pPr>
          </w:p>
          <w:p w14:paraId="3A295D99">
            <w:pPr>
              <w:bidi w:val="0"/>
              <w:spacing w:line="360" w:lineRule="auto"/>
              <w:rPr>
                <w:rFonts w:hint="eastAsia" w:asciiTheme="minorEastAsia" w:hAnsiTheme="minorEastAsia" w:eastAsiaTheme="minorEastAsia" w:cstheme="minorEastAsia"/>
                <w:color w:val="auto"/>
                <w:sz w:val="24"/>
                <w:szCs w:val="24"/>
                <w:highlight w:val="none"/>
              </w:rPr>
            </w:pPr>
          </w:p>
          <w:p w14:paraId="565011DA">
            <w:pPr>
              <w:bidi w:val="0"/>
              <w:spacing w:line="360" w:lineRule="auto"/>
              <w:rPr>
                <w:rFonts w:hint="eastAsia" w:asciiTheme="minorEastAsia" w:hAnsiTheme="minorEastAsia" w:eastAsiaTheme="minorEastAsia" w:cstheme="minorEastAsia"/>
                <w:color w:val="auto"/>
                <w:sz w:val="24"/>
                <w:szCs w:val="24"/>
                <w:highlight w:val="none"/>
              </w:rPr>
            </w:pPr>
          </w:p>
          <w:p w14:paraId="39D18F19">
            <w:pPr>
              <w:bidi w:val="0"/>
              <w:spacing w:line="360" w:lineRule="auto"/>
              <w:rPr>
                <w:rFonts w:hint="eastAsia" w:asciiTheme="minorEastAsia" w:hAnsiTheme="minorEastAsia" w:eastAsiaTheme="minorEastAsia" w:cstheme="minorEastAsia"/>
                <w:color w:val="auto"/>
                <w:sz w:val="24"/>
                <w:szCs w:val="24"/>
                <w:highlight w:val="none"/>
              </w:rPr>
            </w:pPr>
          </w:p>
          <w:p w14:paraId="31563677">
            <w:pPr>
              <w:bidi w:val="0"/>
              <w:spacing w:line="360" w:lineRule="auto"/>
              <w:rPr>
                <w:rFonts w:hint="eastAsia" w:asciiTheme="minorEastAsia" w:hAnsiTheme="minorEastAsia" w:eastAsiaTheme="minorEastAsia" w:cstheme="minorEastAsia"/>
                <w:color w:val="auto"/>
                <w:sz w:val="24"/>
                <w:szCs w:val="24"/>
                <w:highlight w:val="none"/>
              </w:rPr>
            </w:pPr>
          </w:p>
          <w:p w14:paraId="171D386A">
            <w:pPr>
              <w:bidi w:val="0"/>
              <w:spacing w:line="360" w:lineRule="auto"/>
              <w:rPr>
                <w:rFonts w:hint="eastAsia" w:asciiTheme="minorEastAsia" w:hAnsiTheme="minorEastAsia" w:eastAsiaTheme="minorEastAsia" w:cstheme="minorEastAsia"/>
                <w:color w:val="auto"/>
                <w:sz w:val="24"/>
                <w:szCs w:val="24"/>
                <w:highlight w:val="none"/>
              </w:rPr>
            </w:pPr>
          </w:p>
          <w:p w14:paraId="00B60BB9">
            <w:pPr>
              <w:bidi w:val="0"/>
              <w:spacing w:line="360" w:lineRule="auto"/>
              <w:rPr>
                <w:rFonts w:hint="eastAsia" w:asciiTheme="minorEastAsia" w:hAnsiTheme="minorEastAsia" w:eastAsiaTheme="minorEastAsia" w:cstheme="minorEastAsia"/>
                <w:color w:val="auto"/>
                <w:sz w:val="24"/>
                <w:szCs w:val="24"/>
                <w:highlight w:val="none"/>
              </w:rPr>
            </w:pPr>
          </w:p>
          <w:p w14:paraId="2E95DF54">
            <w:pPr>
              <w:bidi w:val="0"/>
              <w:spacing w:line="360" w:lineRule="auto"/>
              <w:rPr>
                <w:rFonts w:hint="eastAsia" w:asciiTheme="minorEastAsia" w:hAnsiTheme="minorEastAsia" w:eastAsiaTheme="minorEastAsia" w:cstheme="minorEastAsia"/>
                <w:color w:val="auto"/>
                <w:sz w:val="24"/>
                <w:szCs w:val="24"/>
                <w:highlight w:val="none"/>
              </w:rPr>
            </w:pPr>
          </w:p>
          <w:p w14:paraId="39260CBF">
            <w:pPr>
              <w:bidi w:val="0"/>
              <w:spacing w:line="360" w:lineRule="auto"/>
              <w:rPr>
                <w:rFonts w:hint="eastAsia" w:asciiTheme="minorEastAsia" w:hAnsiTheme="minorEastAsia" w:eastAsiaTheme="minorEastAsia" w:cstheme="minorEastAsia"/>
                <w:color w:val="auto"/>
                <w:sz w:val="24"/>
                <w:szCs w:val="24"/>
                <w:highlight w:val="none"/>
              </w:rPr>
            </w:pPr>
          </w:p>
          <w:p w14:paraId="760A103B">
            <w:pPr>
              <w:bidi w:val="0"/>
              <w:spacing w:line="360" w:lineRule="auto"/>
              <w:rPr>
                <w:rFonts w:hint="eastAsia" w:asciiTheme="minorEastAsia" w:hAnsiTheme="minorEastAsia" w:eastAsiaTheme="minorEastAsia" w:cstheme="minorEastAsia"/>
                <w:color w:val="auto"/>
                <w:sz w:val="24"/>
                <w:szCs w:val="24"/>
                <w:highlight w:val="none"/>
              </w:rPr>
            </w:pPr>
          </w:p>
          <w:p w14:paraId="4C39E13B">
            <w:pPr>
              <w:bidi w:val="0"/>
              <w:spacing w:line="360" w:lineRule="auto"/>
              <w:rPr>
                <w:rFonts w:hint="eastAsia" w:asciiTheme="minorEastAsia" w:hAnsiTheme="minorEastAsia" w:eastAsiaTheme="minorEastAsia" w:cstheme="minorEastAsia"/>
                <w:color w:val="auto"/>
                <w:sz w:val="24"/>
                <w:szCs w:val="24"/>
                <w:highlight w:val="none"/>
              </w:rPr>
            </w:pPr>
          </w:p>
          <w:p w14:paraId="36E87267">
            <w:pPr>
              <w:bidi w:val="0"/>
              <w:spacing w:line="360" w:lineRule="auto"/>
              <w:rPr>
                <w:rFonts w:hint="eastAsia" w:asciiTheme="minorEastAsia" w:hAnsiTheme="minorEastAsia" w:eastAsiaTheme="minorEastAsia" w:cstheme="minorEastAsia"/>
                <w:color w:val="auto"/>
                <w:sz w:val="24"/>
                <w:szCs w:val="24"/>
                <w:highlight w:val="none"/>
              </w:rPr>
            </w:pPr>
          </w:p>
          <w:p w14:paraId="6D02A852">
            <w:pPr>
              <w:bidi w:val="0"/>
              <w:spacing w:line="360" w:lineRule="auto"/>
              <w:rPr>
                <w:rFonts w:hint="eastAsia" w:asciiTheme="minorEastAsia" w:hAnsiTheme="minorEastAsia" w:eastAsiaTheme="minorEastAsia" w:cstheme="minorEastAsia"/>
                <w:color w:val="auto"/>
                <w:sz w:val="24"/>
                <w:szCs w:val="24"/>
                <w:highlight w:val="none"/>
              </w:rPr>
            </w:pPr>
          </w:p>
          <w:p w14:paraId="6E59FF7A">
            <w:pPr>
              <w:bidi w:val="0"/>
              <w:spacing w:line="360" w:lineRule="auto"/>
              <w:rPr>
                <w:rFonts w:hint="eastAsia" w:asciiTheme="minorEastAsia" w:hAnsiTheme="minorEastAsia" w:eastAsiaTheme="minorEastAsia" w:cstheme="minorEastAsia"/>
                <w:color w:val="auto"/>
                <w:sz w:val="24"/>
                <w:szCs w:val="24"/>
                <w:highlight w:val="none"/>
              </w:rPr>
            </w:pPr>
          </w:p>
          <w:p w14:paraId="257B2D55">
            <w:pPr>
              <w:bidi w:val="0"/>
              <w:spacing w:line="360" w:lineRule="auto"/>
              <w:rPr>
                <w:rFonts w:hint="eastAsia" w:asciiTheme="minorEastAsia" w:hAnsiTheme="minorEastAsia" w:eastAsiaTheme="minorEastAsia" w:cstheme="minorEastAsia"/>
                <w:color w:val="auto"/>
                <w:sz w:val="24"/>
                <w:szCs w:val="24"/>
                <w:highlight w:val="none"/>
              </w:rPr>
            </w:pPr>
          </w:p>
          <w:p w14:paraId="51E13157">
            <w:pPr>
              <w:bidi w:val="0"/>
              <w:spacing w:line="360" w:lineRule="auto"/>
              <w:rPr>
                <w:rFonts w:hint="eastAsia" w:asciiTheme="minorEastAsia" w:hAnsiTheme="minorEastAsia" w:eastAsiaTheme="minorEastAsia" w:cstheme="minorEastAsia"/>
                <w:color w:val="auto"/>
                <w:sz w:val="24"/>
                <w:szCs w:val="24"/>
                <w:highlight w:val="none"/>
              </w:rPr>
            </w:pPr>
          </w:p>
          <w:p w14:paraId="02074707">
            <w:pPr>
              <w:bidi w:val="0"/>
              <w:spacing w:line="360" w:lineRule="auto"/>
              <w:rPr>
                <w:rFonts w:hint="eastAsia" w:asciiTheme="minorEastAsia" w:hAnsiTheme="minorEastAsia" w:eastAsiaTheme="minorEastAsia" w:cstheme="minorEastAsia"/>
                <w:color w:val="auto"/>
                <w:sz w:val="24"/>
                <w:szCs w:val="24"/>
                <w:highlight w:val="none"/>
              </w:rPr>
            </w:pPr>
          </w:p>
          <w:p w14:paraId="2259F98B">
            <w:pPr>
              <w:bidi w:val="0"/>
              <w:spacing w:line="360" w:lineRule="auto"/>
              <w:rPr>
                <w:rFonts w:hint="eastAsia" w:asciiTheme="minorEastAsia" w:hAnsiTheme="minorEastAsia" w:eastAsiaTheme="minorEastAsia" w:cstheme="minorEastAsia"/>
                <w:color w:val="auto"/>
                <w:sz w:val="24"/>
                <w:szCs w:val="24"/>
                <w:highlight w:val="none"/>
              </w:rPr>
            </w:pPr>
          </w:p>
          <w:p w14:paraId="6823C87C">
            <w:pPr>
              <w:bidi w:val="0"/>
              <w:spacing w:line="360" w:lineRule="auto"/>
              <w:rPr>
                <w:rFonts w:hint="eastAsia" w:asciiTheme="minorEastAsia" w:hAnsiTheme="minorEastAsia" w:eastAsiaTheme="minorEastAsia" w:cstheme="minorEastAsia"/>
                <w:color w:val="auto"/>
                <w:sz w:val="24"/>
                <w:szCs w:val="24"/>
                <w:highlight w:val="none"/>
              </w:rPr>
            </w:pPr>
          </w:p>
          <w:p w14:paraId="390B1AF5">
            <w:pPr>
              <w:bidi w:val="0"/>
              <w:spacing w:line="360" w:lineRule="auto"/>
              <w:rPr>
                <w:rFonts w:hint="eastAsia" w:asciiTheme="minorEastAsia" w:hAnsiTheme="minorEastAsia" w:eastAsiaTheme="minorEastAsia" w:cstheme="minorEastAsia"/>
                <w:color w:val="auto"/>
                <w:sz w:val="24"/>
                <w:szCs w:val="24"/>
                <w:highlight w:val="none"/>
              </w:rPr>
            </w:pPr>
          </w:p>
          <w:p w14:paraId="496FF9BB">
            <w:pPr>
              <w:bidi w:val="0"/>
              <w:spacing w:line="360" w:lineRule="auto"/>
              <w:rPr>
                <w:rFonts w:hint="eastAsia" w:asciiTheme="minorEastAsia" w:hAnsiTheme="minorEastAsia" w:eastAsiaTheme="minorEastAsia" w:cstheme="minorEastAsia"/>
                <w:color w:val="auto"/>
                <w:sz w:val="24"/>
                <w:szCs w:val="24"/>
                <w:highlight w:val="none"/>
              </w:rPr>
            </w:pPr>
          </w:p>
          <w:p w14:paraId="0F7B37BB">
            <w:pPr>
              <w:bidi w:val="0"/>
              <w:spacing w:line="360" w:lineRule="auto"/>
              <w:rPr>
                <w:rFonts w:hint="eastAsia" w:asciiTheme="minorEastAsia" w:hAnsiTheme="minorEastAsia" w:eastAsiaTheme="minorEastAsia" w:cstheme="minorEastAsia"/>
                <w:color w:val="auto"/>
                <w:sz w:val="24"/>
                <w:szCs w:val="24"/>
                <w:highlight w:val="none"/>
              </w:rPr>
            </w:pPr>
          </w:p>
          <w:p w14:paraId="3759DE34">
            <w:pPr>
              <w:bidi w:val="0"/>
              <w:spacing w:line="360" w:lineRule="auto"/>
              <w:rPr>
                <w:rFonts w:hint="eastAsia" w:asciiTheme="minorEastAsia" w:hAnsiTheme="minorEastAsia" w:eastAsiaTheme="minorEastAsia" w:cstheme="minorEastAsia"/>
                <w:color w:val="auto"/>
                <w:sz w:val="24"/>
                <w:szCs w:val="24"/>
                <w:highlight w:val="none"/>
              </w:rPr>
            </w:pPr>
          </w:p>
          <w:p w14:paraId="20F45CE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14.1</w:t>
            </w:r>
          </w:p>
        </w:tc>
        <w:tc>
          <w:tcPr>
            <w:tcW w:w="8530" w:type="dxa"/>
            <w:tcBorders>
              <w:right w:val="single" w:color="000000" w:sz="10" w:space="0"/>
            </w:tcBorders>
            <w:vAlign w:val="top"/>
          </w:tcPr>
          <w:p w14:paraId="6CDAF4E0">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pacing w:val="-6"/>
                <w:sz w:val="24"/>
                <w:szCs w:val="24"/>
                <w:highlight w:val="none"/>
              </w:rPr>
              <w:t>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r>
              <w:rPr>
                <w:rFonts w:hint="eastAsia" w:asciiTheme="minorEastAsia" w:hAnsiTheme="minorEastAsia" w:eastAsiaTheme="minorEastAsia" w:cstheme="minorEastAsia"/>
                <w:color w:val="auto"/>
                <w:sz w:val="24"/>
                <w:szCs w:val="24"/>
                <w:highlight w:val="none"/>
              </w:rPr>
              <w:t>。</w:t>
            </w:r>
          </w:p>
          <w:p w14:paraId="672E8DAC">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本项目实行网上投标，采用电子投标文件(供应商须使用CA加密设备通过政采云电子投标客户端制作投标文件)。若供应商参与投标，自行承担投标一切费用。(3)各供应商应在开标前应确保成为新疆政府采购网正式注册入库供应商，并完成CA数字证书申领。因未注册入库、未办理CA数字证书等原因造成无法投标或投标失败等后果由供应商自行承担。</w:t>
            </w:r>
          </w:p>
          <w:p w14:paraId="1CAEE22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(4)供应商将政采云电子交易客户端下载、安装完成后，可通过账号密码或CA登录客户端进行投标文件制作。在使用政采云投标客户端时，建议使用WIN7及以上操作系统。客户端请至新疆政府采购网(</w:t>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"http://www.ccgp-xinjiang.gov.cn/"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http://www.ccgp-xinjiang.gov.cn/</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t>)下载专区查看，如有问题可拨打政采云客户服务热线400-881-7190进行咨询。(5)供应商在开标时须使用制作加密电子投标文件所使用的CA锁及电脑，电脑须</w:t>
            </w:r>
          </w:p>
          <w:p w14:paraId="56D17B9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提前配置好浏览器(建议使用谷歌浏览器)，以便开标时解锁。</w:t>
            </w:r>
          </w:p>
          <w:p w14:paraId="709550B8">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(6)投标保证金缴纳及确认时间：凡拟参加本次招标项目的供应商，必须在开标前将投标保证金汇入指定账户。否则，届时其投标将被拒绝。</w:t>
            </w:r>
          </w:p>
          <w:p w14:paraId="6E620268">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(7)供应商对不见面开评标系统的技术操作咨询，可通过</w:t>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"https://edu.zcygov.cn/luban/xinjiang-e-biding"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https://edu.zcygov.cn/luban/xinjiang-e-biding</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t>自助查询，也可在政采云帮</w:t>
            </w:r>
          </w:p>
          <w:p w14:paraId="2A77D54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助中心常见问题解答和操作流程讲解视频中自助查询，网址为：</w:t>
            </w:r>
          </w:p>
          <w:p w14:paraId="18C4CB9B">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"https://service.zcygov.cn/#/help"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https://service.zcygov.cn/#/help</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t>，“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13B7AAF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w:t>
            </w:r>
          </w:p>
          <w:p w14:paraId="5648CC7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子投标流程制作并上传电子投标文件)。</w:t>
            </w:r>
          </w:p>
          <w:p w14:paraId="5F88B558">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各供应商在投标截止时间前将“投标文件”上传至政采云平台。投标文件包括“开标一览表表及资格证明文件”与“商务及技术文件”两部分合并成一册。投标文件应按照采购文件规定的格式填写、签署和盖章，并以PDF格式上传至政采云开评标平台(投标文件为正本扫描件)。</w:t>
            </w:r>
          </w:p>
          <w:p w14:paraId="3F2D56A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成交供应商应在中标公告公示期结束后5个工作日内将纸质版投标文件邮寄至代理机构备案，纸质版投标文件包括“开标一览表表及资格证明文件”和“商务及技术文件”两部分，两部分合订成一册递交备案，纸质版投标文件须与上传</w:t>
            </w:r>
          </w:p>
          <w:p w14:paraId="661B6BB2">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至政采云平台的投标文件一致。</w:t>
            </w:r>
          </w:p>
          <w:p w14:paraId="6441FDA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递交数量：正本：壹份、副本：叁份；电子文档（PDF版）1份。</w:t>
            </w:r>
          </w:p>
          <w:p w14:paraId="61E7548B">
            <w:pPr>
              <w:tabs>
                <w:tab w:val="center" w:pos="4256"/>
              </w:tabs>
              <w:bidi w:val="0"/>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(11)解密时长为30分钟。</w:t>
            </w:r>
            <w:r>
              <w:rPr>
                <w:rFonts w:hint="eastAsia" w:asciiTheme="minorEastAsia" w:hAnsiTheme="minorEastAsia" w:eastAsiaTheme="minorEastAsia" w:cstheme="minorEastAsia"/>
                <w:color w:val="auto"/>
                <w:sz w:val="24"/>
                <w:szCs w:val="24"/>
                <w:highlight w:val="none"/>
                <w:lang w:eastAsia="zh-CN"/>
              </w:rPr>
              <w:tab/>
            </w:r>
          </w:p>
        </w:tc>
      </w:tr>
      <w:tr w14:paraId="7DD08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72" w:type="dxa"/>
            <w:tcBorders>
              <w:left w:val="single" w:color="000000" w:sz="10" w:space="0"/>
            </w:tcBorders>
            <w:vAlign w:val="top"/>
          </w:tcPr>
          <w:p w14:paraId="47C3D54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16.1</w:t>
            </w:r>
          </w:p>
        </w:tc>
        <w:tc>
          <w:tcPr>
            <w:tcW w:w="8530" w:type="dxa"/>
            <w:tcBorders>
              <w:right w:val="single" w:color="000000" w:sz="10" w:space="0"/>
            </w:tcBorders>
            <w:vAlign w:val="top"/>
          </w:tcPr>
          <w:p w14:paraId="5B8482C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投标截止时间：</w:t>
            </w:r>
            <w:r>
              <w:rPr>
                <w:rFonts w:hint="eastAsia" w:ascii="宋体" w:hAnsi="宋体" w:eastAsia="宋体" w:cs="宋体"/>
                <w:color w:val="auto"/>
                <w:spacing w:val="-3"/>
                <w:sz w:val="24"/>
                <w:szCs w:val="24"/>
                <w:highlight w:val="none"/>
                <w:lang w:eastAsia="zh-CN"/>
              </w:rPr>
              <w:t>2026年7月3日11点00分（北京时间）</w:t>
            </w:r>
          </w:p>
          <w:p w14:paraId="52B1D5ED">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递交地点：政采云平台（https://login.zcygov.cn/user-login/#/login）</w:t>
            </w:r>
          </w:p>
        </w:tc>
      </w:tr>
      <w:tr w14:paraId="6FCCF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72" w:type="dxa"/>
            <w:tcBorders>
              <w:left w:val="single" w:color="000000" w:sz="10" w:space="0"/>
            </w:tcBorders>
            <w:vAlign w:val="top"/>
          </w:tcPr>
          <w:p w14:paraId="74D8193D">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18.1</w:t>
            </w:r>
          </w:p>
        </w:tc>
        <w:tc>
          <w:tcPr>
            <w:tcW w:w="8530" w:type="dxa"/>
            <w:tcBorders>
              <w:right w:val="single" w:color="000000" w:sz="10" w:space="0"/>
            </w:tcBorders>
            <w:vAlign w:val="top"/>
          </w:tcPr>
          <w:p w14:paraId="383F422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开标时间：</w:t>
            </w:r>
            <w:r>
              <w:rPr>
                <w:rFonts w:hint="eastAsia" w:ascii="宋体" w:hAnsi="宋体" w:eastAsia="宋体" w:cs="宋体"/>
                <w:color w:val="auto"/>
                <w:spacing w:val="-3"/>
                <w:sz w:val="24"/>
                <w:szCs w:val="24"/>
                <w:highlight w:val="none"/>
                <w:lang w:eastAsia="zh-CN"/>
              </w:rPr>
              <w:t>2026年7月3日11点00分（北京时间）</w:t>
            </w:r>
          </w:p>
          <w:p w14:paraId="0371B86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开标地点：政采云平台（https://login.zcygov.cn/user-login/#/login）</w:t>
            </w:r>
          </w:p>
        </w:tc>
      </w:tr>
      <w:tr w14:paraId="180AE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2" w:type="dxa"/>
            <w:tcBorders>
              <w:left w:val="single" w:color="000000" w:sz="10" w:space="0"/>
            </w:tcBorders>
            <w:vAlign w:val="top"/>
          </w:tcPr>
          <w:p w14:paraId="5C8E088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20.5</w:t>
            </w:r>
          </w:p>
        </w:tc>
        <w:tc>
          <w:tcPr>
            <w:tcW w:w="8530" w:type="dxa"/>
            <w:tcBorders>
              <w:right w:val="single" w:color="000000" w:sz="10" w:space="0"/>
            </w:tcBorders>
            <w:vAlign w:val="top"/>
          </w:tcPr>
          <w:p w14:paraId="37441733">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（详细参数要求详见招标文件第5章参数需求及技术要求）</w:t>
            </w:r>
          </w:p>
        </w:tc>
      </w:tr>
      <w:tr w14:paraId="01F80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72" w:type="dxa"/>
            <w:tcBorders>
              <w:left w:val="single" w:color="000000" w:sz="10" w:space="0"/>
            </w:tcBorders>
            <w:vAlign w:val="top"/>
          </w:tcPr>
          <w:p w14:paraId="6D3AC445">
            <w:pPr>
              <w:bidi w:val="0"/>
              <w:spacing w:line="360" w:lineRule="auto"/>
              <w:rPr>
                <w:rFonts w:hint="eastAsia" w:asciiTheme="minorEastAsia" w:hAnsiTheme="minorEastAsia" w:eastAsiaTheme="minorEastAsia" w:cstheme="minorEastAsia"/>
                <w:color w:val="auto"/>
                <w:sz w:val="24"/>
                <w:szCs w:val="24"/>
                <w:highlight w:val="none"/>
              </w:rPr>
            </w:pPr>
          </w:p>
          <w:p w14:paraId="38DCC0B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23.2</w:t>
            </w:r>
          </w:p>
        </w:tc>
        <w:tc>
          <w:tcPr>
            <w:tcW w:w="8530" w:type="dxa"/>
            <w:tcBorders>
              <w:right w:val="single" w:color="000000" w:sz="10" w:space="0"/>
            </w:tcBorders>
            <w:vAlign w:val="top"/>
          </w:tcPr>
          <w:p w14:paraId="6E226CF2">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评标方法：综合评分法：根据投标文件满足招标文件全部实质性要求，且按照评</w:t>
            </w:r>
          </w:p>
          <w:p w14:paraId="732EFEE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审因素的量化指标评审得分最高的原则确定中标候选人。</w:t>
            </w:r>
          </w:p>
        </w:tc>
      </w:tr>
      <w:tr w14:paraId="3DC19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272" w:type="dxa"/>
            <w:tcBorders>
              <w:left w:val="single" w:color="000000" w:sz="10" w:space="0"/>
            </w:tcBorders>
            <w:vAlign w:val="top"/>
          </w:tcPr>
          <w:p w14:paraId="31552A3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w:t>
            </w:r>
          </w:p>
        </w:tc>
        <w:tc>
          <w:tcPr>
            <w:tcW w:w="8530" w:type="dxa"/>
            <w:tcBorders>
              <w:right w:val="single" w:color="000000" w:sz="10" w:space="0"/>
            </w:tcBorders>
            <w:vAlign w:val="top"/>
          </w:tcPr>
          <w:p w14:paraId="754F4D4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推荐中标候选投标人的数量：三名</w:t>
            </w:r>
          </w:p>
        </w:tc>
      </w:tr>
      <w:tr w14:paraId="7AC77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272" w:type="dxa"/>
            <w:tcBorders>
              <w:left w:val="single" w:color="000000" w:sz="10" w:space="0"/>
            </w:tcBorders>
            <w:vAlign w:val="top"/>
          </w:tcPr>
          <w:p w14:paraId="3DA9674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27.1</w:t>
            </w:r>
          </w:p>
        </w:tc>
        <w:tc>
          <w:tcPr>
            <w:tcW w:w="8530" w:type="dxa"/>
            <w:tcBorders>
              <w:right w:val="single" w:color="000000" w:sz="10" w:space="0"/>
            </w:tcBorders>
            <w:vAlign w:val="top"/>
          </w:tcPr>
          <w:p w14:paraId="587274D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招标人是否委托评标委员会直接确定中标人：否（是、否）</w:t>
            </w:r>
          </w:p>
        </w:tc>
      </w:tr>
      <w:tr w14:paraId="077E1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trPr>
        <w:tc>
          <w:tcPr>
            <w:tcW w:w="1272" w:type="dxa"/>
            <w:tcBorders>
              <w:left w:val="single" w:color="000000" w:sz="10" w:space="0"/>
              <w:bottom w:val="single" w:color="000000" w:sz="10" w:space="0"/>
            </w:tcBorders>
            <w:vAlign w:val="top"/>
          </w:tcPr>
          <w:p w14:paraId="079DB416">
            <w:pPr>
              <w:bidi w:val="0"/>
              <w:spacing w:line="360" w:lineRule="auto"/>
              <w:rPr>
                <w:rFonts w:hint="eastAsia" w:asciiTheme="minorEastAsia" w:hAnsiTheme="minorEastAsia" w:eastAsiaTheme="minorEastAsia" w:cstheme="minorEastAsia"/>
                <w:color w:val="auto"/>
                <w:sz w:val="24"/>
                <w:szCs w:val="24"/>
                <w:highlight w:val="none"/>
              </w:rPr>
            </w:pPr>
          </w:p>
          <w:p w14:paraId="33C603CD">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31.1</w:t>
            </w:r>
          </w:p>
        </w:tc>
        <w:tc>
          <w:tcPr>
            <w:tcW w:w="8530" w:type="dxa"/>
            <w:tcBorders>
              <w:bottom w:val="single" w:color="000000" w:sz="10" w:space="0"/>
              <w:right w:val="single" w:color="000000" w:sz="10" w:space="0"/>
            </w:tcBorders>
            <w:vAlign w:val="top"/>
          </w:tcPr>
          <w:p w14:paraId="1F8AEAD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履约保证金金额：合同总价的</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p>
          <w:p w14:paraId="6BE1BEF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履约保证金形式：转账或银行保函</w:t>
            </w:r>
          </w:p>
          <w:p w14:paraId="7F617ED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提交履约保证金的时间：签订合同前</w:t>
            </w:r>
          </w:p>
          <w:p w14:paraId="019F0E9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履约保证金的退还：在验收合格后</w:t>
            </w:r>
            <w:r>
              <w:rPr>
                <w:rFonts w:hint="eastAsia" w:asciiTheme="minorEastAsia" w:hAnsiTheme="minorEastAsia" w:eastAsiaTheme="minorEastAsia" w:cstheme="minorEastAsia"/>
                <w:color w:val="auto"/>
                <w:sz w:val="24"/>
                <w:szCs w:val="24"/>
                <w:highlight w:val="none"/>
                <w:lang w:val="en-US" w:eastAsia="zh-CN"/>
              </w:rPr>
              <w:t>10个工作</w:t>
            </w:r>
            <w:r>
              <w:rPr>
                <w:rFonts w:hint="eastAsia" w:asciiTheme="minorEastAsia" w:hAnsiTheme="minorEastAsia" w:eastAsiaTheme="minorEastAsia" w:cstheme="minorEastAsia"/>
                <w:color w:val="auto"/>
                <w:sz w:val="24"/>
                <w:szCs w:val="24"/>
                <w:highlight w:val="none"/>
              </w:rPr>
              <w:t>日内退还。</w:t>
            </w:r>
          </w:p>
        </w:tc>
      </w:tr>
      <w:tr w14:paraId="6266C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2" w:hRule="atLeast"/>
        </w:trPr>
        <w:tc>
          <w:tcPr>
            <w:tcW w:w="1272" w:type="dxa"/>
            <w:tcBorders>
              <w:top w:val="single" w:color="000000" w:sz="10" w:space="0"/>
              <w:left w:val="single" w:color="000000" w:sz="10" w:space="0"/>
            </w:tcBorders>
            <w:vAlign w:val="top"/>
          </w:tcPr>
          <w:p w14:paraId="2989C9C4">
            <w:pPr>
              <w:bidi w:val="0"/>
              <w:spacing w:line="360" w:lineRule="auto"/>
              <w:rPr>
                <w:rFonts w:hint="eastAsia" w:asciiTheme="minorEastAsia" w:hAnsiTheme="minorEastAsia" w:eastAsiaTheme="minorEastAsia" w:cstheme="minorEastAsia"/>
                <w:color w:val="auto"/>
                <w:sz w:val="24"/>
                <w:szCs w:val="24"/>
                <w:highlight w:val="none"/>
              </w:rPr>
            </w:pPr>
          </w:p>
          <w:p w14:paraId="26D2008B">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w:t>
            </w:r>
          </w:p>
        </w:tc>
        <w:tc>
          <w:tcPr>
            <w:tcW w:w="8530" w:type="dxa"/>
            <w:tcBorders>
              <w:top w:val="single" w:color="000000" w:sz="10" w:space="0"/>
              <w:right w:val="single" w:color="000000" w:sz="10" w:space="0"/>
            </w:tcBorders>
            <w:vAlign w:val="top"/>
          </w:tcPr>
          <w:p w14:paraId="57D2E8D4">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中标服务费：</w:t>
            </w:r>
            <w:r>
              <w:rPr>
                <w:rFonts w:hint="eastAsia" w:asciiTheme="minorEastAsia" w:hAnsiTheme="minorEastAsia" w:eastAsiaTheme="minorEastAsia" w:cstheme="minorEastAsia"/>
                <w:color w:val="auto"/>
                <w:sz w:val="24"/>
                <w:szCs w:val="24"/>
                <w:highlight w:val="none"/>
                <w:lang w:val="en-US" w:eastAsia="zh-CN"/>
              </w:rPr>
              <w:t>招标代理费中标单位在领取本项目中标通知书时，按照《国家计委关于印发招标代理服务收费管理暂行办法的通知（计价格[2015]299号）参考计价2002(1980)号文按差额定率累进法计取后下浮31%，由中标单位向招标代理机构支付本项目代理费。</w:t>
            </w:r>
          </w:p>
        </w:tc>
      </w:tr>
      <w:tr w14:paraId="0F918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272" w:type="dxa"/>
            <w:tcBorders>
              <w:left w:val="single" w:color="000000" w:sz="10" w:space="0"/>
            </w:tcBorders>
            <w:vAlign w:val="top"/>
          </w:tcPr>
          <w:p w14:paraId="1C67F3BD">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w:t>
            </w:r>
          </w:p>
        </w:tc>
        <w:tc>
          <w:tcPr>
            <w:tcW w:w="8530" w:type="dxa"/>
            <w:tcBorders>
              <w:right w:val="single" w:color="000000" w:sz="10" w:space="0"/>
            </w:tcBorders>
            <w:vAlign w:val="top"/>
          </w:tcPr>
          <w:p w14:paraId="7EE038FB">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本项目是否属于信用担保试点范围：否（是、否）</w:t>
            </w:r>
          </w:p>
        </w:tc>
      </w:tr>
      <w:tr w14:paraId="1D12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272" w:type="dxa"/>
            <w:tcBorders>
              <w:left w:val="single" w:color="000000" w:sz="10" w:space="0"/>
            </w:tcBorders>
            <w:vAlign w:val="top"/>
          </w:tcPr>
          <w:p w14:paraId="56964C45">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34</w:t>
            </w:r>
          </w:p>
        </w:tc>
        <w:tc>
          <w:tcPr>
            <w:tcW w:w="8530" w:type="dxa"/>
            <w:tcBorders>
              <w:right w:val="single" w:color="000000" w:sz="10" w:space="0"/>
            </w:tcBorders>
            <w:vAlign w:val="top"/>
          </w:tcPr>
          <w:p w14:paraId="20AC0235">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接收部门：伽师县政府采购管理办公室</w:t>
            </w:r>
          </w:p>
          <w:p w14:paraId="31455E66">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联系电话：15384946619</w:t>
            </w:r>
          </w:p>
          <w:p w14:paraId="444442F6">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 xml:space="preserve">通讯地址：伽师县行政审批局四楼 </w:t>
            </w:r>
          </w:p>
        </w:tc>
      </w:tr>
      <w:tr w14:paraId="7E49F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272" w:type="dxa"/>
            <w:tcBorders>
              <w:left w:val="single" w:color="000000" w:sz="10" w:space="0"/>
            </w:tcBorders>
            <w:vAlign w:val="top"/>
          </w:tcPr>
          <w:p w14:paraId="3F511AEF">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35</w:t>
            </w:r>
          </w:p>
        </w:tc>
        <w:tc>
          <w:tcPr>
            <w:tcW w:w="8530" w:type="dxa"/>
            <w:tcBorders>
              <w:right w:val="single" w:color="000000" w:sz="10" w:space="0"/>
            </w:tcBorders>
            <w:vAlign w:val="top"/>
          </w:tcPr>
          <w:p w14:paraId="6168D01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中小企业划型标准规定</w:t>
            </w:r>
          </w:p>
          <w:p w14:paraId="0C9BB28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一、根据《中华人民共和国中小企业促进法》和《国务院关于进一步促进中小企业发展的若干意见》(（国发〔2009〕[2009]36号)，制定本规定。</w:t>
            </w:r>
          </w:p>
          <w:p w14:paraId="337F2832">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二、中小企业划分为中型、小型、微型三种类型，具体标准根据企业从业人员、营业收入、资产总额等指标，结合行业特点制定。</w:t>
            </w:r>
          </w:p>
          <w:p w14:paraId="6F0B257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三、</w:t>
            </w:r>
            <w:r>
              <w:rPr>
                <w:rFonts w:hint="eastAsia" w:asciiTheme="minorEastAsia" w:hAnsiTheme="minorEastAsia" w:eastAsiaTheme="minorEastAsia" w:cstheme="minorEastAsia"/>
                <w:color w:val="auto"/>
                <w:spacing w:val="-6"/>
                <w:sz w:val="24"/>
                <w:szCs w:val="24"/>
                <w:highlight w:val="none"/>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Theme="minorEastAsia" w:hAnsiTheme="minorEastAsia" w:eastAsiaTheme="minorEastAsia" w:cstheme="minorEastAsia"/>
                <w:color w:val="auto"/>
                <w:sz w:val="24"/>
                <w:szCs w:val="24"/>
                <w:highlight w:val="none"/>
              </w:rPr>
              <w:t>）。</w:t>
            </w:r>
          </w:p>
          <w:p w14:paraId="3FA08211">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四、各行业划型标准为：</w:t>
            </w:r>
          </w:p>
          <w:p w14:paraId="1597B17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1E851AEB">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589AD4E">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C9EFFE3">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0440BF4">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EC6B73F">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9400AA6">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（七）仓储业。从业人员200人以下或营业收入30000万元以下的为中小微型企业。其中，从业人员100人及以上，且营业收入1000万元及以上的为中型企业；从业人员20人及以上，</w:t>
            </w:r>
          </w:p>
          <w:p w14:paraId="099A5DA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且营业收入100万元及以上的为小型企业；从业人员20人以下或营业收入100万元以下的为微型企业。</w:t>
            </w:r>
          </w:p>
          <w:p w14:paraId="07B21CA4">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（八）邮政业。从业人员1000人以下或营业收入30000万元以下的为中小微型企业。其中，从业人员300人及以上，且营业收入2000万元及以上的为中型企业；从业人员20人及以上，</w:t>
            </w:r>
          </w:p>
          <w:p w14:paraId="7C92D188">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且营业收入100万元及以上的为小型企业；从业人员20人以下或营业收入100万元以下的为微型企业。</w:t>
            </w:r>
          </w:p>
          <w:p w14:paraId="0432BF02">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（九）住宿业。从业人员300人以下或营业收入10000万元以下的为中小微型企业。其中，从业人员100人及以上，且营业收入2000万元及以上的为中型企业；从业人员10人及以上，</w:t>
            </w:r>
          </w:p>
          <w:p w14:paraId="3F4409BD">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且营业收入100万元及以上的为小型企业；从业人员10人以下或营业收入100万元以下的为微型企业。</w:t>
            </w:r>
          </w:p>
          <w:p w14:paraId="6466A0FC">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（十）餐饮业。从业人员300人以下或营业收入10000万元以下的为中小微型企业。其中，从业人员100人及以上，且营业收入2000万元及以上的为中型企业；从业人员10人及以上，</w:t>
            </w:r>
          </w:p>
          <w:p w14:paraId="32531C13">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且营业收入100万元及以上的为小型企业；从业人员10人以下或营业收入100万元以下的为微型企业。（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457F4E5">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FFB23BA">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（十三）房地产开发经营。营业收入200000万元以下或资产</w:t>
            </w:r>
          </w:p>
          <w:p w14:paraId="783A1F2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A1AF3F0">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31FE493">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51C5E70">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7013B74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五、企业类型的划分以统计部门的统计数据为依据。</w:t>
            </w:r>
          </w:p>
          <w:p w14:paraId="41643D78">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六、本规定适用于在中华人民共和国境内依法设立的各类所有制和各种组织形式的企业。个体工商户和本规定以外的行业，参照本规定进行划型。</w:t>
            </w:r>
          </w:p>
          <w:p w14:paraId="4F9772A3">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015A82B4">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八、本规定由工业和信息化部、国家统计局会同有关部门根据《国民经济行业分类》修订情况和企业发展变化情况适时修订。</w:t>
            </w:r>
          </w:p>
          <w:p w14:paraId="0377C8A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九、本规定由工业和信息化部、国家统计局会同有关部门负责解释。</w:t>
            </w:r>
          </w:p>
          <w:p w14:paraId="34A1ADD3">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十、本规定自发布之日起执行，原国家经贸委、原国家计委、财政部和国家统计局2003年颁布的《中小企业标准暂行规定》同时废止。</w:t>
            </w:r>
          </w:p>
        </w:tc>
      </w:tr>
      <w:tr w14:paraId="4BE32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272" w:type="dxa"/>
            <w:tcBorders>
              <w:left w:val="single" w:color="000000" w:sz="10" w:space="0"/>
            </w:tcBorders>
            <w:vAlign w:val="top"/>
          </w:tcPr>
          <w:p w14:paraId="74C172CB">
            <w:pPr>
              <w:bidi w:val="0"/>
              <w:spacing w:line="360" w:lineRule="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36</w:t>
            </w:r>
          </w:p>
        </w:tc>
        <w:tc>
          <w:tcPr>
            <w:tcW w:w="8530" w:type="dxa"/>
            <w:tcBorders>
              <w:right w:val="single" w:color="000000" w:sz="10" w:space="0"/>
            </w:tcBorders>
            <w:vAlign w:val="top"/>
          </w:tcPr>
          <w:p w14:paraId="01136D2A">
            <w:pPr>
              <w:bidi w:val="0"/>
              <w:spacing w:line="360" w:lineRule="auto"/>
              <w:ind w:firstLine="50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eastAsia="zh-CN"/>
              </w:rPr>
              <w:t>关于推动解决政府采购异常低价问题的通知</w:t>
            </w:r>
            <w:r>
              <w:rPr>
                <w:rFonts w:hint="eastAsia" w:ascii="宋体" w:hAnsi="宋体" w:eastAsia="宋体" w:cs="宋体"/>
                <w:color w:val="auto"/>
                <w:sz w:val="24"/>
                <w:szCs w:val="24"/>
                <w:highlight w:val="none"/>
                <w:lang w:val="en-US" w:eastAsia="zh-CN"/>
              </w:rPr>
              <w:t>》评审中出现下列情形之一的，评审委员会应当启动异常低价投标（响应）审查程序：</w:t>
            </w:r>
          </w:p>
          <w:p w14:paraId="01CED59C">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1.投标（响应）报价低于全部通过符合性审查供应商投标（响应）报价平均值50%的，即投标（响应）报价&lt;全部通过符合性审查供应商投标（响应）报价平均值×50%；</w:t>
            </w:r>
          </w:p>
          <w:p w14:paraId="1CF238AF">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2.投标（响应）报价低于通过符合性审查的次低报价供应商投标（响应）报价50%的，即投标（响应）报价&lt;通过符合性审查的次低报价供应商投标（响应）报价×50%；</w:t>
            </w:r>
          </w:p>
          <w:p w14:paraId="5F989274">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3.投标（响应）报价低于采购项目最高限价45%的，即投标（响应）报价&lt;采购项目最高限价×45%；</w:t>
            </w:r>
          </w:p>
          <w:p w14:paraId="37233949">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tc>
      </w:tr>
    </w:tbl>
    <w:p w14:paraId="5A3BAE96">
      <w:pPr>
        <w:rPr>
          <w:rFonts w:ascii="Arial"/>
          <w:color w:val="auto"/>
          <w:sz w:val="21"/>
          <w:highlight w:val="none"/>
        </w:rPr>
      </w:pPr>
    </w:p>
    <w:p w14:paraId="4F6724AE">
      <w:pPr>
        <w:spacing w:before="101" w:line="224" w:lineRule="auto"/>
        <w:jc w:val="center"/>
        <w:outlineLvl w:val="0"/>
        <w:rPr>
          <w:rFonts w:ascii="宋体" w:hAnsi="宋体" w:eastAsia="宋体" w:cs="宋体"/>
          <w:color w:val="auto"/>
          <w:spacing w:val="8"/>
          <w:sz w:val="31"/>
          <w:szCs w:val="31"/>
          <w:highlight w:val="none"/>
          <w14:textOutline w14:w="5793" w14:cap="sq" w14:cmpd="sng">
            <w14:solidFill>
              <w14:srgbClr w14:val="000000"/>
            </w14:solidFill>
            <w14:prstDash w14:val="solid"/>
            <w14:bevel/>
          </w14:textOutline>
        </w:rPr>
      </w:pPr>
      <w:bookmarkStart w:id="21" w:name="bookmark12"/>
      <w:bookmarkEnd w:id="21"/>
      <w:bookmarkStart w:id="22" w:name="bookmark11"/>
      <w:bookmarkEnd w:id="22"/>
      <w:bookmarkStart w:id="23" w:name="_Toc1888"/>
    </w:p>
    <w:p w14:paraId="73EEC544">
      <w:pPr>
        <w:spacing w:before="101" w:line="224" w:lineRule="auto"/>
        <w:jc w:val="center"/>
        <w:outlineLvl w:val="0"/>
        <w:rPr>
          <w:rFonts w:ascii="宋体" w:hAnsi="宋体" w:eastAsia="宋体" w:cs="宋体"/>
          <w:color w:val="auto"/>
          <w:spacing w:val="8"/>
          <w:sz w:val="31"/>
          <w:szCs w:val="31"/>
          <w:highlight w:val="none"/>
          <w14:textOutline w14:w="5793" w14:cap="sq" w14:cmpd="sng">
            <w14:solidFill>
              <w14:srgbClr w14:val="000000"/>
            </w14:solidFill>
            <w14:prstDash w14:val="solid"/>
            <w14:bevel/>
          </w14:textOutline>
        </w:rPr>
      </w:pPr>
      <w:r>
        <w:rPr>
          <w:rFonts w:ascii="宋体" w:hAnsi="宋体" w:eastAsia="宋体" w:cs="宋体"/>
          <w:color w:val="auto"/>
          <w:spacing w:val="8"/>
          <w:sz w:val="31"/>
          <w:szCs w:val="31"/>
          <w:highlight w:val="none"/>
          <w14:textOutline w14:w="5793" w14:cap="sq" w14:cmpd="sng">
            <w14:solidFill>
              <w14:srgbClr w14:val="000000"/>
            </w14:solidFill>
            <w14:prstDash w14:val="solid"/>
            <w14:bevel/>
          </w14:textOutline>
        </w:rPr>
        <w:t>第5章采购需求</w:t>
      </w:r>
      <w:bookmarkEnd w:id="23"/>
    </w:p>
    <w:p w14:paraId="484D0881">
      <w:pPr>
        <w:spacing w:before="101" w:line="224" w:lineRule="auto"/>
        <w:jc w:val="center"/>
        <w:outlineLvl w:val="0"/>
        <w:rPr>
          <w:rFonts w:ascii="宋体" w:hAnsi="宋体" w:eastAsia="宋体" w:cs="宋体"/>
          <w:color w:val="auto"/>
          <w:spacing w:val="8"/>
          <w:sz w:val="31"/>
          <w:szCs w:val="31"/>
          <w:highlight w:val="none"/>
          <w14:textOutline w14:w="5793" w14:cap="sq" w14:cmpd="sng">
            <w14:solidFill>
              <w14:srgbClr w14:val="000000"/>
            </w14:solidFill>
            <w14:prstDash w14:val="solid"/>
            <w14:bevel/>
          </w14:textOutline>
        </w:rPr>
      </w:pPr>
    </w:p>
    <w:tbl>
      <w:tblPr>
        <w:tblStyle w:val="16"/>
        <w:tblW w:w="8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3"/>
        <w:gridCol w:w="5379"/>
        <w:gridCol w:w="913"/>
        <w:gridCol w:w="973"/>
      </w:tblGrid>
      <w:tr w14:paraId="20DF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68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Fonts w:hint="eastAsia" w:ascii="宋体" w:hAnsi="宋体" w:eastAsia="宋体" w:cs="宋体"/>
                <w:b/>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42E5D">
            <w:pPr>
              <w:keepNext w:val="0"/>
              <w:keepLines w:val="0"/>
              <w:widowControl/>
              <w:suppressLineNumbers w:val="0"/>
              <w:snapToGrid w:val="0"/>
              <w:ind w:left="0" w:leftChars="0" w:right="0" w:rightChars="0" w:firstLine="0" w:firstLineChars="0"/>
              <w:jc w:val="center"/>
              <w:textAlignment w:val="center"/>
              <w:rPr>
                <w:rFonts w:ascii="宋体" w:hAnsi="方正仿宋_GB18030" w:eastAsia="宋体" w:cs="方正仿宋_GB18030"/>
                <w:b/>
                <w:i w:val="0"/>
                <w:iCs w:val="0"/>
                <w:color w:val="auto"/>
                <w:sz w:val="22"/>
                <w:szCs w:val="20"/>
                <w:highlight w:val="none"/>
                <w:u w:val="none"/>
              </w:rPr>
            </w:pPr>
            <w:r>
              <w:rPr>
                <w:rFonts w:hint="eastAsia" w:ascii="宋体" w:hAnsi="方正仿宋_GB18030" w:eastAsia="宋体" w:cs="方正仿宋_GB18030"/>
                <w:b/>
                <w:i w:val="0"/>
                <w:iCs w:val="0"/>
                <w:color w:val="auto"/>
                <w:kern w:val="0"/>
                <w:sz w:val="22"/>
                <w:szCs w:val="20"/>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C6B3CD">
            <w:pPr>
              <w:keepNext w:val="0"/>
              <w:keepLines w:val="0"/>
              <w:widowControl/>
              <w:suppressLineNumbers w:val="0"/>
              <w:snapToGrid w:val="0"/>
              <w:ind w:left="0" w:leftChars="0" w:right="0" w:rightChars="0" w:firstLine="0" w:firstLineChars="0"/>
              <w:jc w:val="center"/>
              <w:textAlignment w:val="center"/>
              <w:rPr>
                <w:rFonts w:hint="eastAsia" w:ascii="宋体" w:hAnsi="方正仿宋_GB18030" w:eastAsia="宋体" w:cs="方正仿宋_GB18030"/>
                <w:b/>
                <w:i w:val="0"/>
                <w:iCs w:val="0"/>
                <w:color w:val="auto"/>
                <w:sz w:val="22"/>
                <w:szCs w:val="20"/>
                <w:highlight w:val="none"/>
                <w:u w:val="none"/>
              </w:rPr>
            </w:pPr>
            <w:r>
              <w:rPr>
                <w:rFonts w:hint="eastAsia" w:ascii="宋体" w:hAnsi="方正仿宋_GB18030" w:eastAsia="宋体" w:cs="方正仿宋_GB18030"/>
                <w:b/>
                <w:i w:val="0"/>
                <w:iCs w:val="0"/>
                <w:color w:val="auto"/>
                <w:kern w:val="0"/>
                <w:sz w:val="22"/>
                <w:szCs w:val="20"/>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117D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auto"/>
                <w:sz w:val="22"/>
                <w:szCs w:val="22"/>
                <w:highlight w:val="none"/>
                <w:u w:val="none"/>
              </w:rPr>
            </w:pPr>
            <w:r>
              <w:rPr>
                <w:rFonts w:hint="eastAsia" w:ascii="宋体" w:hAnsi="宋体" w:eastAsia="宋体" w:cs="宋体"/>
                <w:b/>
                <w:i w:val="0"/>
                <w:iCs w:val="0"/>
                <w:color w:val="auto"/>
                <w:kern w:val="0"/>
                <w:sz w:val="22"/>
                <w:szCs w:val="22"/>
                <w:highlight w:val="none"/>
                <w:u w:val="none"/>
                <w:lang w:val="en-US" w:eastAsia="zh-CN" w:bidi="ar"/>
              </w:rPr>
              <w:t>标段号</w:t>
            </w:r>
          </w:p>
        </w:tc>
      </w:tr>
      <w:tr w14:paraId="532C0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34EA162">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A799D0">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血液透析机（单泵）</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C08B7C">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9</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D5B7FF2">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1</w:t>
            </w:r>
          </w:p>
        </w:tc>
      </w:tr>
      <w:tr w14:paraId="18139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2D065D0">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919AD5">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血液透析机（双泵）</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D75745">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8C427B">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1C90F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07882A7">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573902C">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全数字化高端心脏彩色多普勒超声仪器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8A875B9">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D39A0">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2</w:t>
            </w:r>
          </w:p>
        </w:tc>
      </w:tr>
      <w:tr w14:paraId="36098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4313A53">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21380E">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全自动血细胞分析仪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1E10B3">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5537455">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1</w:t>
            </w:r>
          </w:p>
        </w:tc>
      </w:tr>
      <w:tr w14:paraId="44205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F755D23">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9F098A">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白带诊断分析仪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C24DF5">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9B9DA4">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501BA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454EE94">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AA1FD8E">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超纯水机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9B5036">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DCAF1A7">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1CAD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DF2F581">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E9DB83">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轮转式石蜡切片机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5E1A5D">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972FC5A">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1C9D0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D090269">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85CA91">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全自动化学发光分析仪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13A159">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continue"/>
            <w:tcBorders>
              <w:top w:val="single" w:color="000000" w:sz="4" w:space="0"/>
              <w:left w:val="single" w:color="000000" w:sz="4" w:space="0"/>
              <w:bottom w:val="single" w:color="auto" w:sz="4" w:space="0"/>
              <w:right w:val="single" w:color="000000" w:sz="4" w:space="0"/>
            </w:tcBorders>
            <w:noWrap/>
            <w:vAlign w:val="center"/>
          </w:tcPr>
          <w:p w14:paraId="42DB020B">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79792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38BFE53">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sz w:val="20"/>
                <w:szCs w:val="22"/>
                <w:highlight w:val="none"/>
                <w:u w:val="none"/>
              </w:rPr>
            </w:pPr>
            <w:r>
              <w:rPr>
                <w:rFonts w:hint="eastAsia" w:ascii="方正仿宋_GB18030" w:hAnsi="宋体" w:eastAsia="方正仿宋_GB18030" w:cs="宋体"/>
                <w:i w:val="0"/>
                <w:iCs w:val="0"/>
                <w:color w:val="auto"/>
                <w:kern w:val="0"/>
                <w:sz w:val="20"/>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680BDFD">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心理测评系统</w:t>
            </w:r>
          </w:p>
        </w:tc>
        <w:tc>
          <w:tcPr>
            <w:tcW w:w="0" w:type="auto"/>
            <w:tcBorders>
              <w:top w:val="single" w:color="000000" w:sz="4" w:space="0"/>
              <w:left w:val="single" w:color="000000" w:sz="4" w:space="0"/>
              <w:bottom w:val="single" w:color="000000" w:sz="4" w:space="0"/>
              <w:right w:val="single" w:color="auto" w:sz="4" w:space="0"/>
            </w:tcBorders>
            <w:noWrap w:val="0"/>
            <w:vAlign w:val="center"/>
          </w:tcPr>
          <w:p w14:paraId="17C83550">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D6AC0E6">
            <w:pPr>
              <w:keepNext w:val="0"/>
              <w:keepLines w:val="0"/>
              <w:widowControl/>
              <w:suppressLineNumbers w:val="0"/>
              <w:snapToGrid w:val="0"/>
              <w:ind w:left="0" w:leftChars="0" w:right="0" w:rightChars="0" w:firstLine="0" w:firstLineChars="0"/>
              <w:jc w:val="center"/>
              <w:textAlignment w:val="center"/>
              <w:rPr>
                <w:rFonts w:hint="eastAsia" w:ascii="方正仿宋_GB18030" w:hAnsi="宋体" w:eastAsia="方正仿宋_GB18030" w:cs="宋体"/>
                <w:i w:val="0"/>
                <w:iCs w:val="0"/>
                <w:color w:val="auto"/>
                <w:kern w:val="0"/>
                <w:sz w:val="20"/>
                <w:szCs w:val="22"/>
                <w:highlight w:val="none"/>
                <w:u w:val="none"/>
                <w:lang w:val="en-US" w:eastAsia="zh-CN" w:bidi="ar"/>
              </w:rPr>
            </w:pPr>
            <w:r>
              <w:rPr>
                <w:rFonts w:hint="eastAsia" w:ascii="方正仿宋_GB18030" w:hAnsi="宋体" w:eastAsia="方正仿宋_GB18030" w:cs="宋体"/>
                <w:i w:val="0"/>
                <w:iCs w:val="0"/>
                <w:color w:val="auto"/>
                <w:kern w:val="0"/>
                <w:sz w:val="20"/>
                <w:szCs w:val="22"/>
                <w:highlight w:val="none"/>
                <w:u w:val="none"/>
                <w:lang w:val="en-US" w:eastAsia="zh-CN" w:bidi="ar"/>
              </w:rPr>
              <w:t>3</w:t>
            </w:r>
          </w:p>
        </w:tc>
      </w:tr>
      <w:tr w14:paraId="27652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F0FE">
            <w:pPr>
              <w:keepNext w:val="0"/>
              <w:keepLines w:val="0"/>
              <w:widowControl/>
              <w:suppressLineNumbers w:val="0"/>
              <w:snapToGrid w:val="0"/>
              <w:ind w:left="0" w:leftChars="0" w:right="0" w:rightChars="0" w:firstLine="0" w:firstLineChars="0"/>
              <w:jc w:val="center"/>
              <w:textAlignment w:val="center"/>
              <w:rPr>
                <w:rFonts w:hint="default" w:ascii="方正仿宋_GB18030" w:hAnsi="宋体" w:eastAsia="方正仿宋_GB18030" w:cs="宋体"/>
                <w:i w:val="0"/>
                <w:iCs w:val="0"/>
                <w:color w:val="auto"/>
                <w:sz w:val="20"/>
                <w:szCs w:val="22"/>
                <w:highlight w:val="none"/>
                <w:u w:val="none"/>
                <w:lang w:val="en-US"/>
              </w:rPr>
            </w:pPr>
            <w:r>
              <w:rPr>
                <w:rFonts w:hint="eastAsia" w:ascii="方正仿宋_GB18030" w:hAnsi="宋体" w:eastAsia="方正仿宋_GB18030" w:cs="宋体"/>
                <w:i w:val="0"/>
                <w:iCs w:val="0"/>
                <w:color w:val="auto"/>
                <w:kern w:val="0"/>
                <w:sz w:val="20"/>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8F517">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床旁纤维支气管镜</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CF491A7">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1</w:t>
            </w:r>
          </w:p>
        </w:tc>
        <w:tc>
          <w:tcPr>
            <w:tcW w:w="0" w:type="auto"/>
            <w:vMerge w:val="continue"/>
            <w:tcBorders>
              <w:top w:val="single" w:color="auto" w:sz="4" w:space="0"/>
              <w:left w:val="single" w:color="auto" w:sz="4" w:space="0"/>
              <w:bottom w:val="single" w:color="auto" w:sz="4" w:space="0"/>
              <w:right w:val="nil"/>
            </w:tcBorders>
            <w:shd w:val="clear" w:color="auto" w:fill="F9CBAA"/>
            <w:noWrap/>
            <w:vAlign w:val="center"/>
          </w:tcPr>
          <w:p w14:paraId="6737BE33">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13F1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6730E">
            <w:pPr>
              <w:keepNext w:val="0"/>
              <w:keepLines w:val="0"/>
              <w:widowControl/>
              <w:suppressLineNumbers w:val="0"/>
              <w:snapToGrid w:val="0"/>
              <w:ind w:left="0" w:leftChars="0" w:right="0" w:rightChars="0" w:firstLine="0" w:firstLineChars="0"/>
              <w:jc w:val="center"/>
              <w:textAlignment w:val="center"/>
              <w:rPr>
                <w:rFonts w:hint="default" w:ascii="方正仿宋_GB18030" w:hAnsi="宋体" w:eastAsia="方正仿宋_GB18030" w:cs="宋体"/>
                <w:i w:val="0"/>
                <w:iCs w:val="0"/>
                <w:color w:val="auto"/>
                <w:sz w:val="20"/>
                <w:szCs w:val="22"/>
                <w:highlight w:val="none"/>
                <w:u w:val="none"/>
                <w:lang w:val="en-US"/>
              </w:rPr>
            </w:pPr>
            <w:r>
              <w:rPr>
                <w:rFonts w:hint="eastAsia" w:ascii="方正仿宋_GB18030" w:hAnsi="宋体" w:eastAsia="方正仿宋_GB18030" w:cs="宋体"/>
                <w:i w:val="0"/>
                <w:iCs w:val="0"/>
                <w:color w:val="auto"/>
                <w:kern w:val="0"/>
                <w:sz w:val="20"/>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413CD">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低温等离子消毒锅</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8599889">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5</w:t>
            </w:r>
          </w:p>
        </w:tc>
        <w:tc>
          <w:tcPr>
            <w:tcW w:w="0" w:type="auto"/>
            <w:vMerge w:val="continue"/>
            <w:tcBorders>
              <w:top w:val="single" w:color="auto" w:sz="4" w:space="0"/>
              <w:left w:val="single" w:color="auto" w:sz="4" w:space="0"/>
              <w:bottom w:val="single" w:color="auto" w:sz="4" w:space="0"/>
              <w:right w:val="nil"/>
            </w:tcBorders>
            <w:shd w:val="clear" w:color="auto" w:fill="F9CBAA"/>
            <w:noWrap/>
            <w:vAlign w:val="center"/>
          </w:tcPr>
          <w:p w14:paraId="3F21EC59">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4DF4D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7415">
            <w:pPr>
              <w:keepNext w:val="0"/>
              <w:keepLines w:val="0"/>
              <w:widowControl/>
              <w:suppressLineNumbers w:val="0"/>
              <w:snapToGrid w:val="0"/>
              <w:ind w:left="0" w:leftChars="0" w:right="0" w:rightChars="0" w:firstLine="0" w:firstLineChars="0"/>
              <w:jc w:val="center"/>
              <w:textAlignment w:val="center"/>
              <w:rPr>
                <w:rFonts w:hint="default" w:ascii="方正仿宋_GB18030" w:hAnsi="宋体" w:eastAsia="方正仿宋_GB18030" w:cs="宋体"/>
                <w:i w:val="0"/>
                <w:iCs w:val="0"/>
                <w:color w:val="auto"/>
                <w:sz w:val="20"/>
                <w:szCs w:val="22"/>
                <w:highlight w:val="none"/>
                <w:u w:val="none"/>
                <w:lang w:val="en-US"/>
              </w:rPr>
            </w:pPr>
            <w:r>
              <w:rPr>
                <w:rFonts w:hint="eastAsia" w:ascii="方正仿宋_GB18030" w:hAnsi="宋体" w:eastAsia="方正仿宋_GB18030" w:cs="宋体"/>
                <w:i w:val="0"/>
                <w:iCs w:val="0"/>
                <w:color w:val="auto"/>
                <w:kern w:val="0"/>
                <w:sz w:val="20"/>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91FD9">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高端彩色多普勒超声诊断仪</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90428FB">
            <w:pPr>
              <w:keepNext w:val="0"/>
              <w:keepLines w:val="0"/>
              <w:widowControl/>
              <w:suppressLineNumbers w:val="0"/>
              <w:snapToGrid w:val="0"/>
              <w:ind w:left="0" w:leftChars="0" w:right="0" w:rightChars="0" w:firstLine="0" w:firstLineChars="0"/>
              <w:jc w:val="center"/>
              <w:textAlignment w:val="center"/>
              <w:rPr>
                <w:rFonts w:hint="eastAsia" w:ascii="方正仿宋_GB18030" w:hAnsi="方正仿宋_GB18030" w:eastAsia="方正仿宋_GB18030" w:cs="方正仿宋_GB18030"/>
                <w:i w:val="0"/>
                <w:iCs w:val="0"/>
                <w:color w:val="auto"/>
                <w:sz w:val="20"/>
                <w:szCs w:val="20"/>
                <w:highlight w:val="none"/>
                <w:u w:val="none"/>
              </w:rPr>
            </w:pPr>
            <w:r>
              <w:rPr>
                <w:rFonts w:hint="eastAsia" w:ascii="方正仿宋_GB18030" w:hAnsi="方正仿宋_GB18030" w:eastAsia="方正仿宋_GB18030" w:cs="方正仿宋_GB18030"/>
                <w:i w:val="0"/>
                <w:iCs w:val="0"/>
                <w:color w:val="auto"/>
                <w:kern w:val="0"/>
                <w:sz w:val="20"/>
                <w:szCs w:val="20"/>
                <w:highlight w:val="none"/>
                <w:u w:val="none"/>
                <w:lang w:val="en-US" w:eastAsia="zh-CN" w:bidi="ar"/>
              </w:rPr>
              <w:t>2</w:t>
            </w:r>
          </w:p>
        </w:tc>
        <w:tc>
          <w:tcPr>
            <w:tcW w:w="0" w:type="auto"/>
            <w:vMerge w:val="continue"/>
            <w:tcBorders>
              <w:top w:val="single" w:color="auto" w:sz="4" w:space="0"/>
              <w:left w:val="single" w:color="auto" w:sz="4" w:space="0"/>
              <w:bottom w:val="single" w:color="auto" w:sz="4" w:space="0"/>
              <w:right w:val="nil"/>
            </w:tcBorders>
            <w:shd w:val="clear" w:color="auto" w:fill="F9CBAA"/>
            <w:noWrap/>
            <w:vAlign w:val="center"/>
          </w:tcPr>
          <w:p w14:paraId="3D1D7814">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r w14:paraId="198C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973" w:type="dxa"/>
            <w:tcBorders>
              <w:top w:val="nil"/>
              <w:left w:val="nil"/>
              <w:bottom w:val="nil"/>
              <w:right w:val="nil"/>
            </w:tcBorders>
            <w:noWrap/>
            <w:vAlign w:val="center"/>
          </w:tcPr>
          <w:p w14:paraId="1334120C">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lang w:val="en-US" w:eastAsia="zh-CN"/>
              </w:rPr>
            </w:pPr>
            <w:r>
              <w:rPr>
                <w:rFonts w:hint="eastAsia" w:ascii="方正仿宋_GB18030" w:hAnsi="宋体" w:eastAsia="方正仿宋_GB18030" w:cs="宋体"/>
                <w:i w:val="0"/>
                <w:iCs w:val="0"/>
                <w:color w:val="auto"/>
                <w:sz w:val="20"/>
                <w:szCs w:val="22"/>
                <w:highlight w:val="none"/>
                <w:u w:val="none"/>
                <w:lang w:val="en-US" w:eastAsia="zh-CN"/>
              </w:rPr>
              <w:t>合计</w:t>
            </w:r>
          </w:p>
        </w:tc>
        <w:tc>
          <w:tcPr>
            <w:tcW w:w="5379" w:type="dxa"/>
            <w:tcBorders>
              <w:top w:val="nil"/>
              <w:left w:val="nil"/>
              <w:bottom w:val="nil"/>
              <w:right w:val="nil"/>
            </w:tcBorders>
            <w:noWrap/>
            <w:vAlign w:val="center"/>
          </w:tcPr>
          <w:p w14:paraId="00D32725">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c>
          <w:tcPr>
            <w:tcW w:w="913" w:type="dxa"/>
            <w:tcBorders>
              <w:top w:val="nil"/>
              <w:left w:val="nil"/>
              <w:bottom w:val="nil"/>
              <w:right w:val="nil"/>
            </w:tcBorders>
            <w:noWrap/>
            <w:vAlign w:val="center"/>
          </w:tcPr>
          <w:p w14:paraId="20CC4CC4">
            <w:pPr>
              <w:snapToGrid w:val="0"/>
              <w:ind w:left="0" w:leftChars="0" w:right="0" w:rightChars="0" w:firstLine="0" w:firstLineChars="0"/>
              <w:jc w:val="left"/>
              <w:rPr>
                <w:rFonts w:hint="eastAsia" w:ascii="方正仿宋_GB18030" w:hAnsi="宋体" w:eastAsia="方正仿宋_GB18030" w:cs="宋体"/>
                <w:i w:val="0"/>
                <w:iCs w:val="0"/>
                <w:color w:val="auto"/>
                <w:sz w:val="20"/>
                <w:szCs w:val="22"/>
                <w:highlight w:val="none"/>
                <w:u w:val="none"/>
              </w:rPr>
            </w:pPr>
          </w:p>
        </w:tc>
        <w:tc>
          <w:tcPr>
            <w:tcW w:w="973" w:type="dxa"/>
            <w:tcBorders>
              <w:top w:val="single" w:color="auto" w:sz="4" w:space="0"/>
              <w:left w:val="nil"/>
              <w:bottom w:val="nil"/>
              <w:right w:val="nil"/>
            </w:tcBorders>
            <w:noWrap/>
            <w:vAlign w:val="center"/>
          </w:tcPr>
          <w:p w14:paraId="48903C60">
            <w:pPr>
              <w:snapToGrid w:val="0"/>
              <w:ind w:left="0" w:leftChars="0" w:right="0" w:rightChars="0" w:firstLine="0" w:firstLineChars="0"/>
              <w:jc w:val="center"/>
              <w:rPr>
                <w:rFonts w:hint="eastAsia" w:ascii="方正仿宋_GB18030" w:hAnsi="宋体" w:eastAsia="方正仿宋_GB18030" w:cs="宋体"/>
                <w:i w:val="0"/>
                <w:iCs w:val="0"/>
                <w:color w:val="auto"/>
                <w:sz w:val="20"/>
                <w:szCs w:val="22"/>
                <w:highlight w:val="none"/>
                <w:u w:val="none"/>
              </w:rPr>
            </w:pPr>
          </w:p>
        </w:tc>
      </w:tr>
    </w:tbl>
    <w:p w14:paraId="41706FDD">
      <w:pPr>
        <w:pStyle w:val="6"/>
        <w:ind w:left="0" w:leftChars="0" w:firstLine="0" w:firstLineChars="0"/>
        <w:rPr>
          <w:rFonts w:hint="eastAsia" w:eastAsia="宋体"/>
          <w:color w:val="auto"/>
          <w:sz w:val="24"/>
          <w:szCs w:val="24"/>
          <w:highlight w:val="none"/>
          <w:lang w:val="en-US" w:eastAsia="zh-CN"/>
        </w:rPr>
      </w:pPr>
    </w:p>
    <w:p w14:paraId="560D950B">
      <w:pPr>
        <w:spacing w:line="360" w:lineRule="auto"/>
        <w:jc w:val="center"/>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一、血液透析机（单泵）</w:t>
      </w:r>
      <w:r>
        <w:rPr>
          <w:rFonts w:hint="eastAsia"/>
          <w:color w:val="auto"/>
          <w:sz w:val="24"/>
          <w:szCs w:val="24"/>
          <w:highlight w:val="none"/>
          <w:lang w:val="en-US" w:eastAsia="zh-CN"/>
        </w:rPr>
        <w:t>技术参数</w:t>
      </w:r>
    </w:p>
    <w:p w14:paraId="6075AAD2">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1</w:t>
      </w:r>
      <w:r>
        <w:rPr>
          <w:rFonts w:hint="eastAsia"/>
          <w:color w:val="auto"/>
          <w:sz w:val="24"/>
          <w:szCs w:val="24"/>
          <w:highlight w:val="none"/>
          <w:lang w:eastAsia="zh-CN"/>
        </w:rPr>
        <w:t>.透析液流速：300~700 mL/min，1mL/min可调。</w:t>
      </w:r>
    </w:p>
    <w:p w14:paraId="0FB1D8C2">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2</w:t>
      </w:r>
      <w:r>
        <w:rPr>
          <w:rFonts w:hint="eastAsia"/>
          <w:color w:val="auto"/>
          <w:sz w:val="24"/>
          <w:szCs w:val="24"/>
          <w:highlight w:val="none"/>
          <w:lang w:eastAsia="zh-CN"/>
        </w:rPr>
        <w:t>.透析液温度：33.0~39.0℃，实时监测可调，有超温保护装置。</w:t>
      </w:r>
    </w:p>
    <w:p w14:paraId="1A2BA16E">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3</w:t>
      </w:r>
      <w:r>
        <w:rPr>
          <w:rFonts w:hint="eastAsia"/>
          <w:color w:val="auto"/>
          <w:sz w:val="24"/>
          <w:szCs w:val="24"/>
          <w:highlight w:val="none"/>
          <w:lang w:eastAsia="zh-CN"/>
        </w:rPr>
        <w:t>.超滤速度：0.10~4.00L/h，精度：±1%。</w:t>
      </w:r>
    </w:p>
    <w:p w14:paraId="30407950">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4</w:t>
      </w:r>
      <w:r>
        <w:rPr>
          <w:rFonts w:hint="eastAsia"/>
          <w:color w:val="auto"/>
          <w:sz w:val="24"/>
          <w:szCs w:val="24"/>
          <w:highlight w:val="none"/>
          <w:lang w:eastAsia="zh-CN"/>
        </w:rPr>
        <w:t>.动脉血泵：40~500mL/min。</w:t>
      </w:r>
    </w:p>
    <w:p w14:paraId="759C7292">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5</w:t>
      </w:r>
      <w:r>
        <w:rPr>
          <w:rFonts w:hint="eastAsia"/>
          <w:color w:val="auto"/>
          <w:sz w:val="24"/>
          <w:szCs w:val="24"/>
          <w:highlight w:val="none"/>
          <w:lang w:eastAsia="zh-CN"/>
        </w:rPr>
        <w:t>.漏血检测器：红绿双色光学检测；灵敏度：≤0.35mL/min</w:t>
      </w:r>
    </w:p>
    <w:p w14:paraId="32D5A2D0">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6</w:t>
      </w:r>
      <w:r>
        <w:rPr>
          <w:rFonts w:hint="eastAsia"/>
          <w:color w:val="auto"/>
          <w:sz w:val="24"/>
          <w:szCs w:val="24"/>
          <w:highlight w:val="none"/>
          <w:lang w:eastAsia="zh-CN"/>
        </w:rPr>
        <w:t>.肝素泵：范围：0.1~</w:t>
      </w:r>
      <w:r>
        <w:rPr>
          <w:rFonts w:hint="eastAsia"/>
          <w:color w:val="auto"/>
          <w:sz w:val="24"/>
          <w:szCs w:val="24"/>
          <w:highlight w:val="none"/>
          <w:lang w:val="en-US" w:eastAsia="zh-CN"/>
        </w:rPr>
        <w:t>10</w:t>
      </w:r>
      <w:r>
        <w:rPr>
          <w:rFonts w:hint="eastAsia"/>
          <w:color w:val="auto"/>
          <w:sz w:val="24"/>
          <w:szCs w:val="24"/>
          <w:highlight w:val="none"/>
          <w:lang w:eastAsia="zh-CN"/>
        </w:rPr>
        <w:t>mL/h；注射器类型：20mL、30mL。</w:t>
      </w:r>
    </w:p>
    <w:p w14:paraId="1C00DF08">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7</w:t>
      </w:r>
      <w:r>
        <w:rPr>
          <w:rFonts w:hint="eastAsia"/>
          <w:color w:val="auto"/>
          <w:sz w:val="24"/>
          <w:szCs w:val="24"/>
          <w:highlight w:val="none"/>
          <w:lang w:eastAsia="zh-CN"/>
        </w:rPr>
        <w:t>.空气监测器：超声波检测；</w:t>
      </w:r>
    </w:p>
    <w:p w14:paraId="1CCB62A7">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8</w:t>
      </w:r>
      <w:r>
        <w:rPr>
          <w:rFonts w:hint="eastAsia"/>
          <w:color w:val="auto"/>
          <w:sz w:val="24"/>
          <w:szCs w:val="24"/>
          <w:highlight w:val="none"/>
          <w:lang w:eastAsia="zh-CN"/>
        </w:rPr>
        <w:t>.动脉压：测量范围：-200~+480mmHg，测量精确度：±10mmHg。</w:t>
      </w:r>
    </w:p>
    <w:p w14:paraId="44ECCB41">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9</w:t>
      </w:r>
      <w:r>
        <w:rPr>
          <w:rFonts w:hint="eastAsia"/>
          <w:color w:val="auto"/>
          <w:sz w:val="24"/>
          <w:szCs w:val="24"/>
          <w:highlight w:val="none"/>
          <w:lang w:eastAsia="zh-CN"/>
        </w:rPr>
        <w:t>.静脉压：测量范围：-200~+350mmHg，测量精确度：±10mmHg。</w:t>
      </w:r>
    </w:p>
    <w:p w14:paraId="114A32A4">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10</w:t>
      </w:r>
      <w:r>
        <w:rPr>
          <w:rFonts w:hint="eastAsia"/>
          <w:color w:val="auto"/>
          <w:sz w:val="24"/>
          <w:szCs w:val="24"/>
          <w:highlight w:val="none"/>
          <w:lang w:eastAsia="zh-CN"/>
        </w:rPr>
        <w:t>.透析液压：测量范围：-400~+400mmHg，测量精确度：±10mmHg。</w:t>
      </w:r>
    </w:p>
    <w:p w14:paraId="5629D619">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1</w:t>
      </w:r>
      <w:r>
        <w:rPr>
          <w:rFonts w:hint="eastAsia"/>
          <w:color w:val="auto"/>
          <w:sz w:val="24"/>
          <w:szCs w:val="24"/>
          <w:highlight w:val="none"/>
          <w:lang w:val="en-US" w:eastAsia="zh-CN"/>
        </w:rPr>
        <w:t>1</w:t>
      </w:r>
      <w:r>
        <w:rPr>
          <w:rFonts w:hint="eastAsia"/>
          <w:color w:val="auto"/>
          <w:sz w:val="24"/>
          <w:szCs w:val="24"/>
          <w:highlight w:val="none"/>
          <w:lang w:eastAsia="zh-CN"/>
        </w:rPr>
        <w:t>.透析液浓度：10.0 ~20.0mS/cm。</w:t>
      </w:r>
    </w:p>
    <w:p w14:paraId="000ECB60">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1</w:t>
      </w:r>
      <w:r>
        <w:rPr>
          <w:rFonts w:hint="eastAsia"/>
          <w:color w:val="auto"/>
          <w:sz w:val="24"/>
          <w:szCs w:val="24"/>
          <w:highlight w:val="none"/>
          <w:u w:val="single"/>
          <w:lang w:val="en-US" w:eastAsia="zh-CN"/>
        </w:rPr>
        <w:t>2</w:t>
      </w:r>
      <w:r>
        <w:rPr>
          <w:rFonts w:hint="eastAsia"/>
          <w:color w:val="auto"/>
          <w:sz w:val="24"/>
          <w:szCs w:val="24"/>
          <w:highlight w:val="none"/>
          <w:lang w:eastAsia="zh-CN"/>
        </w:rPr>
        <w:t>.治疗模式：血液净化治疗，血液透析、单纯超滤，碳酸氢盐干粉筒或浓缩液进行透析。</w:t>
      </w:r>
    </w:p>
    <w:p w14:paraId="593497C9">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1</w:t>
      </w:r>
      <w:r>
        <w:rPr>
          <w:rFonts w:hint="eastAsia"/>
          <w:color w:val="auto"/>
          <w:sz w:val="24"/>
          <w:szCs w:val="24"/>
          <w:highlight w:val="none"/>
          <w:lang w:val="en-US" w:eastAsia="zh-CN"/>
        </w:rPr>
        <w:t>3</w:t>
      </w:r>
      <w:r>
        <w:rPr>
          <w:rFonts w:hint="eastAsia"/>
          <w:color w:val="auto"/>
          <w:sz w:val="24"/>
          <w:szCs w:val="24"/>
          <w:highlight w:val="none"/>
          <w:lang w:eastAsia="zh-CN"/>
        </w:rPr>
        <w:t>.人机交互：≥1</w:t>
      </w:r>
      <w:r>
        <w:rPr>
          <w:rFonts w:hint="eastAsia"/>
          <w:color w:val="auto"/>
          <w:sz w:val="24"/>
          <w:szCs w:val="24"/>
          <w:highlight w:val="none"/>
          <w:lang w:val="en-US" w:eastAsia="zh-CN"/>
        </w:rPr>
        <w:t>0</w:t>
      </w:r>
      <w:r>
        <w:rPr>
          <w:rFonts w:hint="eastAsia"/>
          <w:color w:val="auto"/>
          <w:sz w:val="24"/>
          <w:szCs w:val="24"/>
          <w:highlight w:val="none"/>
          <w:lang w:eastAsia="zh-CN"/>
        </w:rPr>
        <w:t>英寸彩色液晶显示器，触摸屏戴手套操作，全中文操作系统。</w:t>
      </w:r>
    </w:p>
    <w:p w14:paraId="0EE4742D">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1</w:t>
      </w:r>
      <w:r>
        <w:rPr>
          <w:rFonts w:hint="eastAsia"/>
          <w:color w:val="auto"/>
          <w:sz w:val="24"/>
          <w:szCs w:val="24"/>
          <w:highlight w:val="none"/>
          <w:lang w:val="en-US" w:eastAsia="zh-CN"/>
        </w:rPr>
        <w:t>4</w:t>
      </w:r>
      <w:r>
        <w:rPr>
          <w:rFonts w:hint="eastAsia"/>
          <w:color w:val="auto"/>
          <w:sz w:val="24"/>
          <w:szCs w:val="24"/>
          <w:highlight w:val="none"/>
          <w:lang w:eastAsia="zh-CN"/>
        </w:rPr>
        <w:t>.报警提示功能：多种颜色报警指示灯，具有声光报警指示,报警提示内容。</w:t>
      </w:r>
    </w:p>
    <w:p w14:paraId="1FD83CFE">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1</w:t>
      </w:r>
      <w:r>
        <w:rPr>
          <w:rFonts w:hint="eastAsia"/>
          <w:color w:val="auto"/>
          <w:sz w:val="24"/>
          <w:szCs w:val="24"/>
          <w:highlight w:val="none"/>
          <w:lang w:val="en-US" w:eastAsia="zh-CN"/>
        </w:rPr>
        <w:t>5</w:t>
      </w:r>
      <w:r>
        <w:rPr>
          <w:rFonts w:hint="eastAsia"/>
          <w:color w:val="auto"/>
          <w:sz w:val="24"/>
          <w:szCs w:val="24"/>
          <w:highlight w:val="none"/>
          <w:lang w:eastAsia="zh-CN"/>
        </w:rPr>
        <w:t>.消毒模式：药液消毒和热消毒方式，完成时间≤40min。</w:t>
      </w:r>
    </w:p>
    <w:p w14:paraId="3C6352AF">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1</w:t>
      </w:r>
      <w:r>
        <w:rPr>
          <w:rFonts w:hint="eastAsia"/>
          <w:color w:val="auto"/>
          <w:sz w:val="24"/>
          <w:szCs w:val="24"/>
          <w:highlight w:val="none"/>
          <w:lang w:val="en-US" w:eastAsia="zh-CN"/>
        </w:rPr>
        <w:t>6</w:t>
      </w:r>
      <w:r>
        <w:rPr>
          <w:rFonts w:hint="eastAsia"/>
          <w:color w:val="auto"/>
          <w:sz w:val="24"/>
          <w:szCs w:val="24"/>
          <w:highlight w:val="none"/>
          <w:lang w:eastAsia="zh-CN"/>
        </w:rPr>
        <w:t>.设备包含热水柠檬酸、次氯酸钠、过氧乙酸等消毒模式。</w:t>
      </w:r>
    </w:p>
    <w:p w14:paraId="78D3BF8A">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17</w:t>
      </w:r>
      <w:r>
        <w:rPr>
          <w:rFonts w:hint="eastAsia"/>
          <w:color w:val="auto"/>
          <w:sz w:val="24"/>
          <w:szCs w:val="24"/>
          <w:highlight w:val="none"/>
          <w:lang w:eastAsia="zh-CN"/>
        </w:rPr>
        <w:t>.后备电池：停电时自动跳转后备电池供电，支持体外循环监测，报警系统。运行时间≥30分钟，断电数据保存功能。</w:t>
      </w:r>
    </w:p>
    <w:p w14:paraId="19A5BEAF">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18</w:t>
      </w:r>
      <w:r>
        <w:rPr>
          <w:rFonts w:hint="eastAsia"/>
          <w:color w:val="auto"/>
          <w:sz w:val="24"/>
          <w:szCs w:val="24"/>
          <w:highlight w:val="none"/>
          <w:lang w:eastAsia="zh-CN"/>
        </w:rPr>
        <w:t>.浓度曲线：可进行透析液浓度曲线治疗，可预存≥8条曲线，每条曲线均可修改并存储。</w:t>
      </w:r>
    </w:p>
    <w:p w14:paraId="0857938E">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19</w:t>
      </w:r>
      <w:r>
        <w:rPr>
          <w:rFonts w:hint="eastAsia"/>
          <w:color w:val="auto"/>
          <w:sz w:val="24"/>
          <w:szCs w:val="24"/>
          <w:highlight w:val="none"/>
          <w:lang w:eastAsia="zh-CN"/>
        </w:rPr>
        <w:t>.B液浓度可个性化调节，可预先存储≥8条碳酸氢盐浓度曲线，每条曲线均可修改并存储。</w:t>
      </w:r>
    </w:p>
    <w:p w14:paraId="4E17D1B8">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2</w:t>
      </w:r>
      <w:r>
        <w:rPr>
          <w:rFonts w:hint="eastAsia"/>
          <w:color w:val="auto"/>
          <w:sz w:val="24"/>
          <w:szCs w:val="24"/>
          <w:highlight w:val="none"/>
          <w:lang w:val="en-US" w:eastAsia="zh-CN"/>
        </w:rPr>
        <w:t>0</w:t>
      </w:r>
      <w:r>
        <w:rPr>
          <w:rFonts w:hint="eastAsia"/>
          <w:color w:val="auto"/>
          <w:sz w:val="24"/>
          <w:szCs w:val="24"/>
          <w:highlight w:val="none"/>
          <w:lang w:eastAsia="zh-CN"/>
        </w:rPr>
        <w:t>.自检：全功能数字化自检，包括所有控制、监测、水路等系统，自检不可跳过。</w:t>
      </w:r>
    </w:p>
    <w:p w14:paraId="0B3803BF">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2</w:t>
      </w:r>
      <w:r>
        <w:rPr>
          <w:rFonts w:hint="eastAsia"/>
          <w:color w:val="auto"/>
          <w:sz w:val="24"/>
          <w:szCs w:val="24"/>
          <w:highlight w:val="none"/>
          <w:lang w:val="en-US" w:eastAsia="zh-CN"/>
        </w:rPr>
        <w:t>1</w:t>
      </w:r>
      <w:r>
        <w:rPr>
          <w:rFonts w:hint="eastAsia"/>
          <w:color w:val="auto"/>
          <w:sz w:val="24"/>
          <w:szCs w:val="24"/>
          <w:highlight w:val="none"/>
          <w:lang w:eastAsia="zh-CN"/>
        </w:rPr>
        <w:t>.B粉筒支架组件：标配碳酸氢盐干粉自动配制系统。</w:t>
      </w:r>
    </w:p>
    <w:p w14:paraId="1050830C">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2</w:t>
      </w:r>
      <w:r>
        <w:rPr>
          <w:rFonts w:hint="eastAsia"/>
          <w:color w:val="auto"/>
          <w:sz w:val="24"/>
          <w:szCs w:val="24"/>
          <w:highlight w:val="none"/>
          <w:lang w:val="en-US" w:eastAsia="zh-CN"/>
        </w:rPr>
        <w:t>2</w:t>
      </w:r>
      <w:r>
        <w:rPr>
          <w:rFonts w:hint="eastAsia"/>
          <w:color w:val="auto"/>
          <w:sz w:val="24"/>
          <w:szCs w:val="24"/>
          <w:highlight w:val="none"/>
          <w:lang w:eastAsia="zh-CN"/>
        </w:rPr>
        <w:t>.透析液过滤：标配透析液过滤器支架组件；</w:t>
      </w:r>
    </w:p>
    <w:p w14:paraId="06E08FDC">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23.</w:t>
      </w:r>
      <w:r>
        <w:rPr>
          <w:rFonts w:hint="eastAsia"/>
          <w:color w:val="auto"/>
          <w:sz w:val="24"/>
          <w:szCs w:val="24"/>
          <w:highlight w:val="none"/>
          <w:lang w:eastAsia="zh-CN"/>
        </w:rPr>
        <w:t>具备在线血压监测</w:t>
      </w:r>
      <w:r>
        <w:rPr>
          <w:rFonts w:hint="eastAsia"/>
          <w:color w:val="auto"/>
          <w:sz w:val="24"/>
          <w:szCs w:val="24"/>
          <w:highlight w:val="none"/>
          <w:lang w:val="en-US" w:eastAsia="zh-CN"/>
        </w:rPr>
        <w:t>功能</w:t>
      </w:r>
      <w:r>
        <w:rPr>
          <w:rFonts w:hint="eastAsia"/>
          <w:color w:val="auto"/>
          <w:sz w:val="24"/>
          <w:szCs w:val="24"/>
          <w:highlight w:val="none"/>
          <w:lang w:eastAsia="zh-CN"/>
        </w:rPr>
        <w:t>，清除率计算；</w:t>
      </w:r>
    </w:p>
    <w:p w14:paraId="34883177">
      <w:pPr>
        <w:spacing w:line="360" w:lineRule="auto"/>
        <w:jc w:val="both"/>
        <w:rPr>
          <w:rFonts w:hint="eastAsia"/>
          <w:color w:val="auto"/>
          <w:sz w:val="24"/>
          <w:szCs w:val="24"/>
          <w:highlight w:val="none"/>
          <w:lang w:eastAsia="zh-CN"/>
        </w:rPr>
      </w:pPr>
      <w:r>
        <w:rPr>
          <w:rFonts w:hint="eastAsia"/>
          <w:color w:val="auto"/>
          <w:sz w:val="24"/>
          <w:szCs w:val="24"/>
          <w:highlight w:val="none"/>
          <w:lang w:eastAsia="zh-CN"/>
        </w:rPr>
        <w:t>2</w:t>
      </w:r>
      <w:r>
        <w:rPr>
          <w:rFonts w:hint="eastAsia"/>
          <w:color w:val="auto"/>
          <w:sz w:val="24"/>
          <w:szCs w:val="24"/>
          <w:highlight w:val="none"/>
          <w:lang w:val="en-US" w:eastAsia="zh-CN"/>
        </w:rPr>
        <w:t>4</w:t>
      </w:r>
      <w:r>
        <w:rPr>
          <w:rFonts w:hint="eastAsia"/>
          <w:color w:val="auto"/>
          <w:sz w:val="24"/>
          <w:szCs w:val="24"/>
          <w:highlight w:val="none"/>
          <w:lang w:eastAsia="zh-CN"/>
        </w:rPr>
        <w:t>.一键排液功能，治疗结束后可以一键自动排出透析器和管路内液体。</w:t>
      </w:r>
    </w:p>
    <w:p w14:paraId="1317B636">
      <w:pPr>
        <w:spacing w:line="360" w:lineRule="auto"/>
        <w:jc w:val="both"/>
        <w:rPr>
          <w:rFonts w:hint="default"/>
          <w:color w:val="auto"/>
          <w:sz w:val="24"/>
          <w:szCs w:val="24"/>
          <w:highlight w:val="none"/>
          <w:lang w:val="en-US" w:eastAsia="zh-CN"/>
        </w:rPr>
      </w:pPr>
      <w:r>
        <w:rPr>
          <w:rFonts w:hint="eastAsia"/>
          <w:color w:val="auto"/>
          <w:sz w:val="24"/>
          <w:szCs w:val="24"/>
          <w:highlight w:val="none"/>
          <w:lang w:val="en-US" w:eastAsia="zh-CN"/>
        </w:rPr>
        <w:t>25</w:t>
      </w:r>
      <w:r>
        <w:rPr>
          <w:rFonts w:hint="eastAsia"/>
          <w:color w:val="auto"/>
          <w:sz w:val="24"/>
          <w:szCs w:val="24"/>
          <w:highlight w:val="none"/>
          <w:lang w:eastAsia="zh-CN"/>
        </w:rPr>
        <w:t>.标准配置网络接口，</w:t>
      </w:r>
      <w:r>
        <w:rPr>
          <w:rFonts w:hint="eastAsia"/>
          <w:color w:val="auto"/>
          <w:sz w:val="24"/>
          <w:szCs w:val="24"/>
          <w:highlight w:val="none"/>
          <w:lang w:val="en-US" w:eastAsia="zh-CN"/>
        </w:rPr>
        <w:t>USB接口等，并与医院系统连接，包含接口费。</w:t>
      </w:r>
    </w:p>
    <w:p w14:paraId="0892D4D2">
      <w:pPr>
        <w:spacing w:line="360" w:lineRule="auto"/>
        <w:jc w:val="both"/>
        <w:rPr>
          <w:rFonts w:hint="eastAsia"/>
          <w:color w:val="auto"/>
          <w:sz w:val="24"/>
          <w:szCs w:val="24"/>
          <w:highlight w:val="none"/>
          <w:lang w:eastAsia="zh-CN"/>
        </w:rPr>
      </w:pPr>
      <w:r>
        <w:rPr>
          <w:rFonts w:hint="eastAsia"/>
          <w:color w:val="auto"/>
          <w:sz w:val="24"/>
          <w:szCs w:val="24"/>
          <w:highlight w:val="none"/>
          <w:lang w:val="en-US" w:eastAsia="zh-CN"/>
        </w:rPr>
        <w:t>36.</w:t>
      </w:r>
      <w:r>
        <w:rPr>
          <w:rFonts w:hint="eastAsia"/>
          <w:color w:val="auto"/>
          <w:sz w:val="24"/>
          <w:szCs w:val="24"/>
          <w:highlight w:val="none"/>
          <w:lang w:eastAsia="zh-CN"/>
        </w:rPr>
        <w:t>设备使用年限：≥10年。（提供证明材料）</w:t>
      </w:r>
    </w:p>
    <w:p w14:paraId="62A650A0">
      <w:pPr>
        <w:spacing w:line="360" w:lineRule="auto"/>
        <w:jc w:val="both"/>
        <w:rPr>
          <w:rFonts w:hint="eastAsia"/>
          <w:color w:val="auto"/>
          <w:sz w:val="24"/>
          <w:szCs w:val="24"/>
          <w:highlight w:val="none"/>
          <w:lang w:eastAsia="zh-CN"/>
        </w:rPr>
      </w:pPr>
    </w:p>
    <w:p w14:paraId="4D05CFBD">
      <w:pPr>
        <w:spacing w:line="360" w:lineRule="auto"/>
        <w:jc w:val="both"/>
        <w:rPr>
          <w:rFonts w:hint="eastAsia"/>
          <w:color w:val="auto"/>
          <w:sz w:val="24"/>
          <w:szCs w:val="24"/>
          <w:highlight w:val="none"/>
          <w:lang w:val="en-US" w:eastAsia="zh-CN"/>
        </w:rPr>
      </w:pPr>
      <w:r>
        <w:rPr>
          <w:rFonts w:hint="eastAsia"/>
          <w:color w:val="auto"/>
          <w:sz w:val="24"/>
          <w:szCs w:val="24"/>
          <w:highlight w:val="none"/>
          <w:lang w:val="en-US" w:eastAsia="zh-CN"/>
        </w:rPr>
        <w:t>二、双泵血液透析机技术参数</w:t>
      </w:r>
    </w:p>
    <w:p w14:paraId="7E3CE1DF">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1、进行血液透析、单纯超滤、序贯透析、On-lineHDF 和 On-lineHF 治疗。</w:t>
      </w:r>
    </w:p>
    <w:p w14:paraId="099FB588">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2、声光报警提示功能，</w:t>
      </w:r>
      <w:r>
        <w:rPr>
          <w:rFonts w:hint="eastAsia"/>
          <w:color w:val="auto"/>
          <w:sz w:val="24"/>
          <w:szCs w:val="24"/>
          <w:highlight w:val="none"/>
          <w:lang w:val="en-US" w:eastAsia="zh-CN"/>
        </w:rPr>
        <w:t>多</w:t>
      </w:r>
      <w:r>
        <w:rPr>
          <w:rFonts w:hint="default"/>
          <w:color w:val="auto"/>
          <w:sz w:val="24"/>
          <w:szCs w:val="24"/>
          <w:highlight w:val="none"/>
          <w:lang w:val="en-US" w:eastAsia="zh-CN"/>
        </w:rPr>
        <w:t>种颜色的报警指示灯</w:t>
      </w:r>
      <w:r>
        <w:rPr>
          <w:rFonts w:hint="eastAsia"/>
          <w:color w:val="auto"/>
          <w:sz w:val="24"/>
          <w:szCs w:val="24"/>
          <w:highlight w:val="none"/>
          <w:lang w:val="en-US" w:eastAsia="zh-CN"/>
        </w:rPr>
        <w:t>和</w:t>
      </w:r>
      <w:r>
        <w:rPr>
          <w:rFonts w:hint="default"/>
          <w:color w:val="auto"/>
          <w:sz w:val="24"/>
          <w:szCs w:val="24"/>
          <w:highlight w:val="none"/>
          <w:lang w:val="en-US" w:eastAsia="zh-CN"/>
        </w:rPr>
        <w:t>蜂鸣音。</w:t>
      </w:r>
    </w:p>
    <w:p w14:paraId="10B20032">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3、发生报警时，可以在屏幕上显示报警的原因和解决方案。</w:t>
      </w:r>
    </w:p>
    <w:p w14:paraId="2BE79ADA">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4、支持置换液或透析液在线预冲。</w:t>
      </w:r>
    </w:p>
    <w:p w14:paraId="64A76ED5">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5、预冲废液联机在线排放。</w:t>
      </w:r>
    </w:p>
    <w:p w14:paraId="06FACB8A">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6、可以通过触屏电动调节动脉壶液面和静脉壶液面。</w:t>
      </w:r>
    </w:p>
    <w:p w14:paraId="184809A1">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7、具有单独的 A 浓缩液泵和 B 浓缩液泵，可以对 B 液浓度进行监测。</w:t>
      </w:r>
    </w:p>
    <w:p w14:paraId="74AAE1ED">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8、具有多种自动运转的消毒程序可选，消毒程序可任意更改，可以预设一周的消毒程序。热水柠檬酸消毒完成时间≤40min。</w:t>
      </w:r>
    </w:p>
    <w:p w14:paraId="374D0B17">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9、按下引血键后，自动完成引血</w:t>
      </w:r>
      <w:r>
        <w:rPr>
          <w:rFonts w:hint="eastAsia"/>
          <w:color w:val="auto"/>
          <w:sz w:val="24"/>
          <w:szCs w:val="24"/>
          <w:highlight w:val="none"/>
          <w:lang w:val="en-US" w:eastAsia="zh-CN"/>
        </w:rPr>
        <w:t>并</w:t>
      </w:r>
      <w:r>
        <w:rPr>
          <w:rFonts w:hint="default"/>
          <w:color w:val="auto"/>
          <w:sz w:val="24"/>
          <w:szCs w:val="24"/>
          <w:highlight w:val="none"/>
          <w:lang w:val="en-US" w:eastAsia="zh-CN"/>
        </w:rPr>
        <w:t>发出提示音。</w:t>
      </w:r>
    </w:p>
    <w:p w14:paraId="29DD1772">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10、透析液浓度曲线，</w:t>
      </w:r>
      <w:r>
        <w:rPr>
          <w:rFonts w:hint="eastAsia"/>
          <w:color w:val="auto"/>
          <w:sz w:val="24"/>
          <w:szCs w:val="24"/>
          <w:highlight w:val="none"/>
          <w:lang w:val="en-US" w:eastAsia="zh-CN"/>
        </w:rPr>
        <w:t xml:space="preserve"> </w:t>
      </w:r>
      <w:r>
        <w:rPr>
          <w:rFonts w:hint="default"/>
          <w:color w:val="auto"/>
          <w:sz w:val="24"/>
          <w:szCs w:val="24"/>
          <w:highlight w:val="none"/>
          <w:lang w:val="en-US" w:eastAsia="zh-CN"/>
        </w:rPr>
        <w:t>并可预存≥8 条透析液浓度曲线。</w:t>
      </w:r>
    </w:p>
    <w:p w14:paraId="3AD384AC">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11、能进行碳酸氢盐个性化透析，并可预存≥8 条碳酸氢盐浓度曲线。</w:t>
      </w:r>
    </w:p>
    <w:p w14:paraId="4C7EF9CC">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12、预存≥8条超滤曲线。</w:t>
      </w:r>
    </w:p>
    <w:p w14:paraId="55C5652B">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13、标配动脉夹和静脉夹。</w:t>
      </w:r>
    </w:p>
    <w:p w14:paraId="63A64F6D">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14、置换液量可以随血液量按比例自动进行调整。</w:t>
      </w:r>
    </w:p>
    <w:p w14:paraId="34676D6E">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15、跨膜压联动调节置换液速度。</w:t>
      </w:r>
    </w:p>
    <w:p w14:paraId="6D0F5F23">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16、具有 4 个计时器，到达所需时间时，计时器会发出提示。可以自定义计时器的名称、开始时间、结束时间。</w:t>
      </w:r>
    </w:p>
    <w:p w14:paraId="42DDC819">
      <w:pPr>
        <w:spacing w:line="360" w:lineRule="auto"/>
        <w:jc w:val="both"/>
        <w:rPr>
          <w:rFonts w:hint="eastAsia"/>
          <w:color w:val="auto"/>
          <w:sz w:val="24"/>
          <w:szCs w:val="24"/>
          <w:highlight w:val="none"/>
          <w:lang w:val="en-US" w:eastAsia="zh-CN"/>
        </w:rPr>
      </w:pPr>
      <w:r>
        <w:rPr>
          <w:rFonts w:hint="default"/>
          <w:color w:val="auto"/>
          <w:sz w:val="24"/>
          <w:szCs w:val="24"/>
          <w:highlight w:val="none"/>
          <w:lang w:val="en-US" w:eastAsia="zh-CN"/>
        </w:rPr>
        <w:t>17、标准配备碳酸氢盐干粉自动配制系统。标准配备患者卡</w:t>
      </w:r>
      <w:r>
        <w:rPr>
          <w:rFonts w:hint="eastAsia"/>
          <w:color w:val="auto"/>
          <w:sz w:val="24"/>
          <w:szCs w:val="24"/>
          <w:highlight w:val="none"/>
          <w:lang w:val="en-US" w:eastAsia="zh-CN"/>
        </w:rPr>
        <w:t>。</w:t>
      </w:r>
    </w:p>
    <w:p w14:paraId="50C4DC2D">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18、≥15 英寸的彩色触摸</w:t>
      </w:r>
      <w:r>
        <w:rPr>
          <w:rFonts w:hint="eastAsia"/>
          <w:color w:val="auto"/>
          <w:sz w:val="24"/>
          <w:szCs w:val="24"/>
          <w:highlight w:val="none"/>
          <w:lang w:val="en-US" w:eastAsia="zh-CN"/>
        </w:rPr>
        <w:t>显示</w:t>
      </w:r>
      <w:r>
        <w:rPr>
          <w:rFonts w:hint="default"/>
          <w:color w:val="auto"/>
          <w:sz w:val="24"/>
          <w:szCs w:val="24"/>
          <w:highlight w:val="none"/>
          <w:lang w:val="en-US" w:eastAsia="zh-CN"/>
        </w:rPr>
        <w:t>屏</w:t>
      </w:r>
      <w:r>
        <w:rPr>
          <w:rFonts w:hint="eastAsia"/>
          <w:color w:val="auto"/>
          <w:sz w:val="24"/>
          <w:szCs w:val="24"/>
          <w:highlight w:val="none"/>
          <w:lang w:val="en-US" w:eastAsia="zh-CN"/>
        </w:rPr>
        <w:t>，戴手套可以操作</w:t>
      </w:r>
      <w:r>
        <w:rPr>
          <w:rFonts w:hint="default"/>
          <w:color w:val="auto"/>
          <w:sz w:val="24"/>
          <w:szCs w:val="24"/>
          <w:highlight w:val="none"/>
          <w:lang w:val="en-US" w:eastAsia="zh-CN"/>
        </w:rPr>
        <w:t>。</w:t>
      </w:r>
    </w:p>
    <w:p w14:paraId="226C3413">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19、</w:t>
      </w:r>
      <w:r>
        <w:rPr>
          <w:rFonts w:hint="eastAsia"/>
          <w:color w:val="auto"/>
          <w:sz w:val="24"/>
          <w:szCs w:val="24"/>
          <w:highlight w:val="none"/>
          <w:lang w:eastAsia="zh-CN"/>
        </w:rPr>
        <w:t>标准配置网络接口，</w:t>
      </w:r>
      <w:r>
        <w:rPr>
          <w:rFonts w:hint="eastAsia"/>
          <w:color w:val="auto"/>
          <w:sz w:val="24"/>
          <w:szCs w:val="24"/>
          <w:highlight w:val="none"/>
          <w:lang w:val="en-US" w:eastAsia="zh-CN"/>
        </w:rPr>
        <w:t>USB接口等，并与医院系统连接，包含接口费用。</w:t>
      </w:r>
    </w:p>
    <w:p w14:paraId="07DA0752">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20、供水压力：1.5~7.0bar。</w:t>
      </w:r>
    </w:p>
    <w:p w14:paraId="554BF291">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21、血泵前动脉压：测量范围：-</w:t>
      </w:r>
      <w:r>
        <w:rPr>
          <w:rFonts w:hint="eastAsia"/>
          <w:color w:val="auto"/>
          <w:sz w:val="24"/>
          <w:szCs w:val="24"/>
          <w:highlight w:val="none"/>
          <w:lang w:val="en-US" w:eastAsia="zh-CN"/>
        </w:rPr>
        <w:t>4</w:t>
      </w:r>
      <w:r>
        <w:rPr>
          <w:rFonts w:hint="default"/>
          <w:color w:val="auto"/>
          <w:sz w:val="24"/>
          <w:szCs w:val="24"/>
          <w:highlight w:val="none"/>
          <w:lang w:val="en-US" w:eastAsia="zh-CN"/>
        </w:rPr>
        <w:t>00~+4</w:t>
      </w:r>
      <w:r>
        <w:rPr>
          <w:rFonts w:hint="eastAsia"/>
          <w:color w:val="auto"/>
          <w:sz w:val="24"/>
          <w:szCs w:val="24"/>
          <w:highlight w:val="none"/>
          <w:lang w:val="en-US" w:eastAsia="zh-CN"/>
        </w:rPr>
        <w:t>0</w:t>
      </w:r>
      <w:r>
        <w:rPr>
          <w:rFonts w:hint="default"/>
          <w:color w:val="auto"/>
          <w:sz w:val="24"/>
          <w:szCs w:val="24"/>
          <w:highlight w:val="none"/>
          <w:lang w:val="en-US" w:eastAsia="zh-CN"/>
        </w:rPr>
        <w:t>0mmHg。</w:t>
      </w:r>
    </w:p>
    <w:p w14:paraId="0D4C8635">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血泵后动脉压（透析器血液入口压）：测量范围：-200~+520mmHg。</w:t>
      </w:r>
    </w:p>
    <w:p w14:paraId="38561DA1">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22、静脉压力测量范围：-</w:t>
      </w:r>
      <w:r>
        <w:rPr>
          <w:rFonts w:hint="eastAsia"/>
          <w:color w:val="auto"/>
          <w:sz w:val="24"/>
          <w:szCs w:val="24"/>
          <w:highlight w:val="none"/>
          <w:lang w:val="en-US" w:eastAsia="zh-CN"/>
        </w:rPr>
        <w:t>5</w:t>
      </w:r>
      <w:r>
        <w:rPr>
          <w:rFonts w:hint="default"/>
          <w:color w:val="auto"/>
          <w:sz w:val="24"/>
          <w:szCs w:val="24"/>
          <w:highlight w:val="none"/>
          <w:lang w:val="en-US" w:eastAsia="zh-CN"/>
        </w:rPr>
        <w:t>0~+</w:t>
      </w:r>
      <w:r>
        <w:rPr>
          <w:rFonts w:hint="eastAsia"/>
          <w:color w:val="auto"/>
          <w:sz w:val="24"/>
          <w:szCs w:val="24"/>
          <w:highlight w:val="none"/>
          <w:lang w:val="en-US" w:eastAsia="zh-CN"/>
        </w:rPr>
        <w:t>3</w:t>
      </w:r>
      <w:r>
        <w:rPr>
          <w:rFonts w:hint="default"/>
          <w:color w:val="auto"/>
          <w:sz w:val="24"/>
          <w:szCs w:val="24"/>
          <w:highlight w:val="none"/>
          <w:lang w:val="en-US" w:eastAsia="zh-CN"/>
        </w:rPr>
        <w:t>80mmHg。</w:t>
      </w:r>
    </w:p>
    <w:p w14:paraId="7EB45C79">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23、超滤速度： 0.50~4.00L/h。</w:t>
      </w:r>
    </w:p>
    <w:p w14:paraId="088AB0EC">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24、透析液流速：300~700mL/min，调节梯度 10ml/min。</w:t>
      </w:r>
    </w:p>
    <w:p w14:paraId="608B8A7F">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透析液温度：3</w:t>
      </w:r>
      <w:r>
        <w:rPr>
          <w:rFonts w:hint="eastAsia"/>
          <w:color w:val="auto"/>
          <w:sz w:val="24"/>
          <w:szCs w:val="24"/>
          <w:highlight w:val="none"/>
          <w:lang w:val="en-US" w:eastAsia="zh-CN"/>
        </w:rPr>
        <w:t>3</w:t>
      </w:r>
      <w:r>
        <w:rPr>
          <w:rFonts w:hint="default"/>
          <w:color w:val="auto"/>
          <w:sz w:val="24"/>
          <w:szCs w:val="24"/>
          <w:highlight w:val="none"/>
          <w:lang w:val="en-US" w:eastAsia="zh-CN"/>
        </w:rPr>
        <w:t>.0~40.0°C。</w:t>
      </w:r>
    </w:p>
    <w:p w14:paraId="49EE7B40">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25、置换液泵流速： 0.5~28.00L/h。</w:t>
      </w:r>
    </w:p>
    <w:p w14:paraId="52A8C70F">
      <w:pPr>
        <w:spacing w:line="360" w:lineRule="auto"/>
        <w:jc w:val="both"/>
        <w:rPr>
          <w:rFonts w:hint="default"/>
          <w:color w:val="auto"/>
          <w:sz w:val="24"/>
          <w:szCs w:val="24"/>
          <w:highlight w:val="none"/>
          <w:lang w:val="en-US" w:eastAsia="zh-CN"/>
        </w:rPr>
      </w:pPr>
      <w:r>
        <w:rPr>
          <w:rFonts w:hint="default"/>
          <w:color w:val="auto"/>
          <w:sz w:val="24"/>
          <w:szCs w:val="24"/>
          <w:highlight w:val="none"/>
          <w:lang w:val="en-US" w:eastAsia="zh-CN"/>
        </w:rPr>
        <w:t>26、跨膜压精度：±10mmHg。</w:t>
      </w:r>
    </w:p>
    <w:p w14:paraId="11D776CA">
      <w:pPr>
        <w:spacing w:line="360" w:lineRule="auto"/>
        <w:jc w:val="both"/>
        <w:rPr>
          <w:rFonts w:hint="default"/>
          <w:color w:val="auto"/>
          <w:sz w:val="24"/>
          <w:szCs w:val="24"/>
          <w:highlight w:val="none"/>
          <w:lang w:val="en-US" w:eastAsia="zh-CN"/>
        </w:rPr>
      </w:pPr>
      <w:r>
        <w:rPr>
          <w:rFonts w:hint="eastAsia"/>
          <w:color w:val="auto"/>
          <w:sz w:val="24"/>
          <w:szCs w:val="24"/>
          <w:highlight w:val="none"/>
          <w:lang w:val="en-US" w:eastAsia="zh-CN"/>
        </w:rPr>
        <w:t>27、</w:t>
      </w:r>
      <w:r>
        <w:rPr>
          <w:rFonts w:hint="default"/>
          <w:color w:val="auto"/>
          <w:sz w:val="24"/>
          <w:szCs w:val="24"/>
          <w:highlight w:val="none"/>
          <w:lang w:val="en-US" w:eastAsia="zh-CN"/>
        </w:rPr>
        <w:t>设备使用期限≥7 年或≥30000 小时。</w:t>
      </w:r>
    </w:p>
    <w:p w14:paraId="6E242D30">
      <w:pPr>
        <w:spacing w:line="360" w:lineRule="auto"/>
        <w:jc w:val="both"/>
        <w:rPr>
          <w:rFonts w:hint="default"/>
          <w:color w:val="auto"/>
          <w:sz w:val="24"/>
          <w:szCs w:val="24"/>
          <w:highlight w:val="none"/>
          <w:lang w:val="en-US" w:eastAsia="zh-CN"/>
        </w:rPr>
      </w:pPr>
      <w:r>
        <w:rPr>
          <w:rFonts w:hint="eastAsia"/>
          <w:color w:val="auto"/>
          <w:sz w:val="24"/>
          <w:szCs w:val="24"/>
          <w:highlight w:val="none"/>
          <w:lang w:val="en-US" w:eastAsia="zh-CN"/>
        </w:rPr>
        <w:t>28、与医院系统连接，包含接口费。</w:t>
      </w:r>
    </w:p>
    <w:p w14:paraId="18CB5E9A">
      <w:pPr>
        <w:numPr>
          <w:ilvl w:val="0"/>
          <w:numId w:val="0"/>
        </w:numPr>
        <w:spacing w:line="360" w:lineRule="auto"/>
        <w:rPr>
          <w:rFonts w:hint="default"/>
          <w:b/>
          <w:bCs/>
          <w:color w:val="auto"/>
          <w:sz w:val="24"/>
          <w:szCs w:val="24"/>
          <w:highlight w:val="none"/>
          <w:lang w:val="en-US" w:eastAsia="zh-CN"/>
        </w:rPr>
      </w:pPr>
    </w:p>
    <w:p w14:paraId="50DB37F3">
      <w:pPr>
        <w:numPr>
          <w:ilvl w:val="0"/>
          <w:numId w:val="0"/>
        </w:numPr>
        <w:spacing w:line="360" w:lineRule="auto"/>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三、全自动高端心脏彩色多普勒超声仪技术参数</w:t>
      </w:r>
    </w:p>
    <w:p w14:paraId="652F7C69">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 全数字化彩色多普勒超声诊断系统主机</w:t>
      </w:r>
    </w:p>
    <w:p w14:paraId="788AF556">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 ≥21寸彩色液晶显示器</w:t>
      </w:r>
      <w:r>
        <w:rPr>
          <w:rFonts w:hint="eastAsia"/>
          <w:color w:val="auto"/>
          <w:sz w:val="24"/>
          <w:szCs w:val="24"/>
          <w:highlight w:val="none"/>
          <w:lang w:val="en-US" w:eastAsia="zh-CN"/>
        </w:rPr>
        <w:t>，</w:t>
      </w:r>
      <w:r>
        <w:rPr>
          <w:rFonts w:hint="default"/>
          <w:color w:val="auto"/>
          <w:sz w:val="24"/>
          <w:szCs w:val="24"/>
          <w:highlight w:val="none"/>
          <w:lang w:val="en-US" w:eastAsia="zh-CN"/>
        </w:rPr>
        <w:t>分辨率</w:t>
      </w:r>
      <w:r>
        <w:rPr>
          <w:rFonts w:hint="eastAsia"/>
          <w:color w:val="auto"/>
          <w:sz w:val="24"/>
          <w:szCs w:val="24"/>
          <w:highlight w:val="none"/>
          <w:lang w:val="en-US" w:eastAsia="zh-CN"/>
        </w:rPr>
        <w:t>1920*1080p</w:t>
      </w:r>
    </w:p>
    <w:p w14:paraId="3CA40A3B">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w:t>
      </w:r>
      <w:r>
        <w:rPr>
          <w:rFonts w:hint="default"/>
          <w:color w:val="auto"/>
          <w:sz w:val="24"/>
          <w:szCs w:val="24"/>
          <w:highlight w:val="none"/>
          <w:lang w:val="en-US" w:eastAsia="zh-CN"/>
        </w:rPr>
        <w:t>. 12寸高灵敏度防反光彩色触摸屏，</w:t>
      </w:r>
      <w:r>
        <w:rPr>
          <w:rFonts w:hint="eastAsia"/>
          <w:color w:val="auto"/>
          <w:sz w:val="24"/>
          <w:szCs w:val="24"/>
          <w:highlight w:val="none"/>
          <w:lang w:val="en-US" w:eastAsia="zh-CN"/>
        </w:rPr>
        <w:t>戴手套可以操作，</w:t>
      </w:r>
      <w:r>
        <w:rPr>
          <w:rFonts w:hint="default"/>
          <w:color w:val="auto"/>
          <w:sz w:val="24"/>
          <w:szCs w:val="24"/>
          <w:highlight w:val="none"/>
          <w:lang w:val="en-US" w:eastAsia="zh-CN"/>
        </w:rPr>
        <w:t>支持手势操作，触摸屏角度可调</w:t>
      </w:r>
    </w:p>
    <w:p w14:paraId="5E4C913B">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4. 控制面板可旋转、升降及平移</w:t>
      </w:r>
    </w:p>
    <w:p w14:paraId="3311AD7D">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w:t>
      </w:r>
      <w:r>
        <w:rPr>
          <w:rFonts w:hint="default"/>
          <w:color w:val="auto"/>
          <w:sz w:val="24"/>
          <w:szCs w:val="24"/>
          <w:highlight w:val="none"/>
          <w:lang w:val="en-US" w:eastAsia="zh-CN"/>
        </w:rPr>
        <w:t>. 全域动态聚焦技术，即全程发射及全程接收聚焦技术，使得图像近、中、远场保持均匀一致</w:t>
      </w:r>
    </w:p>
    <w:p w14:paraId="290F2F64">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w:t>
      </w:r>
      <w:r>
        <w:rPr>
          <w:rFonts w:hint="default"/>
          <w:color w:val="auto"/>
          <w:sz w:val="24"/>
          <w:szCs w:val="24"/>
          <w:highlight w:val="none"/>
          <w:lang w:val="en-US" w:eastAsia="zh-CN"/>
        </w:rPr>
        <w:t>. 组织特异性成像预设，针对不同脏器预设最佳声波传播速度用于计算成像，减少因成像声速值与实际声速值偏差导致图像失真</w:t>
      </w:r>
    </w:p>
    <w:p w14:paraId="3830C3F8">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7. 声速匹配技术，可根据人体组织真实情况，一键实时自动匹配至最佳成像声速，并以具体数值在屏幕上显示（提供</w:t>
      </w:r>
      <w:r>
        <w:rPr>
          <w:rFonts w:hint="eastAsia"/>
          <w:color w:val="auto"/>
          <w:sz w:val="24"/>
          <w:szCs w:val="24"/>
          <w:highlight w:val="none"/>
          <w:lang w:val="en-US" w:eastAsia="zh-CN"/>
        </w:rPr>
        <w:t>证明材料</w:t>
      </w:r>
      <w:r>
        <w:rPr>
          <w:rFonts w:hint="default"/>
          <w:color w:val="auto"/>
          <w:sz w:val="24"/>
          <w:szCs w:val="24"/>
          <w:highlight w:val="none"/>
          <w:lang w:val="en-US" w:eastAsia="zh-CN"/>
        </w:rPr>
        <w:t>）</w:t>
      </w:r>
    </w:p>
    <w:p w14:paraId="108FF2C0">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8</w:t>
      </w:r>
      <w:r>
        <w:rPr>
          <w:rFonts w:hint="default"/>
          <w:color w:val="auto"/>
          <w:sz w:val="24"/>
          <w:szCs w:val="24"/>
          <w:highlight w:val="none"/>
          <w:lang w:val="en-US" w:eastAsia="zh-CN"/>
        </w:rPr>
        <w:t>. 多级信号处理系统</w:t>
      </w:r>
    </w:p>
    <w:p w14:paraId="3E080CF8">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9</w:t>
      </w:r>
      <w:r>
        <w:rPr>
          <w:rFonts w:hint="default"/>
          <w:color w:val="auto"/>
          <w:sz w:val="24"/>
          <w:szCs w:val="24"/>
          <w:highlight w:val="none"/>
          <w:lang w:val="en-US" w:eastAsia="zh-CN"/>
        </w:rPr>
        <w:t>. 高倍波束并行处理系统</w:t>
      </w:r>
    </w:p>
    <w:p w14:paraId="6A3750A8">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10. 探头接口≥4个</w:t>
      </w:r>
      <w:r>
        <w:rPr>
          <w:rFonts w:hint="eastAsia"/>
          <w:color w:val="auto"/>
          <w:sz w:val="24"/>
          <w:szCs w:val="24"/>
          <w:highlight w:val="none"/>
          <w:lang w:val="en-US" w:eastAsia="zh-CN"/>
        </w:rPr>
        <w:t>无针接口</w:t>
      </w:r>
    </w:p>
    <w:p w14:paraId="5FF8B879">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11. 二维灰阶模式</w:t>
      </w:r>
    </w:p>
    <w:p w14:paraId="417FFC6E">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12. 谐波成像模式</w:t>
      </w:r>
    </w:p>
    <w:p w14:paraId="62A1AE3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13. M型模式</w:t>
      </w:r>
    </w:p>
    <w:p w14:paraId="0C30BC86">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14. 彩色M型模式</w:t>
      </w:r>
    </w:p>
    <w:p w14:paraId="18AF3EE1">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15. 解剖M型模式</w:t>
      </w:r>
    </w:p>
    <w:p w14:paraId="0D83E917">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16. 心肌应变技术</w:t>
      </w:r>
    </w:p>
    <w:p w14:paraId="0B133B77">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17. 彩色多普勒成像（包括彩色、能量、方向能量多普勒模式）</w:t>
      </w:r>
    </w:p>
    <w:p w14:paraId="1EDEAE9B">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18. 频谱多普勒成像（包括脉冲多普勒、高脉冲重复频率、连续波多普勒）</w:t>
      </w:r>
    </w:p>
    <w:p w14:paraId="13E58DB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19. 组织多普勒成像</w:t>
      </w:r>
    </w:p>
    <w:p w14:paraId="0CF04721">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20. 配负荷成像</w:t>
      </w:r>
    </w:p>
    <w:p w14:paraId="3F14E8A6">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21. 实时三维成像</w:t>
      </w:r>
    </w:p>
    <w:p w14:paraId="3F9D41E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22. 三维经食道探头技术（具备实时任意多平面扫查）</w:t>
      </w:r>
    </w:p>
    <w:p w14:paraId="57449B61">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23. 空间复合成像，具备复合偏转技术</w:t>
      </w:r>
    </w:p>
    <w:p w14:paraId="0C6F6178">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24. 斑点噪声抑制成像</w:t>
      </w:r>
    </w:p>
    <w:p w14:paraId="7A03ECA3">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25. 频率复合成像</w:t>
      </w:r>
    </w:p>
    <w:p w14:paraId="21BCB8FF">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26. 独立角度偏转</w:t>
      </w:r>
    </w:p>
    <w:p w14:paraId="491D1500">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27. 实时三维光源心腔镜技术</w:t>
      </w:r>
    </w:p>
    <w:p w14:paraId="776CE313">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28. 实时三维彩色心腔镜技术</w:t>
      </w:r>
    </w:p>
    <w:p w14:paraId="643B6AC0">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29. 实时三维透视心腔镜技术</w:t>
      </w:r>
    </w:p>
    <w:p w14:paraId="26F5DE02">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30. 实时三维多维心腔镜技术</w:t>
      </w:r>
    </w:p>
    <w:p w14:paraId="3912453E">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31</w:t>
      </w:r>
      <w:r>
        <w:rPr>
          <w:rFonts w:hint="default"/>
          <w:color w:val="auto"/>
          <w:sz w:val="24"/>
          <w:szCs w:val="24"/>
          <w:highlight w:val="none"/>
          <w:lang w:val="en-US" w:eastAsia="zh-CN"/>
        </w:rPr>
        <w:t>. 血管内中膜自动测量:血管前壁和后壁均可自动测量，自动优化测量曲线，可以和血管造影相结合。自动给出分析报告，包括采样点数量、均值与标准差等；</w:t>
      </w:r>
    </w:p>
    <w:p w14:paraId="793C29EF">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32</w:t>
      </w:r>
      <w:r>
        <w:rPr>
          <w:rFonts w:hint="default"/>
          <w:color w:val="auto"/>
          <w:sz w:val="24"/>
          <w:szCs w:val="24"/>
          <w:highlight w:val="none"/>
          <w:lang w:val="en-US" w:eastAsia="zh-CN"/>
        </w:rPr>
        <w:t>. 一键自动优化，要求一键快速优化造影图像、二维图像、彩色图像、彩色取样框位置、频谱图像、频谱取样门大小、取样门位置、偏转角度及造影图像</w:t>
      </w:r>
    </w:p>
    <w:p w14:paraId="6DDAADF8">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33</w:t>
      </w:r>
      <w:r>
        <w:rPr>
          <w:rFonts w:hint="default"/>
          <w:color w:val="auto"/>
          <w:sz w:val="24"/>
          <w:szCs w:val="24"/>
          <w:highlight w:val="none"/>
          <w:lang w:val="en-US" w:eastAsia="zh-CN"/>
        </w:rPr>
        <w:t>. 全屏高清放大</w:t>
      </w:r>
    </w:p>
    <w:p w14:paraId="1240B4E1">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34</w:t>
      </w:r>
      <w:r>
        <w:rPr>
          <w:rFonts w:hint="default"/>
          <w:color w:val="auto"/>
          <w:sz w:val="24"/>
          <w:szCs w:val="24"/>
          <w:highlight w:val="none"/>
          <w:lang w:val="en-US" w:eastAsia="zh-CN"/>
        </w:rPr>
        <w:t>. 左心室腔造影技术及心肌造影成像技术，实时、触发心肌灌注造影成像高机械指数（MI）造影成像，低机械指数（MI）造影成像，闪烁造影成像，心肌造影技术、腹部造影、血管造影</w:t>
      </w:r>
    </w:p>
    <w:p w14:paraId="5034A8A2">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35</w:t>
      </w:r>
      <w:r>
        <w:rPr>
          <w:rFonts w:hint="default"/>
          <w:color w:val="auto"/>
          <w:sz w:val="24"/>
          <w:szCs w:val="24"/>
          <w:highlight w:val="none"/>
          <w:lang w:val="en-US" w:eastAsia="zh-CN"/>
        </w:rPr>
        <w:t>. 自动一键测量左室定量，不依赖ECG</w:t>
      </w:r>
    </w:p>
    <w:p w14:paraId="0FE09216">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36</w:t>
      </w:r>
      <w:r>
        <w:rPr>
          <w:rFonts w:hint="default"/>
          <w:color w:val="auto"/>
          <w:sz w:val="24"/>
          <w:szCs w:val="24"/>
          <w:highlight w:val="none"/>
          <w:lang w:val="en-US" w:eastAsia="zh-CN"/>
        </w:rPr>
        <w:t>. 实时任意多平面三维测量，实时任意平面可同时获取任意相交2幅2</w:t>
      </w:r>
      <w:r>
        <w:rPr>
          <w:rFonts w:hint="eastAsia"/>
          <w:color w:val="auto"/>
          <w:sz w:val="24"/>
          <w:szCs w:val="24"/>
          <w:highlight w:val="none"/>
          <w:lang w:val="en-US" w:eastAsia="zh-CN"/>
        </w:rPr>
        <w:t>D</w:t>
      </w:r>
      <w:r>
        <w:rPr>
          <w:rFonts w:hint="default"/>
          <w:color w:val="auto"/>
          <w:sz w:val="24"/>
          <w:szCs w:val="24"/>
          <w:highlight w:val="none"/>
          <w:lang w:val="en-US" w:eastAsia="zh-CN"/>
        </w:rPr>
        <w:t>/3D</w:t>
      </w:r>
      <w:r>
        <w:rPr>
          <w:rFonts w:hint="eastAsia"/>
          <w:color w:val="auto"/>
          <w:sz w:val="24"/>
          <w:szCs w:val="24"/>
          <w:highlight w:val="none"/>
          <w:lang w:val="en-US" w:eastAsia="zh-CN"/>
        </w:rPr>
        <w:t>/4</w:t>
      </w:r>
      <w:r>
        <w:rPr>
          <w:rFonts w:hint="default"/>
          <w:color w:val="auto"/>
          <w:sz w:val="24"/>
          <w:szCs w:val="24"/>
          <w:highlight w:val="none"/>
          <w:lang w:val="en-US" w:eastAsia="zh-CN"/>
        </w:rPr>
        <w:t>D图像。其相交平面可倾斜、俯仰调节机旋转。可使用在二维和彩色血流模式(支持3D TEE、TTE）支持斑点噪声抑制、支持造影图像和组织图像位置互换</w:t>
      </w:r>
    </w:p>
    <w:p w14:paraId="4F3CE7C6">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37</w:t>
      </w:r>
      <w:r>
        <w:rPr>
          <w:rFonts w:hint="default"/>
          <w:color w:val="auto"/>
          <w:sz w:val="24"/>
          <w:szCs w:val="24"/>
          <w:highlight w:val="none"/>
          <w:lang w:val="en-US" w:eastAsia="zh-CN"/>
        </w:rPr>
        <w:t>. 造影定量分析（取样点可跟踪感兴趣区运动）</w:t>
      </w:r>
    </w:p>
    <w:p w14:paraId="7435422E">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38</w:t>
      </w:r>
      <w:r>
        <w:rPr>
          <w:rFonts w:hint="default"/>
          <w:color w:val="auto"/>
          <w:sz w:val="24"/>
          <w:szCs w:val="24"/>
          <w:highlight w:val="none"/>
          <w:lang w:val="en-US" w:eastAsia="zh-CN"/>
        </w:rPr>
        <w:t>. 三维先进成像技术</w:t>
      </w:r>
    </w:p>
    <w:p w14:paraId="4F23DB3A">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智能旋转可使用电子声束旋转二维图像，无需旋转探头。其可使用在二维和彩色血流模式。也可加入心脏负荷流程中，以减少操作时间，提高不同切面的可重复性，具备肿块周边组织与正常组织、肿块周边组织与肿块内组织弹性定量分析功能，可采集大尺寸3D图像。用于包含整个心脏体积。可提供灰阶和彩色血流。多种采集模式可选择，可选择1-6个心动周期采集</w:t>
      </w:r>
    </w:p>
    <w:p w14:paraId="7A85BFF2">
      <w:pPr>
        <w:numPr>
          <w:ilvl w:val="0"/>
          <w:numId w:val="0"/>
        </w:numPr>
        <w:spacing w:line="360" w:lineRule="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color w:val="auto"/>
          <w:sz w:val="24"/>
          <w:szCs w:val="24"/>
          <w:highlight w:val="none"/>
          <w:lang w:val="en-US" w:eastAsia="zh-CN"/>
        </w:rPr>
        <w:t>39</w:t>
      </w:r>
      <w:r>
        <w:rPr>
          <w:rFonts w:hint="default"/>
          <w:color w:val="auto"/>
          <w:sz w:val="24"/>
          <w:szCs w:val="24"/>
          <w:highlight w:val="none"/>
          <w:lang w:val="en-US" w:eastAsia="zh-CN"/>
        </w:rPr>
        <w:t>. 实时三维左心耳自动定量，在机定量功能，可以从3D TEE数据中获得LAA开口区域的面积、周长、最小和最大径。（提供</w:t>
      </w:r>
      <w:r>
        <w:rPr>
          <w:rFonts w:hint="eastAsia"/>
          <w:color w:val="auto"/>
          <w:sz w:val="24"/>
          <w:szCs w:val="24"/>
          <w:highlight w:val="none"/>
          <w:lang w:val="en-US" w:eastAsia="zh-CN"/>
        </w:rPr>
        <w:t>证明材料</w:t>
      </w:r>
      <w:r>
        <w:rPr>
          <w:rFonts w:hint="default"/>
          <w:color w:val="auto"/>
          <w:sz w:val="24"/>
          <w:szCs w:val="24"/>
          <w:highlight w:val="none"/>
          <w:lang w:val="en-US" w:eastAsia="zh-CN"/>
        </w:rPr>
        <w:t>）</w:t>
      </w:r>
    </w:p>
    <w:p w14:paraId="20FD8B24">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40</w:t>
      </w:r>
      <w:r>
        <w:rPr>
          <w:rFonts w:hint="default"/>
          <w:color w:val="auto"/>
          <w:sz w:val="24"/>
          <w:szCs w:val="24"/>
          <w:highlight w:val="none"/>
          <w:lang w:val="en-US" w:eastAsia="zh-CN"/>
        </w:rPr>
        <w:t>. 允许对房室瓣环运动进行可视化及定量化分析，用以快速评估心脏整体功能趋势。</w:t>
      </w:r>
    </w:p>
    <w:p w14:paraId="0D86714B">
      <w:pPr>
        <w:numPr>
          <w:ilvl w:val="0"/>
          <w:numId w:val="0"/>
        </w:numPr>
        <w:spacing w:line="360" w:lineRule="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color w:val="auto"/>
          <w:sz w:val="24"/>
          <w:szCs w:val="24"/>
          <w:highlight w:val="none"/>
          <w:lang w:val="en-US" w:eastAsia="zh-CN"/>
        </w:rPr>
        <w:t>41</w:t>
      </w:r>
      <w:r>
        <w:rPr>
          <w:rFonts w:hint="default"/>
          <w:color w:val="auto"/>
          <w:sz w:val="24"/>
          <w:szCs w:val="24"/>
          <w:highlight w:val="none"/>
          <w:lang w:val="en-US" w:eastAsia="zh-CN"/>
        </w:rPr>
        <w:t>. 穿刺针增强技术，要求具有双实时对比显示，增强前后效果，并同时支持增强平面多角度可调（提供证明</w:t>
      </w:r>
      <w:r>
        <w:rPr>
          <w:rFonts w:hint="eastAsia"/>
          <w:color w:val="auto"/>
          <w:sz w:val="24"/>
          <w:szCs w:val="24"/>
          <w:highlight w:val="none"/>
          <w:lang w:val="en-US" w:eastAsia="zh-CN"/>
        </w:rPr>
        <w:t>材料</w:t>
      </w:r>
      <w:r>
        <w:rPr>
          <w:rFonts w:hint="default"/>
          <w:color w:val="auto"/>
          <w:sz w:val="24"/>
          <w:szCs w:val="24"/>
          <w:highlight w:val="none"/>
          <w:lang w:val="en-US" w:eastAsia="zh-CN"/>
        </w:rPr>
        <w:t>）</w:t>
      </w:r>
    </w:p>
    <w:p w14:paraId="279DA787">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42</w:t>
      </w:r>
      <w:r>
        <w:rPr>
          <w:rFonts w:hint="default"/>
          <w:color w:val="auto"/>
          <w:sz w:val="24"/>
          <w:szCs w:val="24"/>
          <w:highlight w:val="none"/>
          <w:lang w:val="en-US" w:eastAsia="zh-CN"/>
        </w:rPr>
        <w:t>. 三维二尖瓣定量分析功能旨在采用二尖瓣的实时3D容积，可以将其转换为易于解释的动态模型，提供全面MV测量和计算列表。引入一个完全自动化的工作流程，基于人工智能和经过验证的心脏模型分割技术支持手动触摸屏上注释</w:t>
      </w:r>
    </w:p>
    <w:p w14:paraId="033A8D09">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43</w:t>
      </w:r>
      <w:r>
        <w:rPr>
          <w:rFonts w:hint="default"/>
          <w:color w:val="auto"/>
          <w:sz w:val="24"/>
          <w:szCs w:val="24"/>
          <w:highlight w:val="none"/>
          <w:lang w:val="en-US" w:eastAsia="zh-CN"/>
        </w:rPr>
        <w:t>. 支持手动触摸屏上包络测量</w:t>
      </w:r>
    </w:p>
    <w:p w14:paraId="0171FB43">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44</w:t>
      </w:r>
      <w:r>
        <w:rPr>
          <w:rFonts w:hint="default"/>
          <w:color w:val="auto"/>
          <w:sz w:val="24"/>
          <w:szCs w:val="24"/>
          <w:highlight w:val="none"/>
          <w:lang w:val="en-US" w:eastAsia="zh-CN"/>
        </w:rPr>
        <w:t>. 测量/分析和报告</w:t>
      </w:r>
    </w:p>
    <w:p w14:paraId="00964A8B">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45.</w:t>
      </w:r>
      <w:r>
        <w:rPr>
          <w:rFonts w:hint="default"/>
          <w:color w:val="auto"/>
          <w:sz w:val="24"/>
          <w:szCs w:val="24"/>
          <w:highlight w:val="none"/>
          <w:lang w:val="en-US" w:eastAsia="zh-CN"/>
        </w:rPr>
        <w:t>常规测量</w:t>
      </w:r>
      <w:r>
        <w:rPr>
          <w:rFonts w:hint="eastAsia"/>
          <w:color w:val="auto"/>
          <w:sz w:val="24"/>
          <w:szCs w:val="24"/>
          <w:highlight w:val="none"/>
          <w:lang w:val="en-US" w:eastAsia="zh-CN"/>
        </w:rPr>
        <w:t>、</w:t>
      </w:r>
      <w:r>
        <w:rPr>
          <w:rFonts w:hint="default"/>
          <w:color w:val="auto"/>
          <w:sz w:val="24"/>
          <w:szCs w:val="24"/>
          <w:highlight w:val="none"/>
          <w:lang w:val="en-US" w:eastAsia="zh-CN"/>
        </w:rPr>
        <w:t>多普勒测量</w:t>
      </w:r>
      <w:r>
        <w:rPr>
          <w:rFonts w:hint="eastAsia"/>
          <w:color w:val="auto"/>
          <w:sz w:val="24"/>
          <w:szCs w:val="24"/>
          <w:highlight w:val="none"/>
          <w:lang w:val="en-US" w:eastAsia="zh-CN"/>
        </w:rPr>
        <w:t>、</w:t>
      </w:r>
      <w:r>
        <w:rPr>
          <w:rFonts w:hint="default"/>
          <w:color w:val="auto"/>
          <w:sz w:val="24"/>
          <w:szCs w:val="24"/>
          <w:highlight w:val="none"/>
          <w:lang w:val="en-US" w:eastAsia="zh-CN"/>
        </w:rPr>
        <w:t>自动频谱测量</w:t>
      </w:r>
    </w:p>
    <w:p w14:paraId="4E273F20">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46</w:t>
      </w:r>
      <w:r>
        <w:rPr>
          <w:rFonts w:hint="default"/>
          <w:color w:val="auto"/>
          <w:sz w:val="24"/>
          <w:szCs w:val="24"/>
          <w:highlight w:val="none"/>
          <w:lang w:val="en-US" w:eastAsia="zh-CN"/>
        </w:rPr>
        <w:t xml:space="preserve"> 全科测量包，自动生成报告</w:t>
      </w:r>
    </w:p>
    <w:p w14:paraId="76A316E7">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腹部、妇科、产科、心脏、泌尿、小器官、儿科、血管、神经、急诊科</w:t>
      </w:r>
    </w:p>
    <w:p w14:paraId="276180EB">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47</w:t>
      </w:r>
      <w:r>
        <w:rPr>
          <w:rFonts w:hint="default"/>
          <w:color w:val="auto"/>
          <w:sz w:val="24"/>
          <w:szCs w:val="24"/>
          <w:highlight w:val="none"/>
          <w:lang w:val="en-US" w:eastAsia="zh-CN"/>
        </w:rPr>
        <w:t xml:space="preserve"> 血管内中膜自动测量，可同时进行血管前、后壁的内中膜一段距离的自动描记、自动生成测量数据结果</w:t>
      </w:r>
    </w:p>
    <w:p w14:paraId="1CE365AB">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48.</w:t>
      </w:r>
      <w:r>
        <w:rPr>
          <w:rFonts w:hint="default"/>
          <w:color w:val="auto"/>
          <w:sz w:val="24"/>
          <w:szCs w:val="24"/>
          <w:highlight w:val="none"/>
          <w:lang w:val="en-US" w:eastAsia="zh-CN"/>
        </w:rPr>
        <w:t xml:space="preserve"> 多心动周期全容积成像，拼接的心动周期个数可选择数≥5个三层心肌信息。</w:t>
      </w:r>
    </w:p>
    <w:p w14:paraId="43559149">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49.</w:t>
      </w:r>
      <w:r>
        <w:rPr>
          <w:rFonts w:hint="default"/>
          <w:color w:val="auto"/>
          <w:sz w:val="24"/>
          <w:szCs w:val="24"/>
          <w:highlight w:val="none"/>
          <w:lang w:val="en-US" w:eastAsia="zh-CN"/>
        </w:rPr>
        <w:t>体表标记选择</w:t>
      </w:r>
      <w:r>
        <w:rPr>
          <w:rFonts w:hint="eastAsia"/>
          <w:color w:val="auto"/>
          <w:sz w:val="24"/>
          <w:szCs w:val="24"/>
          <w:highlight w:val="none"/>
          <w:lang w:val="en-US" w:eastAsia="zh-CN"/>
        </w:rPr>
        <w:t>，</w:t>
      </w:r>
      <w:r>
        <w:rPr>
          <w:rFonts w:hint="default"/>
          <w:color w:val="auto"/>
          <w:sz w:val="24"/>
          <w:szCs w:val="24"/>
          <w:highlight w:val="none"/>
          <w:lang w:val="en-US" w:eastAsia="zh-CN"/>
        </w:rPr>
        <w:t>测量项目包括：距离、深度、面积、周长等</w:t>
      </w:r>
    </w:p>
    <w:p w14:paraId="1B1BCFB8">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50.</w:t>
      </w:r>
      <w:r>
        <w:rPr>
          <w:rFonts w:hint="default"/>
          <w:color w:val="auto"/>
          <w:sz w:val="24"/>
          <w:szCs w:val="24"/>
          <w:highlight w:val="none"/>
          <w:lang w:val="en-US" w:eastAsia="zh-CN"/>
        </w:rPr>
        <w:t> 电影回放和原始数据处理</w:t>
      </w:r>
    </w:p>
    <w:p w14:paraId="6AF384B0">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51.</w:t>
      </w:r>
      <w:r>
        <w:rPr>
          <w:rFonts w:hint="default"/>
          <w:color w:val="auto"/>
          <w:sz w:val="24"/>
          <w:szCs w:val="24"/>
          <w:highlight w:val="none"/>
          <w:lang w:val="en-US" w:eastAsia="zh-CN"/>
        </w:rPr>
        <w:t>所有模式下可用</w:t>
      </w:r>
    </w:p>
    <w:p w14:paraId="4B81736E">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支持手动、自动回放</w:t>
      </w:r>
    </w:p>
    <w:p w14:paraId="1910DA4A">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支持实时三维电影回放</w:t>
      </w:r>
    </w:p>
    <w:p w14:paraId="012539CC">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支持向后存储和向前存储，时间长度可预置，电影回放</w:t>
      </w:r>
    </w:p>
    <w:p w14:paraId="62B70A22">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支持图像对比（动态、静态）</w:t>
      </w:r>
    </w:p>
    <w:p w14:paraId="0130AFDC">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52.</w:t>
      </w:r>
      <w:r>
        <w:rPr>
          <w:rFonts w:hint="default"/>
          <w:color w:val="auto"/>
          <w:sz w:val="24"/>
          <w:szCs w:val="24"/>
          <w:highlight w:val="none"/>
          <w:lang w:val="en-US" w:eastAsia="zh-CN"/>
        </w:rPr>
        <w:t>原始数据处理，支持动、静态图像冻结</w:t>
      </w:r>
    </w:p>
    <w:p w14:paraId="6D55574A">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53.</w:t>
      </w:r>
      <w:r>
        <w:rPr>
          <w:rFonts w:hint="default"/>
          <w:color w:val="auto"/>
          <w:sz w:val="24"/>
          <w:szCs w:val="24"/>
          <w:highlight w:val="none"/>
          <w:lang w:val="en-US" w:eastAsia="zh-CN"/>
        </w:rPr>
        <w:t>检查存储</w:t>
      </w:r>
    </w:p>
    <w:p w14:paraId="7799233A">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≥1T硬盘</w:t>
      </w:r>
    </w:p>
    <w:p w14:paraId="74D8AB3B">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内置超声工作站</w:t>
      </w:r>
    </w:p>
    <w:p w14:paraId="7F1BFBA5">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多种导出图像格式：动态图像、静态图像导出</w:t>
      </w:r>
    </w:p>
    <w:p w14:paraId="73267380">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54.</w:t>
      </w:r>
      <w:r>
        <w:rPr>
          <w:rFonts w:hint="default"/>
          <w:color w:val="auto"/>
          <w:sz w:val="24"/>
          <w:szCs w:val="24"/>
          <w:highlight w:val="none"/>
          <w:lang w:val="en-US" w:eastAsia="zh-CN"/>
        </w:rPr>
        <w:t> ≥5个USB接口</w:t>
      </w:r>
    </w:p>
    <w:p w14:paraId="6481DB0F">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55.</w:t>
      </w:r>
      <w:r>
        <w:rPr>
          <w:rFonts w:hint="default"/>
          <w:color w:val="auto"/>
          <w:sz w:val="24"/>
          <w:szCs w:val="24"/>
          <w:highlight w:val="none"/>
          <w:lang w:val="en-US" w:eastAsia="zh-CN"/>
        </w:rPr>
        <w:t xml:space="preserve"> DVD R/W 刻录光驱</w:t>
      </w:r>
    </w:p>
    <w:p w14:paraId="2429F2D4">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56.</w:t>
      </w:r>
      <w:r>
        <w:rPr>
          <w:rFonts w:hint="default"/>
          <w:color w:val="auto"/>
          <w:sz w:val="24"/>
          <w:szCs w:val="24"/>
          <w:highlight w:val="none"/>
          <w:lang w:val="en-US" w:eastAsia="zh-CN"/>
        </w:rPr>
        <w:t xml:space="preserve"> ≥21寸高分辨率彩色液晶显示器</w:t>
      </w:r>
    </w:p>
    <w:p w14:paraId="19757443">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57.</w:t>
      </w:r>
      <w:r>
        <w:rPr>
          <w:rFonts w:hint="default"/>
          <w:color w:val="auto"/>
          <w:sz w:val="24"/>
          <w:szCs w:val="24"/>
          <w:highlight w:val="none"/>
          <w:lang w:val="en-US" w:eastAsia="zh-CN"/>
        </w:rPr>
        <w:t>探头接口≥4个，可互换通用</w:t>
      </w:r>
    </w:p>
    <w:p w14:paraId="09C6F671">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58.</w:t>
      </w:r>
      <w:r>
        <w:rPr>
          <w:rFonts w:hint="default"/>
          <w:color w:val="auto"/>
          <w:sz w:val="24"/>
          <w:szCs w:val="24"/>
          <w:highlight w:val="none"/>
          <w:lang w:val="en-US" w:eastAsia="zh-CN"/>
        </w:rPr>
        <w:t>二维灰阶模式</w:t>
      </w:r>
    </w:p>
    <w:p w14:paraId="7A973A2B">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59.</w:t>
      </w:r>
      <w:r>
        <w:rPr>
          <w:rFonts w:hint="default"/>
          <w:color w:val="auto"/>
          <w:sz w:val="24"/>
          <w:szCs w:val="24"/>
          <w:highlight w:val="none"/>
          <w:lang w:val="en-US" w:eastAsia="zh-CN"/>
        </w:rPr>
        <w:t>可支持经食道探头≥4支</w:t>
      </w:r>
    </w:p>
    <w:p w14:paraId="16FF07F1">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探头规格：</w:t>
      </w:r>
    </w:p>
    <w:p w14:paraId="61C6BB76">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纯净波或单晶体凸阵探头：（1.0-5.0MHz）</w:t>
      </w:r>
    </w:p>
    <w:p w14:paraId="21A9025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纯净波或单晶体相控阵探头：（1.0-5.0MHz）</w:t>
      </w:r>
    </w:p>
    <w:p w14:paraId="6F7888A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纯净波或单晶体血管线阵探头：（3.0-12.0MHz）</w:t>
      </w:r>
    </w:p>
    <w:p w14:paraId="48AE673A">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矩阵三维经食道探头：（2.0-8.0MHz）</w:t>
      </w:r>
    </w:p>
    <w:p w14:paraId="2CF144A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最大显示深度:≥38cm</w:t>
      </w:r>
    </w:p>
    <w:p w14:paraId="4C98A1C9">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二维灰阶：≥256</w:t>
      </w:r>
    </w:p>
    <w:p w14:paraId="14835A4F">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动态范围：≥300</w:t>
      </w:r>
    </w:p>
    <w:p w14:paraId="5C13F56A">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60.</w:t>
      </w:r>
      <w:r>
        <w:rPr>
          <w:rFonts w:hint="default"/>
          <w:color w:val="auto"/>
          <w:sz w:val="24"/>
          <w:szCs w:val="24"/>
          <w:highlight w:val="none"/>
          <w:lang w:val="en-US" w:eastAsia="zh-CN"/>
        </w:rPr>
        <w:t>彩色多普勒成像</w:t>
      </w:r>
    </w:p>
    <w:p w14:paraId="2C12D932">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包括速度、速度方差、能量、方向能量显示等</w:t>
      </w:r>
    </w:p>
    <w:p w14:paraId="5944E061">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显示方式：B/C、B/C/M、B/POWER、B/C/PW</w:t>
      </w:r>
    </w:p>
    <w:p w14:paraId="52AC9C80">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61.</w:t>
      </w:r>
      <w:r>
        <w:rPr>
          <w:rFonts w:hint="default"/>
          <w:color w:val="auto"/>
          <w:sz w:val="24"/>
          <w:szCs w:val="24"/>
          <w:highlight w:val="none"/>
          <w:lang w:val="en-US" w:eastAsia="zh-CN"/>
        </w:rPr>
        <w:t>频谱多普勒模式</w:t>
      </w:r>
      <w:r>
        <w:rPr>
          <w:rFonts w:hint="eastAsia"/>
          <w:color w:val="auto"/>
          <w:sz w:val="24"/>
          <w:szCs w:val="24"/>
          <w:highlight w:val="none"/>
          <w:lang w:val="en-US" w:eastAsia="zh-CN"/>
        </w:rPr>
        <w:t>，</w:t>
      </w:r>
      <w:r>
        <w:rPr>
          <w:rFonts w:hint="default"/>
          <w:color w:val="auto"/>
          <w:sz w:val="24"/>
          <w:szCs w:val="24"/>
          <w:highlight w:val="none"/>
          <w:lang w:val="en-US" w:eastAsia="zh-CN"/>
        </w:rPr>
        <w:t>在线斑点追踪定量分析:一键式自动获取左室整体和分段纵向应变测量工具，左心室(LV)18节段靶心图显示。支持所有相控阵探头采集的心脏图像，不依赖心电图</w:t>
      </w:r>
    </w:p>
    <w:p w14:paraId="27380FA9">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62.</w:t>
      </w:r>
      <w:r>
        <w:rPr>
          <w:rFonts w:hint="default"/>
          <w:color w:val="auto"/>
          <w:sz w:val="24"/>
          <w:szCs w:val="24"/>
          <w:highlight w:val="none"/>
          <w:lang w:val="en-US" w:eastAsia="zh-CN"/>
        </w:rPr>
        <w:t>包括脉冲多普勒、高脉冲重复频率、连续多普勒</w:t>
      </w:r>
    </w:p>
    <w:p w14:paraId="7D6BF373">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显示方式：B, PW, B/PW, B/C/PW, B/CW, B/C/CW等等</w:t>
      </w:r>
    </w:p>
    <w:p w14:paraId="60D7A7ED">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显示控制：反转、零移位、B刷新、D扩展、B/D扩展等</w:t>
      </w:r>
    </w:p>
    <w:p w14:paraId="09C31F97">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最大速度：≥7.60m/s（连续多普勒速度：≥30m/s）</w:t>
      </w:r>
    </w:p>
    <w:p w14:paraId="13EB16A4">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最小速度：≤0.20 mm /s（非噪声信号）</w:t>
      </w:r>
    </w:p>
    <w:p w14:paraId="7A147FD6">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取样容积: 0.5–20mm</w:t>
      </w:r>
    </w:p>
    <w:p w14:paraId="28EAC506">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零位移动：≥6 级</w:t>
      </w:r>
    </w:p>
    <w:p w14:paraId="3BDA6792">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63.</w:t>
      </w:r>
      <w:r>
        <w:rPr>
          <w:rFonts w:hint="default"/>
          <w:color w:val="auto"/>
          <w:sz w:val="24"/>
          <w:szCs w:val="24"/>
          <w:highlight w:val="none"/>
          <w:lang w:val="en-US" w:eastAsia="zh-CN"/>
        </w:rPr>
        <w:t>组织多普勒成像（包括组织速度图、能量图、M型、频谱成像≥4种模式</w:t>
      </w:r>
    </w:p>
    <w:p w14:paraId="2C4B53D1">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配组织多普勒定量分析软件</w:t>
      </w:r>
    </w:p>
    <w:p w14:paraId="37DAFAE8">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组织追踪定量分析软件（分析参数包括速度、位移、应变及应变率；支持牛眼图显示）</w:t>
      </w:r>
    </w:p>
    <w:p w14:paraId="684EA8F7">
      <w:pPr>
        <w:numPr>
          <w:ilvl w:val="0"/>
          <w:numId w:val="0"/>
        </w:numPr>
        <w:spacing w:line="360" w:lineRule="auto"/>
        <w:rPr>
          <w:rFonts w:hint="default"/>
          <w:color w:val="auto"/>
          <w:sz w:val="24"/>
          <w:szCs w:val="24"/>
          <w:highlight w:val="none"/>
          <w:lang w:val="en-US" w:eastAsia="zh-CN"/>
        </w:rPr>
      </w:pPr>
    </w:p>
    <w:p w14:paraId="205237A9">
      <w:pPr>
        <w:numPr>
          <w:ilvl w:val="0"/>
          <w:numId w:val="0"/>
        </w:numPr>
        <w:spacing w:line="360" w:lineRule="auto"/>
        <w:jc w:val="center"/>
        <w:rPr>
          <w:rFonts w:hint="default"/>
          <w:b/>
          <w:bCs/>
          <w:color w:val="auto"/>
          <w:sz w:val="24"/>
          <w:szCs w:val="24"/>
          <w:highlight w:val="none"/>
          <w:lang w:val="en-US" w:eastAsia="zh-CN"/>
        </w:rPr>
      </w:pPr>
      <w:r>
        <w:rPr>
          <w:rFonts w:hint="eastAsia"/>
          <w:b/>
          <w:bCs/>
          <w:color w:val="auto"/>
          <w:sz w:val="24"/>
          <w:szCs w:val="24"/>
          <w:highlight w:val="none"/>
          <w:lang w:val="en-US" w:eastAsia="zh-CN"/>
        </w:rPr>
        <w:t>四、</w:t>
      </w:r>
      <w:r>
        <w:rPr>
          <w:rFonts w:hint="default"/>
          <w:b/>
          <w:bCs/>
          <w:color w:val="auto"/>
          <w:sz w:val="24"/>
          <w:szCs w:val="24"/>
          <w:highlight w:val="none"/>
          <w:lang w:val="en-US" w:eastAsia="zh-CN"/>
        </w:rPr>
        <w:t>全自动血细胞分析仪</w:t>
      </w:r>
      <w:r>
        <w:rPr>
          <w:rFonts w:hint="eastAsia"/>
          <w:b/>
          <w:bCs/>
          <w:color w:val="auto"/>
          <w:sz w:val="24"/>
          <w:szCs w:val="24"/>
          <w:highlight w:val="none"/>
          <w:lang w:val="en-US" w:eastAsia="zh-CN"/>
        </w:rPr>
        <w:t>技术参数</w:t>
      </w:r>
    </w:p>
    <w:p w14:paraId="2FC83189">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 xml:space="preserve"> 检测参数：可提供血细胞分析报告参数≥</w:t>
      </w:r>
      <w:r>
        <w:rPr>
          <w:rFonts w:hint="eastAsia"/>
          <w:color w:val="auto"/>
          <w:sz w:val="24"/>
          <w:szCs w:val="24"/>
          <w:highlight w:val="none"/>
          <w:lang w:val="en-US" w:eastAsia="zh-CN"/>
        </w:rPr>
        <w:t>25</w:t>
      </w:r>
      <w:r>
        <w:rPr>
          <w:rFonts w:hint="default"/>
          <w:color w:val="auto"/>
          <w:sz w:val="24"/>
          <w:szCs w:val="24"/>
          <w:highlight w:val="none"/>
          <w:lang w:val="en-US" w:eastAsia="zh-CN"/>
        </w:rPr>
        <w:t>项（含NRBC参数）、体液分析报告参数≥</w:t>
      </w:r>
      <w:r>
        <w:rPr>
          <w:rFonts w:hint="eastAsia"/>
          <w:color w:val="auto"/>
          <w:sz w:val="24"/>
          <w:szCs w:val="24"/>
          <w:highlight w:val="none"/>
          <w:lang w:val="en-US" w:eastAsia="zh-CN"/>
        </w:rPr>
        <w:t>5</w:t>
      </w:r>
      <w:r>
        <w:rPr>
          <w:rFonts w:hint="default"/>
          <w:color w:val="auto"/>
          <w:sz w:val="24"/>
          <w:szCs w:val="24"/>
          <w:highlight w:val="none"/>
          <w:lang w:val="en-US" w:eastAsia="zh-CN"/>
        </w:rPr>
        <w:t>项，CRP报告参数≥</w:t>
      </w:r>
      <w:r>
        <w:rPr>
          <w:rFonts w:hint="eastAsia"/>
          <w:color w:val="auto"/>
          <w:sz w:val="24"/>
          <w:szCs w:val="24"/>
          <w:highlight w:val="none"/>
          <w:lang w:val="en-US" w:eastAsia="zh-CN"/>
        </w:rPr>
        <w:t>3</w:t>
      </w:r>
      <w:r>
        <w:rPr>
          <w:rFonts w:hint="default"/>
          <w:color w:val="auto"/>
          <w:sz w:val="24"/>
          <w:szCs w:val="24"/>
          <w:highlight w:val="none"/>
          <w:lang w:val="en-US" w:eastAsia="zh-CN"/>
        </w:rPr>
        <w:t>项。</w:t>
      </w:r>
    </w:p>
    <w:p w14:paraId="13C66129">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全自动体液（含胸水、腹水、脑脊液和滑膜液等）细胞计数和对体液中的白细胞进行分类的功能。</w:t>
      </w:r>
    </w:p>
    <w:p w14:paraId="270588C3">
      <w:pPr>
        <w:keepNext w:val="0"/>
        <w:keepLines w:val="0"/>
        <w:widowControl/>
        <w:suppressLineNumbers w:val="0"/>
        <w:jc w:val="left"/>
        <w:rPr>
          <w:color w:val="auto"/>
          <w:highlight w:val="none"/>
        </w:rPr>
      </w:pPr>
      <w:r>
        <w:rPr>
          <w:rFonts w:hint="eastAsia"/>
          <w:color w:val="auto"/>
          <w:sz w:val="24"/>
          <w:szCs w:val="24"/>
          <w:highlight w:val="none"/>
          <w:lang w:val="en-US" w:eastAsia="zh-CN"/>
        </w:rPr>
        <w:t>3.</w:t>
      </w:r>
      <w:r>
        <w:rPr>
          <w:rFonts w:hint="default"/>
          <w:color w:val="auto"/>
          <w:sz w:val="24"/>
          <w:szCs w:val="24"/>
          <w:highlight w:val="none"/>
          <w:lang w:val="en-US" w:eastAsia="zh-CN"/>
        </w:rPr>
        <w:t>检测模式：</w:t>
      </w:r>
      <w:r>
        <w:rPr>
          <w:rFonts w:ascii="Arial" w:hAnsi="Arial" w:eastAsia="Arial" w:cs="Arial"/>
          <w:i w:val="0"/>
          <w:iCs w:val="0"/>
          <w:caps w:val="0"/>
          <w:color w:val="auto"/>
          <w:spacing w:val="0"/>
          <w:kern w:val="0"/>
          <w:sz w:val="28"/>
          <w:szCs w:val="28"/>
          <w:highlight w:val="none"/>
          <w:u w:val="none"/>
          <w:shd w:val="clear" w:color="auto" w:fill="FFFFFF"/>
          <w:lang w:val="en-US" w:eastAsia="zh-CN" w:bidi="ar"/>
        </w:rPr>
        <w:t>CBC、CBC+DIFF、CBC+CRP、CBC+DIFF+CRP</w:t>
      </w:r>
    </w:p>
    <w:p w14:paraId="358997BF">
      <w:pPr>
        <w:numPr>
          <w:ilvl w:val="0"/>
          <w:numId w:val="0"/>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等全血检测模式。</w:t>
      </w:r>
    </w:p>
    <w:p w14:paraId="0C40F768">
      <w:pPr>
        <w:numPr>
          <w:ilvl w:val="0"/>
          <w:numId w:val="4"/>
        </w:numPr>
        <w:spacing w:line="360" w:lineRule="auto"/>
        <w:rPr>
          <w:rFonts w:hint="default"/>
          <w:color w:val="auto"/>
          <w:sz w:val="24"/>
          <w:szCs w:val="24"/>
          <w:highlight w:val="none"/>
          <w:lang w:val="en-US" w:eastAsia="zh-CN"/>
        </w:rPr>
      </w:pPr>
      <w:r>
        <w:rPr>
          <w:rFonts w:hint="default"/>
          <w:color w:val="auto"/>
          <w:sz w:val="24"/>
          <w:szCs w:val="24"/>
          <w:highlight w:val="none"/>
          <w:lang w:val="en-US" w:eastAsia="zh-CN"/>
        </w:rPr>
        <w:t>检测速度：静脉全血CBC+DIFF≥1</w:t>
      </w:r>
      <w:r>
        <w:rPr>
          <w:rFonts w:hint="eastAsia"/>
          <w:color w:val="auto"/>
          <w:sz w:val="24"/>
          <w:szCs w:val="24"/>
          <w:highlight w:val="none"/>
          <w:lang w:val="en-US" w:eastAsia="zh-CN"/>
        </w:rPr>
        <w:t>00</w:t>
      </w:r>
      <w:r>
        <w:rPr>
          <w:rFonts w:hint="default"/>
          <w:color w:val="auto"/>
          <w:sz w:val="24"/>
          <w:szCs w:val="24"/>
          <w:highlight w:val="none"/>
          <w:lang w:val="en-US" w:eastAsia="zh-CN"/>
        </w:rPr>
        <w:t>个样本/小时</w:t>
      </w:r>
    </w:p>
    <w:p w14:paraId="0E5B6E8A">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5.</w:t>
      </w:r>
      <w:r>
        <w:rPr>
          <w:rFonts w:hint="default"/>
          <w:color w:val="auto"/>
          <w:sz w:val="24"/>
          <w:szCs w:val="24"/>
          <w:highlight w:val="none"/>
          <w:lang w:val="en-US" w:eastAsia="zh-CN"/>
        </w:rPr>
        <w:t>进样方式：标配自动进样、单管开放进样和单管封闭进样方式，具备急诊插入功能。</w:t>
      </w:r>
    </w:p>
    <w:p w14:paraId="14C6FFD8">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6.</w:t>
      </w:r>
      <w:r>
        <w:rPr>
          <w:rFonts w:hint="default"/>
          <w:color w:val="auto"/>
          <w:sz w:val="24"/>
          <w:szCs w:val="24"/>
          <w:highlight w:val="none"/>
          <w:lang w:val="en-US" w:eastAsia="zh-CN"/>
        </w:rPr>
        <w:t>具有超出线性范围</w:t>
      </w:r>
      <w:r>
        <w:rPr>
          <w:rFonts w:hint="eastAsia"/>
          <w:color w:val="auto"/>
          <w:sz w:val="24"/>
          <w:szCs w:val="24"/>
          <w:highlight w:val="none"/>
          <w:lang w:val="en-US" w:eastAsia="zh-CN"/>
        </w:rPr>
        <w:t>，</w:t>
      </w:r>
      <w:r>
        <w:rPr>
          <w:rFonts w:hint="default"/>
          <w:color w:val="auto"/>
          <w:sz w:val="24"/>
          <w:szCs w:val="24"/>
          <w:highlight w:val="none"/>
          <w:lang w:val="en-US" w:eastAsia="zh-CN"/>
        </w:rPr>
        <w:t>样本自动稀释重测功能。</w:t>
      </w:r>
    </w:p>
    <w:p w14:paraId="55BB6D5D">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7.</w:t>
      </w:r>
      <w:r>
        <w:rPr>
          <w:rFonts w:hint="default"/>
          <w:color w:val="auto"/>
          <w:sz w:val="24"/>
          <w:szCs w:val="24"/>
          <w:highlight w:val="none"/>
          <w:lang w:val="en-US" w:eastAsia="zh-CN"/>
        </w:rPr>
        <w:t>血细胞分析线性范围：WBC：(0～500)×10^9/L，RBC：(0～8.6)×10^12/L，PLT：(0～5000)×10^9/L。</w:t>
      </w:r>
    </w:p>
    <w:p w14:paraId="7EB5A2D7">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8.</w:t>
      </w:r>
      <w:r>
        <w:rPr>
          <w:rFonts w:hint="default"/>
          <w:color w:val="auto"/>
          <w:sz w:val="24"/>
          <w:szCs w:val="24"/>
          <w:highlight w:val="none"/>
          <w:lang w:val="en-US" w:eastAsia="zh-CN"/>
        </w:rPr>
        <w:t>携带污染率：CRP≤0.5%。</w:t>
      </w:r>
    </w:p>
    <w:p w14:paraId="1DAF3DBD">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9.</w:t>
      </w:r>
      <w:r>
        <w:rPr>
          <w:rFonts w:hint="default"/>
          <w:color w:val="auto"/>
          <w:sz w:val="24"/>
          <w:szCs w:val="24"/>
          <w:highlight w:val="none"/>
          <w:lang w:val="en-US" w:eastAsia="zh-CN"/>
        </w:rPr>
        <w:t>条码扫描：标配内置自动旋转扫描样本条码的功能。</w:t>
      </w:r>
    </w:p>
    <w:p w14:paraId="2C9CBD91">
      <w:pPr>
        <w:numPr>
          <w:ilvl w:val="0"/>
          <w:numId w:val="0"/>
        </w:numPr>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10.仪器</w:t>
      </w:r>
      <w:r>
        <w:rPr>
          <w:rFonts w:hint="default"/>
          <w:color w:val="auto"/>
          <w:sz w:val="24"/>
          <w:szCs w:val="24"/>
          <w:highlight w:val="none"/>
          <w:lang w:val="en-US" w:eastAsia="zh-CN"/>
        </w:rPr>
        <w:t>≥13英寸高清彩色液晶触摸屏</w:t>
      </w:r>
      <w:r>
        <w:rPr>
          <w:rFonts w:hint="eastAsia"/>
          <w:color w:val="auto"/>
          <w:sz w:val="24"/>
          <w:szCs w:val="24"/>
          <w:highlight w:val="none"/>
          <w:lang w:val="en-US" w:eastAsia="zh-CN"/>
        </w:rPr>
        <w:t>，可戴手套操作</w:t>
      </w:r>
    </w:p>
    <w:p w14:paraId="4E4979F5">
      <w:pPr>
        <w:numPr>
          <w:ilvl w:val="0"/>
          <w:numId w:val="0"/>
        </w:numPr>
        <w:spacing w:line="360" w:lineRule="auto"/>
        <w:rPr>
          <w:rFonts w:ascii="Arial" w:hAnsi="Arial" w:eastAsia="Arial" w:cs="Arial"/>
          <w:i w:val="0"/>
          <w:iCs w:val="0"/>
          <w:caps w:val="0"/>
          <w:color w:val="auto"/>
          <w:spacing w:val="0"/>
          <w:sz w:val="28"/>
          <w:szCs w:val="28"/>
          <w:highlight w:val="none"/>
        </w:rPr>
      </w:pPr>
      <w:r>
        <w:rPr>
          <w:rFonts w:hint="eastAsia"/>
          <w:color w:val="auto"/>
          <w:sz w:val="24"/>
          <w:szCs w:val="24"/>
          <w:highlight w:val="none"/>
          <w:lang w:val="en-US" w:eastAsia="zh-CN"/>
        </w:rPr>
        <w:t>11.</w:t>
      </w:r>
      <w:r>
        <w:rPr>
          <w:rFonts w:ascii="Arial" w:hAnsi="Arial" w:eastAsia="Arial" w:cs="Arial"/>
          <w:i w:val="0"/>
          <w:iCs w:val="0"/>
          <w:caps w:val="0"/>
          <w:color w:val="auto"/>
          <w:spacing w:val="0"/>
          <w:sz w:val="28"/>
          <w:szCs w:val="28"/>
          <w:highlight w:val="none"/>
        </w:rPr>
        <w:t>试剂冷藏：主机内置试剂冷藏仓</w:t>
      </w:r>
    </w:p>
    <w:p w14:paraId="1E291B92">
      <w:pPr>
        <w:numPr>
          <w:ilvl w:val="0"/>
          <w:numId w:val="0"/>
        </w:numPr>
        <w:spacing w:line="360" w:lineRule="auto"/>
        <w:rPr>
          <w:rFonts w:hint="default" w:ascii="Arial" w:hAnsi="Arial" w:eastAsia="Arial" w:cs="Arial"/>
          <w:i w:val="0"/>
          <w:iCs w:val="0"/>
          <w:caps w:val="0"/>
          <w:color w:val="auto"/>
          <w:spacing w:val="0"/>
          <w:sz w:val="28"/>
          <w:szCs w:val="28"/>
          <w:highlight w:val="none"/>
        </w:rPr>
      </w:pPr>
      <w:r>
        <w:rPr>
          <w:rFonts w:hint="eastAsia" w:ascii="Arial" w:hAnsi="Arial" w:eastAsia="宋体" w:cs="Arial"/>
          <w:i w:val="0"/>
          <w:iCs w:val="0"/>
          <w:caps w:val="0"/>
          <w:color w:val="auto"/>
          <w:spacing w:val="0"/>
          <w:sz w:val="28"/>
          <w:szCs w:val="28"/>
          <w:highlight w:val="none"/>
          <w:lang w:val="en-US" w:eastAsia="zh-CN"/>
        </w:rPr>
        <w:t>12.</w:t>
      </w:r>
      <w:r>
        <w:rPr>
          <w:rFonts w:hint="default" w:ascii="Arial" w:hAnsi="Arial" w:eastAsia="Arial" w:cs="Arial"/>
          <w:i w:val="0"/>
          <w:iCs w:val="0"/>
          <w:caps w:val="0"/>
          <w:color w:val="auto"/>
          <w:spacing w:val="0"/>
          <w:sz w:val="28"/>
          <w:szCs w:val="28"/>
          <w:highlight w:val="none"/>
        </w:rPr>
        <w:t>自动休眠：可自定义≥2小时</w:t>
      </w:r>
    </w:p>
    <w:p w14:paraId="7E05FC40">
      <w:pPr>
        <w:numPr>
          <w:ilvl w:val="0"/>
          <w:numId w:val="0"/>
        </w:numPr>
        <w:spacing w:line="360" w:lineRule="auto"/>
        <w:rPr>
          <w:rFonts w:hint="default" w:ascii="Arial" w:hAnsi="Arial" w:eastAsia="Arial" w:cs="Arial"/>
          <w:i w:val="0"/>
          <w:iCs w:val="0"/>
          <w:caps w:val="0"/>
          <w:color w:val="auto"/>
          <w:spacing w:val="0"/>
          <w:sz w:val="28"/>
          <w:szCs w:val="28"/>
          <w:highlight w:val="none"/>
        </w:rPr>
      </w:pPr>
      <w:r>
        <w:rPr>
          <w:rFonts w:hint="eastAsia" w:ascii="Arial" w:hAnsi="Arial" w:eastAsia="宋体" w:cs="Arial"/>
          <w:i w:val="0"/>
          <w:iCs w:val="0"/>
          <w:caps w:val="0"/>
          <w:color w:val="auto"/>
          <w:spacing w:val="0"/>
          <w:sz w:val="28"/>
          <w:szCs w:val="28"/>
          <w:highlight w:val="none"/>
          <w:lang w:val="en-US" w:eastAsia="zh-CN"/>
        </w:rPr>
        <w:t>13.</w:t>
      </w:r>
      <w:r>
        <w:rPr>
          <w:rFonts w:hint="default" w:ascii="Arial" w:hAnsi="Arial" w:eastAsia="Arial" w:cs="Arial"/>
          <w:i w:val="0"/>
          <w:iCs w:val="0"/>
          <w:caps w:val="0"/>
          <w:color w:val="auto"/>
          <w:spacing w:val="0"/>
          <w:sz w:val="28"/>
          <w:szCs w:val="28"/>
          <w:highlight w:val="none"/>
        </w:rPr>
        <w:t>质控管理：L-J质控</w:t>
      </w:r>
    </w:p>
    <w:p w14:paraId="2D1CB416">
      <w:pPr>
        <w:numPr>
          <w:ilvl w:val="0"/>
          <w:numId w:val="0"/>
        </w:numPr>
        <w:spacing w:line="360" w:lineRule="auto"/>
        <w:rPr>
          <w:rFonts w:hint="default" w:ascii="Arial" w:hAnsi="Arial" w:eastAsia="Arial" w:cs="Arial"/>
          <w:i w:val="0"/>
          <w:iCs w:val="0"/>
          <w:caps w:val="0"/>
          <w:color w:val="auto"/>
          <w:spacing w:val="0"/>
          <w:sz w:val="28"/>
          <w:szCs w:val="28"/>
          <w:highlight w:val="none"/>
        </w:rPr>
      </w:pPr>
      <w:r>
        <w:rPr>
          <w:rFonts w:hint="eastAsia" w:ascii="Arial" w:hAnsi="Arial" w:eastAsia="宋体" w:cs="Arial"/>
          <w:i w:val="0"/>
          <w:iCs w:val="0"/>
          <w:caps w:val="0"/>
          <w:color w:val="auto"/>
          <w:spacing w:val="0"/>
          <w:sz w:val="28"/>
          <w:szCs w:val="28"/>
          <w:highlight w:val="none"/>
          <w:lang w:val="en-US" w:eastAsia="zh-CN"/>
        </w:rPr>
        <w:t>14.</w:t>
      </w:r>
      <w:r>
        <w:rPr>
          <w:rFonts w:hint="default" w:ascii="Arial" w:hAnsi="Arial" w:eastAsia="Arial" w:cs="Arial"/>
          <w:i w:val="0"/>
          <w:iCs w:val="0"/>
          <w:caps w:val="0"/>
          <w:color w:val="auto"/>
          <w:spacing w:val="0"/>
          <w:sz w:val="28"/>
          <w:szCs w:val="28"/>
          <w:highlight w:val="none"/>
        </w:rPr>
        <w:t>最小用血量：≤20μL</w:t>
      </w:r>
    </w:p>
    <w:p w14:paraId="39CF18FF">
      <w:pPr>
        <w:numPr>
          <w:ilvl w:val="0"/>
          <w:numId w:val="0"/>
        </w:numPr>
        <w:spacing w:line="360" w:lineRule="auto"/>
        <w:rPr>
          <w:rFonts w:hint="default"/>
          <w:b w:val="0"/>
          <w:bCs w:val="0"/>
          <w:color w:val="auto"/>
          <w:sz w:val="24"/>
          <w:szCs w:val="24"/>
          <w:highlight w:val="none"/>
          <w:lang w:val="en-US" w:eastAsia="zh-CN"/>
        </w:rPr>
      </w:pPr>
      <w:r>
        <w:rPr>
          <w:rFonts w:hint="eastAsia" w:ascii="Arial" w:hAnsi="Arial" w:eastAsia="宋体" w:cs="Arial"/>
          <w:i w:val="0"/>
          <w:iCs w:val="0"/>
          <w:caps w:val="0"/>
          <w:color w:val="auto"/>
          <w:spacing w:val="0"/>
          <w:sz w:val="28"/>
          <w:szCs w:val="28"/>
          <w:highlight w:val="none"/>
          <w:lang w:val="en-US" w:eastAsia="zh-CN"/>
        </w:rPr>
        <w:t>15.</w:t>
      </w:r>
      <w:r>
        <w:rPr>
          <w:rFonts w:hint="default"/>
          <w:b w:val="0"/>
          <w:bCs w:val="0"/>
          <w:color w:val="auto"/>
          <w:sz w:val="24"/>
          <w:szCs w:val="24"/>
          <w:highlight w:val="none"/>
          <w:lang w:val="en-US" w:eastAsia="zh-CN"/>
        </w:rPr>
        <w:t>通讯功能：标配数据接口</w:t>
      </w:r>
      <w:r>
        <w:rPr>
          <w:rFonts w:hint="eastAsia"/>
          <w:b w:val="0"/>
          <w:bCs w:val="0"/>
          <w:color w:val="auto"/>
          <w:sz w:val="24"/>
          <w:szCs w:val="24"/>
          <w:highlight w:val="none"/>
          <w:lang w:val="en-US" w:eastAsia="zh-CN"/>
        </w:rPr>
        <w:t>，网络接口</w:t>
      </w:r>
      <w:r>
        <w:rPr>
          <w:rFonts w:hint="default"/>
          <w:b w:val="0"/>
          <w:bCs w:val="0"/>
          <w:color w:val="auto"/>
          <w:sz w:val="24"/>
          <w:szCs w:val="24"/>
          <w:highlight w:val="none"/>
          <w:lang w:val="en-US" w:eastAsia="zh-CN"/>
        </w:rPr>
        <w:t>，支持与医院LIS、HIS系统无缝对接</w:t>
      </w:r>
      <w:r>
        <w:rPr>
          <w:rFonts w:hint="eastAsia"/>
          <w:b w:val="0"/>
          <w:bCs w:val="0"/>
          <w:color w:val="auto"/>
          <w:sz w:val="24"/>
          <w:szCs w:val="24"/>
          <w:highlight w:val="none"/>
          <w:lang w:val="en-US" w:eastAsia="zh-CN"/>
        </w:rPr>
        <w:t>，包含接口费</w:t>
      </w:r>
      <w:r>
        <w:rPr>
          <w:rFonts w:hint="default"/>
          <w:b w:val="0"/>
          <w:bCs w:val="0"/>
          <w:color w:val="auto"/>
          <w:sz w:val="24"/>
          <w:szCs w:val="24"/>
          <w:highlight w:val="none"/>
          <w:lang w:val="en-US" w:eastAsia="zh-CN"/>
        </w:rPr>
        <w:t>，实现数据双向传输。</w:t>
      </w:r>
    </w:p>
    <w:p w14:paraId="36A0A1CF">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16.配工作站：CPU频率：≥2.7GHz、内存：≥8G、固态硬盘：≥1T</w:t>
      </w:r>
    </w:p>
    <w:p w14:paraId="3A3560D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千兆网卡,支持多终端测评，≥21寸显示器，分辨率：≥1920*1080p</w:t>
      </w:r>
    </w:p>
    <w:p w14:paraId="69B236DB">
      <w:pPr>
        <w:numPr>
          <w:ilvl w:val="0"/>
          <w:numId w:val="5"/>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配激光打印机1台</w:t>
      </w:r>
    </w:p>
    <w:p w14:paraId="3FFAB553">
      <w:pPr>
        <w:numPr>
          <w:ilvl w:val="0"/>
          <w:numId w:val="0"/>
        </w:numPr>
        <w:spacing w:line="360" w:lineRule="auto"/>
        <w:rPr>
          <w:rFonts w:hint="default"/>
          <w:color w:val="auto"/>
          <w:sz w:val="24"/>
          <w:szCs w:val="24"/>
          <w:highlight w:val="none"/>
          <w:lang w:val="en-US" w:eastAsia="zh-CN"/>
        </w:rPr>
      </w:pPr>
    </w:p>
    <w:p w14:paraId="66487DB0">
      <w:pPr>
        <w:numPr>
          <w:ilvl w:val="0"/>
          <w:numId w:val="0"/>
        </w:numPr>
        <w:spacing w:line="360" w:lineRule="auto"/>
        <w:ind w:leftChars="0"/>
        <w:jc w:val="center"/>
        <w:rPr>
          <w:rFonts w:hint="default" w:ascii="Calibri" w:hAnsi="Calibri" w:eastAsia="宋体" w:cs="Times New Roman"/>
          <w:b/>
          <w:bCs/>
          <w:color w:val="auto"/>
          <w:kern w:val="2"/>
          <w:sz w:val="24"/>
          <w:szCs w:val="24"/>
          <w:highlight w:val="none"/>
          <w:lang w:val="en-US" w:eastAsia="zh-CN" w:bidi="ar-SA"/>
        </w:rPr>
      </w:pPr>
      <w:r>
        <w:rPr>
          <w:rFonts w:hint="eastAsia"/>
          <w:b/>
          <w:bCs/>
          <w:color w:val="auto"/>
          <w:sz w:val="24"/>
          <w:szCs w:val="24"/>
          <w:highlight w:val="none"/>
          <w:lang w:val="en-US" w:eastAsia="zh-CN"/>
        </w:rPr>
        <w:t>五、</w:t>
      </w:r>
      <w:r>
        <w:rPr>
          <w:rFonts w:hint="eastAsia" w:ascii="Calibri" w:hAnsi="Calibri" w:eastAsia="宋体" w:cs="Times New Roman"/>
          <w:b/>
          <w:bCs/>
          <w:color w:val="auto"/>
          <w:kern w:val="2"/>
          <w:sz w:val="24"/>
          <w:szCs w:val="24"/>
          <w:highlight w:val="none"/>
          <w:lang w:val="en-US" w:eastAsia="zh-CN" w:bidi="ar-SA"/>
        </w:rPr>
        <w:t>白带诊断分析仪（阴道分泌物分析仪）</w:t>
      </w:r>
      <w:r>
        <w:rPr>
          <w:rFonts w:hint="eastAsia" w:cs="Times New Roman"/>
          <w:b/>
          <w:bCs/>
          <w:color w:val="auto"/>
          <w:kern w:val="2"/>
          <w:sz w:val="24"/>
          <w:szCs w:val="24"/>
          <w:highlight w:val="none"/>
          <w:lang w:val="en-US" w:eastAsia="zh-CN" w:bidi="ar-SA"/>
        </w:rPr>
        <w:t>技术参数</w:t>
      </w:r>
    </w:p>
    <w:p w14:paraId="4B0803C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 设备为全自动一体化检测系统，集成干化学检测、自动制片染色、显微图像采集、AI智能判读功能，全程自动化运行，无需人工显微镜操作。</w:t>
      </w:r>
    </w:p>
    <w:p w14:paraId="5648B16F">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2. 支持批量进样+急诊优先插入检测，可实现随机、单人份、批量多模式检测。</w:t>
      </w:r>
    </w:p>
    <w:p w14:paraId="7D018C1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 全自动完成样本混匀、加样、孵育、涂片、染色、清洗全流程操作，减少人工干预。</w:t>
      </w:r>
    </w:p>
    <w:p w14:paraId="06CB41B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 采用独立液路设计，具备自动清洗消毒功能，有效防止样本交叉污染，符合院感要求。</w:t>
      </w:r>
    </w:p>
    <w:p w14:paraId="65FEDCA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default"/>
          <w:b w:val="0"/>
          <w:bCs w:val="0"/>
          <w:color w:val="auto"/>
          <w:sz w:val="24"/>
          <w:szCs w:val="24"/>
          <w:highlight w:val="none"/>
          <w:lang w:val="en-US" w:eastAsia="zh-CN"/>
        </w:rPr>
        <w:t>. 干化学检测模块恒温控制精度为37℃±0.5℃，检测结果重复性好、稳定性高。</w:t>
      </w:r>
    </w:p>
    <w:p w14:paraId="185272D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 可检测pH值、过氧化氢、白细胞酯酶、唾液酸苷酶、N-乙酰基-β-氨基葡萄糖苷酶等核心项目。</w:t>
      </w:r>
    </w:p>
    <w:p w14:paraId="757F8453">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 配高清光学显微系统，自动对焦、自动扫描功能。</w:t>
      </w:r>
    </w:p>
    <w:p w14:paraId="7614A1D3">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8.</w:t>
      </w:r>
      <w:r>
        <w:rPr>
          <w:rFonts w:hint="default"/>
          <w:b w:val="0"/>
          <w:bCs w:val="0"/>
          <w:color w:val="auto"/>
          <w:sz w:val="24"/>
          <w:szCs w:val="24"/>
          <w:highlight w:val="none"/>
          <w:lang w:val="en-US" w:eastAsia="zh-CN"/>
        </w:rPr>
        <w:t xml:space="preserve"> AI智能识别白细胞、红细胞、上皮细胞、滴虫、念珠菌、线索细胞、乳酸杆菌、杂菌等有形成分。</w:t>
      </w:r>
    </w:p>
    <w:p w14:paraId="5468528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9</w:t>
      </w:r>
      <w:r>
        <w:rPr>
          <w:rFonts w:hint="default"/>
          <w:b w:val="0"/>
          <w:bCs w:val="0"/>
          <w:color w:val="auto"/>
          <w:sz w:val="24"/>
          <w:szCs w:val="24"/>
          <w:highlight w:val="none"/>
          <w:lang w:val="en-US" w:eastAsia="zh-CN"/>
        </w:rPr>
        <w:t>. 自动判读阴道清洁度，支持阴道微生态评估、Nugent评分、AV评分自动计算。</w:t>
      </w:r>
    </w:p>
    <w:p w14:paraId="71FCEB9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10</w:t>
      </w:r>
      <w:r>
        <w:rPr>
          <w:rFonts w:hint="default"/>
          <w:b w:val="0"/>
          <w:bCs w:val="0"/>
          <w:color w:val="auto"/>
          <w:sz w:val="24"/>
          <w:szCs w:val="24"/>
          <w:highlight w:val="none"/>
          <w:lang w:val="en-US" w:eastAsia="zh-CN"/>
        </w:rPr>
        <w:t>. 系统内置诊断逻辑，可自动提示常见阴道炎类型，提供标准化诊断参考。</w:t>
      </w:r>
    </w:p>
    <w:p w14:paraId="1FB9C7A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11</w:t>
      </w:r>
      <w:r>
        <w:rPr>
          <w:rFonts w:hint="default"/>
          <w:b w:val="0"/>
          <w:bCs w:val="0"/>
          <w:color w:val="auto"/>
          <w:sz w:val="24"/>
          <w:szCs w:val="24"/>
          <w:highlight w:val="none"/>
          <w:lang w:val="en-US" w:eastAsia="zh-CN"/>
        </w:rPr>
        <w:t>. 检测通量满足临床常规需求，支持连续进样。</w:t>
      </w:r>
    </w:p>
    <w:p w14:paraId="3CBEC15B">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12.</w:t>
      </w:r>
      <w:r>
        <w:rPr>
          <w:rFonts w:hint="default"/>
          <w:b w:val="0"/>
          <w:bCs w:val="0"/>
          <w:color w:val="auto"/>
          <w:sz w:val="24"/>
          <w:szCs w:val="24"/>
          <w:highlight w:val="none"/>
          <w:lang w:val="en-US" w:eastAsia="zh-CN"/>
        </w:rPr>
        <w:t xml:space="preserve"> 保存≥10000份图文报告及原始镜检图像，支持查询回溯。</w:t>
      </w:r>
    </w:p>
    <w:p w14:paraId="39551B06">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1</w:t>
      </w: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.中文可视化操作界面，操作简便，具备完善的故障报警、异常提示功能。</w:t>
      </w:r>
    </w:p>
    <w:p w14:paraId="6BF95DC7">
      <w:pPr>
        <w:numPr>
          <w:ilvl w:val="0"/>
          <w:numId w:val="0"/>
        </w:numPr>
        <w:spacing w:line="360" w:lineRule="auto"/>
        <w:rPr>
          <w:rFonts w:hint="default"/>
          <w:b w:val="0"/>
          <w:bCs w:val="0"/>
          <w:color w:val="auto"/>
          <w:sz w:val="24"/>
          <w:szCs w:val="24"/>
          <w:highlight w:val="none"/>
          <w:lang w:val="en-US" w:eastAsia="zh-CN"/>
        </w:rPr>
      </w:pPr>
      <w:r>
        <w:rPr>
          <w:rFonts w:hint="eastAsia" w:ascii="Arial" w:hAnsi="Arial" w:eastAsia="宋体" w:cs="Arial"/>
          <w:i w:val="0"/>
          <w:iCs w:val="0"/>
          <w:caps w:val="0"/>
          <w:color w:val="auto"/>
          <w:spacing w:val="0"/>
          <w:sz w:val="28"/>
          <w:szCs w:val="28"/>
          <w:highlight w:val="none"/>
          <w:lang w:val="en-US" w:eastAsia="zh-CN"/>
        </w:rPr>
        <w:t>14.</w:t>
      </w:r>
      <w:r>
        <w:rPr>
          <w:rFonts w:hint="default"/>
          <w:b w:val="0"/>
          <w:bCs w:val="0"/>
          <w:color w:val="auto"/>
          <w:sz w:val="24"/>
          <w:szCs w:val="24"/>
          <w:highlight w:val="none"/>
          <w:lang w:val="en-US" w:eastAsia="zh-CN"/>
        </w:rPr>
        <w:t>通讯功能：标配数据接口</w:t>
      </w:r>
      <w:r>
        <w:rPr>
          <w:rFonts w:hint="eastAsia"/>
          <w:b w:val="0"/>
          <w:bCs w:val="0"/>
          <w:color w:val="auto"/>
          <w:sz w:val="24"/>
          <w:szCs w:val="24"/>
          <w:highlight w:val="none"/>
          <w:lang w:val="en-US" w:eastAsia="zh-CN"/>
        </w:rPr>
        <w:t>，网络接口</w:t>
      </w:r>
      <w:r>
        <w:rPr>
          <w:rFonts w:hint="default"/>
          <w:b w:val="0"/>
          <w:bCs w:val="0"/>
          <w:color w:val="auto"/>
          <w:sz w:val="24"/>
          <w:szCs w:val="24"/>
          <w:highlight w:val="none"/>
          <w:lang w:val="en-US" w:eastAsia="zh-CN"/>
        </w:rPr>
        <w:t>，支持与医院LIS、HIS系统无缝对接</w:t>
      </w:r>
      <w:r>
        <w:rPr>
          <w:rFonts w:hint="eastAsia"/>
          <w:b w:val="0"/>
          <w:bCs w:val="0"/>
          <w:color w:val="auto"/>
          <w:sz w:val="24"/>
          <w:szCs w:val="24"/>
          <w:highlight w:val="none"/>
          <w:lang w:val="en-US" w:eastAsia="zh-CN"/>
        </w:rPr>
        <w:t>，包含接口费</w:t>
      </w:r>
      <w:r>
        <w:rPr>
          <w:rFonts w:hint="default"/>
          <w:b w:val="0"/>
          <w:bCs w:val="0"/>
          <w:color w:val="auto"/>
          <w:sz w:val="24"/>
          <w:szCs w:val="24"/>
          <w:highlight w:val="none"/>
          <w:lang w:val="en-US" w:eastAsia="zh-CN"/>
        </w:rPr>
        <w:t>，实现数据双向传输。</w:t>
      </w:r>
    </w:p>
    <w:p w14:paraId="5D0B8053">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15.配工作站：CPU频率：≥2.7GHz、内存：≥8G、固态硬盘：≥1T</w:t>
      </w:r>
    </w:p>
    <w:p w14:paraId="1C606A72">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千兆网卡,支持多终端测评</w:t>
      </w:r>
    </w:p>
    <w:p w14:paraId="7D4A40EB">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≥21寸显示器，分辨率：≥1920*1080p</w:t>
      </w:r>
    </w:p>
    <w:p w14:paraId="12B6603C">
      <w:pPr>
        <w:numPr>
          <w:ilvl w:val="0"/>
          <w:numId w:val="6"/>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配激光打印机1台</w:t>
      </w:r>
    </w:p>
    <w:p w14:paraId="2FF51910">
      <w:pPr>
        <w:numPr>
          <w:ilvl w:val="0"/>
          <w:numId w:val="0"/>
        </w:numPr>
        <w:spacing w:line="360" w:lineRule="auto"/>
        <w:rPr>
          <w:rFonts w:hint="default"/>
          <w:b w:val="0"/>
          <w:bCs w:val="0"/>
          <w:color w:val="auto"/>
          <w:sz w:val="24"/>
          <w:szCs w:val="24"/>
          <w:highlight w:val="none"/>
          <w:lang w:val="en-US" w:eastAsia="zh-CN"/>
        </w:rPr>
      </w:pPr>
    </w:p>
    <w:p w14:paraId="0BE92987">
      <w:pPr>
        <w:numPr>
          <w:ilvl w:val="0"/>
          <w:numId w:val="0"/>
        </w:numPr>
        <w:spacing w:line="360" w:lineRule="auto"/>
        <w:jc w:val="center"/>
        <w:rPr>
          <w:rFonts w:hint="default"/>
          <w:b w:val="0"/>
          <w:bCs w:val="0"/>
          <w:color w:val="auto"/>
          <w:sz w:val="24"/>
          <w:szCs w:val="24"/>
          <w:highlight w:val="none"/>
          <w:lang w:val="en-US" w:eastAsia="zh-CN"/>
        </w:rPr>
      </w:pPr>
      <w:r>
        <w:rPr>
          <w:rFonts w:hint="eastAsia"/>
          <w:b/>
          <w:bCs/>
          <w:color w:val="auto"/>
          <w:sz w:val="24"/>
          <w:szCs w:val="24"/>
          <w:highlight w:val="none"/>
          <w:lang w:val="en-US" w:eastAsia="zh-CN"/>
        </w:rPr>
        <w:t>六、超纯水机技术参数</w:t>
      </w:r>
    </w:p>
    <w:p w14:paraId="75D2978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产水水质：GB/T6682-2008 中国国家实验室用水标准</w:t>
      </w:r>
    </w:p>
    <w:p w14:paraId="681EA49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w:t>
      </w:r>
      <w:r>
        <w:rPr>
          <w:rFonts w:hint="default"/>
          <w:b w:val="0"/>
          <w:bCs w:val="0"/>
          <w:color w:val="auto"/>
          <w:sz w:val="24"/>
          <w:szCs w:val="24"/>
          <w:highlight w:val="none"/>
          <w:lang w:val="en-US" w:eastAsia="zh-CN"/>
        </w:rPr>
        <w:t>源水多级处理→智能单级反渗透→混床过滤器→储水箱供水</w:t>
      </w:r>
    </w:p>
    <w:p w14:paraId="1F641B2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产水流量：≥ 1000 L/H（25℃室温）</w:t>
      </w:r>
    </w:p>
    <w:p w14:paraId="18D9DE25">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产水电导：≤10us/cm</w:t>
      </w:r>
    </w:p>
    <w:p w14:paraId="67F460F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default"/>
          <w:b w:val="0"/>
          <w:bCs w:val="0"/>
          <w:color w:val="auto"/>
          <w:sz w:val="24"/>
          <w:szCs w:val="24"/>
          <w:highlight w:val="none"/>
          <w:lang w:val="en-US" w:eastAsia="zh-CN"/>
        </w:rPr>
        <w:t>超纯水电：≥15MΩ.cm</w:t>
      </w:r>
    </w:p>
    <w:p w14:paraId="6E2111F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回收率：≥50%</w:t>
      </w:r>
    </w:p>
    <w:p w14:paraId="0CA06FA7">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操作方式：具备PLC控制系统通过智能触摸屏操作设备</w:t>
      </w:r>
    </w:p>
    <w:p w14:paraId="5529A6C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8.</w:t>
      </w:r>
      <w:r>
        <w:rPr>
          <w:rFonts w:hint="default"/>
          <w:b w:val="0"/>
          <w:bCs w:val="0"/>
          <w:color w:val="auto"/>
          <w:sz w:val="24"/>
          <w:szCs w:val="24"/>
          <w:highlight w:val="none"/>
          <w:lang w:val="en-US" w:eastAsia="zh-CN"/>
        </w:rPr>
        <w:t>开机冲洗功能，制水前系统自动运行冲洗反渗透膜及管路，停机后纯水回填整个系统，防止微生物滋生。</w:t>
      </w:r>
    </w:p>
    <w:p w14:paraId="04A6AE85">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9.</w:t>
      </w:r>
      <w:r>
        <w:rPr>
          <w:rFonts w:hint="default"/>
          <w:b w:val="0"/>
          <w:bCs w:val="0"/>
          <w:color w:val="auto"/>
          <w:sz w:val="24"/>
          <w:szCs w:val="24"/>
          <w:highlight w:val="none"/>
          <w:lang w:val="en-US" w:eastAsia="zh-CN"/>
        </w:rPr>
        <w:t>当产水水质不符合要求时，系统自动开启排放阀，将不合格水排放掉，并预警提示，产水正常后自行恢复。</w:t>
      </w:r>
    </w:p>
    <w:p w14:paraId="5E964BDF">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10.</w:t>
      </w:r>
      <w:r>
        <w:rPr>
          <w:rFonts w:hint="default"/>
          <w:b w:val="0"/>
          <w:bCs w:val="0"/>
          <w:color w:val="auto"/>
          <w:sz w:val="24"/>
          <w:szCs w:val="24"/>
          <w:highlight w:val="none"/>
          <w:lang w:val="en-US" w:eastAsia="zh-CN"/>
        </w:rPr>
        <w:t>水机待机状态下，具有脉动运行功能，防止细菌微生物滋生。</w:t>
      </w:r>
    </w:p>
    <w:p w14:paraId="7D27F6A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11.</w:t>
      </w:r>
      <w:r>
        <w:rPr>
          <w:rFonts w:hint="default"/>
          <w:b w:val="0"/>
          <w:bCs w:val="0"/>
          <w:color w:val="auto"/>
          <w:sz w:val="24"/>
          <w:szCs w:val="24"/>
          <w:highlight w:val="none"/>
          <w:lang w:val="en-US" w:eastAsia="zh-CN"/>
        </w:rPr>
        <w:t>预处理系统设置原水泵、石英砂过滤，活性炭过滤，软化过滤器、精密过滤，全部采用品牌电子式多路阀控制，定时自动冲洗、再生。</w:t>
      </w:r>
    </w:p>
    <w:p w14:paraId="75D0BF3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13.</w:t>
      </w:r>
      <w:r>
        <w:rPr>
          <w:rFonts w:hint="default"/>
          <w:b w:val="0"/>
          <w:bCs w:val="0"/>
          <w:color w:val="auto"/>
          <w:sz w:val="24"/>
          <w:szCs w:val="24"/>
          <w:highlight w:val="none"/>
          <w:lang w:val="en-US" w:eastAsia="zh-CN"/>
        </w:rPr>
        <w:t>原水增压泵，具有缺水保护。</w:t>
      </w:r>
    </w:p>
    <w:p w14:paraId="2A395CD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14.</w:t>
      </w:r>
      <w:r>
        <w:rPr>
          <w:rFonts w:hint="default"/>
          <w:b w:val="0"/>
          <w:bCs w:val="0"/>
          <w:color w:val="auto"/>
          <w:sz w:val="24"/>
          <w:szCs w:val="24"/>
          <w:highlight w:val="none"/>
          <w:lang w:val="en-US" w:eastAsia="zh-CN"/>
        </w:rPr>
        <w:t>反渗透高压泵，南方品牌不锈钢立式多级离心泵1套。</w:t>
      </w:r>
    </w:p>
    <w:p w14:paraId="67845A4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15.</w:t>
      </w:r>
      <w:r>
        <w:rPr>
          <w:rFonts w:hint="default"/>
          <w:b w:val="0"/>
          <w:bCs w:val="0"/>
          <w:color w:val="auto"/>
          <w:sz w:val="24"/>
          <w:szCs w:val="24"/>
          <w:highlight w:val="none"/>
          <w:lang w:val="en-US" w:eastAsia="zh-CN"/>
        </w:rPr>
        <w:t>无菌纯水箱 ≥500L</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水满自动停机。</w:t>
      </w:r>
    </w:p>
    <w:p w14:paraId="4CA28E1C">
      <w:pPr>
        <w:numPr>
          <w:ilvl w:val="0"/>
          <w:numId w:val="0"/>
        </w:numPr>
        <w:spacing w:line="360" w:lineRule="auto"/>
        <w:jc w:val="center"/>
        <w:rPr>
          <w:rFonts w:hint="default"/>
          <w:b/>
          <w:bCs/>
          <w:color w:val="auto"/>
          <w:sz w:val="24"/>
          <w:szCs w:val="24"/>
          <w:highlight w:val="none"/>
          <w:lang w:val="en-US" w:eastAsia="zh-CN"/>
        </w:rPr>
      </w:pPr>
      <w:r>
        <w:rPr>
          <w:rFonts w:hint="eastAsia"/>
          <w:b/>
          <w:bCs/>
          <w:color w:val="auto"/>
          <w:sz w:val="24"/>
          <w:szCs w:val="24"/>
          <w:highlight w:val="none"/>
          <w:lang w:val="en-US" w:eastAsia="zh-CN"/>
        </w:rPr>
        <w:t>七、轮转式石蜡切片机技术参数</w:t>
      </w:r>
    </w:p>
    <w:p w14:paraId="40699BF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切片厚度：- 0.5-5.0μm（0.5μm增幅）</w:t>
      </w:r>
    </w:p>
    <w:p w14:paraId="269D3F9B">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- 5.0-20.0μm（1.0μm增幅）</w:t>
      </w:r>
    </w:p>
    <w:p w14:paraId="37B5E63B">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- 20.0-60.0μm（5.0μm增幅）</w:t>
      </w:r>
    </w:p>
    <w:p w14:paraId="0E95D64F">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- 60.0-100.0μm（10.0μm增幅）</w:t>
      </w:r>
    </w:p>
    <w:p w14:paraId="4CD9C53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w:t>
      </w:r>
      <w:r>
        <w:rPr>
          <w:rFonts w:hint="default"/>
          <w:b w:val="0"/>
          <w:bCs w:val="0"/>
          <w:color w:val="auto"/>
          <w:sz w:val="24"/>
          <w:szCs w:val="24"/>
          <w:highlight w:val="none"/>
          <w:lang w:val="en-US" w:eastAsia="zh-CN"/>
        </w:rPr>
        <w:t>. 修块厚度：1-600μm，可独立设置修片/切片厚度：- 1.0-10.0μm（1.0μm增幅）</w:t>
      </w:r>
    </w:p>
    <w:p w14:paraId="222F2EB8">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- 10.0-20.0μm（2.0μm增幅）</w:t>
      </w:r>
    </w:p>
    <w:p w14:paraId="444CAF04">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- 20.0-50.0μm（5.0μm增幅）</w:t>
      </w:r>
    </w:p>
    <w:p w14:paraId="7912FA3F">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- 50.0-100.0μm（10.0μm增幅）</w:t>
      </w:r>
    </w:p>
    <w:p w14:paraId="5C3A5A8F">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- 100.0-600.0μm（50.0μm增幅）</w:t>
      </w:r>
    </w:p>
    <w:p w14:paraId="4C18C19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 进样与冲程：水平进样幅度≥24mm±1mm；垂直冲程以交叉滚轮轴承为基础。</w:t>
      </w:r>
    </w:p>
    <w:p w14:paraId="6D3E15D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 样品回缩：手动切片模式下静音回缩5-100μm，可关闭。</w:t>
      </w:r>
    </w:p>
    <w:p w14:paraId="7690D9E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default"/>
          <w:b w:val="0"/>
          <w:bCs w:val="0"/>
          <w:color w:val="auto"/>
          <w:sz w:val="24"/>
          <w:szCs w:val="24"/>
          <w:highlight w:val="none"/>
          <w:lang w:val="en-US" w:eastAsia="zh-CN"/>
        </w:rPr>
        <w:t>. 垂直行程：≥70mm±1mm；无回缩时最大切片高度≥60mm，有回缩时≥55mm。</w:t>
      </w:r>
    </w:p>
    <w:p w14:paraId="2D085DA4">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 电动粗进速度：- 慢速前进/后退≥300μm/s</w:t>
      </w:r>
    </w:p>
    <w:p w14:paraId="7F7C806E">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快速前进≥800μm/s</w:t>
      </w:r>
    </w:p>
    <w:p w14:paraId="05656BFA">
      <w:pPr>
        <w:numPr>
          <w:ilvl w:val="0"/>
          <w:numId w:val="0"/>
        </w:numPr>
        <w:spacing w:line="360" w:lineRule="auto"/>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 快速后退（一键回退）≥1800μm/s</w:t>
      </w:r>
    </w:p>
    <w:p w14:paraId="7F0ACAD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 切片模式：半刀模式+全手轮旋转传统手动切片模式，手轮转动顺滑。</w:t>
      </w:r>
    </w:p>
    <w:p w14:paraId="5F47F67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8.</w:t>
      </w:r>
      <w:r>
        <w:rPr>
          <w:rFonts w:hint="default"/>
          <w:b w:val="0"/>
          <w:bCs w:val="0"/>
          <w:color w:val="auto"/>
          <w:sz w:val="24"/>
          <w:szCs w:val="24"/>
          <w:highlight w:val="none"/>
          <w:lang w:val="en-US" w:eastAsia="zh-CN"/>
        </w:rPr>
        <w:t> 手轮平衡系统：弹簧原理平衡设计，带弹簧力补偿，可根据样品/样品夹重量调节弹簧力，消除掉刀风险；无需额外配重块。</w:t>
      </w:r>
    </w:p>
    <w:p w14:paraId="084EFD7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9</w:t>
      </w:r>
      <w:r>
        <w:rPr>
          <w:rFonts w:hint="default"/>
          <w:b w:val="0"/>
          <w:bCs w:val="0"/>
          <w:color w:val="auto"/>
          <w:sz w:val="24"/>
          <w:szCs w:val="24"/>
          <w:highlight w:val="none"/>
          <w:lang w:val="en-US" w:eastAsia="zh-CN"/>
        </w:rPr>
        <w:t>. 刀架功能：二合一刀架适配宽/窄刀片；侧向移动≥3个位置，底座前后移动距离±24mm；带三点锁定功能。</w:t>
      </w:r>
    </w:p>
    <w:p w14:paraId="3408D027">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10</w:t>
      </w:r>
      <w:r>
        <w:rPr>
          <w:rFonts w:hint="default"/>
          <w:b w:val="0"/>
          <w:bCs w:val="0"/>
          <w:color w:val="auto"/>
          <w:sz w:val="24"/>
          <w:szCs w:val="24"/>
          <w:highlight w:val="none"/>
          <w:lang w:val="en-US" w:eastAsia="zh-CN"/>
        </w:rPr>
        <w:t>. 样品尺寸：标准夹最大样品块≥55×50×30mm；超大型包埋盒夹最大样品块≥68×48×15mm。</w:t>
      </w:r>
    </w:p>
    <w:p w14:paraId="6C4CB8C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11</w:t>
      </w:r>
      <w:r>
        <w:rPr>
          <w:rFonts w:hint="default"/>
          <w:b w:val="0"/>
          <w:bCs w:val="0"/>
          <w:color w:val="auto"/>
          <w:sz w:val="24"/>
          <w:szCs w:val="24"/>
          <w:highlight w:val="none"/>
          <w:lang w:val="en-US" w:eastAsia="zh-CN"/>
        </w:rPr>
        <w:t> 样本定位：带0位定位系统，支持X/Y轴调节，≥</w:t>
      </w: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度水平定位。</w:t>
      </w:r>
    </w:p>
    <w:p w14:paraId="3825CF4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12</w:t>
      </w:r>
      <w:r>
        <w:rPr>
          <w:rFonts w:hint="default"/>
          <w:b w:val="0"/>
          <w:bCs w:val="0"/>
          <w:color w:val="auto"/>
          <w:sz w:val="24"/>
          <w:szCs w:val="24"/>
          <w:highlight w:val="none"/>
          <w:lang w:val="en-US" w:eastAsia="zh-CN"/>
        </w:rPr>
        <w:t>. 废屑槽：可拆卸设计，带抗静电和磁力吸附功能。</w:t>
      </w:r>
    </w:p>
    <w:p w14:paraId="09F53D5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13.</w:t>
      </w:r>
      <w:r>
        <w:rPr>
          <w:rFonts w:hint="default"/>
          <w:b w:val="0"/>
          <w:bCs w:val="0"/>
          <w:color w:val="auto"/>
          <w:sz w:val="24"/>
          <w:szCs w:val="24"/>
          <w:highlight w:val="none"/>
          <w:lang w:val="en-US" w:eastAsia="zh-CN"/>
        </w:rPr>
        <w:t> 修片功能：粗修时快速回缩和位置记忆功能，支持快速修片。</w:t>
      </w:r>
    </w:p>
    <w:p w14:paraId="64A78CE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14</w:t>
      </w:r>
      <w:r>
        <w:rPr>
          <w:rFonts w:hint="default"/>
          <w:b w:val="0"/>
          <w:bCs w:val="0"/>
          <w:color w:val="auto"/>
          <w:sz w:val="24"/>
          <w:szCs w:val="24"/>
          <w:highlight w:val="none"/>
          <w:lang w:val="en-US" w:eastAsia="zh-CN"/>
        </w:rPr>
        <w:t>. 样品回缩系统：可编程控制，支持开启/关闭功能。</w:t>
      </w:r>
    </w:p>
    <w:p w14:paraId="536592F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15.</w:t>
      </w:r>
      <w:r>
        <w:rPr>
          <w:rFonts w:hint="default"/>
          <w:b w:val="0"/>
          <w:bCs w:val="0"/>
          <w:color w:val="auto"/>
          <w:sz w:val="24"/>
          <w:szCs w:val="24"/>
          <w:highlight w:val="none"/>
          <w:lang w:val="en-US" w:eastAsia="zh-CN"/>
        </w:rPr>
        <w:t> 计数功能：可归零的切片及厚度计数功能。</w:t>
      </w:r>
    </w:p>
    <w:p w14:paraId="1734AE85">
      <w:pPr>
        <w:numPr>
          <w:ilvl w:val="0"/>
          <w:numId w:val="0"/>
        </w:numPr>
        <w:spacing w:line="360" w:lineRule="auto"/>
        <w:jc w:val="center"/>
        <w:rPr>
          <w:rFonts w:hint="default"/>
          <w:b/>
          <w:bCs/>
          <w:color w:val="auto"/>
          <w:sz w:val="24"/>
          <w:szCs w:val="24"/>
          <w:highlight w:val="none"/>
          <w:lang w:val="en-US" w:eastAsia="zh-CN"/>
        </w:rPr>
      </w:pPr>
      <w:r>
        <w:rPr>
          <w:rFonts w:hint="eastAsia"/>
          <w:b/>
          <w:bCs/>
          <w:color w:val="auto"/>
          <w:sz w:val="24"/>
          <w:szCs w:val="24"/>
          <w:highlight w:val="none"/>
          <w:lang w:val="en-US" w:eastAsia="zh-CN"/>
        </w:rPr>
        <w:t>八、全自动化学发光分析仪技术参数</w:t>
      </w:r>
    </w:p>
    <w:p w14:paraId="5F42135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检测原理：磁微粒直接化学发光技术。</w:t>
      </w:r>
    </w:p>
    <w:p w14:paraId="4AFA927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w:t>
      </w:r>
      <w:r>
        <w:rPr>
          <w:rFonts w:hint="default"/>
          <w:b w:val="0"/>
          <w:bCs w:val="0"/>
          <w:color w:val="auto"/>
          <w:sz w:val="24"/>
          <w:szCs w:val="24"/>
          <w:highlight w:val="none"/>
          <w:lang w:val="en-US" w:eastAsia="zh-CN"/>
        </w:rPr>
        <w:t>测试项目：≥</w:t>
      </w:r>
      <w:r>
        <w:rPr>
          <w:rFonts w:hint="eastAsia"/>
          <w:b w:val="0"/>
          <w:bCs w:val="0"/>
          <w:color w:val="auto"/>
          <w:sz w:val="24"/>
          <w:szCs w:val="24"/>
          <w:highlight w:val="none"/>
          <w:lang w:val="en-US" w:eastAsia="zh-CN"/>
        </w:rPr>
        <w:t>9</w:t>
      </w:r>
      <w:r>
        <w:rPr>
          <w:rFonts w:hint="default"/>
          <w:b w:val="0"/>
          <w:bCs w:val="0"/>
          <w:color w:val="auto"/>
          <w:sz w:val="24"/>
          <w:szCs w:val="24"/>
          <w:highlight w:val="none"/>
          <w:lang w:val="en-US" w:eastAsia="zh-CN"/>
        </w:rPr>
        <w:t>0项</w:t>
      </w:r>
    </w:p>
    <w:p w14:paraId="35FCB2A4">
      <w:pPr>
        <w:numPr>
          <w:ilvl w:val="0"/>
          <w:numId w:val="0"/>
        </w:numPr>
        <w:spacing w:line="360" w:lineRule="auto"/>
        <w:rPr>
          <w:rFonts w:hint="default"/>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b w:val="0"/>
          <w:bCs w:val="0"/>
          <w:color w:val="auto"/>
          <w:sz w:val="24"/>
          <w:szCs w:val="24"/>
          <w:highlight w:val="none"/>
          <w:lang w:val="en-US" w:eastAsia="zh-CN"/>
        </w:rPr>
        <w:t>3、</w:t>
      </w:r>
      <w:r>
        <w:rPr>
          <w:rFonts w:hint="eastAsia" w:ascii="宋体" w:hAnsi="宋体"/>
          <w:color w:val="auto"/>
          <w:sz w:val="28"/>
          <w:szCs w:val="28"/>
          <w:highlight w:val="none"/>
        </w:rPr>
        <w:t>产前筛查</w:t>
      </w:r>
      <w:r>
        <w:rPr>
          <w:rFonts w:hint="eastAsia" w:ascii="宋体" w:hAnsi="宋体"/>
          <w:color w:val="auto"/>
          <w:sz w:val="28"/>
          <w:szCs w:val="28"/>
          <w:highlight w:val="none"/>
          <w:lang w:val="en-US" w:eastAsia="zh-CN"/>
        </w:rPr>
        <w:t>检测功能，配产筛软件</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需提供证明材料</w:t>
      </w:r>
      <w:r>
        <w:rPr>
          <w:rFonts w:hint="eastAsia" w:ascii="宋体" w:hAnsi="宋体"/>
          <w:color w:val="auto"/>
          <w:sz w:val="28"/>
          <w:szCs w:val="28"/>
          <w:highlight w:val="none"/>
          <w:lang w:eastAsia="zh-CN"/>
        </w:rPr>
        <w:t>）</w:t>
      </w:r>
    </w:p>
    <w:p w14:paraId="29EA3EDF">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试剂位：最小检测模块试剂位≥40个，急诊位≥3个，支持在线不停机更换试剂。</w:t>
      </w:r>
    </w:p>
    <w:p w14:paraId="1BED33A4">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default"/>
          <w:b w:val="0"/>
          <w:bCs w:val="0"/>
          <w:color w:val="auto"/>
          <w:sz w:val="24"/>
          <w:szCs w:val="24"/>
          <w:highlight w:val="none"/>
          <w:lang w:val="en-US" w:eastAsia="zh-CN"/>
        </w:rPr>
        <w:t>样本位：搭配进样单元，样本位≥140个，支持原始管上机及随时加载。</w:t>
      </w:r>
    </w:p>
    <w:p w14:paraId="060E955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检测速度：≥600测试/小时。</w:t>
      </w:r>
    </w:p>
    <w:p w14:paraId="6994A10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急诊项目：首个出结果时间≤12分钟。</w:t>
      </w:r>
    </w:p>
    <w:p w14:paraId="601A902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8.</w:t>
      </w:r>
      <w:r>
        <w:rPr>
          <w:rFonts w:hint="default"/>
          <w:b w:val="0"/>
          <w:bCs w:val="0"/>
          <w:color w:val="auto"/>
          <w:sz w:val="24"/>
          <w:szCs w:val="24"/>
          <w:highlight w:val="none"/>
          <w:lang w:val="en-US" w:eastAsia="zh-CN"/>
        </w:rPr>
        <w:t>反应杯：最小检测模块可一次性装载≥3000个反应杯，支持随时倾倒式装载，具备反应杯不足报警提醒功能。</w:t>
      </w:r>
    </w:p>
    <w:p w14:paraId="7F83AA25">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9.</w:t>
      </w:r>
      <w:r>
        <w:rPr>
          <w:rFonts w:hint="default"/>
          <w:b w:val="0"/>
          <w:bCs w:val="0"/>
          <w:color w:val="auto"/>
          <w:sz w:val="24"/>
          <w:szCs w:val="24"/>
          <w:highlight w:val="none"/>
          <w:lang w:val="en-US" w:eastAsia="zh-CN"/>
        </w:rPr>
        <w:t>急诊功能：急诊功能，急诊样本可随时插入、优先处理。</w:t>
      </w:r>
    </w:p>
    <w:p w14:paraId="5374AE7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10.</w:t>
      </w:r>
      <w:r>
        <w:rPr>
          <w:rFonts w:hint="default"/>
          <w:b w:val="0"/>
          <w:bCs w:val="0"/>
          <w:color w:val="auto"/>
          <w:sz w:val="24"/>
          <w:szCs w:val="24"/>
          <w:highlight w:val="none"/>
          <w:lang w:val="en-US" w:eastAsia="zh-CN"/>
        </w:rPr>
        <w:t>试剂系统：试剂冷藏装置（2-8℃），试剂可在机冷藏存储，试剂不足报警提醒功能。</w:t>
      </w:r>
    </w:p>
    <w:p w14:paraId="2609933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11.</w:t>
      </w:r>
      <w:r>
        <w:rPr>
          <w:rFonts w:hint="default"/>
          <w:b w:val="0"/>
          <w:bCs w:val="0"/>
          <w:color w:val="auto"/>
          <w:sz w:val="24"/>
          <w:szCs w:val="24"/>
          <w:highlight w:val="none"/>
          <w:lang w:val="en-US" w:eastAsia="zh-CN"/>
        </w:rPr>
        <w:t>加样系统：加样（样本添加和试剂添加）系统具备液面、气泡、空吸、堵针检测及防撞功能。</w:t>
      </w:r>
    </w:p>
    <w:p w14:paraId="33A2DD3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12.</w:t>
      </w:r>
      <w:r>
        <w:rPr>
          <w:rFonts w:hint="default"/>
          <w:b w:val="0"/>
          <w:bCs w:val="0"/>
          <w:color w:val="auto"/>
          <w:sz w:val="24"/>
          <w:szCs w:val="24"/>
          <w:highlight w:val="none"/>
          <w:lang w:val="en-US" w:eastAsia="zh-CN"/>
        </w:rPr>
        <w:t>混匀技术：非接触式混匀。</w:t>
      </w:r>
    </w:p>
    <w:p w14:paraId="79DC367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13.</w:t>
      </w:r>
      <w:r>
        <w:rPr>
          <w:rFonts w:hint="default"/>
          <w:b w:val="0"/>
          <w:bCs w:val="0"/>
          <w:color w:val="auto"/>
          <w:sz w:val="24"/>
          <w:szCs w:val="24"/>
          <w:highlight w:val="none"/>
          <w:lang w:val="en-US" w:eastAsia="zh-CN"/>
        </w:rPr>
        <w:t xml:space="preserve"> 标准曲线：稳定时间≥28天。</w:t>
      </w:r>
    </w:p>
    <w:p w14:paraId="23DE21C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14.</w:t>
      </w:r>
      <w:r>
        <w:rPr>
          <w:rFonts w:hint="default"/>
          <w:b w:val="0"/>
          <w:bCs w:val="0"/>
          <w:color w:val="auto"/>
          <w:sz w:val="24"/>
          <w:szCs w:val="24"/>
          <w:highlight w:val="none"/>
          <w:lang w:val="en-US" w:eastAsia="zh-CN"/>
        </w:rPr>
        <w:t>实时监测：设备可对仪器状态、测试状态、试剂耗材进行实时监测。</w:t>
      </w:r>
    </w:p>
    <w:p w14:paraId="12C7383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15.</w:t>
      </w:r>
      <w:r>
        <w:rPr>
          <w:rFonts w:hint="default"/>
          <w:b w:val="0"/>
          <w:bCs w:val="0"/>
          <w:color w:val="auto"/>
          <w:sz w:val="24"/>
          <w:szCs w:val="24"/>
          <w:highlight w:val="none"/>
          <w:lang w:val="en-US" w:eastAsia="zh-CN"/>
        </w:rPr>
        <w:t>故障报警：设备具有实时故障报警、反馈日志记录功能。</w:t>
      </w:r>
    </w:p>
    <w:p w14:paraId="5898D8FD">
      <w:pPr>
        <w:numPr>
          <w:ilvl w:val="0"/>
          <w:numId w:val="0"/>
        </w:numPr>
        <w:spacing w:line="360" w:lineRule="auto"/>
        <w:rPr>
          <w:rFonts w:hint="default"/>
          <w:b w:val="0"/>
          <w:bCs w:val="0"/>
          <w:color w:val="auto"/>
          <w:sz w:val="24"/>
          <w:szCs w:val="24"/>
          <w:highlight w:val="none"/>
          <w:lang w:val="en-US" w:eastAsia="zh-CN"/>
        </w:rPr>
      </w:pPr>
      <w:r>
        <w:rPr>
          <w:rFonts w:hint="eastAsia" w:ascii="Arial" w:hAnsi="Arial" w:eastAsia="宋体" w:cs="Arial"/>
          <w:i w:val="0"/>
          <w:iCs w:val="0"/>
          <w:caps w:val="0"/>
          <w:color w:val="auto"/>
          <w:spacing w:val="0"/>
          <w:sz w:val="28"/>
          <w:szCs w:val="28"/>
          <w:highlight w:val="none"/>
          <w:lang w:val="en-US" w:eastAsia="zh-CN"/>
        </w:rPr>
        <w:t>16.</w:t>
      </w:r>
      <w:r>
        <w:rPr>
          <w:rFonts w:hint="default"/>
          <w:b w:val="0"/>
          <w:bCs w:val="0"/>
          <w:color w:val="auto"/>
          <w:sz w:val="24"/>
          <w:szCs w:val="24"/>
          <w:highlight w:val="none"/>
          <w:lang w:val="en-US" w:eastAsia="zh-CN"/>
        </w:rPr>
        <w:t>通讯功能：标配数据接口</w:t>
      </w:r>
      <w:r>
        <w:rPr>
          <w:rFonts w:hint="eastAsia"/>
          <w:b w:val="0"/>
          <w:bCs w:val="0"/>
          <w:color w:val="auto"/>
          <w:sz w:val="24"/>
          <w:szCs w:val="24"/>
          <w:highlight w:val="none"/>
          <w:lang w:val="en-US" w:eastAsia="zh-CN"/>
        </w:rPr>
        <w:t>，网络接口</w:t>
      </w:r>
      <w:r>
        <w:rPr>
          <w:rFonts w:hint="default"/>
          <w:b w:val="0"/>
          <w:bCs w:val="0"/>
          <w:color w:val="auto"/>
          <w:sz w:val="24"/>
          <w:szCs w:val="24"/>
          <w:highlight w:val="none"/>
          <w:lang w:val="en-US" w:eastAsia="zh-CN"/>
        </w:rPr>
        <w:t>，支持与医院LIS、HIS系统无缝对接</w:t>
      </w:r>
      <w:r>
        <w:rPr>
          <w:rFonts w:hint="eastAsia"/>
          <w:b w:val="0"/>
          <w:bCs w:val="0"/>
          <w:color w:val="auto"/>
          <w:sz w:val="24"/>
          <w:szCs w:val="24"/>
          <w:highlight w:val="none"/>
          <w:lang w:val="en-US" w:eastAsia="zh-CN"/>
        </w:rPr>
        <w:t>，包含接口费</w:t>
      </w:r>
      <w:r>
        <w:rPr>
          <w:rFonts w:hint="default"/>
          <w:b w:val="0"/>
          <w:bCs w:val="0"/>
          <w:color w:val="auto"/>
          <w:sz w:val="24"/>
          <w:szCs w:val="24"/>
          <w:highlight w:val="none"/>
          <w:lang w:val="en-US" w:eastAsia="zh-CN"/>
        </w:rPr>
        <w:t>，实现数据双向传输。</w:t>
      </w:r>
    </w:p>
    <w:p w14:paraId="5287D2B1">
      <w:pPr>
        <w:numPr>
          <w:ilvl w:val="0"/>
          <w:numId w:val="0"/>
        </w:numPr>
        <w:spacing w:line="360" w:lineRule="auto"/>
        <w:ind w:left="0"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17.配工作站：CPU频率：≥2.7GHz、内存：≥8G、固态硬盘：≥1T</w:t>
      </w:r>
    </w:p>
    <w:p w14:paraId="45CD5403">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千兆网卡,支持多终端测评，≥21寸显示器，分辨率：≥1920*1080p</w:t>
      </w:r>
    </w:p>
    <w:p w14:paraId="68634E51">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18、配激光打印机1台</w:t>
      </w:r>
    </w:p>
    <w:p w14:paraId="237747A5">
      <w:pPr>
        <w:numPr>
          <w:ilvl w:val="0"/>
          <w:numId w:val="0"/>
        </w:numPr>
        <w:spacing w:line="360" w:lineRule="auto"/>
        <w:ind w:leftChars="0"/>
        <w:rPr>
          <w:rFonts w:hint="default"/>
          <w:b w:val="0"/>
          <w:bCs w:val="0"/>
          <w:color w:val="auto"/>
          <w:sz w:val="24"/>
          <w:szCs w:val="24"/>
          <w:highlight w:val="none"/>
          <w:lang w:val="en-US" w:eastAsia="zh-CN"/>
        </w:rPr>
      </w:pPr>
    </w:p>
    <w:p w14:paraId="1B839529">
      <w:pPr>
        <w:numPr>
          <w:ilvl w:val="0"/>
          <w:numId w:val="0"/>
        </w:numPr>
        <w:spacing w:line="360" w:lineRule="auto"/>
        <w:jc w:val="center"/>
        <w:rPr>
          <w:rFonts w:hint="eastAsia"/>
          <w:b/>
          <w:bCs/>
          <w:color w:val="auto"/>
          <w:sz w:val="24"/>
          <w:szCs w:val="24"/>
          <w:highlight w:val="none"/>
          <w:lang w:val="en-US" w:eastAsia="zh-CN"/>
        </w:rPr>
      </w:pPr>
      <w:r>
        <w:rPr>
          <w:rFonts w:hint="eastAsia"/>
          <w:b w:val="0"/>
          <w:bCs w:val="0"/>
          <w:color w:val="auto"/>
          <w:sz w:val="24"/>
          <w:szCs w:val="24"/>
          <w:highlight w:val="none"/>
          <w:lang w:val="en-US" w:eastAsia="zh-CN"/>
        </w:rPr>
        <w:t>九、</w:t>
      </w:r>
      <w:r>
        <w:rPr>
          <w:rFonts w:hint="eastAsia"/>
          <w:b/>
          <w:bCs/>
          <w:color w:val="auto"/>
          <w:sz w:val="24"/>
          <w:szCs w:val="24"/>
          <w:highlight w:val="none"/>
          <w:lang w:val="en-US" w:eastAsia="zh-CN"/>
        </w:rPr>
        <w:t>心理测评系统技术参数</w:t>
      </w:r>
    </w:p>
    <w:p w14:paraId="59C0A4F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1.功能：用于心理卫生，司法鉴定，心身医学与康复医学、心理健康状况速查、辅助心理障碍的诊断与鉴别诊断等；心理评估的项目包括人格、认知功能、精神状态的评估等。</w:t>
      </w:r>
    </w:p>
    <w:p w14:paraId="45220B75">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2.常模要求：全国常模、区域常模、中文版常模和特殊人群常模。</w:t>
      </w:r>
    </w:p>
    <w:p w14:paraId="65E151CC">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青少年常模13岁—17岁；</w:t>
      </w:r>
    </w:p>
    <w:p w14:paraId="39B76E3A">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成年人常模18岁—85岁。</w:t>
      </w:r>
    </w:p>
    <w:p w14:paraId="04BC809E">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儿童1-6岁常模。</w:t>
      </w:r>
    </w:p>
    <w:p w14:paraId="1DCB7CA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3.MMPI-M2-C的567&amp;399&amp;200题标准问卷及多媒体辅助系统。</w:t>
      </w:r>
    </w:p>
    <w:p w14:paraId="21716199">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4.SPSS统计软件接口，可进行高级组合查询、存取和外部数据转换。</w:t>
      </w:r>
    </w:p>
    <w:p w14:paraId="3C42DE96">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5.完善的测评结果输出功能，可提供数据型报告及解释型报告。</w:t>
      </w:r>
    </w:p>
    <w:p w14:paraId="718FA975">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w:t>
      </w:r>
      <w:r>
        <w:rPr>
          <w:rFonts w:hint="eastAsia"/>
          <w:b w:val="0"/>
          <w:bCs w:val="0"/>
          <w:color w:val="auto"/>
          <w:sz w:val="24"/>
          <w:szCs w:val="24"/>
          <w:highlight w:val="none"/>
          <w:lang w:val="en-US" w:eastAsia="zh-CN"/>
        </w:rPr>
        <w:t>405个心理量表的结果分析，检查内容包括感知觉、思维、情绪、意志行为、睡眠、心理发育、性心理、人际关系、学习能力、个人风格、职业倾向、婚恋和家庭问题、心理防御机制、心身疾病和精神障碍等方面。</w:t>
      </w:r>
    </w:p>
    <w:p w14:paraId="163F183D">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7.量表采取等值性标准化分数，能够确保解释诊断的准确性；</w:t>
      </w:r>
    </w:p>
    <w:p w14:paraId="11C9D357">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8. 提供</w:t>
      </w:r>
      <w:r>
        <w:rPr>
          <w:rFonts w:hint="default"/>
          <w:b w:val="0"/>
          <w:bCs w:val="0"/>
          <w:color w:val="auto"/>
          <w:sz w:val="24"/>
          <w:szCs w:val="24"/>
          <w:highlight w:val="none"/>
          <w:lang w:val="en-US" w:eastAsia="zh-CN"/>
        </w:rPr>
        <w:t>≥</w:t>
      </w:r>
      <w:r>
        <w:rPr>
          <w:rFonts w:hint="eastAsia"/>
          <w:b w:val="0"/>
          <w:bCs w:val="0"/>
          <w:color w:val="auto"/>
          <w:sz w:val="24"/>
          <w:szCs w:val="24"/>
          <w:highlight w:val="none"/>
          <w:lang w:val="en-US" w:eastAsia="zh-CN"/>
        </w:rPr>
        <w:t>400多种心理诊断与多重鉴别诊断量表及量表复合、诊断指数的计分及文字解释，能够提供大量数据型和描述型诊断信息以及内容广泛的鉴别诊断信息；</w:t>
      </w:r>
    </w:p>
    <w:p w14:paraId="2C558ED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9.常规心理健康筛查表（HRJN-128）</w:t>
      </w:r>
    </w:p>
    <w:p w14:paraId="55A53E76">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10.人格病理心理诊断功能，提供最新PSY-5病理人格范式和解释</w:t>
      </w:r>
    </w:p>
    <w:p w14:paraId="40C0D46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11.神经心理诊断功能，通过Crip’s，WILKS多元专用量表和多种其它量表，建立了数据模型，可提示受试者的神经损害线索；</w:t>
      </w:r>
    </w:p>
    <w:p w14:paraId="5B260E24">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12.特异性人格障碍倾向测试功能。</w:t>
      </w:r>
    </w:p>
    <w:p w14:paraId="77FF6DA6">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13.心理卫生模块：可评估受试者心理健康状态、精神病理特点及严重程度</w:t>
      </w:r>
    </w:p>
    <w:p w14:paraId="7B7B1F94">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14.心身医学与康复医学模块：能够测试受试者的心身健康状态、躯体症状特点及其受心理因素影响的可能性和程度。</w:t>
      </w:r>
    </w:p>
    <w:p w14:paraId="61F85333">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15.婚姻家庭模块：能够评测受试者的家庭和睦与成员冲突、婚姻适应与不适体验，还可以对影响婚姻家庭和谐性的其它问题进行有效诊断。</w:t>
      </w:r>
    </w:p>
    <w:p w14:paraId="7D21C6CD">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16.大学生心理卫生模块：可判定受试者有无学校适应不良、考试焦虑和智力发挥情况、特殊行为和交友倾向、心理资源和依赖性等学校心理卫生问题。</w:t>
      </w:r>
    </w:p>
    <w:p w14:paraId="12E4A26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17. 心理健康快速筛查表：快速筛查心理健康中的焦虑、抑郁及自杀危险行为，激惹行为、认知歪曲、躯体症状、物质滥用、家庭婚姻、遵守社会规范、性的关注及阳性症状群等，为临床医师诊断提供依据和参考。</w:t>
      </w:r>
    </w:p>
    <w:p w14:paraId="39287E57">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18.常用精神量表（≥200个）包含以下量表：</w:t>
      </w:r>
    </w:p>
    <w:p w14:paraId="14C17F4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18.1、行为综合障碍量表(5个)；</w:t>
      </w:r>
    </w:p>
    <w:p w14:paraId="34D6F495">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18.2、精神科常用量表（30个）；</w:t>
      </w:r>
    </w:p>
    <w:p w14:paraId="60619EEF">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18.3、儿童心理行为评定（10个）；</w:t>
      </w:r>
    </w:p>
    <w:p w14:paraId="1A5AEEB9">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18.4、健康状况和生存质量评定量表（6个）；</w:t>
      </w:r>
    </w:p>
    <w:p w14:paraId="426E6BF7">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18.5、个人因素与气质量表（5个）；</w:t>
      </w:r>
    </w:p>
    <w:p w14:paraId="6E750AEE">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18.6、认知与神经心理评定（5个）（画钟试验、瞬时记忆、CDR、MoCA、FAQ、AD8、MMSE等）</w:t>
      </w:r>
    </w:p>
    <w:p w14:paraId="493DAD8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18.7、自我能力评定（4个）</w:t>
      </w:r>
    </w:p>
    <w:p w14:paraId="6D6B2B5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18.8、社会功能与适应能力评定（6个）；</w:t>
      </w:r>
    </w:p>
    <w:p w14:paraId="7B40C4C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18.9、情绪评定(5个)；</w:t>
      </w:r>
    </w:p>
    <w:p w14:paraId="55C24EFC">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18.10、生活事件、应激与应付方式评定（4个）；</w:t>
      </w:r>
    </w:p>
    <w:p w14:paraId="589B1F05">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18.11、性心理与性功能评定（6个）；</w:t>
      </w:r>
    </w:p>
    <w:p w14:paraId="517CD588">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18.12、自杀评定（3个）；</w:t>
      </w:r>
    </w:p>
    <w:p w14:paraId="368BFD90">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18.13、睡眠评定（3个）；</w:t>
      </w:r>
    </w:p>
    <w:p w14:paraId="762ED10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18.14、物质滥用与药物依赖评定（3个）</w:t>
      </w:r>
    </w:p>
    <w:p w14:paraId="680C4549">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18.15、精神障碍评定（5个）；</w:t>
      </w:r>
    </w:p>
    <w:p w14:paraId="4892A202">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18.16、神经功能与生活能力评定（5个）；</w:t>
      </w:r>
    </w:p>
    <w:p w14:paraId="0A77468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18.17、学生心理行为评定（4个）；</w:t>
      </w:r>
    </w:p>
    <w:p w14:paraId="2B573597">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18.18、老年临床评定量表（3个）；</w:t>
      </w:r>
    </w:p>
    <w:p w14:paraId="1F1D7EF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18.19、智力类量表（3个）。</w:t>
      </w:r>
    </w:p>
    <w:p w14:paraId="46D4760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18.20、PHQ-15、PHQ-9、GAD-7、PHQ-5</w:t>
      </w:r>
    </w:p>
    <w:p w14:paraId="52E4D38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18.21、5个精神科常用量表的双语测评</w:t>
      </w:r>
    </w:p>
    <w:p w14:paraId="75FEE9D1">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19.硬件要求</w:t>
      </w:r>
    </w:p>
    <w:p w14:paraId="2022BA7F">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19.1 心理诊断机 1台：</w:t>
      </w:r>
    </w:p>
    <w:p w14:paraId="2E1FD927">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CPU频率：≥2.7GHz、内存：≥8G、固态硬盘：≥1T</w:t>
      </w:r>
    </w:p>
    <w:p w14:paraId="02B9ADF5">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千兆网卡,支持多终端测评</w:t>
      </w:r>
    </w:p>
    <w:p w14:paraId="645DD8D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≥21寸显示器，分辨率：1920*1080p</w:t>
      </w:r>
    </w:p>
    <w:p w14:paraId="41BC48C8">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配置清单：</w:t>
      </w:r>
    </w:p>
    <w:p w14:paraId="3D585073">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激光打印机1台</w:t>
      </w:r>
    </w:p>
    <w:p w14:paraId="02F9E438">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心理测评软件系统</w:t>
      </w:r>
    </w:p>
    <w:p w14:paraId="18BC14B4">
      <w:pPr>
        <w:numPr>
          <w:ilvl w:val="0"/>
          <w:numId w:val="0"/>
        </w:numPr>
        <w:spacing w:line="360" w:lineRule="auto"/>
        <w:jc w:val="center"/>
        <w:rPr>
          <w:rFonts w:hint="default"/>
          <w:b/>
          <w:bCs/>
          <w:color w:val="auto"/>
          <w:sz w:val="24"/>
          <w:szCs w:val="24"/>
          <w:highlight w:val="none"/>
          <w:lang w:val="en-US" w:eastAsia="zh-CN"/>
        </w:rPr>
      </w:pPr>
      <w:r>
        <w:rPr>
          <w:rFonts w:hint="eastAsia"/>
          <w:b/>
          <w:bCs/>
          <w:color w:val="auto"/>
          <w:sz w:val="24"/>
          <w:szCs w:val="24"/>
          <w:highlight w:val="none"/>
          <w:lang w:val="en-US" w:eastAsia="zh-CN"/>
        </w:rPr>
        <w:t>十、床旁纤维支气管镜技术参数</w:t>
      </w:r>
    </w:p>
    <w:p w14:paraId="27D2334E">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高清电子支气管镜主机（含光源、摄像系统）</w:t>
      </w:r>
    </w:p>
    <w:p w14:paraId="1A96ABF8">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w:t>
      </w:r>
      <w:r>
        <w:rPr>
          <w:rFonts w:hint="default"/>
          <w:b w:val="0"/>
          <w:bCs w:val="0"/>
          <w:color w:val="auto"/>
          <w:sz w:val="24"/>
          <w:szCs w:val="24"/>
          <w:highlight w:val="none"/>
          <w:lang w:val="en-US" w:eastAsia="zh-CN"/>
        </w:rPr>
        <w:t>可弯曲电子支气管镜（成人/儿童两用，插入外径≤4.9mm，工作通道≥2.0mm）</w:t>
      </w:r>
    </w:p>
    <w:p w14:paraId="1504B2FE">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分辨率：≥1920×1080 高清成像</w:t>
      </w:r>
    </w:p>
    <w:p w14:paraId="35881C73">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弯曲角度：上/下≥210°，左/右≥120°</w:t>
      </w:r>
    </w:p>
    <w:p w14:paraId="0CD35D32">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default"/>
          <w:b w:val="0"/>
          <w:bCs w:val="0"/>
          <w:color w:val="auto"/>
          <w:sz w:val="24"/>
          <w:szCs w:val="24"/>
          <w:highlight w:val="none"/>
          <w:lang w:val="en-US" w:eastAsia="zh-CN"/>
        </w:rPr>
        <w:t>工作通道：≥2.0mm，可兼容活检、吸痰、给药操作</w:t>
      </w:r>
    </w:p>
    <w:p w14:paraId="34284A10">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光源类型：</w:t>
      </w:r>
      <w:r>
        <w:rPr>
          <w:rFonts w:hint="eastAsia"/>
          <w:b w:val="0"/>
          <w:bCs w:val="0"/>
          <w:color w:val="auto"/>
          <w:sz w:val="24"/>
          <w:szCs w:val="24"/>
          <w:highlight w:val="none"/>
          <w:lang w:val="en-US" w:eastAsia="zh-CN"/>
        </w:rPr>
        <w:t>双</w:t>
      </w:r>
      <w:r>
        <w:rPr>
          <w:rFonts w:hint="default"/>
          <w:b w:val="0"/>
          <w:bCs w:val="0"/>
          <w:color w:val="auto"/>
          <w:sz w:val="24"/>
          <w:szCs w:val="24"/>
          <w:highlight w:val="none"/>
          <w:lang w:val="en-US" w:eastAsia="zh-CN"/>
        </w:rPr>
        <w:t>LED 冷光源，亮度可调</w:t>
      </w:r>
    </w:p>
    <w:p w14:paraId="240B2A40">
      <w:pPr>
        <w:numPr>
          <w:ilvl w:val="0"/>
          <w:numId w:val="0"/>
        </w:numPr>
        <w:spacing w:line="360" w:lineRule="auto"/>
        <w:ind w:left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消毒兼容性：可高温高压消毒或高水平化学消毒</w:t>
      </w:r>
    </w:p>
    <w:p w14:paraId="21243D1C">
      <w:pPr>
        <w:numPr>
          <w:ilvl w:val="0"/>
          <w:numId w:val="0"/>
        </w:numPr>
        <w:spacing w:line="360" w:lineRule="auto"/>
        <w:ind w:leftChars="0"/>
        <w:rPr>
          <w:rFonts w:hint="default"/>
          <w:b w:val="0"/>
          <w:bCs w:val="0"/>
          <w:color w:val="auto"/>
          <w:sz w:val="24"/>
          <w:szCs w:val="24"/>
          <w:highlight w:val="none"/>
          <w:lang w:val="en-US" w:eastAsia="zh-CN"/>
        </w:rPr>
      </w:pPr>
    </w:p>
    <w:p w14:paraId="179C2110">
      <w:pPr>
        <w:numPr>
          <w:ilvl w:val="0"/>
          <w:numId w:val="0"/>
        </w:numPr>
        <w:spacing w:line="360" w:lineRule="auto"/>
        <w:ind w:leftChars="0"/>
        <w:jc w:val="center"/>
        <w:rPr>
          <w:rFonts w:hint="eastAsia"/>
          <w:b w:val="0"/>
          <w:bCs w:val="0"/>
          <w:color w:val="auto"/>
          <w:sz w:val="24"/>
          <w:szCs w:val="24"/>
          <w:highlight w:val="none"/>
          <w:lang w:val="en-US" w:eastAsia="zh-CN"/>
        </w:rPr>
      </w:pPr>
      <w:r>
        <w:rPr>
          <w:rFonts w:hint="eastAsia"/>
          <w:b/>
          <w:bCs/>
          <w:color w:val="auto"/>
          <w:sz w:val="24"/>
          <w:szCs w:val="24"/>
          <w:highlight w:val="none"/>
          <w:lang w:val="en-US" w:eastAsia="zh-CN"/>
        </w:rPr>
        <w:t>十一、低温等离子消毒锅技术参数</w:t>
      </w:r>
    </w:p>
    <w:p w14:paraId="4078B921">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 总容积：≥160L</w:t>
      </w:r>
    </w:p>
    <w:p w14:paraId="54FABEDD">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2. 腔体结构及材质：腔体结构为矩形，厚度≥16mm，保证过氧化氢保持100%气态。</w:t>
      </w:r>
    </w:p>
    <w:p w14:paraId="4B90348A">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3. 电极网材质：铝合金材料,钣金成型，</w:t>
      </w:r>
    </w:p>
    <w:p w14:paraId="04122785">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4. 腔体温度控制探头数量：≥1，高精度温度探头，分辨率为0.1℃，准确检测和控制灭菌温度。</w:t>
      </w:r>
    </w:p>
    <w:p w14:paraId="6CEF5BCF">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5. 主体保温：≥20mm橡塑海绵。</w:t>
      </w:r>
    </w:p>
    <w:p w14:paraId="499D0CD6">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 腔体温度加热功率：加热功率≥900W 加热速度≤30min</w:t>
      </w:r>
    </w:p>
    <w:p w14:paraId="062661F3">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7. 密封门材质：采用优质航空铝材，厚度≥20mm。</w:t>
      </w:r>
    </w:p>
    <w:p w14:paraId="539850C0">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8. 门开启方式：采用顶杆驱动式电动升降门。</w:t>
      </w:r>
    </w:p>
    <w:p w14:paraId="11C1106E">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9. 门板加热功能：加热膜数量≥2个，门板温度维持在50±2℃，防止过氧化氢气体冷凝，影响灭菌效果。</w:t>
      </w:r>
    </w:p>
    <w:p w14:paraId="4B342762">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10. 门板温度控制探头数量：≥1，高精度温度探头，分辨率为0.1℃，准确检测和控制灭菌温度。</w:t>
      </w:r>
    </w:p>
    <w:p w14:paraId="210A329B">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11. 脚踏开关：具有脚踏开门功能</w:t>
      </w:r>
    </w:p>
    <w:p w14:paraId="3CD2BA6B">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12. 管路系统：真空泵采用真空度极高且耐H2O2腐蚀的旋片式真空泵。</w:t>
      </w:r>
    </w:p>
    <w:p w14:paraId="4A3F464B">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13. 过氧化氢加注方式：采用卡匣式加注</w:t>
      </w:r>
    </w:p>
    <w:p w14:paraId="7EA5FE91">
      <w:pPr>
        <w:numPr>
          <w:ilvl w:val="0"/>
          <w:numId w:val="0"/>
        </w:numPr>
        <w:spacing w:line="360" w:lineRule="auto"/>
        <w:ind w:leftChars="0"/>
        <w:rPr>
          <w:rFonts w:hint="eastAsia"/>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w:t>
      </w:r>
      <w:r>
        <w:rPr>
          <w:rFonts w:hint="eastAsia"/>
          <w:b w:val="0"/>
          <w:bCs w:val="0"/>
          <w:color w:val="auto"/>
          <w:sz w:val="24"/>
          <w:szCs w:val="24"/>
          <w:highlight w:val="none"/>
          <w:lang w:val="en-US" w:eastAsia="zh-CN"/>
        </w:rPr>
        <w:t>14. 过氧化氢卡匣：卡匣胶囊式，每个卡匣12个胶囊，H2O2用量误差＜1%，PH＜2.6，54℃放置14d含量下降率＜3.04%（提供证明材料）。</w:t>
      </w:r>
    </w:p>
    <w:p w14:paraId="4F4813CE">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15. 胶囊计数记忆功能：卡匣安装后，自动计算胶囊使用个数，并提示剩余胶囊个数和可运行全循环的次数。</w:t>
      </w:r>
    </w:p>
    <w:p w14:paraId="16B11C69">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16. 打印记录内容：能够打印记录：程序名称、灭菌日期、灭菌锅次、灭菌起始结束时间和灭菌过程的压力、温度、阶段时间、电源功率和结束状态等信息，并提供打印样品；</w:t>
      </w:r>
    </w:p>
    <w:p w14:paraId="45247354">
      <w:pPr>
        <w:numPr>
          <w:ilvl w:val="0"/>
          <w:numId w:val="0"/>
        </w:numPr>
        <w:spacing w:line="360" w:lineRule="auto"/>
        <w:ind w:left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17. 程序数量：多个灭菌程序，具有对医疗器械的表面、管腔、软式内镜等专用的灭菌程序。</w:t>
      </w:r>
    </w:p>
    <w:p w14:paraId="0C33D016">
      <w:pPr>
        <w:numPr>
          <w:ilvl w:val="0"/>
          <w:numId w:val="0"/>
        </w:numPr>
        <w:spacing w:line="360" w:lineRule="auto"/>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十二、高端彩色多普勒诊断仪技术参数</w:t>
      </w:r>
    </w:p>
    <w:p w14:paraId="06A9456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≥23英寸液晶监视器，</w:t>
      </w:r>
      <w:r>
        <w:rPr>
          <w:rFonts w:hint="eastAsia"/>
          <w:b w:val="0"/>
          <w:bCs w:val="0"/>
          <w:color w:val="auto"/>
          <w:sz w:val="24"/>
          <w:szCs w:val="24"/>
          <w:highlight w:val="none"/>
          <w:lang w:val="en-US" w:eastAsia="zh-CN"/>
        </w:rPr>
        <w:t>分辨率：1920*1080p，</w:t>
      </w:r>
      <w:r>
        <w:rPr>
          <w:rFonts w:hint="default"/>
          <w:b w:val="0"/>
          <w:bCs w:val="0"/>
          <w:color w:val="auto"/>
          <w:sz w:val="24"/>
          <w:szCs w:val="24"/>
          <w:highlight w:val="none"/>
          <w:lang w:val="en-US" w:eastAsia="zh-CN"/>
        </w:rPr>
        <w:t>万向节臂设计，可实现上下左右前后任意方位调节，可前后折叠。</w:t>
      </w:r>
    </w:p>
    <w:p w14:paraId="61B8A03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w:t>
      </w:r>
      <w:r>
        <w:rPr>
          <w:rFonts w:hint="default"/>
          <w:b w:val="0"/>
          <w:bCs w:val="0"/>
          <w:color w:val="auto"/>
          <w:sz w:val="24"/>
          <w:szCs w:val="24"/>
          <w:highlight w:val="none"/>
          <w:lang w:val="en-US" w:eastAsia="zh-CN"/>
        </w:rPr>
        <w:t>液晶触摸屏≥12英寸,支持滑动翻页功能</w:t>
      </w:r>
      <w:r>
        <w:rPr>
          <w:rFonts w:hint="eastAsia"/>
          <w:b w:val="0"/>
          <w:bCs w:val="0"/>
          <w:color w:val="auto"/>
          <w:sz w:val="24"/>
          <w:szCs w:val="24"/>
          <w:highlight w:val="none"/>
          <w:lang w:val="en-US" w:eastAsia="zh-CN"/>
        </w:rPr>
        <w:t>，可戴手套操作</w:t>
      </w:r>
      <w:r>
        <w:rPr>
          <w:rFonts w:hint="default"/>
          <w:b w:val="0"/>
          <w:bCs w:val="0"/>
          <w:color w:val="auto"/>
          <w:sz w:val="24"/>
          <w:szCs w:val="24"/>
          <w:highlight w:val="none"/>
          <w:lang w:val="en-US" w:eastAsia="zh-CN"/>
        </w:rPr>
        <w:t>。</w:t>
      </w:r>
    </w:p>
    <w:p w14:paraId="664D0A2B">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触摸屏支持数字TGC功能</w:t>
      </w:r>
    </w:p>
    <w:p w14:paraId="56EA129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操作面板支持电动调节高度、前后左右位置及旋转。</w:t>
      </w:r>
    </w:p>
    <w:p w14:paraId="2D2104A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default"/>
          <w:b w:val="0"/>
          <w:bCs w:val="0"/>
          <w:color w:val="auto"/>
          <w:sz w:val="24"/>
          <w:szCs w:val="24"/>
          <w:highlight w:val="none"/>
          <w:lang w:val="en-US" w:eastAsia="zh-CN"/>
        </w:rPr>
        <w:t>动态宽波束发射与接收超声信号。</w:t>
      </w:r>
    </w:p>
    <w:p w14:paraId="65D0134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w:t>
      </w:r>
      <w:r>
        <w:rPr>
          <w:rFonts w:hint="default"/>
          <w:b w:val="0"/>
          <w:bCs w:val="0"/>
          <w:color w:val="auto"/>
          <w:sz w:val="24"/>
          <w:szCs w:val="24"/>
          <w:highlight w:val="none"/>
          <w:lang w:val="en-US" w:eastAsia="zh-CN"/>
        </w:rPr>
        <w:t>智能像素优化技术：提高图像整体空间分辨率、对比分辨率和信噪比。</w:t>
      </w:r>
    </w:p>
    <w:p w14:paraId="7CF26D8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7、</w:t>
      </w:r>
      <w:r>
        <w:rPr>
          <w:rFonts w:hint="default"/>
          <w:b w:val="0"/>
          <w:bCs w:val="0"/>
          <w:color w:val="auto"/>
          <w:sz w:val="24"/>
          <w:szCs w:val="24"/>
          <w:highlight w:val="none"/>
          <w:lang w:val="en-US" w:eastAsia="zh-CN"/>
        </w:rPr>
        <w:t>主机一体化耦合剂加热装置，温度可调</w:t>
      </w:r>
    </w:p>
    <w:p w14:paraId="71FC578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8、</w:t>
      </w:r>
      <w:r>
        <w:rPr>
          <w:rFonts w:hint="default"/>
          <w:b w:val="0"/>
          <w:bCs w:val="0"/>
          <w:color w:val="auto"/>
          <w:sz w:val="24"/>
          <w:szCs w:val="24"/>
          <w:highlight w:val="none"/>
          <w:lang w:val="en-US" w:eastAsia="zh-CN"/>
        </w:rPr>
        <w:t>宽频可变频成像技术：灰阶、谐波、彩色、频谱支持独立变频，中心频率可视可调</w:t>
      </w:r>
    </w:p>
    <w:p w14:paraId="1A3C0B3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9、</w:t>
      </w:r>
      <w:r>
        <w:rPr>
          <w:rFonts w:hint="default"/>
          <w:b w:val="0"/>
          <w:bCs w:val="0"/>
          <w:color w:val="auto"/>
          <w:sz w:val="24"/>
          <w:szCs w:val="24"/>
          <w:highlight w:val="none"/>
          <w:lang w:val="en-US" w:eastAsia="zh-CN"/>
        </w:rPr>
        <w:t>斑点噪声抑制技术：支持所有探头，多级可调，3D/4D、CFM/PDI、宽景成像、造影成像等技术</w:t>
      </w:r>
    </w:p>
    <w:p w14:paraId="75C390B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10、</w:t>
      </w:r>
      <w:r>
        <w:rPr>
          <w:rFonts w:hint="default"/>
          <w:b w:val="0"/>
          <w:bCs w:val="0"/>
          <w:color w:val="auto"/>
          <w:sz w:val="24"/>
          <w:szCs w:val="24"/>
          <w:highlight w:val="none"/>
          <w:lang w:val="en-US" w:eastAsia="zh-CN"/>
        </w:rPr>
        <w:t>空间复合成像：1）支持所有凸阵、线阵及容积探头，具有帧平均、帧速率等多种可调节参数。2）具有最大、平均、混合</w:t>
      </w:r>
      <w:r>
        <w:rPr>
          <w:rFonts w:hint="eastAsia"/>
          <w:b w:val="0"/>
          <w:bCs w:val="0"/>
          <w:color w:val="auto"/>
          <w:sz w:val="24"/>
          <w:szCs w:val="24"/>
          <w:highlight w:val="none"/>
          <w:lang w:val="en-US" w:eastAsia="zh-CN"/>
        </w:rPr>
        <w:t>等多</w:t>
      </w:r>
      <w:r>
        <w:rPr>
          <w:rFonts w:hint="default"/>
          <w:b w:val="0"/>
          <w:bCs w:val="0"/>
          <w:color w:val="auto"/>
          <w:sz w:val="24"/>
          <w:szCs w:val="24"/>
          <w:highlight w:val="none"/>
          <w:lang w:val="en-US" w:eastAsia="zh-CN"/>
        </w:rPr>
        <w:t>种复合模式，每个模式中都有</w:t>
      </w:r>
      <w:r>
        <w:rPr>
          <w:rFonts w:hint="eastAsia"/>
          <w:b w:val="0"/>
          <w:bCs w:val="0"/>
          <w:color w:val="auto"/>
          <w:sz w:val="24"/>
          <w:szCs w:val="24"/>
          <w:highlight w:val="none"/>
          <w:lang w:val="en-US" w:eastAsia="zh-CN"/>
        </w:rPr>
        <w:t>多</w:t>
      </w:r>
      <w:r>
        <w:rPr>
          <w:rFonts w:hint="default"/>
          <w:b w:val="0"/>
          <w:bCs w:val="0"/>
          <w:color w:val="auto"/>
          <w:sz w:val="24"/>
          <w:szCs w:val="24"/>
          <w:highlight w:val="none"/>
          <w:lang w:val="en-US" w:eastAsia="zh-CN"/>
        </w:rPr>
        <w:t>档可调节</w:t>
      </w:r>
    </w:p>
    <w:p w14:paraId="73B850E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11、</w:t>
      </w:r>
      <w:r>
        <w:rPr>
          <w:rFonts w:hint="default"/>
          <w:b w:val="0"/>
          <w:bCs w:val="0"/>
          <w:color w:val="auto"/>
          <w:sz w:val="24"/>
          <w:szCs w:val="24"/>
          <w:highlight w:val="none"/>
          <w:lang w:val="en-US" w:eastAsia="zh-CN"/>
        </w:rPr>
        <w:t>组织谐波成像：可用于全部成像探头，频率可视可调，具体中心频率数值可显示</w:t>
      </w:r>
    </w:p>
    <w:p w14:paraId="6BE2A7C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12、</w:t>
      </w:r>
      <w:r>
        <w:rPr>
          <w:rFonts w:hint="default"/>
          <w:b w:val="0"/>
          <w:bCs w:val="0"/>
          <w:color w:val="auto"/>
          <w:sz w:val="24"/>
          <w:szCs w:val="24"/>
          <w:highlight w:val="none"/>
          <w:lang w:val="en-US" w:eastAsia="zh-CN"/>
        </w:rPr>
        <w:t>组织声束矫正技术适用于所有凸阵及线阵探头，≥7级可调，可显示具体数值</w:t>
      </w:r>
    </w:p>
    <w:p w14:paraId="1F9F12A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13、</w:t>
      </w:r>
      <w:r>
        <w:rPr>
          <w:rFonts w:hint="default"/>
          <w:b w:val="0"/>
          <w:bCs w:val="0"/>
          <w:color w:val="auto"/>
          <w:sz w:val="24"/>
          <w:szCs w:val="24"/>
          <w:highlight w:val="none"/>
          <w:lang w:val="en-US" w:eastAsia="zh-CN"/>
        </w:rPr>
        <w:t>高清放大功能可对局部图像进行高清放大，并可以对照显示被放大组织在图像中所处位置关系</w:t>
      </w:r>
    </w:p>
    <w:p w14:paraId="097B2E9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14、</w:t>
      </w:r>
      <w:r>
        <w:rPr>
          <w:rFonts w:hint="default"/>
          <w:b w:val="0"/>
          <w:bCs w:val="0"/>
          <w:color w:val="auto"/>
          <w:sz w:val="24"/>
          <w:szCs w:val="24"/>
          <w:highlight w:val="none"/>
          <w:lang w:val="en-US" w:eastAsia="zh-CN"/>
        </w:rPr>
        <w:t xml:space="preserve"> 宽景成像：扫描长度≥60cm</w:t>
      </w:r>
    </w:p>
    <w:p w14:paraId="65B5743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15、</w:t>
      </w:r>
      <w:r>
        <w:rPr>
          <w:rFonts w:hint="default"/>
          <w:b w:val="0"/>
          <w:bCs w:val="0"/>
          <w:color w:val="auto"/>
          <w:sz w:val="24"/>
          <w:szCs w:val="24"/>
          <w:highlight w:val="none"/>
          <w:lang w:val="en-US" w:eastAsia="zh-CN"/>
        </w:rPr>
        <w:t>血管内中膜自动测量技术：可测量血管前、后壁的内中膜厚度，并给予最大值、平均值及所测范围区间</w:t>
      </w:r>
    </w:p>
    <w:p w14:paraId="21EAFF1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16、</w:t>
      </w:r>
      <w:r>
        <w:rPr>
          <w:rFonts w:hint="default"/>
          <w:b w:val="0"/>
          <w:bCs w:val="0"/>
          <w:color w:val="auto"/>
          <w:sz w:val="24"/>
          <w:szCs w:val="24"/>
          <w:highlight w:val="none"/>
          <w:lang w:val="en-US" w:eastAsia="zh-CN"/>
        </w:rPr>
        <w:t>二维精细血流成像技术</w:t>
      </w:r>
    </w:p>
    <w:p w14:paraId="2992C3A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17、</w:t>
      </w:r>
      <w:r>
        <w:rPr>
          <w:rFonts w:hint="default"/>
          <w:b w:val="0"/>
          <w:bCs w:val="0"/>
          <w:color w:val="auto"/>
          <w:sz w:val="24"/>
          <w:szCs w:val="24"/>
          <w:highlight w:val="none"/>
          <w:lang w:val="en-US" w:eastAsia="zh-CN"/>
        </w:rPr>
        <w:t>独立调整穿刺针的显示增益，不影响背景图像质量</w:t>
      </w:r>
    </w:p>
    <w:p w14:paraId="68265FE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18、</w:t>
      </w:r>
      <w:r>
        <w:rPr>
          <w:rFonts w:hint="default"/>
          <w:b w:val="0"/>
          <w:bCs w:val="0"/>
          <w:color w:val="auto"/>
          <w:sz w:val="24"/>
          <w:szCs w:val="24"/>
          <w:highlight w:val="none"/>
          <w:lang w:val="en-US" w:eastAsia="zh-CN"/>
        </w:rPr>
        <w:t>多角度可调，帮助清晰显示穿刺路径，提高穿刺活检及介入治疗操作信心及成功率</w:t>
      </w:r>
    </w:p>
    <w:p w14:paraId="45BF304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19、</w:t>
      </w:r>
      <w:r>
        <w:rPr>
          <w:rFonts w:hint="default"/>
          <w:b w:val="0"/>
          <w:bCs w:val="0"/>
          <w:color w:val="auto"/>
          <w:sz w:val="24"/>
          <w:szCs w:val="24"/>
          <w:highlight w:val="none"/>
          <w:lang w:val="en-US" w:eastAsia="zh-CN"/>
        </w:rPr>
        <w:t>造影成像技术</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造影功能支持凸阵、线阵、相控阵、面阵、腔内探头，线阵术中探头、中央开槽式穿刺探头、凸阵容积、腔内容积探头等</w:t>
      </w:r>
    </w:p>
    <w:p w14:paraId="1DDDC79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20、</w:t>
      </w:r>
      <w:r>
        <w:rPr>
          <w:rFonts w:hint="default"/>
          <w:b w:val="0"/>
          <w:bCs w:val="0"/>
          <w:color w:val="auto"/>
          <w:sz w:val="24"/>
          <w:szCs w:val="24"/>
          <w:highlight w:val="none"/>
          <w:lang w:val="en-US" w:eastAsia="zh-CN"/>
        </w:rPr>
        <w:t>既有谐波造影模式，又有基波造影模式，具备高机械指数、高保真调幅、反转脉冲等多模态造影技术</w:t>
      </w:r>
    </w:p>
    <w:p w14:paraId="5F2C28D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21、</w:t>
      </w:r>
      <w:r>
        <w:rPr>
          <w:rFonts w:hint="default"/>
          <w:b w:val="0"/>
          <w:bCs w:val="0"/>
          <w:color w:val="auto"/>
          <w:sz w:val="24"/>
          <w:szCs w:val="24"/>
          <w:highlight w:val="none"/>
          <w:lang w:val="en-US" w:eastAsia="zh-CN"/>
        </w:rPr>
        <w:t>B型图与造影图像实时同屏双幅显示，可带双穿刺引导线，实现同屏双幅 投射式测量</w:t>
      </w:r>
    </w:p>
    <w:p w14:paraId="07C74C4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22、</w:t>
      </w:r>
      <w:r>
        <w:rPr>
          <w:rFonts w:hint="default"/>
          <w:b w:val="0"/>
          <w:bCs w:val="0"/>
          <w:color w:val="auto"/>
          <w:sz w:val="24"/>
          <w:szCs w:val="24"/>
          <w:highlight w:val="none"/>
          <w:lang w:val="en-US" w:eastAsia="zh-CN"/>
        </w:rPr>
        <w:t>超声造影成像可以与CT/MR/PET-CT 图像融合成像，同屏显示，以利于精确定位导入介入，并可联合定位导航功能</w:t>
      </w:r>
    </w:p>
    <w:p w14:paraId="17B37B53">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23、</w:t>
      </w:r>
      <w:r>
        <w:rPr>
          <w:rFonts w:hint="default"/>
          <w:b w:val="0"/>
          <w:bCs w:val="0"/>
          <w:color w:val="auto"/>
          <w:sz w:val="24"/>
          <w:szCs w:val="24"/>
          <w:highlight w:val="none"/>
          <w:lang w:val="en-US" w:eastAsia="zh-CN"/>
        </w:rPr>
        <w:t>支持造影剂二次注射，≥2个独立造影计时器</w:t>
      </w:r>
    </w:p>
    <w:p w14:paraId="198CDA8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24、</w:t>
      </w:r>
      <w:r>
        <w:rPr>
          <w:rFonts w:hint="default"/>
          <w:b w:val="0"/>
          <w:bCs w:val="0"/>
          <w:color w:val="auto"/>
          <w:sz w:val="24"/>
          <w:szCs w:val="24"/>
          <w:highlight w:val="none"/>
          <w:lang w:val="en-US" w:eastAsia="zh-CN"/>
        </w:rPr>
        <w:t>爆破后再灌注显像功能以及微血管成像功能</w:t>
      </w:r>
    </w:p>
    <w:p w14:paraId="08F9E9F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25、</w:t>
      </w:r>
      <w:r>
        <w:rPr>
          <w:rFonts w:hint="default"/>
          <w:b w:val="0"/>
          <w:bCs w:val="0"/>
          <w:color w:val="auto"/>
          <w:sz w:val="24"/>
          <w:szCs w:val="24"/>
          <w:highlight w:val="none"/>
          <w:lang w:val="en-US" w:eastAsia="zh-CN"/>
        </w:rPr>
        <w:t>≥</w:t>
      </w:r>
      <w:r>
        <w:rPr>
          <w:rFonts w:hint="eastAsia"/>
          <w:b w:val="0"/>
          <w:bCs w:val="0"/>
          <w:color w:val="auto"/>
          <w:sz w:val="24"/>
          <w:szCs w:val="24"/>
          <w:highlight w:val="none"/>
          <w:lang w:val="en-US" w:eastAsia="zh-CN"/>
        </w:rPr>
        <w:t>3</w:t>
      </w:r>
      <w:r>
        <w:rPr>
          <w:rFonts w:hint="default"/>
          <w:b w:val="0"/>
          <w:bCs w:val="0"/>
          <w:color w:val="auto"/>
          <w:sz w:val="24"/>
          <w:szCs w:val="24"/>
          <w:highlight w:val="none"/>
          <w:lang w:val="en-US" w:eastAsia="zh-CN"/>
        </w:rPr>
        <w:t>种造影显示模式：常规模式、平衡模式、组织模式</w:t>
      </w:r>
      <w:r>
        <w:rPr>
          <w:rFonts w:hint="eastAsia"/>
          <w:b w:val="0"/>
          <w:bCs w:val="0"/>
          <w:color w:val="auto"/>
          <w:sz w:val="24"/>
          <w:szCs w:val="24"/>
          <w:highlight w:val="none"/>
          <w:lang w:val="en-US" w:eastAsia="zh-CN"/>
        </w:rPr>
        <w:t>等</w:t>
      </w:r>
      <w:r>
        <w:rPr>
          <w:rFonts w:hint="default"/>
          <w:b w:val="0"/>
          <w:bCs w:val="0"/>
          <w:color w:val="auto"/>
          <w:sz w:val="24"/>
          <w:szCs w:val="24"/>
          <w:highlight w:val="none"/>
          <w:lang w:val="en-US" w:eastAsia="zh-CN"/>
        </w:rPr>
        <w:t>，支持双幅对照显示，实时或回放</w:t>
      </w:r>
    </w:p>
    <w:p w14:paraId="2A46024F">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26、</w:t>
      </w:r>
      <w:r>
        <w:rPr>
          <w:rFonts w:hint="default"/>
          <w:b w:val="0"/>
          <w:bCs w:val="0"/>
          <w:color w:val="auto"/>
          <w:sz w:val="24"/>
          <w:szCs w:val="24"/>
          <w:highlight w:val="none"/>
          <w:lang w:val="en-US" w:eastAsia="zh-CN"/>
        </w:rPr>
        <w:t>一体化TIC时间强度分析软件及图像后处理功能，可在双幅对照（B型+造影）的图像上进行TIC时间强度曲线分析 - 感兴趣区≥8个 - 可分析的项目包括：均方误差、造影剂到达时间、曲线下面积、梯度、造影剂到达时间等</w:t>
      </w:r>
    </w:p>
    <w:p w14:paraId="0AF5F1B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26、</w:t>
      </w:r>
      <w:r>
        <w:rPr>
          <w:rFonts w:hint="default"/>
          <w:b w:val="0"/>
          <w:bCs w:val="0"/>
          <w:color w:val="auto"/>
          <w:sz w:val="24"/>
          <w:szCs w:val="24"/>
          <w:highlight w:val="none"/>
          <w:lang w:val="en-US" w:eastAsia="zh-CN"/>
        </w:rPr>
        <w:t>参量成像功能</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使用不同颜色标记造影剂到达时间，彩色和时间可自行设置 - 支持原始数据功能，同一系列其他机型以原始数据格式存档的动态造影图像也可以导入本设备做造影参量成像图像</w:t>
      </w:r>
    </w:p>
    <w:p w14:paraId="175B6F3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27、</w:t>
      </w:r>
      <w:r>
        <w:rPr>
          <w:rFonts w:hint="default"/>
          <w:b w:val="0"/>
          <w:bCs w:val="0"/>
          <w:color w:val="auto"/>
          <w:sz w:val="24"/>
          <w:szCs w:val="24"/>
          <w:highlight w:val="none"/>
          <w:lang w:val="en-US" w:eastAsia="zh-CN"/>
        </w:rPr>
        <w:t>造影LI-RADS分类报告系统</w:t>
      </w:r>
    </w:p>
    <w:p w14:paraId="7D4FA97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28、</w:t>
      </w:r>
      <w:r>
        <w:rPr>
          <w:rFonts w:hint="default"/>
          <w:b w:val="0"/>
          <w:bCs w:val="0"/>
          <w:color w:val="auto"/>
          <w:sz w:val="24"/>
          <w:szCs w:val="24"/>
          <w:highlight w:val="none"/>
          <w:lang w:val="en-US" w:eastAsia="zh-CN"/>
        </w:rPr>
        <w:t>成像质量监控色棒和操作动作曲线</w:t>
      </w:r>
    </w:p>
    <w:p w14:paraId="7C90F1E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29、</w:t>
      </w:r>
      <w:r>
        <w:rPr>
          <w:rFonts w:hint="default"/>
          <w:b w:val="0"/>
          <w:bCs w:val="0"/>
          <w:color w:val="auto"/>
          <w:sz w:val="24"/>
          <w:szCs w:val="24"/>
          <w:highlight w:val="none"/>
          <w:lang w:val="en-US" w:eastAsia="zh-CN"/>
        </w:rPr>
        <w:t>支持凸阵、线阵、腔内、面阵、术中探头等≥8个探头</w:t>
      </w:r>
    </w:p>
    <w:p w14:paraId="30132057">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30、</w:t>
      </w:r>
      <w:r>
        <w:rPr>
          <w:rFonts w:hint="default"/>
          <w:b w:val="0"/>
          <w:bCs w:val="0"/>
          <w:color w:val="auto"/>
          <w:sz w:val="24"/>
          <w:szCs w:val="24"/>
          <w:highlight w:val="none"/>
          <w:lang w:val="en-US" w:eastAsia="zh-CN"/>
        </w:rPr>
        <w:t>融合成像、定位导航功能结合使用</w:t>
      </w:r>
    </w:p>
    <w:p w14:paraId="4EF6CAF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31、</w:t>
      </w:r>
      <w:r>
        <w:rPr>
          <w:rFonts w:hint="default"/>
          <w:b w:val="0"/>
          <w:bCs w:val="0"/>
          <w:color w:val="auto"/>
          <w:sz w:val="24"/>
          <w:szCs w:val="24"/>
          <w:highlight w:val="none"/>
          <w:lang w:val="en-US" w:eastAsia="zh-CN"/>
        </w:rPr>
        <w:t xml:space="preserve">弹性量化分析：动态弹性图定量分析，可同屏提供≥8个感兴趣区的硬度值和≥7个感兴趣区与参照区的硬度比 </w:t>
      </w:r>
    </w:p>
    <w:p w14:paraId="11F32C7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32、</w:t>
      </w:r>
      <w:r>
        <w:rPr>
          <w:rFonts w:hint="default"/>
          <w:b w:val="0"/>
          <w:bCs w:val="0"/>
          <w:color w:val="auto"/>
          <w:sz w:val="24"/>
          <w:szCs w:val="24"/>
          <w:highlight w:val="none"/>
          <w:lang w:val="en-US" w:eastAsia="zh-CN"/>
        </w:rPr>
        <w:t>实时二维剪切波弹性成像技术，通过多组声辐射脉冲技术产生剪切波，直 接获得组织弹性模量值，并以彩色编码方式实时显示组织的声阻抗差</w:t>
      </w:r>
    </w:p>
    <w:p w14:paraId="475244B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33、</w:t>
      </w:r>
      <w:r>
        <w:rPr>
          <w:rFonts w:hint="default"/>
          <w:b w:val="0"/>
          <w:bCs w:val="0"/>
          <w:color w:val="auto"/>
          <w:sz w:val="24"/>
          <w:szCs w:val="24"/>
          <w:highlight w:val="none"/>
          <w:lang w:val="en-US" w:eastAsia="zh-CN"/>
        </w:rPr>
        <w:t>定量质控图，指导正确放置定量取样区</w:t>
      </w:r>
    </w:p>
    <w:p w14:paraId="2C835CC3">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34、</w:t>
      </w:r>
      <w:r>
        <w:rPr>
          <w:rFonts w:hint="default"/>
          <w:b w:val="0"/>
          <w:bCs w:val="0"/>
          <w:color w:val="auto"/>
          <w:sz w:val="24"/>
          <w:szCs w:val="24"/>
          <w:highlight w:val="none"/>
          <w:lang w:val="en-US" w:eastAsia="zh-CN"/>
        </w:rPr>
        <w:t>肝脏脂肪病变定量功能，通过对常规腹部探头获取的原始射频信号来精准计算肝衰减系数，用于代谢相关性脂肪性肝病的早期发现、定量、分级及检测。具备包括衰减 图、信号质量图进行质控图，指导正确放置定量区域；测量取样线长度固定，提高 定量准确性及重复性。具备包括静态单帧多点及动态多帧单点测量多种测量方式。</w:t>
      </w:r>
    </w:p>
    <w:p w14:paraId="279F60F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35、</w:t>
      </w:r>
      <w:r>
        <w:rPr>
          <w:rFonts w:hint="default"/>
          <w:b w:val="0"/>
          <w:bCs w:val="0"/>
          <w:color w:val="auto"/>
          <w:sz w:val="24"/>
          <w:szCs w:val="24"/>
          <w:highlight w:val="none"/>
          <w:lang w:val="en-US" w:eastAsia="zh-CN"/>
        </w:rPr>
        <w:t>硬度值和衰减值的评分系统，预测高危代谢性脂肪性肝炎。</w:t>
      </w:r>
    </w:p>
    <w:p w14:paraId="6690B685">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36、</w:t>
      </w:r>
      <w:r>
        <w:rPr>
          <w:rFonts w:hint="default"/>
          <w:b w:val="0"/>
          <w:bCs w:val="0"/>
          <w:color w:val="auto"/>
          <w:sz w:val="24"/>
          <w:szCs w:val="24"/>
          <w:highlight w:val="none"/>
          <w:lang w:val="en-US" w:eastAsia="zh-CN"/>
        </w:rPr>
        <w:t>乳腺高效检查工具包：提供按BI-RADS分类方法对病灶进行描述和评估。</w:t>
      </w:r>
    </w:p>
    <w:p w14:paraId="0F05282B">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37、</w:t>
      </w:r>
      <w:r>
        <w:rPr>
          <w:rFonts w:hint="default"/>
          <w:b w:val="0"/>
          <w:bCs w:val="0"/>
          <w:color w:val="auto"/>
          <w:sz w:val="24"/>
          <w:szCs w:val="24"/>
          <w:highlight w:val="none"/>
          <w:lang w:val="en-US" w:eastAsia="zh-CN"/>
        </w:rPr>
        <w:t>乳腺自动测量</w:t>
      </w:r>
    </w:p>
    <w:p w14:paraId="2FFE9AA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38、</w:t>
      </w:r>
      <w:r>
        <w:rPr>
          <w:rFonts w:hint="default"/>
          <w:b w:val="0"/>
          <w:bCs w:val="0"/>
          <w:color w:val="auto"/>
          <w:sz w:val="24"/>
          <w:szCs w:val="24"/>
          <w:highlight w:val="none"/>
          <w:lang w:val="en-US" w:eastAsia="zh-CN"/>
        </w:rPr>
        <w:t>甲状腺高效检查工具包</w:t>
      </w:r>
    </w:p>
    <w:p w14:paraId="5141FD2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39、</w:t>
      </w:r>
      <w:r>
        <w:rPr>
          <w:rFonts w:hint="default"/>
          <w:b w:val="0"/>
          <w:bCs w:val="0"/>
          <w:color w:val="auto"/>
          <w:sz w:val="24"/>
          <w:szCs w:val="24"/>
          <w:highlight w:val="none"/>
          <w:lang w:val="en-US" w:eastAsia="zh-CN"/>
        </w:rPr>
        <w:t>产科专用测量分析工具，含自动测量分析</w:t>
      </w:r>
    </w:p>
    <w:p w14:paraId="6C1E53F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40、</w:t>
      </w:r>
      <w:r>
        <w:rPr>
          <w:rFonts w:hint="default"/>
          <w:b w:val="0"/>
          <w:bCs w:val="0"/>
          <w:color w:val="auto"/>
          <w:sz w:val="24"/>
          <w:szCs w:val="24"/>
          <w:highlight w:val="none"/>
          <w:lang w:val="en-US" w:eastAsia="zh-CN"/>
        </w:rPr>
        <w:t>智能组织边界识别，区域自动识别病灶、自动包络病灶边界，对追踪边界进行细微调整校对。</w:t>
      </w:r>
    </w:p>
    <w:p w14:paraId="71F37B3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41、</w:t>
      </w:r>
      <w:r>
        <w:rPr>
          <w:rFonts w:hint="default"/>
          <w:b w:val="0"/>
          <w:bCs w:val="0"/>
          <w:color w:val="auto"/>
          <w:sz w:val="24"/>
          <w:szCs w:val="24"/>
          <w:highlight w:val="none"/>
          <w:lang w:val="en-US" w:eastAsia="zh-CN"/>
        </w:rPr>
        <w:t xml:space="preserve"> 自动识别肾脏结构</w:t>
      </w:r>
    </w:p>
    <w:p w14:paraId="1E2B41B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42、</w:t>
      </w:r>
      <w:r>
        <w:rPr>
          <w:rFonts w:hint="default"/>
          <w:b w:val="0"/>
          <w:bCs w:val="0"/>
          <w:color w:val="auto"/>
          <w:sz w:val="24"/>
          <w:szCs w:val="24"/>
          <w:highlight w:val="none"/>
          <w:lang w:val="en-US" w:eastAsia="zh-CN"/>
        </w:rPr>
        <w:t>系统自动识别当前扫描血管的特征，自动调节血流成像参数</w:t>
      </w:r>
    </w:p>
    <w:p w14:paraId="0D6896A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43、</w:t>
      </w:r>
      <w:r>
        <w:rPr>
          <w:rFonts w:hint="default"/>
          <w:b w:val="0"/>
          <w:bCs w:val="0"/>
          <w:color w:val="auto"/>
          <w:sz w:val="24"/>
          <w:szCs w:val="24"/>
          <w:highlight w:val="none"/>
          <w:lang w:val="en-US" w:eastAsia="zh-CN"/>
        </w:rPr>
        <w:t>组织多普勒速度成像：利用多普勒原理实时显示组织运动，在TVI图像上直接获得组织运动频谱。</w:t>
      </w:r>
    </w:p>
    <w:p w14:paraId="17615D8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44、</w:t>
      </w:r>
      <w:r>
        <w:rPr>
          <w:rFonts w:hint="default"/>
          <w:b w:val="0"/>
          <w:bCs w:val="0"/>
          <w:color w:val="auto"/>
          <w:sz w:val="24"/>
          <w:szCs w:val="24"/>
          <w:highlight w:val="none"/>
          <w:lang w:val="en-US" w:eastAsia="zh-CN"/>
        </w:rPr>
        <w:t>智能调整多普勒取样框方向及位置，自动调整频谱多普勒取样门位置，并自动优化频谱</w:t>
      </w:r>
    </w:p>
    <w:p w14:paraId="6A41AB9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45、</w:t>
      </w:r>
      <w:r>
        <w:rPr>
          <w:rFonts w:hint="default"/>
          <w:b w:val="0"/>
          <w:bCs w:val="0"/>
          <w:color w:val="auto"/>
          <w:sz w:val="24"/>
          <w:szCs w:val="24"/>
          <w:highlight w:val="none"/>
          <w:lang w:val="en-US" w:eastAsia="zh-CN"/>
        </w:rPr>
        <w:t>自动追踪识别血管血流，智能调整多普勒取样框方向及位置，自动优化频谱获取血管多项检测数值。</w:t>
      </w:r>
    </w:p>
    <w:p w14:paraId="15ECD0A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46、</w:t>
      </w:r>
      <w:r>
        <w:rPr>
          <w:rFonts w:hint="default"/>
          <w:b w:val="0"/>
          <w:bCs w:val="0"/>
          <w:color w:val="auto"/>
          <w:sz w:val="24"/>
          <w:szCs w:val="24"/>
          <w:highlight w:val="none"/>
          <w:lang w:val="en-US" w:eastAsia="zh-CN"/>
        </w:rPr>
        <w:t>自动心功能测量：在心肌的动态运动下自动追踪描记心内膜并计算出心功能参数，自动得到EF、CO、SV等心功能数据</w:t>
      </w:r>
    </w:p>
    <w:p w14:paraId="1B337D07">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47、</w:t>
      </w:r>
      <w:r>
        <w:rPr>
          <w:rFonts w:hint="default"/>
          <w:b w:val="0"/>
          <w:bCs w:val="0"/>
          <w:color w:val="auto"/>
          <w:sz w:val="24"/>
          <w:szCs w:val="24"/>
          <w:highlight w:val="none"/>
          <w:lang w:val="en-US" w:eastAsia="zh-CN"/>
        </w:rPr>
        <w:t>内置ECG心电安装组件</w:t>
      </w:r>
    </w:p>
    <w:p w14:paraId="254EC38F">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48、</w:t>
      </w:r>
      <w:r>
        <w:rPr>
          <w:rFonts w:hint="default"/>
          <w:b w:val="0"/>
          <w:bCs w:val="0"/>
          <w:color w:val="auto"/>
          <w:sz w:val="24"/>
          <w:szCs w:val="24"/>
          <w:highlight w:val="none"/>
          <w:lang w:val="en-US" w:eastAsia="zh-CN"/>
        </w:rPr>
        <w:t>测量和分析（B型、M型、频谱多普勒、彩色模式）</w:t>
      </w:r>
    </w:p>
    <w:p w14:paraId="2AEE2FD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49、</w:t>
      </w:r>
      <w:r>
        <w:rPr>
          <w:rFonts w:hint="default"/>
          <w:b w:val="0"/>
          <w:bCs w:val="0"/>
          <w:color w:val="auto"/>
          <w:sz w:val="24"/>
          <w:szCs w:val="24"/>
          <w:highlight w:val="none"/>
          <w:lang w:val="en-US" w:eastAsia="zh-CN"/>
        </w:rPr>
        <w:t>心脏功能测量</w:t>
      </w:r>
    </w:p>
    <w:p w14:paraId="15F6DD8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50、</w:t>
      </w:r>
      <w:r>
        <w:rPr>
          <w:rFonts w:hint="default"/>
          <w:b w:val="0"/>
          <w:bCs w:val="0"/>
          <w:color w:val="auto"/>
          <w:sz w:val="24"/>
          <w:szCs w:val="24"/>
          <w:highlight w:val="none"/>
          <w:lang w:val="en-US" w:eastAsia="zh-CN"/>
        </w:rPr>
        <w:t>多普勒血流测量与分析</w:t>
      </w:r>
    </w:p>
    <w:p w14:paraId="5C57EDE7">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51、</w:t>
      </w:r>
      <w:r>
        <w:rPr>
          <w:rFonts w:hint="default"/>
          <w:b w:val="0"/>
          <w:bCs w:val="0"/>
          <w:color w:val="auto"/>
          <w:sz w:val="24"/>
          <w:szCs w:val="24"/>
          <w:highlight w:val="none"/>
          <w:lang w:val="en-US" w:eastAsia="zh-CN"/>
        </w:rPr>
        <w:t>外周血管测量与分析</w:t>
      </w:r>
    </w:p>
    <w:p w14:paraId="772A471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52、</w:t>
      </w:r>
      <w:r>
        <w:rPr>
          <w:rFonts w:hint="default"/>
          <w:b w:val="0"/>
          <w:bCs w:val="0"/>
          <w:color w:val="auto"/>
          <w:sz w:val="24"/>
          <w:szCs w:val="24"/>
          <w:highlight w:val="none"/>
          <w:lang w:val="en-US" w:eastAsia="zh-CN"/>
        </w:rPr>
        <w:t>泌尿科测量与分析</w:t>
      </w:r>
    </w:p>
    <w:p w14:paraId="1FCC20C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53、</w:t>
      </w:r>
      <w:r>
        <w:rPr>
          <w:rFonts w:hint="default"/>
          <w:b w:val="0"/>
          <w:bCs w:val="0"/>
          <w:color w:val="auto"/>
          <w:sz w:val="24"/>
          <w:szCs w:val="24"/>
          <w:highlight w:val="none"/>
          <w:lang w:val="en-US" w:eastAsia="zh-CN"/>
        </w:rPr>
        <w:t>多普勒频谱自动包络、测量与计算</w:t>
      </w:r>
      <w:r>
        <w:rPr>
          <w:rFonts w:hint="eastAsia"/>
          <w:b w:val="0"/>
          <w:bCs w:val="0"/>
          <w:color w:val="auto"/>
          <w:sz w:val="24"/>
          <w:szCs w:val="24"/>
          <w:highlight w:val="none"/>
          <w:lang w:val="en-US" w:eastAsia="zh-CN"/>
        </w:rPr>
        <w:t>功能</w:t>
      </w:r>
    </w:p>
    <w:p w14:paraId="304BFA2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54、</w:t>
      </w:r>
      <w:r>
        <w:rPr>
          <w:rFonts w:hint="default"/>
          <w:b w:val="0"/>
          <w:bCs w:val="0"/>
          <w:color w:val="auto"/>
          <w:sz w:val="24"/>
          <w:szCs w:val="24"/>
          <w:highlight w:val="none"/>
          <w:lang w:val="en-US" w:eastAsia="zh-CN"/>
        </w:rPr>
        <w:t>输入/输出信号：HDMI、USB等</w:t>
      </w:r>
    </w:p>
    <w:p w14:paraId="4F365D53">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55、</w:t>
      </w:r>
      <w:r>
        <w:rPr>
          <w:rFonts w:hint="default"/>
          <w:b w:val="0"/>
          <w:bCs w:val="0"/>
          <w:color w:val="auto"/>
          <w:sz w:val="24"/>
          <w:szCs w:val="24"/>
          <w:highlight w:val="none"/>
          <w:lang w:val="en-US" w:eastAsia="zh-CN"/>
        </w:rPr>
        <w:t>连通性：医学数字图像和通信DICOM3.0版接口部件</w:t>
      </w:r>
    </w:p>
    <w:p w14:paraId="6E81F96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56、</w:t>
      </w:r>
      <w:r>
        <w:rPr>
          <w:rFonts w:hint="default"/>
          <w:b w:val="0"/>
          <w:bCs w:val="0"/>
          <w:color w:val="auto"/>
          <w:sz w:val="24"/>
          <w:szCs w:val="24"/>
          <w:highlight w:val="none"/>
          <w:lang w:val="en-US" w:eastAsia="zh-CN"/>
        </w:rPr>
        <w:t>超声图像存档与病案管理系统</w:t>
      </w:r>
    </w:p>
    <w:p w14:paraId="19961195">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57、固态</w:t>
      </w:r>
      <w:r>
        <w:rPr>
          <w:rFonts w:hint="default"/>
          <w:b w:val="0"/>
          <w:bCs w:val="0"/>
          <w:color w:val="auto"/>
          <w:sz w:val="24"/>
          <w:szCs w:val="24"/>
          <w:highlight w:val="none"/>
          <w:lang w:val="en-US" w:eastAsia="zh-CN"/>
        </w:rPr>
        <w:t>硬盘容量≥</w:t>
      </w:r>
      <w:r>
        <w:rPr>
          <w:rFonts w:hint="eastAsia"/>
          <w:b w:val="0"/>
          <w:bCs w:val="0"/>
          <w:color w:val="auto"/>
          <w:sz w:val="24"/>
          <w:szCs w:val="24"/>
          <w:highlight w:val="none"/>
          <w:lang w:val="en-US" w:eastAsia="zh-CN"/>
        </w:rPr>
        <w:t>2T</w:t>
      </w:r>
      <w:r>
        <w:rPr>
          <w:rFonts w:hint="default"/>
          <w:b w:val="0"/>
          <w:bCs w:val="0"/>
          <w:color w:val="auto"/>
          <w:sz w:val="24"/>
          <w:szCs w:val="24"/>
          <w:highlight w:val="none"/>
          <w:lang w:val="en-US" w:eastAsia="zh-CN"/>
        </w:rPr>
        <w:t>B</w:t>
      </w:r>
    </w:p>
    <w:p w14:paraId="6A6562D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58、</w:t>
      </w:r>
      <w:r>
        <w:rPr>
          <w:rFonts w:hint="default"/>
          <w:b w:val="0"/>
          <w:bCs w:val="0"/>
          <w:color w:val="auto"/>
          <w:sz w:val="24"/>
          <w:szCs w:val="24"/>
          <w:highlight w:val="none"/>
          <w:lang w:val="en-US" w:eastAsia="zh-CN"/>
        </w:rPr>
        <w:t>USB一键快速存储功能，只需一个按键一步操作即可把屏幕上的图像存至U盘、移动硬盘或者其它USB装置。USB接口支持U盘或移动硬盘快速存储屏幕上的图像</w:t>
      </w:r>
    </w:p>
    <w:p w14:paraId="58219A34">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59、</w:t>
      </w:r>
      <w:r>
        <w:rPr>
          <w:rFonts w:hint="default"/>
          <w:b w:val="0"/>
          <w:bCs w:val="0"/>
          <w:color w:val="auto"/>
          <w:sz w:val="24"/>
          <w:szCs w:val="24"/>
          <w:highlight w:val="none"/>
          <w:lang w:val="en-US" w:eastAsia="zh-CN"/>
        </w:rPr>
        <w:t>超声图像静态、动态存储，原始数据回放重现</w:t>
      </w:r>
    </w:p>
    <w:p w14:paraId="2732279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60、</w:t>
      </w:r>
      <w:r>
        <w:rPr>
          <w:rFonts w:hint="default"/>
          <w:b w:val="0"/>
          <w:bCs w:val="0"/>
          <w:color w:val="auto"/>
          <w:sz w:val="24"/>
          <w:szCs w:val="24"/>
          <w:highlight w:val="none"/>
          <w:lang w:val="en-US" w:eastAsia="zh-CN"/>
        </w:rPr>
        <w:t>动态图像、静态图像以PC可读格式直接存储于可移动媒介</w:t>
      </w:r>
    </w:p>
    <w:p w14:paraId="107843F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61、</w:t>
      </w:r>
      <w:r>
        <w:rPr>
          <w:rFonts w:hint="default"/>
          <w:b w:val="0"/>
          <w:bCs w:val="0"/>
          <w:color w:val="auto"/>
          <w:sz w:val="24"/>
          <w:szCs w:val="24"/>
          <w:highlight w:val="none"/>
          <w:lang w:val="en-US" w:eastAsia="zh-CN"/>
        </w:rPr>
        <w:t>支持压缩和高清DICOM图像传输</w:t>
      </w:r>
    </w:p>
    <w:p w14:paraId="47F0AAB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62、显示屏</w:t>
      </w:r>
      <w:r>
        <w:rPr>
          <w:rFonts w:hint="default"/>
          <w:b w:val="0"/>
          <w:bCs w:val="0"/>
          <w:color w:val="auto"/>
          <w:sz w:val="24"/>
          <w:szCs w:val="24"/>
          <w:highlight w:val="none"/>
          <w:lang w:val="en-US" w:eastAsia="zh-CN"/>
        </w:rPr>
        <w:t>≥23英寸</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分辨率</w:t>
      </w:r>
      <w:r>
        <w:rPr>
          <w:rFonts w:hint="eastAsia"/>
          <w:b w:val="0"/>
          <w:bCs w:val="0"/>
          <w:color w:val="auto"/>
          <w:sz w:val="24"/>
          <w:szCs w:val="24"/>
          <w:highlight w:val="none"/>
          <w:lang w:val="en-US" w:eastAsia="zh-CN"/>
        </w:rPr>
        <w:t>：1920*1080p</w:t>
      </w:r>
    </w:p>
    <w:p w14:paraId="4737EAA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63、</w:t>
      </w:r>
      <w:r>
        <w:rPr>
          <w:rFonts w:hint="default"/>
          <w:b w:val="0"/>
          <w:bCs w:val="0"/>
          <w:color w:val="auto"/>
          <w:sz w:val="24"/>
          <w:szCs w:val="24"/>
          <w:highlight w:val="none"/>
          <w:lang w:val="en-US" w:eastAsia="zh-CN"/>
        </w:rPr>
        <w:t>扫描方式：逐行扫描，高分辨率，全方位关节臂旋转</w:t>
      </w:r>
    </w:p>
    <w:p w14:paraId="5FFE7AA3">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64、</w:t>
      </w:r>
      <w:r>
        <w:rPr>
          <w:rFonts w:hint="default"/>
          <w:b w:val="0"/>
          <w:bCs w:val="0"/>
          <w:color w:val="auto"/>
          <w:sz w:val="24"/>
          <w:szCs w:val="24"/>
          <w:highlight w:val="none"/>
          <w:lang w:val="en-US" w:eastAsia="zh-CN"/>
        </w:rPr>
        <w:t>二维腹部探头扫描深度≥</w:t>
      </w:r>
      <w:r>
        <w:rPr>
          <w:rFonts w:hint="eastAsia"/>
          <w:b w:val="0"/>
          <w:bCs w:val="0"/>
          <w:color w:val="auto"/>
          <w:sz w:val="24"/>
          <w:szCs w:val="24"/>
          <w:highlight w:val="none"/>
          <w:lang w:val="en-US" w:eastAsia="zh-CN"/>
        </w:rPr>
        <w:t>4</w:t>
      </w:r>
      <w:r>
        <w:rPr>
          <w:rFonts w:hint="default"/>
          <w:b w:val="0"/>
          <w:bCs w:val="0"/>
          <w:color w:val="auto"/>
          <w:sz w:val="24"/>
          <w:szCs w:val="24"/>
          <w:highlight w:val="none"/>
          <w:lang w:val="en-US" w:eastAsia="zh-CN"/>
        </w:rPr>
        <w:t>5cm</w:t>
      </w:r>
    </w:p>
    <w:p w14:paraId="48A053C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65、</w:t>
      </w:r>
      <w:r>
        <w:rPr>
          <w:rFonts w:hint="default"/>
          <w:b w:val="0"/>
          <w:bCs w:val="0"/>
          <w:color w:val="auto"/>
          <w:sz w:val="24"/>
          <w:szCs w:val="24"/>
          <w:highlight w:val="none"/>
          <w:lang w:val="en-US" w:eastAsia="zh-CN"/>
        </w:rPr>
        <w:t>探头规格</w:t>
      </w:r>
    </w:p>
    <w:p w14:paraId="298AA9AE">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65.</w:t>
      </w:r>
      <w:r>
        <w:rPr>
          <w:rFonts w:hint="default"/>
          <w:b w:val="0"/>
          <w:bCs w:val="0"/>
          <w:color w:val="auto"/>
          <w:sz w:val="24"/>
          <w:szCs w:val="24"/>
          <w:highlight w:val="none"/>
          <w:lang w:val="en-US" w:eastAsia="zh-CN"/>
        </w:rPr>
        <w:t>1 频率：无针触点式宽频变频探头，所有探头及所有检查模式要有明确的中心频率显示，实现二维、谐波、彩色、多普勒频率独立可调</w:t>
      </w:r>
    </w:p>
    <w:p w14:paraId="77293A66">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65.</w:t>
      </w:r>
      <w:r>
        <w:rPr>
          <w:rFonts w:hint="default"/>
          <w:b w:val="0"/>
          <w:bCs w:val="0"/>
          <w:color w:val="auto"/>
          <w:sz w:val="24"/>
          <w:szCs w:val="24"/>
          <w:highlight w:val="none"/>
          <w:lang w:val="en-US" w:eastAsia="zh-CN"/>
        </w:rPr>
        <w:t>2 工作频率范围可在1-22MHz之间选择</w:t>
      </w:r>
    </w:p>
    <w:p w14:paraId="0FBC056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65.</w:t>
      </w:r>
      <w:r>
        <w:rPr>
          <w:rFonts w:hint="default"/>
          <w:b w:val="0"/>
          <w:bCs w:val="0"/>
          <w:color w:val="auto"/>
          <w:sz w:val="24"/>
          <w:szCs w:val="24"/>
          <w:highlight w:val="none"/>
          <w:lang w:val="en-US" w:eastAsia="zh-CN"/>
        </w:rPr>
        <w:t>3 阵元：小器官面阵探头阵元数≥500阵元</w:t>
      </w:r>
    </w:p>
    <w:p w14:paraId="7BB0B7CC">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65.4腹部凸阵探头一把  1-6MHz</w:t>
      </w:r>
    </w:p>
    <w:p w14:paraId="4AADB5EB">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65.5小器官线阵探头一把  3-11MHz</w:t>
      </w:r>
    </w:p>
    <w:p w14:paraId="486B0DA6">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65.6肌骨高频线阵探头一把 3-16MHz</w:t>
      </w:r>
    </w:p>
    <w:p w14:paraId="1E480D34">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65.7腔内微凸探头一把3-10MHz</w:t>
      </w:r>
    </w:p>
    <w:p w14:paraId="419959A3">
      <w:pPr>
        <w:numPr>
          <w:ilvl w:val="0"/>
          <w:numId w:val="0"/>
        </w:numPr>
        <w:spacing w:line="360" w:lineRule="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65.8血管高频线阵探头一把3-10MHz</w:t>
      </w:r>
    </w:p>
    <w:p w14:paraId="190A52C8">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66、</w:t>
      </w:r>
      <w:r>
        <w:rPr>
          <w:rFonts w:hint="default"/>
          <w:b w:val="0"/>
          <w:bCs w:val="0"/>
          <w:color w:val="auto"/>
          <w:sz w:val="24"/>
          <w:szCs w:val="24"/>
          <w:highlight w:val="none"/>
          <w:lang w:val="en-US" w:eastAsia="zh-CN"/>
        </w:rPr>
        <w:t>二维灰阶显示主要参数</w:t>
      </w:r>
    </w:p>
    <w:p w14:paraId="6A33F052">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66</w:t>
      </w:r>
      <w:r>
        <w:rPr>
          <w:rFonts w:hint="default"/>
          <w:b w:val="0"/>
          <w:bCs w:val="0"/>
          <w:color w:val="auto"/>
          <w:sz w:val="24"/>
          <w:szCs w:val="24"/>
          <w:highlight w:val="none"/>
          <w:lang w:val="en-US" w:eastAsia="zh-CN"/>
        </w:rPr>
        <w:t>.1 凸阵探头，18cm深度，全视野，最高线密度下，二维帧频≥63</w:t>
      </w:r>
    </w:p>
    <w:p w14:paraId="13E8692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66</w:t>
      </w:r>
      <w:r>
        <w:rPr>
          <w:rFonts w:hint="default"/>
          <w:b w:val="0"/>
          <w:bCs w:val="0"/>
          <w:color w:val="auto"/>
          <w:sz w:val="24"/>
          <w:szCs w:val="24"/>
          <w:highlight w:val="none"/>
          <w:lang w:val="en-US" w:eastAsia="zh-CN"/>
        </w:rPr>
        <w:t>.2 凸阵探头，18cm深度，全视野，最高线密度下，彩色帧频≥17</w:t>
      </w:r>
    </w:p>
    <w:p w14:paraId="33F5FD2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66</w:t>
      </w:r>
      <w:r>
        <w:rPr>
          <w:rFonts w:hint="default"/>
          <w:b w:val="0"/>
          <w:bCs w:val="0"/>
          <w:color w:val="auto"/>
          <w:sz w:val="24"/>
          <w:szCs w:val="24"/>
          <w:highlight w:val="none"/>
          <w:lang w:val="en-US" w:eastAsia="zh-CN"/>
        </w:rPr>
        <w:t>.3 相控阵探头，18cm深度，扫描角度 85°，最高线密度下，二维帧频 ≥73</w:t>
      </w:r>
    </w:p>
    <w:p w14:paraId="0263ABCC">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66</w:t>
      </w:r>
      <w:r>
        <w:rPr>
          <w:rFonts w:hint="default"/>
          <w:b w:val="0"/>
          <w:bCs w:val="0"/>
          <w:color w:val="auto"/>
          <w:sz w:val="24"/>
          <w:szCs w:val="24"/>
          <w:highlight w:val="none"/>
          <w:lang w:val="en-US" w:eastAsia="zh-CN"/>
        </w:rPr>
        <w:t>.4 相控阵探头，18cm深度，扫描角度 85°，最高线密度下，彩色帧频 ≥34</w:t>
      </w:r>
    </w:p>
    <w:p w14:paraId="420E6D1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频谱多普勒</w:t>
      </w:r>
    </w:p>
    <w:p w14:paraId="74BDC7AD">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.1 方式：PW，CW，HPRF</w:t>
      </w:r>
    </w:p>
    <w:p w14:paraId="1A076D7F">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.2 多普勒发射频率可视可调，中心频率明确显示</w:t>
      </w:r>
    </w:p>
    <w:p w14:paraId="7AD1DD4F">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.3  P</w:t>
      </w:r>
      <w:r>
        <w:rPr>
          <w:rFonts w:hint="eastAsia"/>
          <w:b w:val="0"/>
          <w:bCs w:val="0"/>
          <w:color w:val="auto"/>
          <w:sz w:val="24"/>
          <w:szCs w:val="24"/>
          <w:highlight w:val="none"/>
          <w:lang w:val="en-US" w:eastAsia="zh-CN"/>
        </w:rPr>
        <w:t>W</w:t>
      </w:r>
      <w:r>
        <w:rPr>
          <w:rFonts w:hint="default"/>
          <w:b w:val="0"/>
          <w:bCs w:val="0"/>
          <w:color w:val="auto"/>
          <w:sz w:val="24"/>
          <w:szCs w:val="24"/>
          <w:highlight w:val="none"/>
          <w:lang w:val="en-US" w:eastAsia="zh-CN"/>
        </w:rPr>
        <w:t>D：血流速度≥10m/s；CWD：血流速度≥21m/s</w:t>
      </w:r>
    </w:p>
    <w:p w14:paraId="1C75109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.4 最低测量速度： ≤0.3mm/s（非噪声信号）</w:t>
      </w:r>
    </w:p>
    <w:p w14:paraId="29B176C5">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.5 电影回放：≥60秒</w:t>
      </w:r>
    </w:p>
    <w:p w14:paraId="3CCE1F39">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67</w:t>
      </w:r>
      <w:r>
        <w:rPr>
          <w:rFonts w:hint="default"/>
          <w:b w:val="0"/>
          <w:bCs w:val="0"/>
          <w:color w:val="auto"/>
          <w:sz w:val="24"/>
          <w:szCs w:val="24"/>
          <w:highlight w:val="none"/>
          <w:lang w:val="en-US" w:eastAsia="zh-CN"/>
        </w:rPr>
        <w:t>.6 零位移动：≥10级</w:t>
      </w:r>
    </w:p>
    <w:p w14:paraId="15F7B24A">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68、</w:t>
      </w:r>
      <w:r>
        <w:rPr>
          <w:rFonts w:hint="default"/>
          <w:b w:val="0"/>
          <w:bCs w:val="0"/>
          <w:color w:val="auto"/>
          <w:sz w:val="24"/>
          <w:szCs w:val="24"/>
          <w:highlight w:val="none"/>
          <w:lang w:val="en-US" w:eastAsia="zh-CN"/>
        </w:rPr>
        <w:t>彩色多普勒</w:t>
      </w:r>
    </w:p>
    <w:p w14:paraId="3F5B76C0">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68</w:t>
      </w:r>
      <w:r>
        <w:rPr>
          <w:rFonts w:hint="default"/>
          <w:b w:val="0"/>
          <w:bCs w:val="0"/>
          <w:color w:val="auto"/>
          <w:sz w:val="24"/>
          <w:szCs w:val="24"/>
          <w:highlight w:val="none"/>
          <w:lang w:val="en-US" w:eastAsia="zh-CN"/>
        </w:rPr>
        <w:t>.1 显示方式：速度方差显示、能量显示，速度显示、方差显示</w:t>
      </w:r>
    </w:p>
    <w:p w14:paraId="62EF19D1">
      <w:pPr>
        <w:numPr>
          <w:ilvl w:val="0"/>
          <w:numId w:val="0"/>
        </w:numPr>
        <w:spacing w:line="360" w:lineRule="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68</w:t>
      </w:r>
      <w:r>
        <w:rPr>
          <w:rFonts w:hint="default"/>
          <w:b w:val="0"/>
          <w:bCs w:val="0"/>
          <w:color w:val="auto"/>
          <w:sz w:val="24"/>
          <w:szCs w:val="24"/>
          <w:highlight w:val="none"/>
          <w:lang w:val="en-US" w:eastAsia="zh-CN"/>
        </w:rPr>
        <w:t>.2 具有双同步/三同步显示（B/D/CFM）</w:t>
      </w:r>
    </w:p>
    <w:p w14:paraId="21308110">
      <w:pPr>
        <w:numPr>
          <w:ilvl w:val="0"/>
          <w:numId w:val="0"/>
        </w:numPr>
        <w:spacing w:line="360" w:lineRule="auto"/>
        <w:rPr>
          <w:rFonts w:hint="default"/>
          <w:b w:val="0"/>
          <w:bCs w:val="0"/>
          <w:color w:val="auto"/>
          <w:sz w:val="28"/>
          <w:szCs w:val="36"/>
          <w:highlight w:val="none"/>
          <w:lang w:val="en-US" w:eastAsia="zh-CN"/>
        </w:rPr>
      </w:pPr>
      <w:r>
        <w:rPr>
          <w:rFonts w:hint="eastAsia"/>
          <w:b w:val="0"/>
          <w:bCs w:val="0"/>
          <w:color w:val="auto"/>
          <w:sz w:val="24"/>
          <w:szCs w:val="24"/>
          <w:highlight w:val="none"/>
          <w:lang w:val="en-US" w:eastAsia="zh-CN"/>
        </w:rPr>
        <w:t>68</w:t>
      </w:r>
      <w:r>
        <w:rPr>
          <w:rFonts w:hint="default"/>
          <w:b w:val="0"/>
          <w:bCs w:val="0"/>
          <w:color w:val="auto"/>
          <w:sz w:val="24"/>
          <w:szCs w:val="24"/>
          <w:highlight w:val="none"/>
          <w:lang w:val="en-US" w:eastAsia="zh-CN"/>
        </w:rPr>
        <w:t>.3 显示位置调整：线阵扫描感兴趣的图</w:t>
      </w:r>
      <w:r>
        <w:rPr>
          <w:rFonts w:hint="default"/>
          <w:b w:val="0"/>
          <w:bCs w:val="0"/>
          <w:color w:val="auto"/>
          <w:sz w:val="28"/>
          <w:szCs w:val="36"/>
          <w:highlight w:val="none"/>
          <w:lang w:val="en-US" w:eastAsia="zh-CN"/>
        </w:rPr>
        <w:t>像范围：-20° - +20°</w:t>
      </w:r>
    </w:p>
    <w:p w14:paraId="15EB3A45">
      <w:pPr>
        <w:numPr>
          <w:ilvl w:val="0"/>
          <w:numId w:val="0"/>
        </w:numPr>
        <w:spacing w:line="360" w:lineRule="auto"/>
        <w:rPr>
          <w:rFonts w:hint="default"/>
          <w:b w:val="0"/>
          <w:bCs w:val="0"/>
          <w:color w:val="auto"/>
          <w:sz w:val="28"/>
          <w:szCs w:val="36"/>
          <w:highlight w:val="none"/>
          <w:lang w:val="en-US" w:eastAsia="zh-CN"/>
        </w:rPr>
      </w:pPr>
    </w:p>
    <w:p w14:paraId="2F3942BC">
      <w:pPr>
        <w:numPr>
          <w:ilvl w:val="0"/>
          <w:numId w:val="0"/>
        </w:numPr>
        <w:spacing w:line="360" w:lineRule="auto"/>
        <w:rPr>
          <w:rFonts w:hint="default"/>
          <w:b w:val="0"/>
          <w:bCs w:val="0"/>
          <w:color w:val="auto"/>
          <w:sz w:val="28"/>
          <w:szCs w:val="36"/>
          <w:highlight w:val="none"/>
          <w:lang w:val="en-US" w:eastAsia="zh-CN"/>
        </w:rPr>
      </w:pPr>
    </w:p>
    <w:p w14:paraId="72F55019">
      <w:pPr>
        <w:numPr>
          <w:ilvl w:val="0"/>
          <w:numId w:val="0"/>
        </w:numPr>
        <w:spacing w:line="360" w:lineRule="auto"/>
        <w:rPr>
          <w:rFonts w:hint="default"/>
          <w:b w:val="0"/>
          <w:bCs w:val="0"/>
          <w:color w:val="auto"/>
          <w:sz w:val="28"/>
          <w:szCs w:val="36"/>
          <w:highlight w:val="none"/>
          <w:lang w:val="en-US" w:eastAsia="zh-CN"/>
        </w:rPr>
      </w:pPr>
    </w:p>
    <w:p w14:paraId="044E2390">
      <w:pPr>
        <w:numPr>
          <w:ilvl w:val="0"/>
          <w:numId w:val="0"/>
        </w:numPr>
        <w:spacing w:line="360" w:lineRule="auto"/>
        <w:rPr>
          <w:rFonts w:hint="default"/>
          <w:b w:val="0"/>
          <w:bCs w:val="0"/>
          <w:color w:val="auto"/>
          <w:sz w:val="28"/>
          <w:szCs w:val="36"/>
          <w:highlight w:val="none"/>
          <w:lang w:val="en-US" w:eastAsia="zh-CN"/>
        </w:rPr>
      </w:pPr>
    </w:p>
    <w:p w14:paraId="78415906">
      <w:pPr>
        <w:numPr>
          <w:ilvl w:val="0"/>
          <w:numId w:val="0"/>
        </w:numPr>
        <w:spacing w:line="360" w:lineRule="auto"/>
        <w:rPr>
          <w:rFonts w:hint="default"/>
          <w:b w:val="0"/>
          <w:bCs w:val="0"/>
          <w:color w:val="auto"/>
          <w:sz w:val="28"/>
          <w:szCs w:val="36"/>
          <w:highlight w:val="none"/>
          <w:lang w:val="en-US" w:eastAsia="zh-CN"/>
        </w:rPr>
      </w:pPr>
    </w:p>
    <w:p w14:paraId="31DB73E1">
      <w:pPr>
        <w:numPr>
          <w:ilvl w:val="0"/>
          <w:numId w:val="0"/>
        </w:numPr>
        <w:spacing w:line="360" w:lineRule="auto"/>
        <w:rPr>
          <w:rFonts w:hint="default"/>
          <w:b w:val="0"/>
          <w:bCs w:val="0"/>
          <w:color w:val="auto"/>
          <w:sz w:val="28"/>
          <w:szCs w:val="36"/>
          <w:highlight w:val="none"/>
          <w:lang w:val="en-US" w:eastAsia="zh-CN"/>
        </w:rPr>
      </w:pPr>
    </w:p>
    <w:p w14:paraId="681ABA81">
      <w:pPr>
        <w:numPr>
          <w:ilvl w:val="0"/>
          <w:numId w:val="0"/>
        </w:numPr>
        <w:spacing w:line="360" w:lineRule="auto"/>
        <w:rPr>
          <w:rFonts w:hint="default"/>
          <w:b w:val="0"/>
          <w:bCs w:val="0"/>
          <w:color w:val="auto"/>
          <w:sz w:val="28"/>
          <w:szCs w:val="36"/>
          <w:highlight w:val="none"/>
          <w:lang w:val="en-US" w:eastAsia="zh-CN"/>
        </w:rPr>
      </w:pPr>
    </w:p>
    <w:p w14:paraId="30457E2F">
      <w:pPr>
        <w:numPr>
          <w:ilvl w:val="0"/>
          <w:numId w:val="0"/>
        </w:numPr>
        <w:spacing w:line="360" w:lineRule="auto"/>
        <w:rPr>
          <w:rFonts w:hint="default"/>
          <w:b w:val="0"/>
          <w:bCs w:val="0"/>
          <w:color w:val="auto"/>
          <w:sz w:val="28"/>
          <w:szCs w:val="36"/>
          <w:highlight w:val="none"/>
          <w:lang w:val="en-US" w:eastAsia="zh-CN"/>
        </w:rPr>
      </w:pPr>
    </w:p>
    <w:p w14:paraId="4BCDA979">
      <w:pPr>
        <w:numPr>
          <w:ilvl w:val="0"/>
          <w:numId w:val="0"/>
        </w:numPr>
        <w:spacing w:line="360" w:lineRule="auto"/>
        <w:rPr>
          <w:rFonts w:hint="default"/>
          <w:b w:val="0"/>
          <w:bCs w:val="0"/>
          <w:color w:val="auto"/>
          <w:sz w:val="28"/>
          <w:szCs w:val="36"/>
          <w:highlight w:val="none"/>
          <w:lang w:val="en-US" w:eastAsia="zh-CN"/>
        </w:rPr>
      </w:pPr>
    </w:p>
    <w:p w14:paraId="67FAAC49">
      <w:pPr>
        <w:numPr>
          <w:ilvl w:val="0"/>
          <w:numId w:val="0"/>
        </w:numPr>
        <w:spacing w:line="360" w:lineRule="auto"/>
        <w:rPr>
          <w:rFonts w:hint="default"/>
          <w:b w:val="0"/>
          <w:bCs w:val="0"/>
          <w:color w:val="auto"/>
          <w:sz w:val="28"/>
          <w:szCs w:val="36"/>
          <w:highlight w:val="none"/>
          <w:lang w:val="en-US" w:eastAsia="zh-CN"/>
        </w:rPr>
      </w:pPr>
    </w:p>
    <w:p w14:paraId="04AE9235">
      <w:pPr>
        <w:numPr>
          <w:ilvl w:val="0"/>
          <w:numId w:val="0"/>
        </w:numPr>
        <w:spacing w:line="360" w:lineRule="auto"/>
        <w:rPr>
          <w:rFonts w:hint="default"/>
          <w:b w:val="0"/>
          <w:bCs w:val="0"/>
          <w:color w:val="auto"/>
          <w:sz w:val="28"/>
          <w:szCs w:val="36"/>
          <w:highlight w:val="none"/>
          <w:lang w:val="en-US" w:eastAsia="zh-CN"/>
        </w:rPr>
      </w:pPr>
    </w:p>
    <w:p w14:paraId="34738FEC">
      <w:pPr>
        <w:numPr>
          <w:ilvl w:val="0"/>
          <w:numId w:val="0"/>
        </w:numPr>
        <w:spacing w:line="360" w:lineRule="auto"/>
        <w:rPr>
          <w:rFonts w:hint="default"/>
          <w:b w:val="0"/>
          <w:bCs w:val="0"/>
          <w:color w:val="auto"/>
          <w:sz w:val="28"/>
          <w:szCs w:val="36"/>
          <w:highlight w:val="none"/>
          <w:lang w:val="en-US" w:eastAsia="zh-CN"/>
        </w:rPr>
      </w:pPr>
    </w:p>
    <w:p w14:paraId="35248254">
      <w:pPr>
        <w:numPr>
          <w:ilvl w:val="0"/>
          <w:numId w:val="0"/>
        </w:numPr>
        <w:spacing w:line="360" w:lineRule="auto"/>
        <w:rPr>
          <w:rFonts w:hint="default"/>
          <w:b w:val="0"/>
          <w:bCs w:val="0"/>
          <w:color w:val="auto"/>
          <w:sz w:val="28"/>
          <w:szCs w:val="36"/>
          <w:highlight w:val="none"/>
          <w:lang w:val="en-US" w:eastAsia="zh-CN"/>
        </w:rPr>
      </w:pPr>
    </w:p>
    <w:p w14:paraId="0A34A0FD">
      <w:pPr>
        <w:numPr>
          <w:ilvl w:val="0"/>
          <w:numId w:val="0"/>
        </w:numPr>
        <w:spacing w:line="360" w:lineRule="auto"/>
        <w:rPr>
          <w:rFonts w:hint="default"/>
          <w:b w:val="0"/>
          <w:bCs w:val="0"/>
          <w:color w:val="auto"/>
          <w:sz w:val="28"/>
          <w:szCs w:val="36"/>
          <w:highlight w:val="none"/>
          <w:lang w:val="en-US" w:eastAsia="zh-CN"/>
        </w:rPr>
      </w:pPr>
    </w:p>
    <w:p w14:paraId="1B1453F8">
      <w:pPr>
        <w:numPr>
          <w:ilvl w:val="0"/>
          <w:numId w:val="0"/>
        </w:numPr>
        <w:spacing w:line="360" w:lineRule="auto"/>
        <w:rPr>
          <w:rFonts w:hint="default"/>
          <w:b w:val="0"/>
          <w:bCs w:val="0"/>
          <w:color w:val="auto"/>
          <w:sz w:val="28"/>
          <w:szCs w:val="36"/>
          <w:highlight w:val="none"/>
          <w:lang w:val="en-US" w:eastAsia="zh-CN"/>
        </w:rPr>
      </w:pPr>
    </w:p>
    <w:p w14:paraId="63B8E1FC">
      <w:pPr>
        <w:numPr>
          <w:ilvl w:val="0"/>
          <w:numId w:val="0"/>
        </w:numPr>
        <w:spacing w:line="360" w:lineRule="auto"/>
        <w:rPr>
          <w:rFonts w:hint="default"/>
          <w:b w:val="0"/>
          <w:bCs w:val="0"/>
          <w:color w:val="auto"/>
          <w:sz w:val="28"/>
          <w:szCs w:val="36"/>
          <w:highlight w:val="none"/>
          <w:lang w:val="en-US" w:eastAsia="zh-CN"/>
        </w:rPr>
      </w:pPr>
    </w:p>
    <w:p w14:paraId="6EA36934">
      <w:pPr>
        <w:numPr>
          <w:ilvl w:val="0"/>
          <w:numId w:val="0"/>
        </w:numPr>
        <w:spacing w:line="360" w:lineRule="auto"/>
        <w:rPr>
          <w:rFonts w:hint="default"/>
          <w:b w:val="0"/>
          <w:bCs w:val="0"/>
          <w:color w:val="auto"/>
          <w:sz w:val="28"/>
          <w:szCs w:val="36"/>
          <w:highlight w:val="none"/>
          <w:lang w:val="en-US" w:eastAsia="zh-CN"/>
        </w:rPr>
      </w:pPr>
    </w:p>
    <w:p w14:paraId="160070C9">
      <w:pPr>
        <w:numPr>
          <w:ilvl w:val="0"/>
          <w:numId w:val="0"/>
        </w:numPr>
        <w:spacing w:line="360" w:lineRule="auto"/>
        <w:rPr>
          <w:rFonts w:hint="default"/>
          <w:b w:val="0"/>
          <w:bCs w:val="0"/>
          <w:color w:val="auto"/>
          <w:sz w:val="28"/>
          <w:szCs w:val="36"/>
          <w:highlight w:val="none"/>
          <w:lang w:val="en-US" w:eastAsia="zh-CN"/>
        </w:rPr>
      </w:pPr>
    </w:p>
    <w:p w14:paraId="4008D125">
      <w:pPr>
        <w:numPr>
          <w:ilvl w:val="0"/>
          <w:numId w:val="0"/>
        </w:numPr>
        <w:spacing w:line="360" w:lineRule="auto"/>
        <w:rPr>
          <w:rFonts w:hint="default"/>
          <w:b w:val="0"/>
          <w:bCs w:val="0"/>
          <w:color w:val="auto"/>
          <w:sz w:val="28"/>
          <w:szCs w:val="36"/>
          <w:highlight w:val="none"/>
          <w:lang w:val="en-US" w:eastAsia="zh-CN"/>
        </w:rPr>
      </w:pPr>
    </w:p>
    <w:p w14:paraId="6EE43EA0">
      <w:pPr>
        <w:pageBreakBefore w:val="0"/>
        <w:widowControl w:val="0"/>
        <w:numPr>
          <w:ilvl w:val="0"/>
          <w:numId w:val="0"/>
        </w:numPr>
        <w:wordWrap/>
        <w:overflowPunct/>
        <w:topLinePunct w:val="0"/>
        <w:autoSpaceDE w:val="0"/>
        <w:autoSpaceDN w:val="0"/>
        <w:bidi w:val="0"/>
        <w:adjustRightInd w:val="0"/>
        <w:spacing w:line="500" w:lineRule="exact"/>
        <w:ind w:leftChars="0"/>
        <w:jc w:val="center"/>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t>商 务 要 求</w:t>
      </w:r>
    </w:p>
    <w:p w14:paraId="1111162B">
      <w:pPr>
        <w:spacing w:before="177" w:line="360" w:lineRule="auto"/>
        <w:jc w:val="left"/>
        <w:rPr>
          <w:rFonts w:hint="eastAsia" w:eastAsia="仿宋"/>
          <w:color w:val="auto"/>
          <w:highlight w:val="none"/>
          <w:lang w:val="en-US" w:eastAsia="zh-CN"/>
        </w:rPr>
      </w:pPr>
      <w:r>
        <w:rPr>
          <w:rFonts w:hint="eastAsia" w:ascii="仿宋" w:hAnsi="仿宋" w:eastAsia="仿宋" w:cs="仿宋"/>
          <w:b/>
          <w:bCs/>
          <w:color w:val="auto"/>
          <w:spacing w:val="-3"/>
          <w:sz w:val="24"/>
          <w:szCs w:val="24"/>
          <w:highlight w:val="none"/>
          <w:lang w:val="en-US" w:eastAsia="zh-CN"/>
        </w:rPr>
        <w:t>注意事项：</w:t>
      </w:r>
      <w:r>
        <w:rPr>
          <w:rFonts w:hint="eastAsia" w:ascii="仿宋" w:hAnsi="仿宋" w:eastAsia="仿宋" w:cs="仿宋"/>
          <w:b/>
          <w:bCs/>
          <w:color w:val="auto"/>
          <w:spacing w:val="-3"/>
          <w:sz w:val="24"/>
          <w:szCs w:val="24"/>
          <w:highlight w:val="none"/>
          <w:lang w:eastAsia="zh-CN"/>
        </w:rPr>
        <w:t>所投产品属于第二类医疗器械的，需提供有效的行政主管部门颁发的医疗器械经营备案凭证（医疗器械生产许可证或医疗器械经营许可证或其他医疗器械生产经营许可证明文件）；所投产品属于第三类医疗器械的，需提供有效的行政主管部门颁发的医疗器械生产许可证（医疗器械经营许可证或其他医疗器械生产经营许可证明文件）</w:t>
      </w:r>
    </w:p>
    <w:p w14:paraId="77F2F4E1">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t>报价要求：</w:t>
      </w: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投标报价应是完成招标内容所需产品的全部费用，包括但不限于产品的报价及所发生的：包括货物价格、包装、运输、仓储、保管、装卸（卸货至甲方指定地点）、安装、人工费、搬运费、利润、相关税费及市场价格风险等在内全部费用。</w:t>
      </w:r>
    </w:p>
    <w:p w14:paraId="0B5A34D3">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（一）项目交货期与质保期：</w:t>
      </w:r>
    </w:p>
    <w:p w14:paraId="7ABC9B36">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1、供货期：</w:t>
      </w:r>
      <w:r>
        <w:rPr>
          <w:rFonts w:hint="eastAsia" w:ascii="方正仿宋_GB18030" w:hAnsi="方正仿宋_GB18030" w:eastAsia="方正仿宋_GB18030" w:cs="方正仿宋_GB18030"/>
          <w:b w:val="0"/>
          <w:bCs w:val="0"/>
          <w:i w:val="0"/>
          <w:iCs w:val="0"/>
          <w:color w:val="auto"/>
          <w:spacing w:val="-11"/>
          <w:kern w:val="0"/>
          <w:sz w:val="28"/>
          <w:szCs w:val="28"/>
          <w:highlight w:val="none"/>
          <w:u w:val="none"/>
          <w:lang w:val="en-US" w:eastAsia="zh-CN" w:bidi="ar"/>
        </w:rPr>
        <w:t>签订合同后60天内供货安装调试完毕（具体以双方签订合同为准）</w:t>
      </w: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w:t>
      </w:r>
    </w:p>
    <w:p w14:paraId="482D39B5">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2、整机质保期：3年（包括维修及更换的配件费运）。</w:t>
      </w:r>
    </w:p>
    <w:p w14:paraId="1928A7DB">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3、生产要求：设备到货安装时算起，设备生产日期在一年内。</w:t>
      </w:r>
    </w:p>
    <w:p w14:paraId="68B58CD6">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（二）付款方式及交货地点</w:t>
      </w:r>
    </w:p>
    <w:p w14:paraId="571273CB">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1、付款方式：中标人签订合同后，采购人支付合同总价款的30%；安装、调试、培训完毕后，初步验收合格后，采购人向成交供应商支付合同款总额的50%，产品正常运行且经最终验收合格后</w:t>
      </w:r>
      <w:r>
        <w:rPr>
          <w:rFonts w:hint="eastAsia" w:ascii="宋体" w:hAnsi="宋体" w:eastAsia="微软雅黑" w:cs="宋体"/>
          <w:b/>
          <w:bCs/>
          <w:color w:val="auto"/>
          <w:kern w:val="2"/>
          <w:sz w:val="28"/>
          <w:szCs w:val="28"/>
          <w:highlight w:val="none"/>
          <w:lang w:val="en-US" w:eastAsia="zh-CN" w:bidi="ar-SA"/>
        </w:rPr>
        <w:t>，</w:t>
      </w: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采购人向成交供应商支付合同款总额的20%(具体付款方式以签订合同为准)</w:t>
      </w:r>
    </w:p>
    <w:p w14:paraId="51E54F27">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2、交货地点：采购人指定位置，最终按甲方指定地点验收、交货。</w:t>
      </w:r>
    </w:p>
    <w:p w14:paraId="68D18A7A">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t>（三）售后服务</w:t>
      </w:r>
    </w:p>
    <w:p w14:paraId="500E3E30">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供应商须到采购人提供的现场免费安装、调试设备，进行操作试验，直至运行正常，为采购人免费提供技术服务、技术支持及咨询服务。按照项目采购需求中要求进行维修响应。在保修期内不定期免费进行状态检测。</w:t>
      </w:r>
    </w:p>
    <w:p w14:paraId="2A8D7A43">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2.在质保期内，派遣维修或技术人员巡访设备进行维护保养工作，每年巡防保养不少于4次。</w:t>
      </w:r>
    </w:p>
    <w:p w14:paraId="332B9BC5">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3.供应商安装调试完成后与采购人共同验收。</w:t>
      </w:r>
    </w:p>
    <w:p w14:paraId="76B3D4E9">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4.售后服务承诺：供应商应对质保期内及其以后的服务做出承诺，并具有切实可行的措施,不能及时兑现服务承诺内容而影响使用方使用，供应商应当给予补偿（合同约定）。</w:t>
      </w:r>
    </w:p>
    <w:p w14:paraId="233E197A">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5.如有未尽事宜或收到服务需求不合要求情况，可双方协商决定，但决定权在购买方，购买方有权利退回所购买产品。</w:t>
      </w:r>
    </w:p>
    <w:p w14:paraId="335FE15E">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t>（四）实施方案及培训</w:t>
      </w:r>
    </w:p>
    <w:p w14:paraId="3466A983">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1.仪器的安装、调试：由厂家专职工程师负责，到医院现场安装、调试直至正常使用状态。</w:t>
      </w:r>
    </w:p>
    <w:p w14:paraId="42D7F419">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2、供应商应提供以下内容：</w:t>
      </w:r>
    </w:p>
    <w:p w14:paraId="1D84B07C">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（1）项目详细工作内容，说明项目的工作范围、具体内容和技术要求等，这一部分内容能量化的指标尽可能量化；</w:t>
      </w:r>
    </w:p>
    <w:p w14:paraId="766A6FA5">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（2）项目实施所采取的方法手段；</w:t>
      </w:r>
    </w:p>
    <w:p w14:paraId="74BA04EC">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（3）预期效果，说明项目完成时所达到的效果；说明承担单位、协作单位和各自分工的主要内容。</w:t>
      </w:r>
    </w:p>
    <w:p w14:paraId="166A5FF4">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3.设备的维护</w:t>
      </w:r>
    </w:p>
    <w:p w14:paraId="2B86D40B">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（1）设备管理方案；</w:t>
      </w:r>
    </w:p>
    <w:p w14:paraId="6D46A4AE">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（2）设备维护及保养方案。</w:t>
      </w:r>
    </w:p>
    <w:p w14:paraId="022AEE0D">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进度的安排：项目工作进度安排，详细说明各阶段工作安排的时间和项目工作完成的时间，尽力让项目实施的时间进度与方案所计划的时间吻合；供货方案：供货的流程、安装流程应在方案中写明。（注：可提供流程图。）</w:t>
      </w:r>
    </w:p>
    <w:p w14:paraId="71D7217A">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应急预案：为保障设备的运行正常，加强对突发事件、紧急事件的控制，须提供应商制定本项目的突发事件处置预案，写明面对突发事件的应急处理方法，包含：人员伤亡事故、发生火灾、突然停电等。建立完善的预防机制，指定专人负责，对潜在危险可能出现的紧急情况，</w:t>
      </w:r>
    </w:p>
    <w:p w14:paraId="7BEB50C7">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制定相应的处理办法。实施方案及培训方案：</w:t>
      </w:r>
    </w:p>
    <w:p w14:paraId="5F9F7634">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（1）供应商应保证供货设备在项目实施过程中的实施方案、设备质量、供货安装、项目安全措施、应急处理、进度安排等五方面进行 拓展，供应商能够在设备运中保障设备的功能不被破坏，在发货前保 证对货物的质量、规格、性能、数量和重量等进行准确而全面的检验， 并出具一份产品检验合格证书。在项目供货安装时进行核对，如若发生设备不能正常运行，供应商必须在突发应急时给予响应并在最快时间内处理，保障设备正常运行。</w:t>
      </w:r>
    </w:p>
    <w:p w14:paraId="6D272607">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2）须提供所投设备的相关技术培训，指涉及产品基本原理、安装、调试、操作使用和保养维修等有关内容的学习。提供相对应的培训方案，培训人员的差旅费、食宿费、培训教材等费用，应计入投标报价，随时排除所有设备故障进行明确的计划阐述，并对所有设备保修期过后维保进行阐述。</w:t>
      </w:r>
    </w:p>
    <w:p w14:paraId="29799C83">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bCs/>
          <w:i w:val="0"/>
          <w:iCs w:val="0"/>
          <w:color w:val="auto"/>
          <w:kern w:val="0"/>
          <w:sz w:val="28"/>
          <w:szCs w:val="28"/>
          <w:highlight w:val="none"/>
          <w:u w:val="none"/>
          <w:lang w:val="en-US" w:eastAsia="zh-CN" w:bidi="ar"/>
        </w:rPr>
        <w:t>(五)  验收</w:t>
      </w:r>
    </w:p>
    <w:p w14:paraId="56AB7682">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default"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验收主体：伽师县人民医院</w:t>
      </w:r>
    </w:p>
    <w:p w14:paraId="60DB97C5">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验收时间：供货完毕后</w:t>
      </w:r>
    </w:p>
    <w:p w14:paraId="3E89AFF6">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验收程序：货物包装应符合国家标准，以保证货物在运输过程中不受损伤。货物在运输或邮寄途中发生毁损或丢失，由乙方负责。在运输途中、交货前、卸货中发生人身伤害或货物受损的，由乙方负责承担。货物到达后，甲乙双方均须在场确认包装完好后，安装后由甲方验货，并对货物进行清点验收，共同签字确认。如验收不合格，一切损失由乙方自行承担。</w:t>
      </w:r>
    </w:p>
    <w:p w14:paraId="28A61B45">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验收内容：采购清单内设备、装备数量进行验收。</w:t>
      </w:r>
    </w:p>
    <w:p w14:paraId="535FA783">
      <w:pPr>
        <w:pageBreakBefore w:val="0"/>
        <w:widowControl w:val="0"/>
        <w:numPr>
          <w:ilvl w:val="0"/>
          <w:numId w:val="0"/>
        </w:numPr>
        <w:wordWrap/>
        <w:overflowPunct/>
        <w:topLinePunct w:val="0"/>
        <w:autoSpaceDE w:val="0"/>
        <w:autoSpaceDN w:val="0"/>
        <w:bidi w:val="0"/>
        <w:adjustRightInd w:val="0"/>
        <w:spacing w:line="500" w:lineRule="exact"/>
        <w:ind w:leftChars="0"/>
        <w:jc w:val="both"/>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pPr>
      <w:r>
        <w:rPr>
          <w:rFonts w:hint="eastAsia" w:ascii="方正仿宋_GB18030" w:hAnsi="方正仿宋_GB18030" w:eastAsia="方正仿宋_GB18030" w:cs="方正仿宋_GB18030"/>
          <w:b w:val="0"/>
          <w:bCs w:val="0"/>
          <w:i w:val="0"/>
          <w:iCs w:val="0"/>
          <w:color w:val="auto"/>
          <w:kern w:val="0"/>
          <w:sz w:val="28"/>
          <w:szCs w:val="28"/>
          <w:highlight w:val="none"/>
          <w:u w:val="none"/>
          <w:lang w:val="en-US" w:eastAsia="zh-CN" w:bidi="ar"/>
        </w:rPr>
        <w:t>验收标准：依据相关法律法规严格按照采购合同开展履约验收。采购人或者采购代理机构应当成立验收小组，按照采购合同的约定对供应商履约情况进行验收。验收时，应当按照采购合同的约定对每一项技术、服务、安全标准的履约情况进行确认。验收结束后，应当出具验收书，列明各项标准的验收情况及项目总体评价，由验收双方共同签署。履约验收的各项资料应当存档备查。</w:t>
      </w:r>
    </w:p>
    <w:p w14:paraId="1C44CC5F">
      <w:pPr>
        <w:rPr>
          <w:rFonts w:hint="eastAsia" w:ascii="宋体" w:hAnsi="宋体" w:eastAsia="宋体" w:cs="宋体"/>
          <w:color w:val="auto"/>
          <w:sz w:val="24"/>
          <w:szCs w:val="24"/>
          <w:highlight w:val="none"/>
        </w:rPr>
      </w:pPr>
    </w:p>
    <w:p w14:paraId="1F417B20">
      <w:pPr>
        <w:rPr>
          <w:rFonts w:ascii="宋体" w:hAnsi="宋体" w:eastAsia="宋体" w:cs="宋体"/>
          <w:color w:val="auto"/>
          <w:spacing w:val="7"/>
          <w:sz w:val="31"/>
          <w:szCs w:val="31"/>
          <w:highlight w:val="none"/>
          <w14:textOutline w14:w="5793" w14:cap="sq" w14:cmpd="sng">
            <w14:solidFill>
              <w14:srgbClr w14:val="000000"/>
            </w14:solidFill>
            <w14:prstDash w14:val="solid"/>
            <w14:bevel/>
          </w14:textOutline>
        </w:rPr>
      </w:pPr>
      <w:r>
        <w:rPr>
          <w:rFonts w:ascii="宋体" w:hAnsi="宋体" w:eastAsia="宋体" w:cs="宋体"/>
          <w:color w:val="auto"/>
          <w:spacing w:val="7"/>
          <w:sz w:val="31"/>
          <w:szCs w:val="31"/>
          <w:highlight w:val="none"/>
          <w14:textOutline w14:w="5793" w14:cap="sq" w14:cmpd="sng">
            <w14:solidFill>
              <w14:srgbClr w14:val="000000"/>
            </w14:solidFill>
            <w14:prstDash w14:val="solid"/>
            <w14:bevel/>
          </w14:textOutline>
        </w:rPr>
        <w:br w:type="page"/>
      </w:r>
    </w:p>
    <w:p w14:paraId="37203C92">
      <w:pPr>
        <w:spacing w:before="64" w:line="224" w:lineRule="auto"/>
        <w:ind w:left="3299"/>
        <w:outlineLvl w:val="0"/>
        <w:rPr>
          <w:rFonts w:ascii="宋体" w:hAnsi="宋体" w:eastAsia="宋体" w:cs="宋体"/>
          <w:color w:val="auto"/>
          <w:sz w:val="31"/>
          <w:szCs w:val="31"/>
          <w:highlight w:val="none"/>
        </w:rPr>
      </w:pPr>
      <w:bookmarkStart w:id="24" w:name="_Toc27130"/>
      <w: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t>第6章评标方法和标准</w:t>
      </w:r>
      <w:bookmarkEnd w:id="24"/>
    </w:p>
    <w:p w14:paraId="59C38441">
      <w:pPr>
        <w:spacing w:before="294" w:line="382"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u w:val="single" w:color="000000"/>
          <w14:textOutline w14:w="4358" w14:cap="sq" w14:cmpd="sng">
            <w14:solidFill>
              <w14:srgbClr w14:val="000000"/>
            </w14:solidFill>
            <w14:prstDash w14:val="solid"/>
            <w14:bevel/>
          </w14:textOutline>
        </w:rPr>
        <w:t>本次评标采用综合评分法，即评委会在符合有效投标范畴且</w:t>
      </w:r>
      <w:r>
        <w:rPr>
          <w:rFonts w:ascii="宋体" w:hAnsi="宋体" w:eastAsia="宋体" w:cs="宋体"/>
          <w:color w:val="auto"/>
          <w:sz w:val="24"/>
          <w:szCs w:val="24"/>
          <w:highlight w:val="none"/>
          <w:u w:val="single" w:color="000000"/>
          <w14:textOutline w14:w="4358" w14:cap="sq" w14:cmpd="sng">
            <w14:solidFill>
              <w14:srgbClr w14:val="000000"/>
            </w14:solidFill>
            <w14:prstDash w14:val="solid"/>
            <w14:bevel/>
          </w14:textOutline>
        </w:rPr>
        <w:t>最大限度地满足招标文件实</w:t>
      </w:r>
    </w:p>
    <w:p w14:paraId="4FA689E3">
      <w:pPr>
        <w:spacing w:before="1" w:line="217" w:lineRule="auto"/>
        <w:ind w:left="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u w:val="single" w:color="000000"/>
          <w14:textOutline w14:w="4358" w14:cap="sq" w14:cmpd="sng">
            <w14:solidFill>
              <w14:srgbClr w14:val="000000"/>
            </w14:solidFill>
            <w14:prstDash w14:val="solid"/>
            <w14:bevel/>
          </w14:textOutline>
        </w:rPr>
        <w:t>质性要求前提下，对投标人的价格、技术、</w:t>
      </w:r>
      <w:r>
        <w:rPr>
          <w:rFonts w:ascii="宋体" w:hAnsi="宋体" w:eastAsia="宋体" w:cs="宋体"/>
          <w:color w:val="auto"/>
          <w:spacing w:val="1"/>
          <w:sz w:val="24"/>
          <w:szCs w:val="24"/>
          <w:highlight w:val="none"/>
          <w:u w:val="single" w:color="000000"/>
          <w14:textOutline w14:w="4358" w14:cap="sq" w14:cmpd="sng">
            <w14:solidFill>
              <w14:srgbClr w14:val="000000"/>
            </w14:solidFill>
            <w14:prstDash w14:val="solid"/>
            <w14:bevel/>
          </w14:textOutline>
        </w:rPr>
        <w:t>商务三部分进行综合评审和独立评分。</w:t>
      </w:r>
    </w:p>
    <w:p w14:paraId="4990DD96">
      <w:pPr>
        <w:spacing w:before="216" w:line="383" w:lineRule="auto"/>
        <w:ind w:left="1" w:right="80" w:firstLine="479"/>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注：根据《政府采购促进中小企业发展管理办法》（财库[2020]46号）、关于进</w:t>
      </w:r>
      <w:r>
        <w:rPr>
          <w:rFonts w:ascii="宋体" w:hAnsi="宋体" w:eastAsia="宋体" w:cs="宋体"/>
          <w:color w:val="auto"/>
          <w:spacing w:val="-2"/>
          <w:sz w:val="24"/>
          <w:szCs w:val="24"/>
          <w:highlight w:val="none"/>
        </w:rPr>
        <w:t>一步加</w:t>
      </w:r>
      <w:r>
        <w:rPr>
          <w:rFonts w:ascii="宋体" w:hAnsi="宋体" w:eastAsia="宋体" w:cs="宋体"/>
          <w:color w:val="auto"/>
          <w:spacing w:val="-1"/>
          <w:sz w:val="24"/>
          <w:szCs w:val="24"/>
          <w:highlight w:val="none"/>
        </w:rPr>
        <w:t>大政府采购支持中小企业力度的通知财库〔2022〕19号，《财政部司法部关于政府采</w:t>
      </w:r>
      <w:r>
        <w:rPr>
          <w:rFonts w:ascii="宋体" w:hAnsi="宋体" w:eastAsia="宋体" w:cs="宋体"/>
          <w:color w:val="auto"/>
          <w:spacing w:val="-2"/>
          <w:sz w:val="24"/>
          <w:szCs w:val="24"/>
          <w:highlight w:val="none"/>
        </w:rPr>
        <w:t>购支持</w:t>
      </w:r>
      <w:r>
        <w:rPr>
          <w:rFonts w:ascii="宋体" w:hAnsi="宋体" w:eastAsia="宋体" w:cs="宋体"/>
          <w:color w:val="auto"/>
          <w:spacing w:val="-1"/>
          <w:sz w:val="24"/>
          <w:szCs w:val="24"/>
          <w:highlight w:val="none"/>
        </w:rPr>
        <w:t>监狱企业发展有关问题的通知》（财库〔2014〕68号）和《三部门联合发布关于促进</w:t>
      </w:r>
      <w:r>
        <w:rPr>
          <w:rFonts w:ascii="宋体" w:hAnsi="宋体" w:eastAsia="宋体" w:cs="宋体"/>
          <w:color w:val="auto"/>
          <w:spacing w:val="-2"/>
          <w:sz w:val="24"/>
          <w:szCs w:val="24"/>
          <w:highlight w:val="none"/>
        </w:rPr>
        <w:t>残疾人</w:t>
      </w:r>
      <w:r>
        <w:rPr>
          <w:rFonts w:ascii="宋体" w:hAnsi="宋体" w:eastAsia="宋体" w:cs="宋体"/>
          <w:color w:val="auto"/>
          <w:spacing w:val="2"/>
          <w:sz w:val="24"/>
          <w:szCs w:val="24"/>
          <w:highlight w:val="none"/>
        </w:rPr>
        <w:t>就业政府采购政策的通知》（财库〔2017〕141号）</w:t>
      </w:r>
      <w:r>
        <w:rPr>
          <w:rFonts w:ascii="宋体" w:hAnsi="宋体" w:eastAsia="宋体" w:cs="宋体"/>
          <w:color w:val="auto"/>
          <w:spacing w:val="1"/>
          <w:sz w:val="24"/>
          <w:szCs w:val="24"/>
          <w:highlight w:val="none"/>
        </w:rPr>
        <w:t>的规定，对满足价格扣除条件且在投标文件中提交了《中小企业声明函》或省级以上监狱管理局、</w:t>
      </w:r>
      <w:r>
        <w:rPr>
          <w:rFonts w:ascii="宋体" w:hAnsi="宋体" w:eastAsia="宋体" w:cs="宋体"/>
          <w:color w:val="auto"/>
          <w:sz w:val="24"/>
          <w:szCs w:val="24"/>
          <w:highlight w:val="none"/>
        </w:rPr>
        <w:t>戒毒管理局（含新疆生产建设兵</w:t>
      </w:r>
      <w:r>
        <w:rPr>
          <w:rFonts w:ascii="宋体" w:hAnsi="宋体" w:eastAsia="宋体" w:cs="宋体"/>
          <w:color w:val="auto"/>
          <w:spacing w:val="-2"/>
          <w:sz w:val="24"/>
          <w:szCs w:val="24"/>
          <w:highlight w:val="none"/>
        </w:rPr>
        <w:t>团）出具的属于监狱企业的证明文件的投标人，其投标报价扣除</w:t>
      </w:r>
      <w:r>
        <w:rPr>
          <w:rFonts w:ascii="宋体" w:hAnsi="宋体" w:eastAsia="宋体" w:cs="宋体"/>
          <w:b/>
          <w:bCs/>
          <w:color w:val="auto"/>
          <w:spacing w:val="-2"/>
          <w:sz w:val="24"/>
          <w:szCs w:val="24"/>
          <w:highlight w:val="none"/>
          <w:u w:val="single" w:color="auto"/>
        </w:rPr>
        <w:t>10%</w:t>
      </w:r>
      <w:r>
        <w:rPr>
          <w:rFonts w:ascii="宋体" w:hAnsi="宋体" w:eastAsia="宋体" w:cs="宋体"/>
          <w:color w:val="auto"/>
          <w:spacing w:val="-2"/>
          <w:sz w:val="24"/>
          <w:szCs w:val="24"/>
          <w:highlight w:val="none"/>
        </w:rPr>
        <w:t>后参与评审</w:t>
      </w:r>
      <w:r>
        <w:rPr>
          <w:rFonts w:ascii="宋体" w:hAnsi="宋体" w:eastAsia="宋体" w:cs="宋体"/>
          <w:color w:val="auto"/>
          <w:spacing w:val="-3"/>
          <w:sz w:val="24"/>
          <w:szCs w:val="24"/>
          <w:highlight w:val="none"/>
        </w:rPr>
        <w:t>。对于同时</w:t>
      </w:r>
      <w:r>
        <w:rPr>
          <w:rFonts w:ascii="宋体" w:hAnsi="宋体" w:eastAsia="宋体" w:cs="宋体"/>
          <w:color w:val="auto"/>
          <w:sz w:val="24"/>
          <w:szCs w:val="24"/>
          <w:highlight w:val="none"/>
        </w:rPr>
        <w:t>属于小微企业、监狱企业或残疾人福利性单位的</w:t>
      </w:r>
      <w:r>
        <w:rPr>
          <w:rFonts w:ascii="宋体" w:hAnsi="宋体" w:eastAsia="宋体" w:cs="宋体"/>
          <w:color w:val="auto"/>
          <w:spacing w:val="-1"/>
          <w:sz w:val="24"/>
          <w:szCs w:val="24"/>
          <w:highlight w:val="none"/>
        </w:rPr>
        <w:t>，不重复进行投标报价扣除。</w:t>
      </w:r>
    </w:p>
    <w:p w14:paraId="492017E6">
      <w:pPr>
        <w:spacing w:before="213" w:line="499" w:lineRule="exact"/>
        <w:ind w:left="483"/>
        <w:rPr>
          <w:rFonts w:ascii="宋体" w:hAnsi="宋体" w:eastAsia="宋体" w:cs="宋体"/>
          <w:color w:val="auto"/>
          <w:sz w:val="24"/>
          <w:szCs w:val="24"/>
          <w:highlight w:val="none"/>
        </w:rPr>
      </w:pPr>
      <w:r>
        <w:rPr>
          <w:rFonts w:ascii="宋体" w:hAnsi="宋体" w:eastAsia="宋体" w:cs="宋体"/>
          <w:color w:val="auto"/>
          <w:spacing w:val="1"/>
          <w:position w:val="19"/>
          <w:sz w:val="24"/>
          <w:szCs w:val="24"/>
          <w:highlight w:val="none"/>
        </w:rPr>
        <w:t>2.如采购人所采购产品为政府强制采购的节能产品，投标人</w:t>
      </w:r>
      <w:r>
        <w:rPr>
          <w:rFonts w:ascii="宋体" w:hAnsi="宋体" w:eastAsia="宋体" w:cs="宋体"/>
          <w:color w:val="auto"/>
          <w:position w:val="19"/>
          <w:sz w:val="24"/>
          <w:szCs w:val="24"/>
          <w:highlight w:val="none"/>
        </w:rPr>
        <w:t>所投产品的品牌及型号必须</w:t>
      </w:r>
    </w:p>
    <w:p w14:paraId="59F08BA8">
      <w:pPr>
        <w:spacing w:before="1" w:line="218" w:lineRule="auto"/>
        <w:ind w:left="3"/>
        <w:rPr>
          <w:rFonts w:ascii="宋体" w:hAnsi="宋体" w:eastAsia="宋体" w:cs="宋体"/>
          <w:color w:val="auto"/>
          <w:sz w:val="24"/>
          <w:szCs w:val="24"/>
          <w:highlight w:val="none"/>
        </w:rPr>
      </w:pPr>
      <w:r>
        <w:rPr>
          <w:rFonts w:ascii="宋体" w:hAnsi="宋体" w:eastAsia="宋体" w:cs="宋体"/>
          <w:color w:val="auto"/>
          <w:sz w:val="24"/>
          <w:szCs w:val="24"/>
          <w:highlight w:val="none"/>
        </w:rPr>
        <w:t>为清单中有效期内产品并提供证明文件，否则其投</w:t>
      </w:r>
      <w:r>
        <w:rPr>
          <w:rFonts w:ascii="宋体" w:hAnsi="宋体" w:eastAsia="宋体" w:cs="宋体"/>
          <w:color w:val="auto"/>
          <w:spacing w:val="-1"/>
          <w:sz w:val="24"/>
          <w:szCs w:val="24"/>
          <w:highlight w:val="none"/>
        </w:rPr>
        <w:t>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753C0136">
      <w:pPr>
        <w:spacing w:line="253" w:lineRule="auto"/>
        <w:rPr>
          <w:rFonts w:ascii="Arial"/>
          <w:color w:val="auto"/>
          <w:sz w:val="21"/>
          <w:highlight w:val="none"/>
        </w:rPr>
      </w:pPr>
    </w:p>
    <w:p w14:paraId="3AD0BF12">
      <w:pPr>
        <w:spacing w:before="78" w:line="383" w:lineRule="auto"/>
        <w:ind w:right="80"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3.对创新产品或创新性企业的优惠措施为：所投产品应</w:t>
      </w:r>
      <w:r>
        <w:rPr>
          <w:rFonts w:ascii="宋体" w:hAnsi="宋体" w:eastAsia="宋体" w:cs="宋体"/>
          <w:color w:val="auto"/>
          <w:sz w:val="24"/>
          <w:szCs w:val="24"/>
          <w:highlight w:val="none"/>
        </w:rPr>
        <w:t>优先选择《关于印发节能产品政</w:t>
      </w:r>
      <w:r>
        <w:rPr>
          <w:rFonts w:ascii="宋体" w:hAnsi="宋体" w:eastAsia="宋体" w:cs="宋体"/>
          <w:color w:val="auto"/>
          <w:spacing w:val="-1"/>
          <w:sz w:val="24"/>
          <w:szCs w:val="24"/>
          <w:highlight w:val="none"/>
        </w:rPr>
        <w:t>府采购品目清单的通知》（财库〔2019〕19号）、《关于印发环境标志产品政府采购品目清</w:t>
      </w:r>
    </w:p>
    <w:p w14:paraId="1FA574E2">
      <w:pPr>
        <w:spacing w:line="219" w:lineRule="auto"/>
        <w:ind w:left="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单的通知》（财库〔2019〕18号）目录内的产品。</w:t>
      </w:r>
    </w:p>
    <w:p w14:paraId="781C9C79">
      <w:pPr>
        <w:spacing w:before="215"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4.如发现下列情况之一的，其投标将被认定为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p>
    <w:p w14:paraId="67F02213">
      <w:pPr>
        <w:spacing w:before="211" w:line="500" w:lineRule="exact"/>
        <w:ind w:left="492"/>
        <w:rPr>
          <w:rFonts w:ascii="宋体" w:hAnsi="宋体" w:eastAsia="宋体" w:cs="宋体"/>
          <w:color w:val="auto"/>
          <w:sz w:val="24"/>
          <w:szCs w:val="24"/>
          <w:highlight w:val="none"/>
        </w:rPr>
      </w:pPr>
      <w:r>
        <w:rPr>
          <w:rFonts w:ascii="宋体" w:hAnsi="宋体" w:eastAsia="宋体" w:cs="宋体"/>
          <w:color w:val="auto"/>
          <w:spacing w:val="-3"/>
          <w:position w:val="19"/>
          <w:sz w:val="24"/>
          <w:szCs w:val="24"/>
          <w:highlight w:val="none"/>
        </w:rPr>
        <w:t>（1）单位负责人为同一人或者存在直接控股、管理关系的不同投标人，其相关投标将被</w:t>
      </w:r>
    </w:p>
    <w:p w14:paraId="00D404FA">
      <w:pPr>
        <w:spacing w:line="220"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53B9AC1E">
      <w:pPr>
        <w:spacing w:before="210" w:line="500" w:lineRule="exact"/>
        <w:ind w:right="1"/>
        <w:jc w:val="right"/>
        <w:rPr>
          <w:rFonts w:ascii="宋体" w:hAnsi="宋体" w:eastAsia="宋体" w:cs="宋体"/>
          <w:color w:val="auto"/>
          <w:sz w:val="24"/>
          <w:szCs w:val="24"/>
          <w:highlight w:val="none"/>
        </w:rPr>
      </w:pPr>
      <w:r>
        <w:rPr>
          <w:rFonts w:ascii="宋体" w:hAnsi="宋体" w:eastAsia="宋体" w:cs="宋体"/>
          <w:color w:val="auto"/>
          <w:spacing w:val="-1"/>
          <w:position w:val="19"/>
          <w:sz w:val="24"/>
          <w:szCs w:val="24"/>
          <w:highlight w:val="none"/>
        </w:rPr>
        <w:t>（2）若投标人须知资料表中未写明允许采购进口产品，如投标人所投产品为进口产品，</w:t>
      </w:r>
    </w:p>
    <w:p w14:paraId="6765F921">
      <w:pPr>
        <w:spacing w:line="219" w:lineRule="auto"/>
        <w:ind w:left="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62CFE96B">
      <w:pPr>
        <w:spacing w:before="212" w:line="499" w:lineRule="exact"/>
        <w:ind w:right="1"/>
        <w:jc w:val="right"/>
        <w:rPr>
          <w:rFonts w:ascii="宋体" w:hAnsi="宋体" w:eastAsia="宋体" w:cs="宋体"/>
          <w:color w:val="auto"/>
          <w:sz w:val="24"/>
          <w:szCs w:val="24"/>
          <w:highlight w:val="none"/>
        </w:rPr>
      </w:pPr>
      <w:r>
        <w:rPr>
          <w:rFonts w:ascii="宋体" w:hAnsi="宋体" w:eastAsia="宋体" w:cs="宋体"/>
          <w:color w:val="auto"/>
          <w:spacing w:val="-1"/>
          <w:position w:val="19"/>
          <w:sz w:val="24"/>
          <w:szCs w:val="24"/>
          <w:highlight w:val="none"/>
        </w:rPr>
        <w:t>（3）为本项目提供过整体设计、规范编制或者项目管理、监理、检测等服务的投标人，</w:t>
      </w:r>
    </w:p>
    <w:p w14:paraId="7466531C">
      <w:pPr>
        <w:spacing w:before="1" w:line="218" w:lineRule="auto"/>
        <w:ind w:left="4"/>
        <w:rPr>
          <w:rFonts w:ascii="宋体" w:hAnsi="宋体" w:eastAsia="宋体" w:cs="宋体"/>
          <w:color w:val="auto"/>
          <w:sz w:val="24"/>
          <w:szCs w:val="24"/>
          <w:highlight w:val="none"/>
        </w:rPr>
      </w:pPr>
      <w:r>
        <w:rPr>
          <w:rFonts w:ascii="宋体" w:hAnsi="宋体" w:eastAsia="宋体" w:cs="宋体"/>
          <w:color w:val="auto"/>
          <w:sz w:val="24"/>
          <w:szCs w:val="24"/>
          <w:highlight w:val="none"/>
        </w:rPr>
        <w:t>不得再参加本项目上述服务以外的其他采购活动。否则其</w:t>
      </w:r>
      <w:r>
        <w:rPr>
          <w:rFonts w:ascii="宋体" w:hAnsi="宋体" w:eastAsia="宋体" w:cs="宋体"/>
          <w:color w:val="auto"/>
          <w:spacing w:val="-1"/>
          <w:sz w:val="24"/>
          <w:szCs w:val="24"/>
          <w:highlight w:val="none"/>
        </w:rPr>
        <w:t>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5B56B167">
      <w:pPr>
        <w:spacing w:before="212" w:line="500" w:lineRule="exact"/>
        <w:jc w:val="right"/>
        <w:rPr>
          <w:rFonts w:ascii="宋体" w:hAnsi="宋体" w:eastAsia="宋体" w:cs="宋体"/>
          <w:color w:val="auto"/>
          <w:sz w:val="24"/>
          <w:szCs w:val="24"/>
          <w:highlight w:val="none"/>
        </w:rPr>
      </w:pPr>
      <w:r>
        <w:rPr>
          <w:rFonts w:ascii="宋体" w:hAnsi="宋体" w:eastAsia="宋体" w:cs="宋体"/>
          <w:color w:val="auto"/>
          <w:spacing w:val="-3"/>
          <w:position w:val="19"/>
          <w:sz w:val="24"/>
          <w:szCs w:val="24"/>
          <w:highlight w:val="none"/>
        </w:rPr>
        <w:t>投标人在投标过程中不得向采购人提供、给予任何有</w:t>
      </w:r>
      <w:r>
        <w:rPr>
          <w:rFonts w:ascii="宋体" w:hAnsi="宋体" w:eastAsia="宋体" w:cs="宋体"/>
          <w:color w:val="auto"/>
          <w:spacing w:val="-4"/>
          <w:position w:val="19"/>
          <w:sz w:val="24"/>
          <w:szCs w:val="24"/>
          <w:highlight w:val="none"/>
        </w:rPr>
        <w:t>价值的物品，影响其正常决策行为。</w:t>
      </w:r>
    </w:p>
    <w:p w14:paraId="3F5AD652">
      <w:pPr>
        <w:spacing w:line="219" w:lineRule="auto"/>
        <w:ind w:left="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一经发现，其将被认定为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7979EA3D">
      <w:pPr>
        <w:spacing w:before="212" w:line="499" w:lineRule="exact"/>
        <w:ind w:left="492"/>
        <w:rPr>
          <w:rFonts w:ascii="宋体" w:hAnsi="宋体" w:eastAsia="宋体" w:cs="宋体"/>
          <w:color w:val="auto"/>
          <w:sz w:val="24"/>
          <w:szCs w:val="24"/>
          <w:highlight w:val="none"/>
        </w:rPr>
      </w:pPr>
      <w:r>
        <w:rPr>
          <w:rFonts w:ascii="宋体" w:hAnsi="宋体" w:eastAsia="宋体" w:cs="宋体"/>
          <w:color w:val="auto"/>
          <w:spacing w:val="-3"/>
          <w:position w:val="19"/>
          <w:sz w:val="24"/>
          <w:szCs w:val="24"/>
          <w:highlight w:val="none"/>
        </w:rPr>
        <w:t>（4）投标人报价超过招标文件规定的预算金额或者分项、分包最高限价的，其投标将被</w:t>
      </w:r>
    </w:p>
    <w:p w14:paraId="247370E4">
      <w:pPr>
        <w:spacing w:line="220"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61C2A63C">
      <w:pPr>
        <w:spacing w:before="211" w:line="219"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（5）投标人应认真阅读招标文件所有的事项、格式、条款和技术规范等。如投标人没有</w:t>
      </w:r>
    </w:p>
    <w:p w14:paraId="50FB93C9">
      <w:pPr>
        <w:spacing w:line="219" w:lineRule="auto"/>
        <w:rPr>
          <w:rFonts w:ascii="宋体" w:hAnsi="宋体" w:eastAsia="宋体" w:cs="宋体"/>
          <w:color w:val="auto"/>
          <w:sz w:val="24"/>
          <w:szCs w:val="24"/>
          <w:highlight w:val="none"/>
        </w:rPr>
        <w:sectPr>
          <w:footerReference r:id="rId41" w:type="default"/>
          <w:pgSz w:w="11907" w:h="16840"/>
          <w:pgMar w:top="1431" w:right="1053" w:bottom="1170" w:left="1141" w:header="0" w:footer="992" w:gutter="0"/>
          <w:pgBorders>
            <w:top w:val="none" w:sz="0" w:space="0"/>
            <w:left w:val="none" w:sz="0" w:space="0"/>
            <w:bottom w:val="none" w:sz="0" w:space="0"/>
            <w:right w:val="none" w:sz="0" w:space="0"/>
          </w:pgBorders>
          <w:pgNumType w:fmt="decimal"/>
          <w:cols w:space="720" w:num="1"/>
        </w:sectPr>
      </w:pPr>
    </w:p>
    <w:p w14:paraId="0E87F7F6">
      <w:pPr>
        <w:spacing w:before="47" w:line="500" w:lineRule="exact"/>
        <w:jc w:val="right"/>
        <w:rPr>
          <w:rFonts w:ascii="宋体" w:hAnsi="宋体" w:eastAsia="宋体" w:cs="宋体"/>
          <w:color w:val="auto"/>
          <w:sz w:val="24"/>
          <w:szCs w:val="24"/>
          <w:highlight w:val="none"/>
        </w:rPr>
      </w:pPr>
      <w:r>
        <w:rPr>
          <w:rFonts w:ascii="宋体" w:hAnsi="宋体" w:eastAsia="宋体" w:cs="宋体"/>
          <w:color w:val="auto"/>
          <w:spacing w:val="-4"/>
          <w:position w:val="19"/>
          <w:sz w:val="24"/>
          <w:szCs w:val="24"/>
          <w:highlight w:val="none"/>
        </w:rPr>
        <w:t>按照招标文件要求提交全部资料，或者投标文件没有对招标文件在各方面都做出实质性响应，</w:t>
      </w:r>
    </w:p>
    <w:p w14:paraId="0785E27A">
      <w:pPr>
        <w:spacing w:line="219" w:lineRule="auto"/>
        <w:ind w:left="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可能导致其投标将被认定为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05A97DDF">
      <w:pPr>
        <w:spacing w:before="211" w:line="499" w:lineRule="exact"/>
        <w:ind w:right="61"/>
        <w:jc w:val="right"/>
        <w:rPr>
          <w:rFonts w:ascii="宋体" w:hAnsi="宋体" w:eastAsia="宋体" w:cs="宋体"/>
          <w:color w:val="auto"/>
          <w:sz w:val="24"/>
          <w:szCs w:val="24"/>
          <w:highlight w:val="none"/>
        </w:rPr>
      </w:pPr>
      <w:r>
        <w:rPr>
          <w:rFonts w:ascii="宋体" w:hAnsi="宋体" w:eastAsia="宋体" w:cs="宋体"/>
          <w:color w:val="auto"/>
          <w:spacing w:val="-3"/>
          <w:position w:val="19"/>
          <w:sz w:val="24"/>
          <w:szCs w:val="24"/>
          <w:highlight w:val="none"/>
        </w:rPr>
        <w:t>（6）投标人应当对所投分包招标文件中“采购需求</w:t>
      </w:r>
      <w:r>
        <w:rPr>
          <w:rFonts w:ascii="宋体" w:hAnsi="宋体" w:eastAsia="宋体" w:cs="宋体"/>
          <w:color w:val="auto"/>
          <w:spacing w:val="-4"/>
          <w:position w:val="19"/>
          <w:sz w:val="24"/>
          <w:szCs w:val="24"/>
          <w:highlight w:val="none"/>
        </w:rPr>
        <w:t>”所列的所有内容进行投标，如仅响</w:t>
      </w:r>
    </w:p>
    <w:p w14:paraId="279D24A8">
      <w:pPr>
        <w:spacing w:line="219"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应某一包中的部分内容，其该包投标将被认定为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4D455741">
      <w:pPr>
        <w:spacing w:before="211" w:line="499" w:lineRule="exact"/>
        <w:ind w:right="63"/>
        <w:jc w:val="right"/>
        <w:rPr>
          <w:rFonts w:ascii="宋体" w:hAnsi="宋体" w:eastAsia="宋体" w:cs="宋体"/>
          <w:color w:val="auto"/>
          <w:sz w:val="24"/>
          <w:szCs w:val="24"/>
          <w:highlight w:val="none"/>
        </w:rPr>
      </w:pPr>
      <w:r>
        <w:rPr>
          <w:rFonts w:ascii="宋体" w:hAnsi="宋体" w:eastAsia="宋体" w:cs="宋体"/>
          <w:color w:val="auto"/>
          <w:spacing w:val="-4"/>
          <w:position w:val="19"/>
          <w:sz w:val="24"/>
          <w:szCs w:val="24"/>
          <w:highlight w:val="none"/>
        </w:rPr>
        <w:t>（7）投标人未按本须知第12.1和12.3条规定提交投标保证</w:t>
      </w:r>
      <w:r>
        <w:rPr>
          <w:rFonts w:ascii="宋体" w:hAnsi="宋体" w:eastAsia="宋体" w:cs="宋体"/>
          <w:color w:val="auto"/>
          <w:spacing w:val="-5"/>
          <w:position w:val="19"/>
          <w:sz w:val="24"/>
          <w:szCs w:val="24"/>
          <w:highlight w:val="none"/>
        </w:rPr>
        <w:t>金的，其投标将被认定为</w:t>
      </w:r>
      <w:r>
        <w:rPr>
          <w:rFonts w:ascii="宋体" w:hAnsi="宋体" w:eastAsia="宋体" w:cs="宋体"/>
          <w:color w:val="auto"/>
          <w:spacing w:val="-5"/>
          <w:position w:val="19"/>
          <w:sz w:val="24"/>
          <w:szCs w:val="24"/>
          <w:highlight w:val="none"/>
          <w14:textOutline w14:w="4358" w14:cap="sq" w14:cmpd="sng">
            <w14:solidFill>
              <w14:srgbClr w14:val="000000"/>
            </w14:solidFill>
            <w14:prstDash w14:val="solid"/>
            <w14:bevel/>
          </w14:textOutline>
        </w:rPr>
        <w:t>投</w:t>
      </w:r>
    </w:p>
    <w:p w14:paraId="2469672C">
      <w:pPr>
        <w:spacing w:line="220"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标无效</w:t>
      </w:r>
      <w:r>
        <w:rPr>
          <w:rFonts w:ascii="宋体" w:hAnsi="宋体" w:eastAsia="宋体" w:cs="宋体"/>
          <w:color w:val="auto"/>
          <w:spacing w:val="-2"/>
          <w:sz w:val="24"/>
          <w:szCs w:val="24"/>
          <w:highlight w:val="none"/>
        </w:rPr>
        <w:t>。</w:t>
      </w:r>
    </w:p>
    <w:p w14:paraId="0D562D13">
      <w:pPr>
        <w:spacing w:before="211" w:line="383" w:lineRule="auto"/>
        <w:ind w:left="23" w:right="22" w:firstLine="46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（8）所有投标均以人民币报价。投标人的投标报价应遵守《中华人民共和国价格法》。</w:t>
      </w:r>
      <w:r>
        <w:rPr>
          <w:rFonts w:ascii="宋体" w:hAnsi="宋体" w:eastAsia="宋体" w:cs="宋体"/>
          <w:color w:val="auto"/>
          <w:sz w:val="24"/>
          <w:szCs w:val="24"/>
          <w:highlight w:val="none"/>
        </w:rPr>
        <w:t>同时，根据《中华人民共和国政府采购法》第二条的规定，为保证公平竞争，如有货物主体</w:t>
      </w:r>
    </w:p>
    <w:p w14:paraId="09B29C51">
      <w:pPr>
        <w:spacing w:before="1" w:line="219" w:lineRule="auto"/>
        <w:ind w:left="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部分的赠与行为，其投标将被认定为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5CCF7160">
      <w:pPr>
        <w:spacing w:before="214" w:line="497" w:lineRule="exact"/>
        <w:ind w:right="61"/>
        <w:jc w:val="right"/>
        <w:rPr>
          <w:rFonts w:ascii="宋体" w:hAnsi="宋体" w:eastAsia="宋体" w:cs="宋体"/>
          <w:color w:val="auto"/>
          <w:sz w:val="24"/>
          <w:szCs w:val="24"/>
          <w:highlight w:val="none"/>
        </w:rPr>
      </w:pPr>
      <w:r>
        <w:rPr>
          <w:rFonts w:ascii="宋体" w:hAnsi="宋体" w:eastAsia="宋体" w:cs="宋体"/>
          <w:color w:val="auto"/>
          <w:spacing w:val="-3"/>
          <w:position w:val="19"/>
          <w:sz w:val="24"/>
          <w:szCs w:val="24"/>
          <w:highlight w:val="none"/>
        </w:rPr>
        <w:t>（9）投标人所报的各分项投标单价在合同履行过程中是固定不变的，不得以任何理由予</w:t>
      </w:r>
    </w:p>
    <w:p w14:paraId="33A52AC8">
      <w:pPr>
        <w:spacing w:before="1" w:line="217" w:lineRule="auto"/>
        <w:ind w:left="2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以变更。任何包含价格调整要求的投标，其投标将被认定为</w:t>
      </w:r>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2"/>
          <w:sz w:val="24"/>
          <w:szCs w:val="24"/>
          <w:highlight w:val="none"/>
        </w:rPr>
        <w:t>。</w:t>
      </w:r>
    </w:p>
    <w:p w14:paraId="6ED48754">
      <w:pPr>
        <w:spacing w:before="216" w:line="496" w:lineRule="exact"/>
        <w:ind w:right="64"/>
        <w:jc w:val="right"/>
        <w:rPr>
          <w:rFonts w:ascii="宋体" w:hAnsi="宋体" w:eastAsia="宋体" w:cs="宋体"/>
          <w:color w:val="auto"/>
          <w:sz w:val="24"/>
          <w:szCs w:val="24"/>
          <w:highlight w:val="none"/>
        </w:rPr>
      </w:pPr>
      <w:r>
        <w:rPr>
          <w:rFonts w:ascii="宋体" w:hAnsi="宋体" w:eastAsia="宋体" w:cs="宋体"/>
          <w:color w:val="auto"/>
          <w:position w:val="19"/>
          <w:sz w:val="24"/>
          <w:szCs w:val="24"/>
          <w:highlight w:val="none"/>
        </w:rPr>
        <w:t>（10）投标应在投标人须知资料表中规定时间内保持有效。投标有效期不满足要求的投</w:t>
      </w:r>
    </w:p>
    <w:p w14:paraId="10A5236D">
      <w:pPr>
        <w:spacing w:before="1" w:line="219"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标，其投标将被认定为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12C1C0A5">
      <w:pPr>
        <w:spacing w:before="213" w:line="219" w:lineRule="auto"/>
        <w:ind w:left="491"/>
        <w:rPr>
          <w:rFonts w:ascii="宋体" w:hAnsi="宋体" w:eastAsia="宋体" w:cs="宋体"/>
          <w:color w:val="auto"/>
          <w:sz w:val="24"/>
          <w:szCs w:val="24"/>
          <w:highlight w:val="none"/>
        </w:rPr>
      </w:pPr>
      <w:r>
        <w:rPr>
          <w:rFonts w:ascii="宋体" w:hAnsi="宋体" w:eastAsia="宋体" w:cs="宋体"/>
          <w:color w:val="auto"/>
          <w:sz w:val="24"/>
          <w:szCs w:val="24"/>
          <w:highlight w:val="none"/>
        </w:rPr>
        <w:t>（11）所有投标文件采用不可拆装的胶订</w:t>
      </w:r>
      <w:r>
        <w:rPr>
          <w:rFonts w:ascii="宋体" w:hAnsi="宋体" w:eastAsia="宋体" w:cs="宋体"/>
          <w:color w:val="auto"/>
          <w:spacing w:val="-1"/>
          <w:sz w:val="24"/>
          <w:szCs w:val="24"/>
          <w:highlight w:val="none"/>
        </w:rPr>
        <w:t>方式装订，否则其投标将被认定为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7AC09F8B">
      <w:pPr>
        <w:spacing w:before="213" w:line="499" w:lineRule="exact"/>
        <w:ind w:right="63"/>
        <w:jc w:val="right"/>
        <w:rPr>
          <w:rFonts w:ascii="宋体" w:hAnsi="宋体" w:eastAsia="宋体" w:cs="宋体"/>
          <w:color w:val="auto"/>
          <w:sz w:val="24"/>
          <w:szCs w:val="24"/>
          <w:highlight w:val="none"/>
        </w:rPr>
      </w:pPr>
      <w:r>
        <w:rPr>
          <w:rFonts w:ascii="宋体" w:hAnsi="宋体" w:eastAsia="宋体" w:cs="宋体"/>
          <w:color w:val="auto"/>
          <w:spacing w:val="-2"/>
          <w:position w:val="19"/>
          <w:sz w:val="24"/>
          <w:szCs w:val="24"/>
          <w:highlight w:val="none"/>
        </w:rPr>
        <w:t>（12）采购人或采购代理机构将在开标前1个工作日至投标截止后1小时的期间内查询</w:t>
      </w:r>
    </w:p>
    <w:p w14:paraId="6734891B">
      <w:pPr>
        <w:spacing w:before="1" w:line="219" w:lineRule="auto"/>
        <w:ind w:left="2"/>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投标人的信用记录。投标人存在不良信用记录的，其投</w:t>
      </w:r>
      <w:r>
        <w:rPr>
          <w:rFonts w:ascii="宋体" w:hAnsi="宋体" w:eastAsia="宋体" w:cs="宋体"/>
          <w:color w:val="auto"/>
          <w:spacing w:val="-1"/>
          <w:sz w:val="24"/>
          <w:szCs w:val="24"/>
          <w:highlight w:val="none"/>
        </w:rPr>
        <w:t>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157B2D76">
      <w:pPr>
        <w:spacing w:before="212" w:line="383" w:lineRule="auto"/>
        <w:ind w:left="27" w:right="61" w:firstLine="464"/>
        <w:rPr>
          <w:rFonts w:ascii="宋体" w:hAnsi="宋体" w:eastAsia="宋体" w:cs="宋体"/>
          <w:color w:val="auto"/>
          <w:sz w:val="24"/>
          <w:szCs w:val="24"/>
          <w:highlight w:val="none"/>
        </w:rPr>
      </w:pPr>
      <w:r>
        <w:rPr>
          <w:rFonts w:ascii="宋体" w:hAnsi="宋体" w:eastAsia="宋体" w:cs="宋体"/>
          <w:color w:val="auto"/>
          <w:sz w:val="24"/>
          <w:szCs w:val="24"/>
          <w:highlight w:val="none"/>
        </w:rPr>
        <w:t>（13）总价金额与按单价汇总金额不一致的，以单价金额计算结果为准。同时出现两种</w:t>
      </w:r>
      <w:r>
        <w:rPr>
          <w:rFonts w:ascii="宋体" w:hAnsi="宋体" w:eastAsia="宋体" w:cs="宋体"/>
          <w:color w:val="auto"/>
          <w:spacing w:val="-3"/>
          <w:sz w:val="24"/>
          <w:szCs w:val="24"/>
          <w:highlight w:val="none"/>
        </w:rPr>
        <w:t>以上不一致的，按照前款规定的顺序修正。修正后的报价按照</w:t>
      </w:r>
      <w:r>
        <w:rPr>
          <w:rFonts w:ascii="宋体" w:hAnsi="宋体" w:eastAsia="宋体" w:cs="宋体"/>
          <w:color w:val="auto"/>
          <w:spacing w:val="-4"/>
          <w:sz w:val="24"/>
          <w:szCs w:val="24"/>
          <w:highlight w:val="none"/>
        </w:rPr>
        <w:t>第20.2条的规定经投标人确认</w:t>
      </w:r>
    </w:p>
    <w:p w14:paraId="25B91E88">
      <w:pPr>
        <w:spacing w:line="219" w:lineRule="auto"/>
        <w:ind w:left="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后产生约束力，投标人不确认的，其投标将被认定为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0706BA96">
      <w:pPr>
        <w:spacing w:before="214" w:line="383" w:lineRule="auto"/>
        <w:ind w:right="64" w:firstLine="490"/>
        <w:rPr>
          <w:rFonts w:ascii="宋体" w:hAnsi="宋体" w:eastAsia="宋体" w:cs="宋体"/>
          <w:color w:val="auto"/>
          <w:sz w:val="24"/>
          <w:szCs w:val="24"/>
          <w:highlight w:val="none"/>
        </w:rPr>
      </w:pPr>
      <w:r>
        <w:rPr>
          <w:rFonts w:ascii="宋体" w:hAnsi="宋体" w:eastAsia="宋体" w:cs="宋体"/>
          <w:color w:val="auto"/>
          <w:sz w:val="24"/>
          <w:szCs w:val="24"/>
          <w:highlight w:val="none"/>
        </w:rPr>
        <w:t>（14）在比较与评价之前，根据本须知的规定，评标委员会要审查每份投标文件是否实</w:t>
      </w:r>
      <w:r>
        <w:rPr>
          <w:rFonts w:ascii="宋体" w:hAnsi="宋体" w:eastAsia="宋体" w:cs="宋体"/>
          <w:color w:val="auto"/>
          <w:spacing w:val="1"/>
          <w:sz w:val="24"/>
          <w:szCs w:val="24"/>
          <w:highlight w:val="none"/>
        </w:rPr>
        <w:t>质上响应了招标文件的要求。实质上响应的投标应该是与招</w:t>
      </w:r>
      <w:r>
        <w:rPr>
          <w:rFonts w:ascii="宋体" w:hAnsi="宋体" w:eastAsia="宋体" w:cs="宋体"/>
          <w:color w:val="auto"/>
          <w:sz w:val="24"/>
          <w:szCs w:val="24"/>
          <w:highlight w:val="none"/>
        </w:rPr>
        <w:t>标文件要求的全部条款、条件和</w:t>
      </w:r>
    </w:p>
    <w:p w14:paraId="764566E5">
      <w:pPr>
        <w:spacing w:before="1"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规格相符，没有重大偏离的投标。对关键条款的偏离，将</w:t>
      </w:r>
      <w:r>
        <w:rPr>
          <w:rFonts w:ascii="宋体" w:hAnsi="宋体" w:eastAsia="宋体" w:cs="宋体"/>
          <w:color w:val="auto"/>
          <w:spacing w:val="-1"/>
          <w:sz w:val="24"/>
          <w:szCs w:val="24"/>
          <w:highlight w:val="none"/>
        </w:rPr>
        <w:t>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54D9C872">
      <w:pPr>
        <w:spacing w:before="212" w:line="219"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（15）如发现下列情况之一的，其投标将被认定为</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投标无效</w:t>
      </w:r>
      <w:r>
        <w:rPr>
          <w:rFonts w:ascii="宋体" w:hAnsi="宋体" w:eastAsia="宋体" w:cs="宋体"/>
          <w:color w:val="auto"/>
          <w:spacing w:val="-1"/>
          <w:sz w:val="24"/>
          <w:szCs w:val="24"/>
          <w:highlight w:val="none"/>
        </w:rPr>
        <w:t>：</w:t>
      </w:r>
    </w:p>
    <w:p w14:paraId="7D2F1E4B">
      <w:pPr>
        <w:spacing w:before="214" w:line="383" w:lineRule="auto"/>
        <w:ind w:right="64"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未按招标文件规定的形式和金额提交投标保证金的；未</w:t>
      </w:r>
      <w:r>
        <w:rPr>
          <w:rFonts w:ascii="宋体" w:hAnsi="宋体" w:eastAsia="宋体" w:cs="宋体"/>
          <w:color w:val="auto"/>
          <w:sz w:val="24"/>
          <w:szCs w:val="24"/>
          <w:highlight w:val="none"/>
          <w14:textOutline w14:w="4358" w14:cap="sq" w14:cmpd="sng">
            <w14:solidFill>
              <w14:srgbClr w14:val="000000"/>
            </w14:solidFill>
            <w14:prstDash w14:val="solid"/>
            <w14:bevel/>
          </w14:textOutline>
        </w:rPr>
        <w:t>按照招标文件规定要求签署、盖</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章的；未满足招标文件中技术条款的实质性要求；与其他投标</w:t>
      </w:r>
      <w:r>
        <w:rPr>
          <w:rFonts w:ascii="宋体" w:hAnsi="宋体" w:eastAsia="宋体" w:cs="宋体"/>
          <w:color w:val="auto"/>
          <w:sz w:val="24"/>
          <w:szCs w:val="24"/>
          <w:highlight w:val="none"/>
          <w14:textOutline w14:w="4358" w14:cap="sq" w14:cmpd="sng">
            <w14:solidFill>
              <w14:srgbClr w14:val="000000"/>
            </w14:solidFill>
            <w14:prstDash w14:val="solid"/>
            <w14:bevel/>
          </w14:textOutline>
        </w:rPr>
        <w:t>人串通投标，或者与招标人串</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通投标；属于招标文件规定的其他投标无效情形；评标委员会</w:t>
      </w:r>
      <w:r>
        <w:rPr>
          <w:rFonts w:ascii="宋体" w:hAnsi="宋体" w:eastAsia="宋体" w:cs="宋体"/>
          <w:color w:val="auto"/>
          <w:sz w:val="24"/>
          <w:szCs w:val="24"/>
          <w:highlight w:val="none"/>
          <w14:textOutline w14:w="4358" w14:cap="sq" w14:cmpd="sng">
            <w14:solidFill>
              <w14:srgbClr w14:val="000000"/>
            </w14:solidFill>
            <w14:prstDash w14:val="solid"/>
            <w14:bevel/>
          </w14:textOutline>
        </w:rPr>
        <w:t>认为投标人的报价明显低于其</w:t>
      </w: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他通过符合性检查投标人的报价，有可能影响履约的，且投标</w:t>
      </w:r>
      <w:r>
        <w:rPr>
          <w:rFonts w:ascii="宋体" w:hAnsi="宋体" w:eastAsia="宋体" w:cs="宋体"/>
          <w:color w:val="auto"/>
          <w:sz w:val="24"/>
          <w:szCs w:val="24"/>
          <w:highlight w:val="none"/>
          <w14:textOutline w14:w="4358" w14:cap="sq" w14:cmpd="sng">
            <w14:solidFill>
              <w14:srgbClr w14:val="000000"/>
            </w14:solidFill>
            <w14:prstDash w14:val="solid"/>
            <w14:bevel/>
          </w14:textOutline>
        </w:rPr>
        <w:t>人未按照规定证明其报价合理</w:t>
      </w:r>
    </w:p>
    <w:p w14:paraId="74BCE582">
      <w:pPr>
        <w:spacing w:before="1" w:line="218" w:lineRule="auto"/>
        <w:ind w:left="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性的；投标文件含有采购人不能接受的附加条件的；不符</w:t>
      </w:r>
      <w:r>
        <w:rPr>
          <w:rFonts w:ascii="宋体" w:hAnsi="宋体" w:eastAsia="宋体" w:cs="宋体"/>
          <w:color w:val="auto"/>
          <w:sz w:val="24"/>
          <w:szCs w:val="24"/>
          <w:highlight w:val="none"/>
          <w14:textOutline w14:w="4358" w14:cap="sq" w14:cmpd="sng">
            <w14:solidFill>
              <w14:srgbClr w14:val="000000"/>
            </w14:solidFill>
            <w14:prstDash w14:val="solid"/>
            <w14:bevel/>
          </w14:textOutline>
        </w:rPr>
        <w:t>合法规和招标文件中规定的其他实</w:t>
      </w:r>
    </w:p>
    <w:p w14:paraId="2B367699">
      <w:pPr>
        <w:spacing w:line="218" w:lineRule="auto"/>
        <w:rPr>
          <w:rFonts w:ascii="宋体" w:hAnsi="宋体" w:eastAsia="宋体" w:cs="宋体"/>
          <w:color w:val="auto"/>
          <w:sz w:val="24"/>
          <w:szCs w:val="24"/>
          <w:highlight w:val="none"/>
        </w:rPr>
        <w:sectPr>
          <w:footerReference r:id="rId42" w:type="default"/>
          <w:pgSz w:w="11907" w:h="16840"/>
          <w:pgMar w:top="1405" w:right="1071" w:bottom="1171" w:left="1142" w:header="0" w:footer="992" w:gutter="0"/>
          <w:pgBorders>
            <w:top w:val="none" w:sz="0" w:space="0"/>
            <w:left w:val="none" w:sz="0" w:space="0"/>
            <w:bottom w:val="none" w:sz="0" w:space="0"/>
            <w:right w:val="none" w:sz="0" w:space="0"/>
          </w:pgBorders>
          <w:pgNumType w:fmt="decimal"/>
          <w:cols w:space="720" w:num="1"/>
        </w:sectPr>
      </w:pPr>
    </w:p>
    <w:p w14:paraId="400C8D39">
      <w:pPr>
        <w:spacing w:before="48" w:line="220" w:lineRule="auto"/>
        <w:ind w:left="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质性要求的。</w:t>
      </w:r>
    </w:p>
    <w:p w14:paraId="31B48FC5">
      <w:pPr>
        <w:spacing w:before="213"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5.开评标过程</w:t>
      </w:r>
    </w:p>
    <w:p w14:paraId="7156BC77">
      <w:pPr>
        <w:spacing w:before="210" w:line="220" w:lineRule="auto"/>
        <w:ind w:left="49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（1）开标</w:t>
      </w:r>
    </w:p>
    <w:p w14:paraId="675930AE">
      <w:pPr>
        <w:spacing w:before="213" w:line="383" w:lineRule="auto"/>
        <w:ind w:right="2"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按照采购文件要求，在投标截止时间之前，接收投标单位</w:t>
      </w:r>
      <w:r>
        <w:rPr>
          <w:rFonts w:ascii="宋体" w:hAnsi="宋体" w:eastAsia="宋体" w:cs="宋体"/>
          <w:color w:val="auto"/>
          <w:sz w:val="24"/>
          <w:szCs w:val="24"/>
          <w:highlight w:val="none"/>
        </w:rPr>
        <w:t>上传的投标文件，投标截止时间后不再接收投标单位上传的投标文件，投标人不足3家的，不得开标；开启监控设备，与</w:t>
      </w:r>
      <w:r>
        <w:rPr>
          <w:rFonts w:ascii="宋体" w:hAnsi="宋体" w:eastAsia="宋体" w:cs="宋体"/>
          <w:color w:val="auto"/>
          <w:spacing w:val="1"/>
          <w:sz w:val="24"/>
          <w:szCs w:val="24"/>
          <w:highlight w:val="none"/>
        </w:rPr>
        <w:t>会各位代表按指定的位置就座，并保持会场纪律，不得大声喧哗</w:t>
      </w:r>
      <w:r>
        <w:rPr>
          <w:rFonts w:ascii="宋体" w:hAnsi="宋体" w:eastAsia="宋体" w:cs="宋体"/>
          <w:color w:val="auto"/>
          <w:sz w:val="24"/>
          <w:szCs w:val="24"/>
          <w:highlight w:val="none"/>
        </w:rPr>
        <w:t>，不得随意走动，开标会议</w:t>
      </w:r>
      <w:r>
        <w:rPr>
          <w:rFonts w:ascii="宋体" w:hAnsi="宋体" w:eastAsia="宋体" w:cs="宋体"/>
          <w:color w:val="auto"/>
          <w:spacing w:val="1"/>
          <w:sz w:val="24"/>
          <w:szCs w:val="24"/>
          <w:highlight w:val="none"/>
        </w:rPr>
        <w:t>主持人宣布开标环节正式开始，并宣读会场纪律，参会人员手机</w:t>
      </w:r>
      <w:r>
        <w:rPr>
          <w:rFonts w:ascii="宋体" w:hAnsi="宋体" w:eastAsia="宋体" w:cs="宋体"/>
          <w:color w:val="auto"/>
          <w:sz w:val="24"/>
          <w:szCs w:val="24"/>
          <w:highlight w:val="none"/>
        </w:rPr>
        <w:t>调至静音或关机状态，上交</w:t>
      </w:r>
    </w:p>
    <w:p w14:paraId="5719B8C6">
      <w:pPr>
        <w:spacing w:line="218" w:lineRule="auto"/>
        <w:ind w:left="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至指定手机收纳箱保管。</w:t>
      </w:r>
    </w:p>
    <w:p w14:paraId="62DB0710">
      <w:pPr>
        <w:spacing w:before="213"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第一项：请投标单位代表解密电子投标文件，解</w:t>
      </w:r>
      <w:r>
        <w:rPr>
          <w:rFonts w:ascii="宋体" w:hAnsi="宋体" w:eastAsia="宋体" w:cs="宋体"/>
          <w:color w:val="auto"/>
          <w:spacing w:val="-2"/>
          <w:sz w:val="24"/>
          <w:szCs w:val="24"/>
          <w:highlight w:val="none"/>
        </w:rPr>
        <w:t>密时长30分钟。</w:t>
      </w:r>
    </w:p>
    <w:p w14:paraId="55C1F4D0">
      <w:pPr>
        <w:spacing w:before="214"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第二项：由资格审查人员对各投标单位的资格要求进行审查。</w:t>
      </w:r>
    </w:p>
    <w:p w14:paraId="6DA7400F">
      <w:pPr>
        <w:spacing w:before="212" w:line="218" w:lineRule="auto"/>
        <w:ind w:left="481"/>
        <w:rPr>
          <w:rFonts w:ascii="宋体" w:hAnsi="宋体" w:eastAsia="宋体" w:cs="宋体"/>
          <w:color w:val="auto"/>
          <w:sz w:val="24"/>
          <w:szCs w:val="24"/>
          <w:highlight w:val="none"/>
        </w:rPr>
      </w:pPr>
      <w:r>
        <w:rPr>
          <w:rFonts w:ascii="宋体" w:hAnsi="宋体" w:eastAsia="宋体" w:cs="宋体"/>
          <w:color w:val="auto"/>
          <w:sz w:val="24"/>
          <w:szCs w:val="24"/>
          <w:highlight w:val="none"/>
        </w:rPr>
        <w:t>第三项：开标，各投标单位对投标报价有无疑异，如果</w:t>
      </w:r>
      <w:r>
        <w:rPr>
          <w:rFonts w:ascii="宋体" w:hAnsi="宋体" w:eastAsia="宋体" w:cs="宋体"/>
          <w:color w:val="auto"/>
          <w:spacing w:val="-1"/>
          <w:sz w:val="24"/>
          <w:szCs w:val="24"/>
          <w:highlight w:val="none"/>
        </w:rPr>
        <w:t>没有疑异，请签字确认。</w:t>
      </w:r>
    </w:p>
    <w:p w14:paraId="49FB04B9">
      <w:pPr>
        <w:spacing w:before="216" w:line="220" w:lineRule="auto"/>
        <w:ind w:left="49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（2）评标</w:t>
      </w:r>
    </w:p>
    <w:p w14:paraId="31E20F2C">
      <w:pPr>
        <w:spacing w:before="211" w:line="383" w:lineRule="auto"/>
        <w:ind w:firstLine="481"/>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本项目评标委员会由5人组成（政采云平台政府采购专家库随机抽取4名，业主专家1名）</w:t>
      </w:r>
      <w:r>
        <w:rPr>
          <w:rFonts w:ascii="宋体" w:hAnsi="宋体" w:eastAsia="宋体" w:cs="宋体"/>
          <w:color w:val="auto"/>
          <w:spacing w:val="19"/>
          <w:sz w:val="24"/>
          <w:szCs w:val="24"/>
          <w:highlight w:val="none"/>
        </w:rPr>
        <w:t>，</w:t>
      </w:r>
      <w:r>
        <w:rPr>
          <w:rFonts w:ascii="宋体" w:hAnsi="宋体" w:eastAsia="宋体" w:cs="宋体"/>
          <w:color w:val="auto"/>
          <w:spacing w:val="1"/>
          <w:sz w:val="24"/>
          <w:szCs w:val="24"/>
          <w:highlight w:val="none"/>
        </w:rPr>
        <w:t>按照采购文件要求，评审专家按时到达指定评标会议室，由专家评委推荐评标委员会组长，并宣读评标纪律、统一保管评委手机、签署《政府采购</w:t>
      </w:r>
      <w:r>
        <w:rPr>
          <w:rFonts w:ascii="宋体" w:hAnsi="宋体" w:eastAsia="宋体" w:cs="宋体"/>
          <w:color w:val="auto"/>
          <w:sz w:val="24"/>
          <w:szCs w:val="24"/>
          <w:highlight w:val="none"/>
        </w:rPr>
        <w:t>评审专家承诺书》，组织专</w:t>
      </w:r>
      <w:r>
        <w:rPr>
          <w:rFonts w:ascii="宋体" w:hAnsi="宋体" w:eastAsia="宋体" w:cs="宋体"/>
          <w:color w:val="auto"/>
          <w:spacing w:val="1"/>
          <w:sz w:val="24"/>
          <w:szCs w:val="24"/>
          <w:highlight w:val="none"/>
        </w:rPr>
        <w:t>家签到，开始评标，评审委员会依据投标文件内容及采购文件评</w:t>
      </w:r>
      <w:r>
        <w:rPr>
          <w:rFonts w:ascii="宋体" w:hAnsi="宋体" w:eastAsia="宋体" w:cs="宋体"/>
          <w:color w:val="auto"/>
          <w:sz w:val="24"/>
          <w:szCs w:val="24"/>
          <w:highlight w:val="none"/>
        </w:rPr>
        <w:t>审因素的量化指标对投标文</w:t>
      </w:r>
      <w:r>
        <w:rPr>
          <w:rFonts w:ascii="宋体" w:hAnsi="宋体" w:eastAsia="宋体" w:cs="宋体"/>
          <w:color w:val="auto"/>
          <w:spacing w:val="1"/>
          <w:sz w:val="24"/>
          <w:szCs w:val="24"/>
          <w:highlight w:val="none"/>
        </w:rPr>
        <w:t>件组织评审，评审期间评审专家需对评标内容严格保密，遵守评</w:t>
      </w:r>
      <w:r>
        <w:rPr>
          <w:rFonts w:ascii="宋体" w:hAnsi="宋体" w:eastAsia="宋体" w:cs="宋体"/>
          <w:color w:val="auto"/>
          <w:sz w:val="24"/>
          <w:szCs w:val="24"/>
          <w:highlight w:val="none"/>
        </w:rPr>
        <w:t>标保密纪律，遵守评审工作</w:t>
      </w:r>
      <w:r>
        <w:rPr>
          <w:rFonts w:ascii="宋体" w:hAnsi="宋体" w:eastAsia="宋体" w:cs="宋体"/>
          <w:color w:val="auto"/>
          <w:spacing w:val="1"/>
          <w:sz w:val="24"/>
          <w:szCs w:val="24"/>
          <w:highlight w:val="none"/>
        </w:rPr>
        <w:t>纪律，不得泄露评审文件、评审情况和评审中获悉的商业秘密，</w:t>
      </w:r>
      <w:r>
        <w:rPr>
          <w:rFonts w:ascii="宋体" w:hAnsi="宋体" w:eastAsia="宋体" w:cs="宋体"/>
          <w:color w:val="auto"/>
          <w:sz w:val="24"/>
          <w:szCs w:val="24"/>
          <w:highlight w:val="none"/>
        </w:rPr>
        <w:t>不许在评标过程中拿手机打</w:t>
      </w:r>
      <w:r>
        <w:rPr>
          <w:rFonts w:ascii="宋体" w:hAnsi="宋体" w:eastAsia="宋体" w:cs="宋体"/>
          <w:color w:val="auto"/>
          <w:spacing w:val="1"/>
          <w:sz w:val="24"/>
          <w:szCs w:val="24"/>
          <w:highlight w:val="none"/>
        </w:rPr>
        <w:t>电话等行为，若在评审过程中，评标委员会对投标文件有疑问时</w:t>
      </w:r>
      <w:r>
        <w:rPr>
          <w:rFonts w:ascii="宋体" w:hAnsi="宋体" w:eastAsia="宋体" w:cs="宋体"/>
          <w:color w:val="auto"/>
          <w:sz w:val="24"/>
          <w:szCs w:val="24"/>
          <w:highlight w:val="none"/>
        </w:rPr>
        <w:t>，需以书面形式转至投标单</w:t>
      </w:r>
      <w:r>
        <w:rPr>
          <w:rFonts w:ascii="宋体" w:hAnsi="宋体" w:eastAsia="宋体" w:cs="宋体"/>
          <w:color w:val="auto"/>
          <w:spacing w:val="1"/>
          <w:sz w:val="24"/>
          <w:szCs w:val="24"/>
          <w:highlight w:val="none"/>
        </w:rPr>
        <w:t>位，投标单位须对评标委员会提出的疑问做出书面澄清解答，而</w:t>
      </w:r>
      <w:r>
        <w:rPr>
          <w:rFonts w:ascii="宋体" w:hAnsi="宋体" w:eastAsia="宋体" w:cs="宋体"/>
          <w:color w:val="auto"/>
          <w:sz w:val="24"/>
          <w:szCs w:val="24"/>
          <w:highlight w:val="none"/>
        </w:rPr>
        <w:t>后专家针对评审的投标文件</w:t>
      </w:r>
    </w:p>
    <w:p w14:paraId="7A171D85">
      <w:pPr>
        <w:spacing w:before="2" w:line="217" w:lineRule="auto"/>
        <w:ind w:left="2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的商务技术部分进行打分并签字，最后出具本项目评</w:t>
      </w:r>
      <w:r>
        <w:rPr>
          <w:rFonts w:ascii="宋体" w:hAnsi="宋体" w:eastAsia="宋体" w:cs="宋体"/>
          <w:color w:val="auto"/>
          <w:spacing w:val="-2"/>
          <w:sz w:val="24"/>
          <w:szCs w:val="24"/>
          <w:highlight w:val="none"/>
        </w:rPr>
        <w:t>审报告。</w:t>
      </w:r>
    </w:p>
    <w:p w14:paraId="000D287D">
      <w:pPr>
        <w:spacing w:before="216" w:line="219"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6.确定中标候选人</w:t>
      </w:r>
    </w:p>
    <w:p w14:paraId="5279F23A">
      <w:pPr>
        <w:spacing w:before="212" w:line="217" w:lineRule="auto"/>
        <w:ind w:left="480"/>
        <w:rPr>
          <w:rFonts w:ascii="宋体" w:hAnsi="宋体" w:eastAsia="宋体" w:cs="宋体"/>
          <w:color w:val="auto"/>
          <w:sz w:val="24"/>
          <w:szCs w:val="24"/>
          <w:highlight w:val="none"/>
        </w:rPr>
      </w:pPr>
      <w:r>
        <w:rPr>
          <w:rFonts w:ascii="宋体" w:hAnsi="宋体" w:eastAsia="宋体" w:cs="宋体"/>
          <w:color w:val="auto"/>
          <w:sz w:val="24"/>
          <w:szCs w:val="24"/>
          <w:highlight w:val="none"/>
        </w:rPr>
        <w:t>①采购代理机构应当在评标结束后</w:t>
      </w:r>
      <w:r>
        <w:rPr>
          <w:rFonts w:ascii="宋体" w:hAnsi="宋体" w:eastAsia="宋体" w:cs="宋体"/>
          <w:color w:val="auto"/>
          <w:sz w:val="24"/>
          <w:szCs w:val="24"/>
          <w:highlight w:val="none"/>
          <w:u w:val="single" w:color="auto"/>
        </w:rPr>
        <w:t>2</w:t>
      </w:r>
      <w:r>
        <w:rPr>
          <w:rFonts w:ascii="宋体" w:hAnsi="宋体" w:eastAsia="宋体" w:cs="宋体"/>
          <w:color w:val="auto"/>
          <w:sz w:val="24"/>
          <w:szCs w:val="24"/>
          <w:highlight w:val="none"/>
        </w:rPr>
        <w:t>个工作日内</w:t>
      </w:r>
      <w:r>
        <w:rPr>
          <w:rFonts w:ascii="宋体" w:hAnsi="宋体" w:eastAsia="宋体" w:cs="宋体"/>
          <w:color w:val="auto"/>
          <w:spacing w:val="-1"/>
          <w:sz w:val="24"/>
          <w:szCs w:val="24"/>
          <w:highlight w:val="none"/>
        </w:rPr>
        <w:t>将评标报告送采购人。</w:t>
      </w:r>
    </w:p>
    <w:p w14:paraId="6BDB66F4">
      <w:pPr>
        <w:spacing w:before="217" w:line="383" w:lineRule="auto"/>
        <w:ind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②采购人不委托评审小组直接确定中标人。评审小组推荐中标候选人的数</w:t>
      </w:r>
      <w:r>
        <w:rPr>
          <w:rFonts w:ascii="宋体" w:hAnsi="宋体" w:eastAsia="宋体" w:cs="宋体"/>
          <w:color w:val="auto"/>
          <w:spacing w:val="-3"/>
          <w:sz w:val="24"/>
          <w:szCs w:val="24"/>
          <w:highlight w:val="none"/>
        </w:rPr>
        <w:t>量为</w:t>
      </w:r>
      <w:r>
        <w:rPr>
          <w:rFonts w:ascii="宋体" w:hAnsi="宋体" w:eastAsia="宋体" w:cs="宋体"/>
          <w:color w:val="auto"/>
          <w:spacing w:val="-3"/>
          <w:sz w:val="24"/>
          <w:szCs w:val="24"/>
          <w:highlight w:val="none"/>
          <w:u w:val="single" w:color="auto"/>
        </w:rPr>
        <w:t>3</w:t>
      </w:r>
      <w:r>
        <w:rPr>
          <w:rFonts w:ascii="宋体" w:hAnsi="宋体" w:eastAsia="宋体" w:cs="宋体"/>
          <w:color w:val="auto"/>
          <w:spacing w:val="-3"/>
          <w:sz w:val="24"/>
          <w:szCs w:val="24"/>
          <w:highlight w:val="none"/>
        </w:rPr>
        <w:t>家。采</w:t>
      </w:r>
      <w:r>
        <w:rPr>
          <w:rFonts w:ascii="宋体" w:hAnsi="宋体" w:eastAsia="宋体" w:cs="宋体"/>
          <w:color w:val="auto"/>
          <w:sz w:val="24"/>
          <w:szCs w:val="24"/>
          <w:highlight w:val="none"/>
        </w:rPr>
        <w:t>购人应当自收到评标报告之日起5个工作日内，在评标报告确定的中标候选人名单中按顺序</w:t>
      </w:r>
    </w:p>
    <w:p w14:paraId="2CEBF819">
      <w:pPr>
        <w:spacing w:line="220" w:lineRule="auto"/>
        <w:ind w:left="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确定中标人。</w:t>
      </w:r>
    </w:p>
    <w:p w14:paraId="1263CD30">
      <w:pPr>
        <w:spacing w:before="211" w:line="499" w:lineRule="exact"/>
        <w:jc w:val="right"/>
        <w:rPr>
          <w:rFonts w:ascii="宋体" w:hAnsi="宋体" w:eastAsia="宋体" w:cs="宋体"/>
          <w:color w:val="auto"/>
          <w:sz w:val="24"/>
          <w:szCs w:val="24"/>
          <w:highlight w:val="none"/>
        </w:rPr>
      </w:pPr>
      <w:r>
        <w:rPr>
          <w:rFonts w:ascii="宋体" w:hAnsi="宋体" w:eastAsia="宋体" w:cs="宋体"/>
          <w:color w:val="auto"/>
          <w:spacing w:val="1"/>
          <w:position w:val="19"/>
          <w:sz w:val="24"/>
          <w:szCs w:val="24"/>
          <w:highlight w:val="none"/>
        </w:rPr>
        <w:t>③本项目采用的采购方式为公开招标，评分方法：综合评分法，投标文件</w:t>
      </w:r>
      <w:r>
        <w:rPr>
          <w:rFonts w:ascii="宋体" w:hAnsi="宋体" w:eastAsia="宋体" w:cs="宋体"/>
          <w:color w:val="auto"/>
          <w:position w:val="19"/>
          <w:sz w:val="24"/>
          <w:szCs w:val="24"/>
          <w:highlight w:val="none"/>
        </w:rPr>
        <w:t>满足招标文件</w:t>
      </w:r>
    </w:p>
    <w:p w14:paraId="32EC9659">
      <w:pPr>
        <w:spacing w:line="219" w:lineRule="auto"/>
        <w:ind w:left="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全部实质性要求，且按照评审因素的量化指标，评审小组将根</w:t>
      </w:r>
      <w:r>
        <w:rPr>
          <w:rFonts w:ascii="宋体" w:hAnsi="宋体" w:eastAsia="宋体" w:cs="宋体"/>
          <w:color w:val="auto"/>
          <w:sz w:val="24"/>
          <w:szCs w:val="24"/>
          <w:highlight w:val="none"/>
        </w:rPr>
        <w:t>据评标标准进行评审，最终推</w:t>
      </w:r>
    </w:p>
    <w:p w14:paraId="1739BC8C">
      <w:pPr>
        <w:spacing w:line="219" w:lineRule="auto"/>
        <w:rPr>
          <w:rFonts w:ascii="宋体" w:hAnsi="宋体" w:eastAsia="宋体" w:cs="宋体"/>
          <w:color w:val="auto"/>
          <w:sz w:val="24"/>
          <w:szCs w:val="24"/>
          <w:highlight w:val="none"/>
        </w:rPr>
        <w:sectPr>
          <w:footerReference r:id="rId43" w:type="default"/>
          <w:pgSz w:w="11907" w:h="16840"/>
          <w:pgMar w:top="1405" w:right="1133" w:bottom="1170" w:left="1140" w:header="0" w:footer="992" w:gutter="0"/>
          <w:pgBorders>
            <w:top w:val="none" w:sz="0" w:space="0"/>
            <w:left w:val="none" w:sz="0" w:space="0"/>
            <w:bottom w:val="none" w:sz="0" w:space="0"/>
            <w:right w:val="none" w:sz="0" w:space="0"/>
          </w:pgBorders>
          <w:pgNumType w:fmt="decimal"/>
          <w:cols w:space="720" w:num="1"/>
        </w:sectPr>
      </w:pPr>
    </w:p>
    <w:p w14:paraId="7C304967">
      <w:pPr>
        <w:spacing w:before="49" w:line="383" w:lineRule="auto"/>
        <w:ind w:right="64" w:firstLine="1"/>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荐综合得分最高的三名投标单位作为三名中标候选人，评审</w:t>
      </w:r>
      <w:r>
        <w:rPr>
          <w:rFonts w:ascii="宋体" w:hAnsi="宋体" w:eastAsia="宋体" w:cs="宋体"/>
          <w:color w:val="auto"/>
          <w:sz w:val="24"/>
          <w:szCs w:val="24"/>
          <w:highlight w:val="none"/>
        </w:rPr>
        <w:t>后得分最高的投标人获得中标人</w:t>
      </w:r>
      <w:r>
        <w:rPr>
          <w:rFonts w:ascii="宋体" w:hAnsi="宋体" w:eastAsia="宋体" w:cs="宋体"/>
          <w:color w:val="auto"/>
          <w:spacing w:val="1"/>
          <w:sz w:val="24"/>
          <w:szCs w:val="24"/>
          <w:highlight w:val="none"/>
        </w:rPr>
        <w:t>推荐资格；评标结果按评审后得分由高到低顺序排列，得分相同</w:t>
      </w:r>
      <w:r>
        <w:rPr>
          <w:rFonts w:ascii="宋体" w:hAnsi="宋体" w:eastAsia="宋体" w:cs="宋体"/>
          <w:color w:val="auto"/>
          <w:sz w:val="24"/>
          <w:szCs w:val="24"/>
          <w:highlight w:val="none"/>
        </w:rPr>
        <w:t>的，按投标报价由低到高顺</w:t>
      </w:r>
      <w:r>
        <w:rPr>
          <w:rFonts w:ascii="宋体" w:hAnsi="宋体" w:eastAsia="宋体" w:cs="宋体"/>
          <w:color w:val="auto"/>
          <w:spacing w:val="1"/>
          <w:sz w:val="24"/>
          <w:szCs w:val="24"/>
          <w:highlight w:val="none"/>
        </w:rPr>
        <w:t>序排列，得分且投标报价相同的并列，投标文件满足招标文件全</w:t>
      </w:r>
      <w:r>
        <w:rPr>
          <w:rFonts w:ascii="宋体" w:hAnsi="宋体" w:eastAsia="宋体" w:cs="宋体"/>
          <w:color w:val="auto"/>
          <w:sz w:val="24"/>
          <w:szCs w:val="24"/>
          <w:highlight w:val="none"/>
        </w:rPr>
        <w:t>部实质性要求，且按照评审</w:t>
      </w:r>
    </w:p>
    <w:p w14:paraId="3CD63A6F">
      <w:pPr>
        <w:spacing w:line="219" w:lineRule="auto"/>
        <w:ind w:left="1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因素的量化指标评审得分最高的投标人为排名第一的中标候选人。</w:t>
      </w:r>
    </w:p>
    <w:p w14:paraId="1D74C150">
      <w:pPr>
        <w:spacing w:before="212" w:line="383" w:lineRule="auto"/>
        <w:ind w:firstLine="478"/>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④采购人依据评审小组推荐的中标候选人确定中标人。采购人根据评审小组的评标报告，</w:t>
      </w:r>
      <w:r>
        <w:rPr>
          <w:rFonts w:ascii="宋体" w:hAnsi="宋体" w:eastAsia="宋体" w:cs="宋体"/>
          <w:color w:val="auto"/>
          <w:spacing w:val="1"/>
          <w:sz w:val="24"/>
          <w:szCs w:val="24"/>
          <w:highlight w:val="none"/>
        </w:rPr>
        <w:t>应以排名第一的中标候选人为中标人。排名第一的中标候选人</w:t>
      </w:r>
      <w:r>
        <w:rPr>
          <w:rFonts w:ascii="宋体" w:hAnsi="宋体" w:eastAsia="宋体" w:cs="宋体"/>
          <w:color w:val="auto"/>
          <w:sz w:val="24"/>
          <w:szCs w:val="24"/>
          <w:highlight w:val="none"/>
        </w:rPr>
        <w:t>放弃中标或因不可抗力提出不</w:t>
      </w:r>
      <w:r>
        <w:rPr>
          <w:rFonts w:ascii="宋体" w:hAnsi="宋体" w:eastAsia="宋体" w:cs="宋体"/>
          <w:color w:val="auto"/>
          <w:spacing w:val="1"/>
          <w:sz w:val="24"/>
          <w:szCs w:val="24"/>
          <w:highlight w:val="none"/>
        </w:rPr>
        <w:t>能履行合同，或者招标文件规定应当提交履约保证金而在规定</w:t>
      </w:r>
      <w:r>
        <w:rPr>
          <w:rFonts w:ascii="宋体" w:hAnsi="宋体" w:eastAsia="宋体" w:cs="宋体"/>
          <w:color w:val="auto"/>
          <w:sz w:val="24"/>
          <w:szCs w:val="24"/>
          <w:highlight w:val="none"/>
        </w:rPr>
        <w:t>的期限内未能提交的，采购人</w:t>
      </w:r>
      <w:r>
        <w:rPr>
          <w:rFonts w:ascii="宋体" w:hAnsi="宋体" w:eastAsia="宋体" w:cs="宋体"/>
          <w:color w:val="auto"/>
          <w:spacing w:val="1"/>
          <w:sz w:val="24"/>
          <w:szCs w:val="24"/>
          <w:highlight w:val="none"/>
        </w:rPr>
        <w:t>可以确定排名第二的中标候选人为中标人。排名第二的中标候</w:t>
      </w:r>
      <w:r>
        <w:rPr>
          <w:rFonts w:ascii="宋体" w:hAnsi="宋体" w:eastAsia="宋体" w:cs="宋体"/>
          <w:color w:val="auto"/>
          <w:sz w:val="24"/>
          <w:szCs w:val="24"/>
          <w:highlight w:val="none"/>
        </w:rPr>
        <w:t>选人因前款规定的同样原因不</w:t>
      </w:r>
    </w:p>
    <w:p w14:paraId="27E98D1D">
      <w:pPr>
        <w:spacing w:line="218" w:lineRule="auto"/>
        <w:ind w:left="1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能签订合同的，采购人可以确定排名第三的中标候选人为中标人。</w:t>
      </w:r>
    </w:p>
    <w:p w14:paraId="5850CB34">
      <w:pPr>
        <w:spacing w:line="218" w:lineRule="auto"/>
        <w:rPr>
          <w:rFonts w:ascii="宋体" w:hAnsi="宋体" w:eastAsia="宋体" w:cs="宋体"/>
          <w:color w:val="auto"/>
          <w:sz w:val="24"/>
          <w:szCs w:val="24"/>
          <w:highlight w:val="none"/>
        </w:rPr>
        <w:sectPr>
          <w:footerReference r:id="rId44" w:type="default"/>
          <w:pgSz w:w="11907" w:h="16840"/>
          <w:pgMar w:top="1405" w:right="1071" w:bottom="1170" w:left="1141" w:header="0" w:footer="992" w:gutter="0"/>
          <w:pgBorders>
            <w:top w:val="none" w:sz="0" w:space="0"/>
            <w:left w:val="none" w:sz="0" w:space="0"/>
            <w:bottom w:val="none" w:sz="0" w:space="0"/>
            <w:right w:val="none" w:sz="0" w:space="0"/>
          </w:pgBorders>
          <w:pgNumType w:fmt="decimal"/>
          <w:cols w:space="720" w:num="1"/>
        </w:sectPr>
      </w:pPr>
    </w:p>
    <w:p w14:paraId="7038EA3B">
      <w:pPr>
        <w:spacing w:before="56" w:line="220" w:lineRule="auto"/>
        <w:ind w:left="4139"/>
        <w:outlineLvl w:val="0"/>
        <w:rPr>
          <w:rFonts w:ascii="宋体" w:hAnsi="宋体" w:eastAsia="宋体" w:cs="宋体"/>
          <w:color w:val="auto"/>
          <w:sz w:val="28"/>
          <w:szCs w:val="28"/>
          <w:highlight w:val="none"/>
        </w:rPr>
      </w:pPr>
      <w:bookmarkStart w:id="25" w:name="_Toc20555"/>
      <w:bookmarkStart w:id="26" w:name="_Toc353"/>
      <w:r>
        <w:rPr>
          <w:rFonts w:ascii="宋体" w:hAnsi="宋体" w:eastAsia="宋体" w:cs="宋体"/>
          <w:color w:val="auto"/>
          <w:spacing w:val="-4"/>
          <w:sz w:val="28"/>
          <w:szCs w:val="28"/>
          <w:highlight w:val="none"/>
          <w14:textOutline w14:w="5103" w14:cap="sq" w14:cmpd="sng">
            <w14:solidFill>
              <w14:srgbClr w14:val="000000"/>
            </w14:solidFill>
            <w14:prstDash w14:val="solid"/>
            <w14:bevel/>
          </w14:textOutline>
        </w:rPr>
        <w:t>资格审查表</w:t>
      </w:r>
      <w:bookmarkEnd w:id="25"/>
      <w:bookmarkEnd w:id="26"/>
    </w:p>
    <w:p w14:paraId="16F1FE3C">
      <w:pPr>
        <w:spacing w:line="170" w:lineRule="exact"/>
        <w:rPr>
          <w:color w:val="auto"/>
          <w:highlight w:val="none"/>
        </w:rPr>
      </w:pPr>
    </w:p>
    <w:tbl>
      <w:tblPr>
        <w:tblStyle w:val="22"/>
        <w:tblW w:w="9575"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6349"/>
        <w:gridCol w:w="643"/>
        <w:gridCol w:w="688"/>
        <w:gridCol w:w="686"/>
        <w:gridCol w:w="683"/>
      </w:tblGrid>
      <w:tr w14:paraId="34230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6875" w:type="dxa"/>
            <w:gridSpan w:val="2"/>
            <w:tcBorders>
              <w:top w:val="single" w:color="000000" w:sz="10" w:space="0"/>
              <w:left w:val="single" w:color="000000" w:sz="10" w:space="0"/>
              <w:right w:val="single" w:color="000000" w:sz="2" w:space="0"/>
            </w:tcBorders>
            <w:vAlign w:val="top"/>
          </w:tcPr>
          <w:p w14:paraId="3FF1FFE1">
            <w:pPr>
              <w:pStyle w:val="23"/>
              <w:spacing w:before="200" w:line="219" w:lineRule="auto"/>
              <w:ind w:left="2953"/>
              <w:rPr>
                <w:color w:val="auto"/>
                <w:sz w:val="24"/>
                <w:szCs w:val="24"/>
                <w:highlight w:val="none"/>
              </w:rPr>
            </w:pPr>
            <w:r>
              <w:rPr>
                <w:color w:val="auto"/>
                <w:spacing w:val="-2"/>
                <w:sz w:val="24"/>
                <w:szCs w:val="24"/>
                <w:highlight w:val="none"/>
                <w14:textOutline w14:w="4358" w14:cap="sq" w14:cmpd="sng">
                  <w14:solidFill>
                    <w14:srgbClr w14:val="000000"/>
                  </w14:solidFill>
                  <w14:prstDash w14:val="solid"/>
                  <w14:bevel/>
                </w14:textOutline>
              </w:rPr>
              <w:t>评审内容</w:t>
            </w:r>
          </w:p>
        </w:tc>
        <w:tc>
          <w:tcPr>
            <w:tcW w:w="2700" w:type="dxa"/>
            <w:gridSpan w:val="4"/>
            <w:tcBorders>
              <w:top w:val="single" w:color="000000" w:sz="10" w:space="0"/>
              <w:left w:val="single" w:color="000000" w:sz="2" w:space="0"/>
              <w:right w:val="single" w:color="000000" w:sz="10" w:space="0"/>
            </w:tcBorders>
            <w:vAlign w:val="top"/>
          </w:tcPr>
          <w:p w14:paraId="09494AE3">
            <w:pPr>
              <w:pStyle w:val="23"/>
              <w:spacing w:before="199" w:line="220" w:lineRule="auto"/>
              <w:ind w:left="160"/>
              <w:rPr>
                <w:color w:val="auto"/>
                <w:sz w:val="24"/>
                <w:szCs w:val="24"/>
                <w:highlight w:val="none"/>
              </w:rPr>
            </w:pPr>
            <w:r>
              <w:rPr>
                <w:color w:val="auto"/>
                <w:spacing w:val="-2"/>
                <w:sz w:val="24"/>
                <w:szCs w:val="24"/>
                <w:highlight w:val="none"/>
              </w:rPr>
              <w:t>投标人名称及审查情况</w:t>
            </w:r>
          </w:p>
        </w:tc>
      </w:tr>
      <w:tr w14:paraId="042F1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526" w:type="dxa"/>
            <w:tcBorders>
              <w:left w:val="single" w:color="000000" w:sz="10" w:space="0"/>
            </w:tcBorders>
            <w:vAlign w:val="top"/>
          </w:tcPr>
          <w:p w14:paraId="2FA0A6FD">
            <w:pPr>
              <w:pStyle w:val="23"/>
              <w:spacing w:before="203" w:line="184" w:lineRule="auto"/>
              <w:ind w:left="212"/>
              <w:rPr>
                <w:color w:val="auto"/>
                <w:sz w:val="24"/>
                <w:szCs w:val="24"/>
                <w:highlight w:val="none"/>
              </w:rPr>
            </w:pPr>
            <w:r>
              <w:rPr>
                <w:color w:val="auto"/>
                <w:sz w:val="24"/>
                <w:szCs w:val="24"/>
                <w:highlight w:val="none"/>
              </w:rPr>
              <w:t>1</w:t>
            </w:r>
          </w:p>
        </w:tc>
        <w:tc>
          <w:tcPr>
            <w:tcW w:w="6349" w:type="dxa"/>
            <w:tcBorders>
              <w:right w:val="single" w:color="000000" w:sz="2" w:space="0"/>
            </w:tcBorders>
            <w:vAlign w:val="top"/>
          </w:tcPr>
          <w:p w14:paraId="0206D98D">
            <w:pPr>
              <w:pStyle w:val="23"/>
              <w:spacing w:before="244" w:line="219" w:lineRule="auto"/>
              <w:ind w:left="106"/>
              <w:rPr>
                <w:color w:val="auto"/>
                <w:sz w:val="24"/>
                <w:szCs w:val="24"/>
                <w:highlight w:val="none"/>
              </w:rPr>
            </w:pPr>
            <w:r>
              <w:rPr>
                <w:color w:val="auto"/>
                <w:spacing w:val="-2"/>
                <w:sz w:val="24"/>
                <w:szCs w:val="24"/>
                <w:highlight w:val="none"/>
              </w:rPr>
              <w:t>具备有效的营业执照；</w:t>
            </w:r>
          </w:p>
        </w:tc>
        <w:tc>
          <w:tcPr>
            <w:tcW w:w="643" w:type="dxa"/>
            <w:tcBorders>
              <w:left w:val="single" w:color="000000" w:sz="2" w:space="0"/>
              <w:right w:val="single" w:color="000000" w:sz="2" w:space="0"/>
            </w:tcBorders>
            <w:vAlign w:val="top"/>
          </w:tcPr>
          <w:p w14:paraId="36AB1467">
            <w:pPr>
              <w:rPr>
                <w:rFonts w:ascii="Arial"/>
                <w:color w:val="auto"/>
                <w:sz w:val="21"/>
                <w:highlight w:val="none"/>
              </w:rPr>
            </w:pPr>
          </w:p>
        </w:tc>
        <w:tc>
          <w:tcPr>
            <w:tcW w:w="688" w:type="dxa"/>
            <w:tcBorders>
              <w:left w:val="single" w:color="000000" w:sz="2" w:space="0"/>
            </w:tcBorders>
            <w:vAlign w:val="top"/>
          </w:tcPr>
          <w:p w14:paraId="1A61E032">
            <w:pPr>
              <w:rPr>
                <w:rFonts w:ascii="Arial"/>
                <w:color w:val="auto"/>
                <w:sz w:val="21"/>
                <w:highlight w:val="none"/>
              </w:rPr>
            </w:pPr>
          </w:p>
        </w:tc>
        <w:tc>
          <w:tcPr>
            <w:tcW w:w="686" w:type="dxa"/>
            <w:tcBorders>
              <w:right w:val="single" w:color="000000" w:sz="2" w:space="0"/>
            </w:tcBorders>
            <w:vAlign w:val="top"/>
          </w:tcPr>
          <w:p w14:paraId="18D5FA6E">
            <w:pPr>
              <w:rPr>
                <w:rFonts w:ascii="Arial"/>
                <w:color w:val="auto"/>
                <w:sz w:val="21"/>
                <w:highlight w:val="none"/>
              </w:rPr>
            </w:pPr>
          </w:p>
        </w:tc>
        <w:tc>
          <w:tcPr>
            <w:tcW w:w="683" w:type="dxa"/>
            <w:tcBorders>
              <w:left w:val="single" w:color="000000" w:sz="2" w:space="0"/>
              <w:right w:val="single" w:color="000000" w:sz="10" w:space="0"/>
            </w:tcBorders>
            <w:vAlign w:val="top"/>
          </w:tcPr>
          <w:p w14:paraId="627B8F53">
            <w:pPr>
              <w:rPr>
                <w:rFonts w:ascii="Arial"/>
                <w:color w:val="auto"/>
                <w:sz w:val="21"/>
                <w:highlight w:val="none"/>
              </w:rPr>
            </w:pPr>
          </w:p>
        </w:tc>
      </w:tr>
      <w:tr w14:paraId="5458B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526" w:type="dxa"/>
            <w:tcBorders>
              <w:left w:val="single" w:color="000000" w:sz="10" w:space="0"/>
            </w:tcBorders>
            <w:vAlign w:val="top"/>
          </w:tcPr>
          <w:p w14:paraId="3B763C16">
            <w:pPr>
              <w:pStyle w:val="23"/>
              <w:spacing w:before="292" w:line="183" w:lineRule="auto"/>
              <w:ind w:left="197"/>
              <w:rPr>
                <w:color w:val="auto"/>
                <w:sz w:val="24"/>
                <w:szCs w:val="24"/>
                <w:highlight w:val="none"/>
              </w:rPr>
            </w:pPr>
            <w:r>
              <w:rPr>
                <w:color w:val="auto"/>
                <w:sz w:val="24"/>
                <w:szCs w:val="24"/>
                <w:highlight w:val="none"/>
              </w:rPr>
              <w:t>2</w:t>
            </w:r>
          </w:p>
        </w:tc>
        <w:tc>
          <w:tcPr>
            <w:tcW w:w="6349" w:type="dxa"/>
            <w:tcBorders>
              <w:right w:val="single" w:color="000000" w:sz="2" w:space="0"/>
            </w:tcBorders>
            <w:vAlign w:val="top"/>
          </w:tcPr>
          <w:p w14:paraId="53DA5AAE">
            <w:pPr>
              <w:pStyle w:val="23"/>
              <w:spacing w:before="176" w:line="229" w:lineRule="auto"/>
              <w:ind w:left="114" w:right="98" w:hanging="12"/>
              <w:rPr>
                <w:color w:val="auto"/>
                <w:sz w:val="24"/>
                <w:szCs w:val="24"/>
                <w:highlight w:val="none"/>
              </w:rPr>
            </w:pPr>
            <w:r>
              <w:rPr>
                <w:color w:val="auto"/>
                <w:spacing w:val="-1"/>
                <w:sz w:val="24"/>
                <w:szCs w:val="24"/>
                <w:highlight w:val="none"/>
              </w:rPr>
              <w:t>法定代表人(委托人)资格证明及授权书；</w:t>
            </w:r>
            <w:r>
              <w:rPr>
                <w:color w:val="auto"/>
                <w:spacing w:val="-2"/>
                <w:sz w:val="24"/>
                <w:szCs w:val="24"/>
                <w:highlight w:val="none"/>
              </w:rPr>
              <w:t>(法定代表人投标需提供法定代表人(负责人)资格证明)；</w:t>
            </w:r>
          </w:p>
        </w:tc>
        <w:tc>
          <w:tcPr>
            <w:tcW w:w="643" w:type="dxa"/>
            <w:tcBorders>
              <w:left w:val="single" w:color="000000" w:sz="2" w:space="0"/>
              <w:right w:val="single" w:color="000000" w:sz="2" w:space="0"/>
            </w:tcBorders>
            <w:vAlign w:val="top"/>
          </w:tcPr>
          <w:p w14:paraId="493E672F">
            <w:pPr>
              <w:rPr>
                <w:rFonts w:ascii="Arial"/>
                <w:color w:val="auto"/>
                <w:sz w:val="21"/>
                <w:highlight w:val="none"/>
              </w:rPr>
            </w:pPr>
          </w:p>
        </w:tc>
        <w:tc>
          <w:tcPr>
            <w:tcW w:w="688" w:type="dxa"/>
            <w:tcBorders>
              <w:left w:val="single" w:color="000000" w:sz="2" w:space="0"/>
            </w:tcBorders>
            <w:vAlign w:val="top"/>
          </w:tcPr>
          <w:p w14:paraId="3ED4AB33">
            <w:pPr>
              <w:rPr>
                <w:rFonts w:ascii="Arial"/>
                <w:color w:val="auto"/>
                <w:sz w:val="21"/>
                <w:highlight w:val="none"/>
              </w:rPr>
            </w:pPr>
          </w:p>
        </w:tc>
        <w:tc>
          <w:tcPr>
            <w:tcW w:w="686" w:type="dxa"/>
            <w:tcBorders>
              <w:right w:val="single" w:color="000000" w:sz="2" w:space="0"/>
            </w:tcBorders>
            <w:vAlign w:val="top"/>
          </w:tcPr>
          <w:p w14:paraId="3F8239A7">
            <w:pPr>
              <w:rPr>
                <w:rFonts w:ascii="Arial"/>
                <w:color w:val="auto"/>
                <w:sz w:val="21"/>
                <w:highlight w:val="none"/>
              </w:rPr>
            </w:pPr>
          </w:p>
        </w:tc>
        <w:tc>
          <w:tcPr>
            <w:tcW w:w="683" w:type="dxa"/>
            <w:tcBorders>
              <w:left w:val="single" w:color="000000" w:sz="2" w:space="0"/>
              <w:right w:val="single" w:color="000000" w:sz="10" w:space="0"/>
            </w:tcBorders>
            <w:vAlign w:val="top"/>
          </w:tcPr>
          <w:p w14:paraId="1033B064">
            <w:pPr>
              <w:rPr>
                <w:rFonts w:ascii="Arial"/>
                <w:color w:val="auto"/>
                <w:sz w:val="21"/>
                <w:highlight w:val="none"/>
              </w:rPr>
            </w:pPr>
          </w:p>
        </w:tc>
      </w:tr>
      <w:tr w14:paraId="1C90E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26" w:type="dxa"/>
            <w:tcBorders>
              <w:left w:val="single" w:color="000000" w:sz="10" w:space="0"/>
            </w:tcBorders>
            <w:vAlign w:val="top"/>
          </w:tcPr>
          <w:p w14:paraId="4D9161D8">
            <w:pPr>
              <w:pStyle w:val="23"/>
              <w:spacing w:before="211" w:line="183" w:lineRule="auto"/>
              <w:ind w:left="199"/>
              <w:rPr>
                <w:color w:val="auto"/>
                <w:sz w:val="24"/>
                <w:szCs w:val="24"/>
                <w:highlight w:val="none"/>
              </w:rPr>
            </w:pPr>
            <w:r>
              <w:rPr>
                <w:color w:val="auto"/>
                <w:sz w:val="24"/>
                <w:szCs w:val="24"/>
                <w:highlight w:val="none"/>
              </w:rPr>
              <w:t>3</w:t>
            </w:r>
          </w:p>
        </w:tc>
        <w:tc>
          <w:tcPr>
            <w:tcW w:w="6349" w:type="dxa"/>
            <w:tcBorders>
              <w:right w:val="single" w:color="000000" w:sz="2" w:space="0"/>
            </w:tcBorders>
            <w:vAlign w:val="top"/>
          </w:tcPr>
          <w:p w14:paraId="2FD61068">
            <w:pPr>
              <w:pStyle w:val="23"/>
              <w:spacing w:before="93" w:line="230" w:lineRule="auto"/>
              <w:ind w:left="106" w:right="100" w:hanging="2"/>
              <w:rPr>
                <w:color w:val="auto"/>
                <w:sz w:val="24"/>
                <w:szCs w:val="24"/>
                <w:highlight w:val="none"/>
              </w:rPr>
            </w:pPr>
            <w:r>
              <w:rPr>
                <w:rFonts w:hint="eastAsia"/>
                <w:color w:val="auto"/>
                <w:spacing w:val="-3"/>
                <w:sz w:val="24"/>
                <w:szCs w:val="24"/>
                <w:highlight w:val="none"/>
                <w:lang w:val="en-US" w:eastAsia="zh-CN"/>
              </w:rPr>
              <w:t>2024或2025年度</w:t>
            </w:r>
            <w:r>
              <w:rPr>
                <w:color w:val="auto"/>
                <w:spacing w:val="-3"/>
                <w:sz w:val="24"/>
                <w:szCs w:val="24"/>
                <w:highlight w:val="none"/>
              </w:rPr>
              <w:t>的财务审计报告（新成立公司提供有</w:t>
            </w:r>
            <w:r>
              <w:rPr>
                <w:color w:val="auto"/>
                <w:spacing w:val="-2"/>
                <w:sz w:val="24"/>
                <w:szCs w:val="24"/>
                <w:highlight w:val="none"/>
              </w:rPr>
              <w:t>效期内的银行资信证明</w:t>
            </w:r>
            <w:r>
              <w:rPr>
                <w:color w:val="auto"/>
                <w:spacing w:val="1"/>
                <w:sz w:val="24"/>
                <w:szCs w:val="24"/>
                <w:highlight w:val="none"/>
              </w:rPr>
              <w:t>）；</w:t>
            </w:r>
          </w:p>
        </w:tc>
        <w:tc>
          <w:tcPr>
            <w:tcW w:w="643" w:type="dxa"/>
            <w:tcBorders>
              <w:left w:val="single" w:color="000000" w:sz="2" w:space="0"/>
              <w:right w:val="single" w:color="000000" w:sz="2" w:space="0"/>
            </w:tcBorders>
            <w:vAlign w:val="top"/>
          </w:tcPr>
          <w:p w14:paraId="6A45D914">
            <w:pPr>
              <w:rPr>
                <w:rFonts w:ascii="Arial"/>
                <w:color w:val="auto"/>
                <w:sz w:val="21"/>
                <w:highlight w:val="none"/>
              </w:rPr>
            </w:pPr>
          </w:p>
        </w:tc>
        <w:tc>
          <w:tcPr>
            <w:tcW w:w="688" w:type="dxa"/>
            <w:tcBorders>
              <w:left w:val="single" w:color="000000" w:sz="2" w:space="0"/>
            </w:tcBorders>
            <w:vAlign w:val="top"/>
          </w:tcPr>
          <w:p w14:paraId="34D1FF90">
            <w:pPr>
              <w:rPr>
                <w:rFonts w:ascii="Arial"/>
                <w:color w:val="auto"/>
                <w:sz w:val="21"/>
                <w:highlight w:val="none"/>
              </w:rPr>
            </w:pPr>
          </w:p>
        </w:tc>
        <w:tc>
          <w:tcPr>
            <w:tcW w:w="686" w:type="dxa"/>
            <w:tcBorders>
              <w:right w:val="single" w:color="000000" w:sz="2" w:space="0"/>
            </w:tcBorders>
            <w:vAlign w:val="top"/>
          </w:tcPr>
          <w:p w14:paraId="082EB776">
            <w:pPr>
              <w:rPr>
                <w:rFonts w:ascii="Arial"/>
                <w:color w:val="auto"/>
                <w:sz w:val="21"/>
                <w:highlight w:val="none"/>
              </w:rPr>
            </w:pPr>
          </w:p>
        </w:tc>
        <w:tc>
          <w:tcPr>
            <w:tcW w:w="683" w:type="dxa"/>
            <w:tcBorders>
              <w:left w:val="single" w:color="000000" w:sz="2" w:space="0"/>
              <w:right w:val="single" w:color="000000" w:sz="10" w:space="0"/>
            </w:tcBorders>
            <w:vAlign w:val="top"/>
          </w:tcPr>
          <w:p w14:paraId="4D8559D8">
            <w:pPr>
              <w:rPr>
                <w:rFonts w:ascii="Arial"/>
                <w:color w:val="auto"/>
                <w:sz w:val="21"/>
                <w:highlight w:val="none"/>
              </w:rPr>
            </w:pPr>
          </w:p>
        </w:tc>
      </w:tr>
      <w:tr w14:paraId="40797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26" w:type="dxa"/>
            <w:tcBorders>
              <w:left w:val="single" w:color="000000" w:sz="10" w:space="0"/>
            </w:tcBorders>
            <w:vAlign w:val="top"/>
          </w:tcPr>
          <w:p w14:paraId="6E80328F">
            <w:pPr>
              <w:pStyle w:val="23"/>
              <w:spacing w:before="188" w:line="183" w:lineRule="auto"/>
              <w:ind w:left="193"/>
              <w:rPr>
                <w:color w:val="auto"/>
                <w:sz w:val="24"/>
                <w:szCs w:val="24"/>
                <w:highlight w:val="none"/>
              </w:rPr>
            </w:pPr>
            <w:r>
              <w:rPr>
                <w:color w:val="auto"/>
                <w:sz w:val="24"/>
                <w:szCs w:val="24"/>
                <w:highlight w:val="none"/>
              </w:rPr>
              <w:t>4</w:t>
            </w:r>
          </w:p>
        </w:tc>
        <w:tc>
          <w:tcPr>
            <w:tcW w:w="6349" w:type="dxa"/>
            <w:tcBorders>
              <w:right w:val="single" w:color="000000" w:sz="2" w:space="0"/>
            </w:tcBorders>
            <w:vAlign w:val="top"/>
          </w:tcPr>
          <w:p w14:paraId="37098AA6">
            <w:pPr>
              <w:pStyle w:val="23"/>
              <w:spacing w:before="226" w:line="219" w:lineRule="auto"/>
              <w:ind w:left="102"/>
              <w:rPr>
                <w:color w:val="auto"/>
                <w:sz w:val="24"/>
                <w:szCs w:val="24"/>
                <w:highlight w:val="none"/>
              </w:rPr>
            </w:pPr>
            <w:r>
              <w:rPr>
                <w:color w:val="auto"/>
                <w:spacing w:val="-1"/>
                <w:sz w:val="24"/>
                <w:szCs w:val="24"/>
                <w:highlight w:val="none"/>
              </w:rPr>
              <w:t>提供依法缴纳近六个月中任意一个月社会保险的凭据；</w:t>
            </w:r>
          </w:p>
        </w:tc>
        <w:tc>
          <w:tcPr>
            <w:tcW w:w="643" w:type="dxa"/>
            <w:tcBorders>
              <w:left w:val="single" w:color="000000" w:sz="2" w:space="0"/>
              <w:right w:val="single" w:color="000000" w:sz="2" w:space="0"/>
            </w:tcBorders>
            <w:vAlign w:val="top"/>
          </w:tcPr>
          <w:p w14:paraId="77A1F65A">
            <w:pPr>
              <w:rPr>
                <w:rFonts w:ascii="Arial"/>
                <w:color w:val="auto"/>
                <w:sz w:val="21"/>
                <w:highlight w:val="none"/>
              </w:rPr>
            </w:pPr>
          </w:p>
        </w:tc>
        <w:tc>
          <w:tcPr>
            <w:tcW w:w="688" w:type="dxa"/>
            <w:tcBorders>
              <w:left w:val="single" w:color="000000" w:sz="2" w:space="0"/>
            </w:tcBorders>
            <w:vAlign w:val="top"/>
          </w:tcPr>
          <w:p w14:paraId="43621647">
            <w:pPr>
              <w:rPr>
                <w:rFonts w:ascii="Arial"/>
                <w:color w:val="auto"/>
                <w:sz w:val="21"/>
                <w:highlight w:val="none"/>
              </w:rPr>
            </w:pPr>
          </w:p>
        </w:tc>
        <w:tc>
          <w:tcPr>
            <w:tcW w:w="686" w:type="dxa"/>
            <w:tcBorders>
              <w:right w:val="single" w:color="000000" w:sz="2" w:space="0"/>
            </w:tcBorders>
            <w:vAlign w:val="top"/>
          </w:tcPr>
          <w:p w14:paraId="3BDCA604">
            <w:pPr>
              <w:rPr>
                <w:rFonts w:ascii="Arial"/>
                <w:color w:val="auto"/>
                <w:sz w:val="21"/>
                <w:highlight w:val="none"/>
              </w:rPr>
            </w:pPr>
          </w:p>
        </w:tc>
        <w:tc>
          <w:tcPr>
            <w:tcW w:w="683" w:type="dxa"/>
            <w:tcBorders>
              <w:left w:val="single" w:color="000000" w:sz="2" w:space="0"/>
              <w:right w:val="single" w:color="000000" w:sz="10" w:space="0"/>
            </w:tcBorders>
            <w:vAlign w:val="top"/>
          </w:tcPr>
          <w:p w14:paraId="13252F13">
            <w:pPr>
              <w:rPr>
                <w:rFonts w:ascii="Arial"/>
                <w:color w:val="auto"/>
                <w:sz w:val="21"/>
                <w:highlight w:val="none"/>
              </w:rPr>
            </w:pPr>
          </w:p>
        </w:tc>
      </w:tr>
      <w:tr w14:paraId="276DD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526" w:type="dxa"/>
            <w:tcBorders>
              <w:left w:val="single" w:color="000000" w:sz="10" w:space="0"/>
            </w:tcBorders>
            <w:vAlign w:val="top"/>
          </w:tcPr>
          <w:p w14:paraId="400F07DE">
            <w:pPr>
              <w:pStyle w:val="23"/>
              <w:spacing w:before="132" w:line="182" w:lineRule="auto"/>
              <w:ind w:left="199"/>
              <w:rPr>
                <w:color w:val="auto"/>
                <w:sz w:val="24"/>
                <w:szCs w:val="24"/>
                <w:highlight w:val="none"/>
              </w:rPr>
            </w:pPr>
            <w:r>
              <w:rPr>
                <w:color w:val="auto"/>
                <w:sz w:val="24"/>
                <w:szCs w:val="24"/>
                <w:highlight w:val="none"/>
              </w:rPr>
              <w:t>5</w:t>
            </w:r>
          </w:p>
        </w:tc>
        <w:tc>
          <w:tcPr>
            <w:tcW w:w="6349" w:type="dxa"/>
            <w:tcBorders>
              <w:right w:val="single" w:color="000000" w:sz="2" w:space="0"/>
            </w:tcBorders>
            <w:vAlign w:val="top"/>
          </w:tcPr>
          <w:p w14:paraId="6E812AB5">
            <w:pPr>
              <w:pStyle w:val="23"/>
              <w:spacing w:before="138" w:line="219" w:lineRule="auto"/>
              <w:ind w:left="102"/>
              <w:rPr>
                <w:color w:val="auto"/>
                <w:sz w:val="24"/>
                <w:szCs w:val="24"/>
                <w:highlight w:val="none"/>
              </w:rPr>
            </w:pPr>
            <w:r>
              <w:rPr>
                <w:color w:val="auto"/>
                <w:spacing w:val="-1"/>
                <w:sz w:val="24"/>
                <w:szCs w:val="24"/>
                <w:highlight w:val="none"/>
              </w:rPr>
              <w:t>提供税务部门出具的近六个月中任意一个月的完税证明；</w:t>
            </w:r>
          </w:p>
        </w:tc>
        <w:tc>
          <w:tcPr>
            <w:tcW w:w="643" w:type="dxa"/>
            <w:tcBorders>
              <w:left w:val="single" w:color="000000" w:sz="2" w:space="0"/>
              <w:right w:val="single" w:color="000000" w:sz="2" w:space="0"/>
            </w:tcBorders>
            <w:vAlign w:val="top"/>
          </w:tcPr>
          <w:p w14:paraId="55E09593">
            <w:pPr>
              <w:rPr>
                <w:rFonts w:ascii="Arial"/>
                <w:color w:val="auto"/>
                <w:sz w:val="21"/>
                <w:highlight w:val="none"/>
              </w:rPr>
            </w:pPr>
          </w:p>
        </w:tc>
        <w:tc>
          <w:tcPr>
            <w:tcW w:w="688" w:type="dxa"/>
            <w:tcBorders>
              <w:left w:val="single" w:color="000000" w:sz="2" w:space="0"/>
            </w:tcBorders>
            <w:vAlign w:val="top"/>
          </w:tcPr>
          <w:p w14:paraId="30195C85">
            <w:pPr>
              <w:rPr>
                <w:rFonts w:ascii="Arial"/>
                <w:color w:val="auto"/>
                <w:sz w:val="21"/>
                <w:highlight w:val="none"/>
              </w:rPr>
            </w:pPr>
          </w:p>
        </w:tc>
        <w:tc>
          <w:tcPr>
            <w:tcW w:w="686" w:type="dxa"/>
            <w:tcBorders>
              <w:right w:val="single" w:color="000000" w:sz="2" w:space="0"/>
            </w:tcBorders>
            <w:vAlign w:val="top"/>
          </w:tcPr>
          <w:p w14:paraId="6D665AC1">
            <w:pPr>
              <w:rPr>
                <w:rFonts w:ascii="Arial"/>
                <w:color w:val="auto"/>
                <w:sz w:val="21"/>
                <w:highlight w:val="none"/>
              </w:rPr>
            </w:pPr>
          </w:p>
        </w:tc>
        <w:tc>
          <w:tcPr>
            <w:tcW w:w="683" w:type="dxa"/>
            <w:tcBorders>
              <w:left w:val="single" w:color="000000" w:sz="2" w:space="0"/>
              <w:right w:val="single" w:color="000000" w:sz="10" w:space="0"/>
            </w:tcBorders>
            <w:vAlign w:val="top"/>
          </w:tcPr>
          <w:p w14:paraId="2B8D8DAF">
            <w:pPr>
              <w:rPr>
                <w:rFonts w:ascii="Arial"/>
                <w:color w:val="auto"/>
                <w:sz w:val="21"/>
                <w:highlight w:val="none"/>
              </w:rPr>
            </w:pPr>
          </w:p>
        </w:tc>
      </w:tr>
      <w:tr w14:paraId="79502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6" w:hRule="atLeast"/>
        </w:trPr>
        <w:tc>
          <w:tcPr>
            <w:tcW w:w="526" w:type="dxa"/>
            <w:tcBorders>
              <w:left w:val="single" w:color="000000" w:sz="10" w:space="0"/>
            </w:tcBorders>
            <w:vAlign w:val="top"/>
          </w:tcPr>
          <w:p w14:paraId="18DF8318">
            <w:pPr>
              <w:pStyle w:val="23"/>
              <w:spacing w:before="78" w:line="183" w:lineRule="auto"/>
              <w:ind w:left="196"/>
              <w:rPr>
                <w:color w:val="auto"/>
                <w:sz w:val="24"/>
                <w:szCs w:val="24"/>
                <w:highlight w:val="none"/>
              </w:rPr>
            </w:pPr>
            <w:r>
              <w:rPr>
                <w:color w:val="auto"/>
                <w:sz w:val="24"/>
                <w:szCs w:val="24"/>
                <w:highlight w:val="none"/>
              </w:rPr>
              <w:t>6</w:t>
            </w:r>
          </w:p>
        </w:tc>
        <w:tc>
          <w:tcPr>
            <w:tcW w:w="6349" w:type="dxa"/>
            <w:tcBorders>
              <w:right w:val="single" w:color="000000" w:sz="2" w:space="0"/>
            </w:tcBorders>
            <w:vAlign w:val="top"/>
          </w:tcPr>
          <w:p w14:paraId="06CAF331">
            <w:pPr>
              <w:pStyle w:val="23"/>
              <w:spacing w:before="144" w:line="237" w:lineRule="auto"/>
              <w:ind w:left="100" w:right="100"/>
              <w:outlineLvl w:val="1"/>
              <w:rPr>
                <w:color w:val="auto"/>
                <w:sz w:val="24"/>
                <w:szCs w:val="24"/>
                <w:highlight w:val="none"/>
              </w:rPr>
            </w:pPr>
            <w:r>
              <w:rPr>
                <w:color w:val="auto"/>
                <w:spacing w:val="-4"/>
                <w:sz w:val="24"/>
                <w:szCs w:val="24"/>
                <w:highlight w:val="none"/>
              </w:rPr>
              <w:t>根据《财政部关于在政府采购活动中查询及使用信用记录有</w:t>
            </w:r>
            <w:r>
              <w:rPr>
                <w:color w:val="auto"/>
                <w:sz w:val="24"/>
                <w:szCs w:val="24"/>
                <w:highlight w:val="none"/>
              </w:rPr>
              <w:t>关问题的通知》（财库﹝2016﹞125</w:t>
            </w:r>
            <w:r>
              <w:rPr>
                <w:color w:val="auto"/>
                <w:spacing w:val="-1"/>
                <w:sz w:val="24"/>
                <w:szCs w:val="24"/>
                <w:highlight w:val="none"/>
              </w:rPr>
              <w:t>号）的要求，凡拟参加</w:t>
            </w:r>
            <w:r>
              <w:rPr>
                <w:color w:val="auto"/>
                <w:spacing w:val="-5"/>
                <w:sz w:val="24"/>
                <w:szCs w:val="24"/>
                <w:highlight w:val="none"/>
              </w:rPr>
              <w:t>本次招标项目的投标人，如在“信用中国”网站被列</w:t>
            </w:r>
            <w:r>
              <w:rPr>
                <w:color w:val="auto"/>
                <w:spacing w:val="-6"/>
                <w:sz w:val="24"/>
                <w:szCs w:val="24"/>
                <w:highlight w:val="none"/>
              </w:rPr>
              <w:t>入失信</w:t>
            </w:r>
            <w:r>
              <w:rPr>
                <w:color w:val="auto"/>
                <w:spacing w:val="-4"/>
                <w:sz w:val="24"/>
                <w:szCs w:val="24"/>
                <w:highlight w:val="none"/>
              </w:rPr>
              <w:t>被执行人、重大税收违法失信主体(信用中国首页-点击信用服务-查询、网页打印)、中国政府采购网严重违法失信行为</w:t>
            </w:r>
            <w:r>
              <w:rPr>
                <w:color w:val="auto"/>
                <w:spacing w:val="-2"/>
                <w:sz w:val="24"/>
                <w:szCs w:val="24"/>
                <w:highlight w:val="none"/>
              </w:rPr>
              <w:t>记录名单的（尚在处罚期内的</w:t>
            </w:r>
            <w:r>
              <w:rPr>
                <w:color w:val="auto"/>
                <w:spacing w:val="-27"/>
                <w:sz w:val="24"/>
                <w:szCs w:val="24"/>
                <w:highlight w:val="none"/>
              </w:rPr>
              <w:t>），</w:t>
            </w:r>
            <w:r>
              <w:rPr>
                <w:color w:val="auto"/>
                <w:spacing w:val="-2"/>
                <w:sz w:val="24"/>
                <w:szCs w:val="24"/>
                <w:highlight w:val="none"/>
              </w:rPr>
              <w:t>将拒绝其参加本次招标活动（现场查询核实</w:t>
            </w:r>
            <w:r>
              <w:rPr>
                <w:color w:val="auto"/>
                <w:spacing w:val="3"/>
                <w:sz w:val="24"/>
                <w:szCs w:val="24"/>
                <w:highlight w:val="none"/>
              </w:rPr>
              <w:t>）；</w:t>
            </w:r>
          </w:p>
        </w:tc>
        <w:tc>
          <w:tcPr>
            <w:tcW w:w="643" w:type="dxa"/>
            <w:tcBorders>
              <w:left w:val="single" w:color="000000" w:sz="2" w:space="0"/>
              <w:right w:val="single" w:color="000000" w:sz="2" w:space="0"/>
            </w:tcBorders>
            <w:vAlign w:val="top"/>
          </w:tcPr>
          <w:p w14:paraId="18475696">
            <w:pPr>
              <w:rPr>
                <w:rFonts w:ascii="Arial"/>
                <w:color w:val="auto"/>
                <w:sz w:val="21"/>
                <w:highlight w:val="none"/>
              </w:rPr>
            </w:pPr>
          </w:p>
        </w:tc>
        <w:tc>
          <w:tcPr>
            <w:tcW w:w="688" w:type="dxa"/>
            <w:tcBorders>
              <w:left w:val="single" w:color="000000" w:sz="2" w:space="0"/>
            </w:tcBorders>
            <w:vAlign w:val="top"/>
          </w:tcPr>
          <w:p w14:paraId="323CE8F3">
            <w:pPr>
              <w:rPr>
                <w:rFonts w:ascii="Arial"/>
                <w:color w:val="auto"/>
                <w:sz w:val="21"/>
                <w:highlight w:val="none"/>
              </w:rPr>
            </w:pPr>
          </w:p>
        </w:tc>
        <w:tc>
          <w:tcPr>
            <w:tcW w:w="686" w:type="dxa"/>
            <w:tcBorders>
              <w:right w:val="single" w:color="000000" w:sz="2" w:space="0"/>
            </w:tcBorders>
            <w:vAlign w:val="top"/>
          </w:tcPr>
          <w:p w14:paraId="5E97E05B">
            <w:pPr>
              <w:rPr>
                <w:rFonts w:ascii="Arial"/>
                <w:color w:val="auto"/>
                <w:sz w:val="21"/>
                <w:highlight w:val="none"/>
              </w:rPr>
            </w:pPr>
          </w:p>
        </w:tc>
        <w:tc>
          <w:tcPr>
            <w:tcW w:w="683" w:type="dxa"/>
            <w:tcBorders>
              <w:left w:val="single" w:color="000000" w:sz="2" w:space="0"/>
              <w:right w:val="single" w:color="000000" w:sz="10" w:space="0"/>
            </w:tcBorders>
            <w:vAlign w:val="top"/>
          </w:tcPr>
          <w:p w14:paraId="43149A97">
            <w:pPr>
              <w:rPr>
                <w:rFonts w:ascii="Arial"/>
                <w:color w:val="auto"/>
                <w:sz w:val="21"/>
                <w:highlight w:val="none"/>
              </w:rPr>
            </w:pPr>
          </w:p>
        </w:tc>
      </w:tr>
      <w:tr w14:paraId="3DDC5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526" w:type="dxa"/>
            <w:tcBorders>
              <w:left w:val="single" w:color="000000" w:sz="10" w:space="0"/>
            </w:tcBorders>
            <w:vAlign w:val="top"/>
          </w:tcPr>
          <w:p w14:paraId="245D683B">
            <w:pPr>
              <w:pStyle w:val="23"/>
              <w:spacing w:before="204" w:line="182" w:lineRule="auto"/>
              <w:ind w:left="200"/>
              <w:rPr>
                <w:color w:val="auto"/>
                <w:sz w:val="24"/>
                <w:szCs w:val="24"/>
                <w:highlight w:val="none"/>
              </w:rPr>
            </w:pPr>
            <w:r>
              <w:rPr>
                <w:color w:val="auto"/>
                <w:sz w:val="24"/>
                <w:szCs w:val="24"/>
                <w:highlight w:val="none"/>
              </w:rPr>
              <w:t>7</w:t>
            </w:r>
          </w:p>
        </w:tc>
        <w:tc>
          <w:tcPr>
            <w:tcW w:w="6349" w:type="dxa"/>
            <w:tcBorders>
              <w:right w:val="single" w:color="000000" w:sz="2" w:space="0"/>
            </w:tcBorders>
            <w:vAlign w:val="top"/>
          </w:tcPr>
          <w:p w14:paraId="72F0F74B">
            <w:pPr>
              <w:pStyle w:val="23"/>
              <w:spacing w:before="241" w:line="219" w:lineRule="auto"/>
              <w:ind w:left="102"/>
              <w:rPr>
                <w:color w:val="auto"/>
                <w:sz w:val="24"/>
                <w:szCs w:val="24"/>
                <w:highlight w:val="none"/>
              </w:rPr>
            </w:pPr>
            <w:r>
              <w:rPr>
                <w:color w:val="auto"/>
                <w:spacing w:val="-1"/>
                <w:sz w:val="24"/>
                <w:szCs w:val="24"/>
                <w:highlight w:val="none"/>
              </w:rPr>
              <w:t>提供针对本次项目《反商业贿赂承诺书》；</w:t>
            </w:r>
          </w:p>
        </w:tc>
        <w:tc>
          <w:tcPr>
            <w:tcW w:w="643" w:type="dxa"/>
            <w:tcBorders>
              <w:left w:val="single" w:color="000000" w:sz="2" w:space="0"/>
              <w:right w:val="single" w:color="000000" w:sz="2" w:space="0"/>
            </w:tcBorders>
            <w:vAlign w:val="top"/>
          </w:tcPr>
          <w:p w14:paraId="70905603">
            <w:pPr>
              <w:rPr>
                <w:rFonts w:ascii="Arial"/>
                <w:color w:val="auto"/>
                <w:sz w:val="21"/>
                <w:highlight w:val="none"/>
              </w:rPr>
            </w:pPr>
          </w:p>
        </w:tc>
        <w:tc>
          <w:tcPr>
            <w:tcW w:w="688" w:type="dxa"/>
            <w:tcBorders>
              <w:left w:val="single" w:color="000000" w:sz="2" w:space="0"/>
            </w:tcBorders>
            <w:vAlign w:val="top"/>
          </w:tcPr>
          <w:p w14:paraId="5FFEDB36">
            <w:pPr>
              <w:rPr>
                <w:rFonts w:ascii="Arial"/>
                <w:color w:val="auto"/>
                <w:sz w:val="21"/>
                <w:highlight w:val="none"/>
              </w:rPr>
            </w:pPr>
          </w:p>
        </w:tc>
        <w:tc>
          <w:tcPr>
            <w:tcW w:w="686" w:type="dxa"/>
            <w:tcBorders>
              <w:right w:val="single" w:color="000000" w:sz="2" w:space="0"/>
            </w:tcBorders>
            <w:vAlign w:val="top"/>
          </w:tcPr>
          <w:p w14:paraId="6ED3F592">
            <w:pPr>
              <w:rPr>
                <w:rFonts w:ascii="Arial"/>
                <w:color w:val="auto"/>
                <w:sz w:val="21"/>
                <w:highlight w:val="none"/>
              </w:rPr>
            </w:pPr>
          </w:p>
        </w:tc>
        <w:tc>
          <w:tcPr>
            <w:tcW w:w="683" w:type="dxa"/>
            <w:tcBorders>
              <w:left w:val="single" w:color="000000" w:sz="2" w:space="0"/>
              <w:right w:val="single" w:color="000000" w:sz="10" w:space="0"/>
            </w:tcBorders>
            <w:vAlign w:val="top"/>
          </w:tcPr>
          <w:p w14:paraId="70010F5C">
            <w:pPr>
              <w:rPr>
                <w:rFonts w:ascii="Arial"/>
                <w:color w:val="auto"/>
                <w:sz w:val="21"/>
                <w:highlight w:val="none"/>
              </w:rPr>
            </w:pPr>
          </w:p>
        </w:tc>
      </w:tr>
      <w:tr w14:paraId="6B8B7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526" w:type="dxa"/>
            <w:tcBorders>
              <w:left w:val="single" w:color="000000" w:sz="10" w:space="0"/>
            </w:tcBorders>
            <w:vAlign w:val="top"/>
          </w:tcPr>
          <w:p w14:paraId="75AA8D31">
            <w:pPr>
              <w:pStyle w:val="23"/>
              <w:spacing w:before="238" w:line="183" w:lineRule="auto"/>
              <w:ind w:left="195"/>
              <w:rPr>
                <w:color w:val="auto"/>
                <w:sz w:val="24"/>
                <w:szCs w:val="24"/>
                <w:highlight w:val="none"/>
              </w:rPr>
            </w:pPr>
            <w:r>
              <w:rPr>
                <w:color w:val="auto"/>
                <w:sz w:val="24"/>
                <w:szCs w:val="24"/>
                <w:highlight w:val="none"/>
              </w:rPr>
              <w:t>8</w:t>
            </w:r>
          </w:p>
        </w:tc>
        <w:tc>
          <w:tcPr>
            <w:tcW w:w="6349" w:type="dxa"/>
            <w:tcBorders>
              <w:right w:val="single" w:color="000000" w:sz="2" w:space="0"/>
            </w:tcBorders>
            <w:vAlign w:val="top"/>
          </w:tcPr>
          <w:p w14:paraId="5F261514">
            <w:pPr>
              <w:pStyle w:val="23"/>
              <w:spacing w:before="122" w:line="229" w:lineRule="auto"/>
              <w:ind w:left="102" w:right="100"/>
              <w:rPr>
                <w:color w:val="auto"/>
                <w:sz w:val="24"/>
                <w:szCs w:val="24"/>
                <w:highlight w:val="none"/>
              </w:rPr>
            </w:pPr>
            <w:r>
              <w:rPr>
                <w:color w:val="auto"/>
                <w:spacing w:val="4"/>
                <w:sz w:val="24"/>
                <w:szCs w:val="24"/>
                <w:highlight w:val="none"/>
              </w:rPr>
              <w:t>参加政府采购活动前3年内在经营活动中没有重大违法违</w:t>
            </w:r>
            <w:r>
              <w:rPr>
                <w:color w:val="auto"/>
                <w:spacing w:val="-2"/>
                <w:sz w:val="24"/>
                <w:szCs w:val="24"/>
                <w:highlight w:val="none"/>
              </w:rPr>
              <w:t>规记录的书面声明；</w:t>
            </w:r>
          </w:p>
        </w:tc>
        <w:tc>
          <w:tcPr>
            <w:tcW w:w="643" w:type="dxa"/>
            <w:tcBorders>
              <w:left w:val="single" w:color="000000" w:sz="2" w:space="0"/>
              <w:right w:val="single" w:color="000000" w:sz="2" w:space="0"/>
            </w:tcBorders>
            <w:vAlign w:val="top"/>
          </w:tcPr>
          <w:p w14:paraId="3BCCFCAB">
            <w:pPr>
              <w:rPr>
                <w:rFonts w:ascii="Arial"/>
                <w:color w:val="auto"/>
                <w:sz w:val="21"/>
                <w:highlight w:val="none"/>
              </w:rPr>
            </w:pPr>
          </w:p>
        </w:tc>
        <w:tc>
          <w:tcPr>
            <w:tcW w:w="688" w:type="dxa"/>
            <w:tcBorders>
              <w:left w:val="single" w:color="000000" w:sz="2" w:space="0"/>
            </w:tcBorders>
            <w:vAlign w:val="top"/>
          </w:tcPr>
          <w:p w14:paraId="179F37E3">
            <w:pPr>
              <w:rPr>
                <w:rFonts w:ascii="Arial"/>
                <w:color w:val="auto"/>
                <w:sz w:val="21"/>
                <w:highlight w:val="none"/>
              </w:rPr>
            </w:pPr>
          </w:p>
        </w:tc>
        <w:tc>
          <w:tcPr>
            <w:tcW w:w="686" w:type="dxa"/>
            <w:tcBorders>
              <w:right w:val="single" w:color="000000" w:sz="2" w:space="0"/>
            </w:tcBorders>
            <w:vAlign w:val="top"/>
          </w:tcPr>
          <w:p w14:paraId="5EBC8FF7">
            <w:pPr>
              <w:rPr>
                <w:rFonts w:ascii="Arial"/>
                <w:color w:val="auto"/>
                <w:sz w:val="21"/>
                <w:highlight w:val="none"/>
              </w:rPr>
            </w:pPr>
          </w:p>
        </w:tc>
        <w:tc>
          <w:tcPr>
            <w:tcW w:w="683" w:type="dxa"/>
            <w:tcBorders>
              <w:left w:val="single" w:color="000000" w:sz="2" w:space="0"/>
              <w:right w:val="single" w:color="000000" w:sz="10" w:space="0"/>
            </w:tcBorders>
            <w:vAlign w:val="top"/>
          </w:tcPr>
          <w:p w14:paraId="18DD21B8">
            <w:pPr>
              <w:rPr>
                <w:rFonts w:ascii="Arial"/>
                <w:color w:val="auto"/>
                <w:sz w:val="21"/>
                <w:highlight w:val="none"/>
              </w:rPr>
            </w:pPr>
          </w:p>
        </w:tc>
      </w:tr>
      <w:tr w14:paraId="4C45E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526" w:type="dxa"/>
            <w:tcBorders>
              <w:left w:val="single" w:color="000000" w:sz="10" w:space="0"/>
            </w:tcBorders>
            <w:vAlign w:val="top"/>
          </w:tcPr>
          <w:p w14:paraId="155A3EAC">
            <w:pPr>
              <w:pStyle w:val="23"/>
              <w:spacing w:before="238" w:line="183" w:lineRule="auto"/>
              <w:ind w:left="195"/>
              <w:rPr>
                <w:rFonts w:hint="eastAsia" w:eastAsia="宋体"/>
                <w:color w:val="auto"/>
                <w:sz w:val="24"/>
                <w:szCs w:val="24"/>
                <w:highlight w:val="none"/>
                <w:lang w:val="en-US" w:eastAsia="zh-CN"/>
              </w:rPr>
            </w:pPr>
            <w:r>
              <w:rPr>
                <w:rFonts w:hint="eastAsia"/>
                <w:color w:val="auto"/>
                <w:sz w:val="24"/>
                <w:szCs w:val="24"/>
                <w:highlight w:val="none"/>
                <w:lang w:val="en-US" w:eastAsia="zh-CN"/>
              </w:rPr>
              <w:t>9</w:t>
            </w:r>
          </w:p>
        </w:tc>
        <w:tc>
          <w:tcPr>
            <w:tcW w:w="6349" w:type="dxa"/>
            <w:tcBorders>
              <w:right w:val="single" w:color="000000" w:sz="2" w:space="0"/>
            </w:tcBorders>
            <w:vAlign w:val="top"/>
          </w:tcPr>
          <w:p w14:paraId="094E7877">
            <w:pPr>
              <w:pStyle w:val="23"/>
              <w:spacing w:before="122" w:line="229" w:lineRule="auto"/>
              <w:ind w:left="102" w:right="100"/>
              <w:rPr>
                <w:rFonts w:hint="eastAsia" w:eastAsia="宋体"/>
                <w:color w:val="auto"/>
                <w:spacing w:val="4"/>
                <w:sz w:val="24"/>
                <w:szCs w:val="24"/>
                <w:highlight w:val="none"/>
                <w:lang w:eastAsia="zh-CN"/>
              </w:rPr>
            </w:pPr>
            <w:r>
              <w:rPr>
                <w:rFonts w:hint="eastAsia"/>
                <w:color w:val="auto"/>
                <w:spacing w:val="4"/>
                <w:sz w:val="24"/>
                <w:szCs w:val="24"/>
                <w:highlight w:val="none"/>
                <w:lang w:eastAsia="zh-CN"/>
              </w:rPr>
              <w:t>所投产品属于第二类医疗器械的，需提供有效的行政主管部门颁发的医疗器械经营备案凭证（医疗器械生产许可证或医疗器械经营许可证或其他医疗器械生产经营许可证明文件）；所投产品属于第三类医疗器械的，需提供有效的行政主管部门颁发的医疗器械生产许可证（医疗器械经营许可证或其他医疗器械生产经营许可证明文件）</w:t>
            </w:r>
          </w:p>
        </w:tc>
        <w:tc>
          <w:tcPr>
            <w:tcW w:w="643" w:type="dxa"/>
            <w:tcBorders>
              <w:left w:val="single" w:color="000000" w:sz="2" w:space="0"/>
              <w:right w:val="single" w:color="000000" w:sz="2" w:space="0"/>
            </w:tcBorders>
            <w:vAlign w:val="top"/>
          </w:tcPr>
          <w:p w14:paraId="47B76E8D">
            <w:pPr>
              <w:rPr>
                <w:rFonts w:ascii="Arial"/>
                <w:color w:val="auto"/>
                <w:sz w:val="21"/>
                <w:highlight w:val="none"/>
              </w:rPr>
            </w:pPr>
          </w:p>
        </w:tc>
        <w:tc>
          <w:tcPr>
            <w:tcW w:w="688" w:type="dxa"/>
            <w:tcBorders>
              <w:left w:val="single" w:color="000000" w:sz="2" w:space="0"/>
            </w:tcBorders>
            <w:vAlign w:val="top"/>
          </w:tcPr>
          <w:p w14:paraId="62B66143">
            <w:pPr>
              <w:rPr>
                <w:rFonts w:ascii="Arial"/>
                <w:color w:val="auto"/>
                <w:sz w:val="21"/>
                <w:highlight w:val="none"/>
              </w:rPr>
            </w:pPr>
          </w:p>
        </w:tc>
        <w:tc>
          <w:tcPr>
            <w:tcW w:w="686" w:type="dxa"/>
            <w:tcBorders>
              <w:right w:val="single" w:color="000000" w:sz="2" w:space="0"/>
            </w:tcBorders>
            <w:vAlign w:val="top"/>
          </w:tcPr>
          <w:p w14:paraId="4D888A81">
            <w:pPr>
              <w:rPr>
                <w:rFonts w:ascii="Arial"/>
                <w:color w:val="auto"/>
                <w:sz w:val="21"/>
                <w:highlight w:val="none"/>
              </w:rPr>
            </w:pPr>
          </w:p>
        </w:tc>
        <w:tc>
          <w:tcPr>
            <w:tcW w:w="683" w:type="dxa"/>
            <w:tcBorders>
              <w:left w:val="single" w:color="000000" w:sz="2" w:space="0"/>
              <w:right w:val="single" w:color="000000" w:sz="10" w:space="0"/>
            </w:tcBorders>
            <w:vAlign w:val="top"/>
          </w:tcPr>
          <w:p w14:paraId="5CFFE760">
            <w:pPr>
              <w:rPr>
                <w:rFonts w:ascii="Arial"/>
                <w:color w:val="auto"/>
                <w:sz w:val="21"/>
                <w:highlight w:val="none"/>
              </w:rPr>
            </w:pPr>
          </w:p>
        </w:tc>
      </w:tr>
      <w:tr w14:paraId="513CF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6875" w:type="dxa"/>
            <w:gridSpan w:val="2"/>
            <w:tcBorders>
              <w:left w:val="single" w:color="000000" w:sz="10" w:space="0"/>
              <w:right w:val="single" w:color="000000" w:sz="2" w:space="0"/>
            </w:tcBorders>
            <w:vAlign w:val="top"/>
          </w:tcPr>
          <w:p w14:paraId="700758D5">
            <w:pPr>
              <w:pStyle w:val="23"/>
              <w:spacing w:before="40" w:line="468" w:lineRule="exact"/>
              <w:ind w:left="111"/>
              <w:rPr>
                <w:color w:val="auto"/>
                <w:sz w:val="24"/>
                <w:szCs w:val="24"/>
                <w:highlight w:val="none"/>
              </w:rPr>
            </w:pPr>
            <w:r>
              <w:rPr>
                <w:color w:val="auto"/>
                <w:spacing w:val="-1"/>
                <w:position w:val="17"/>
                <w:sz w:val="24"/>
                <w:szCs w:val="24"/>
                <w:highlight w:val="none"/>
              </w:rPr>
              <w:t>结论：是否通过评审（填写通过或不通过）</w:t>
            </w:r>
          </w:p>
          <w:p w14:paraId="6CA9D369">
            <w:pPr>
              <w:pStyle w:val="23"/>
              <w:spacing w:line="219" w:lineRule="auto"/>
              <w:ind w:left="110"/>
              <w:rPr>
                <w:color w:val="auto"/>
                <w:sz w:val="24"/>
                <w:szCs w:val="24"/>
                <w:highlight w:val="none"/>
              </w:rPr>
            </w:pPr>
            <w:r>
              <w:rPr>
                <w:color w:val="auto"/>
                <w:spacing w:val="-1"/>
                <w:sz w:val="24"/>
                <w:szCs w:val="24"/>
                <w:highlight w:val="none"/>
              </w:rPr>
              <w:t>未通过初步评审的，为无效投标。</w:t>
            </w:r>
          </w:p>
        </w:tc>
        <w:tc>
          <w:tcPr>
            <w:tcW w:w="643" w:type="dxa"/>
            <w:tcBorders>
              <w:left w:val="single" w:color="000000" w:sz="2" w:space="0"/>
              <w:right w:val="single" w:color="000000" w:sz="2" w:space="0"/>
            </w:tcBorders>
            <w:vAlign w:val="top"/>
          </w:tcPr>
          <w:p w14:paraId="4350530E">
            <w:pPr>
              <w:rPr>
                <w:rFonts w:ascii="Arial"/>
                <w:color w:val="auto"/>
                <w:sz w:val="21"/>
                <w:highlight w:val="none"/>
              </w:rPr>
            </w:pPr>
          </w:p>
        </w:tc>
        <w:tc>
          <w:tcPr>
            <w:tcW w:w="688" w:type="dxa"/>
            <w:tcBorders>
              <w:left w:val="single" w:color="000000" w:sz="2" w:space="0"/>
            </w:tcBorders>
            <w:vAlign w:val="top"/>
          </w:tcPr>
          <w:p w14:paraId="0F0DBD55">
            <w:pPr>
              <w:rPr>
                <w:rFonts w:ascii="Arial"/>
                <w:color w:val="auto"/>
                <w:sz w:val="21"/>
                <w:highlight w:val="none"/>
              </w:rPr>
            </w:pPr>
          </w:p>
        </w:tc>
        <w:tc>
          <w:tcPr>
            <w:tcW w:w="686" w:type="dxa"/>
            <w:vAlign w:val="top"/>
          </w:tcPr>
          <w:p w14:paraId="52E43E7F">
            <w:pPr>
              <w:rPr>
                <w:rFonts w:ascii="Arial"/>
                <w:color w:val="auto"/>
                <w:sz w:val="21"/>
                <w:highlight w:val="none"/>
              </w:rPr>
            </w:pPr>
          </w:p>
        </w:tc>
        <w:tc>
          <w:tcPr>
            <w:tcW w:w="683" w:type="dxa"/>
            <w:tcBorders>
              <w:right w:val="single" w:color="000000" w:sz="10" w:space="0"/>
            </w:tcBorders>
            <w:vAlign w:val="top"/>
          </w:tcPr>
          <w:p w14:paraId="45294472">
            <w:pPr>
              <w:rPr>
                <w:rFonts w:ascii="Arial"/>
                <w:color w:val="auto"/>
                <w:sz w:val="21"/>
                <w:highlight w:val="none"/>
              </w:rPr>
            </w:pPr>
          </w:p>
        </w:tc>
      </w:tr>
    </w:tbl>
    <w:p w14:paraId="7558B685">
      <w:pPr>
        <w:spacing w:line="323" w:lineRule="auto"/>
        <w:rPr>
          <w:rFonts w:ascii="Arial"/>
          <w:color w:val="auto"/>
          <w:sz w:val="21"/>
          <w:highlight w:val="none"/>
        </w:rPr>
      </w:pPr>
    </w:p>
    <w:p w14:paraId="1964A0BC">
      <w:pPr>
        <w:pStyle w:val="5"/>
        <w:spacing w:before="82" w:line="244" w:lineRule="auto"/>
        <w:jc w:val="both"/>
        <w:rPr>
          <w:color w:val="auto"/>
          <w:sz w:val="19"/>
          <w:szCs w:val="19"/>
          <w:highlight w:val="none"/>
        </w:rPr>
      </w:pPr>
      <w:r>
        <w:rPr>
          <w:color w:val="auto"/>
          <w:spacing w:val="1"/>
          <w:sz w:val="19"/>
          <w:szCs w:val="19"/>
          <w:highlight w:val="none"/>
        </w:rPr>
        <w:t>说明</w:t>
      </w:r>
      <w:r>
        <w:rPr>
          <w:color w:val="auto"/>
          <w:spacing w:val="-5"/>
          <w:sz w:val="19"/>
          <w:szCs w:val="19"/>
          <w:highlight w:val="none"/>
        </w:rPr>
        <w:t>：（</w:t>
      </w:r>
      <w:r>
        <w:rPr>
          <w:color w:val="auto"/>
          <w:spacing w:val="1"/>
          <w:sz w:val="19"/>
          <w:szCs w:val="19"/>
          <w:highlight w:val="none"/>
        </w:rPr>
        <w:t>1）上述各项中用“合格”表示通过，“不合格”表示不通过</w:t>
      </w:r>
      <w:r>
        <w:rPr>
          <w:color w:val="auto"/>
          <w:spacing w:val="-5"/>
          <w:sz w:val="19"/>
          <w:szCs w:val="19"/>
          <w:highlight w:val="none"/>
        </w:rPr>
        <w:t>；（</w:t>
      </w:r>
      <w:r>
        <w:rPr>
          <w:color w:val="auto"/>
          <w:spacing w:val="1"/>
          <w:sz w:val="19"/>
          <w:szCs w:val="19"/>
          <w:highlight w:val="none"/>
        </w:rPr>
        <w:t>2）上述各项中如有一项为“不合格”，</w:t>
      </w:r>
      <w:r>
        <w:rPr>
          <w:color w:val="auto"/>
          <w:spacing w:val="9"/>
          <w:sz w:val="19"/>
          <w:szCs w:val="19"/>
          <w:highlight w:val="none"/>
        </w:rPr>
        <w:t>则结论为“不通过”，表示该投标文件中存在重大偏差，不</w:t>
      </w:r>
      <w:r>
        <w:rPr>
          <w:color w:val="auto"/>
          <w:spacing w:val="8"/>
          <w:sz w:val="19"/>
          <w:szCs w:val="19"/>
          <w:highlight w:val="none"/>
        </w:rPr>
        <w:t>能通过初步评审；评委对某一分项评审认为不合格</w:t>
      </w:r>
      <w:r>
        <w:rPr>
          <w:color w:val="auto"/>
          <w:spacing w:val="7"/>
          <w:sz w:val="19"/>
          <w:szCs w:val="19"/>
          <w:highlight w:val="none"/>
        </w:rPr>
        <w:t>时，必须要写明原因。（3）投标文件最终合格与否，以所有评委的评审意见中少数服从多数为原则定论。未</w:t>
      </w:r>
      <w:r>
        <w:rPr>
          <w:color w:val="auto"/>
          <w:spacing w:val="9"/>
          <w:sz w:val="19"/>
          <w:szCs w:val="19"/>
          <w:highlight w:val="none"/>
        </w:rPr>
        <w:t>通过资格审查的供应商不进入评标；通过资格审查的供应商少于不足三家</w:t>
      </w:r>
      <w:r>
        <w:rPr>
          <w:color w:val="auto"/>
          <w:spacing w:val="8"/>
          <w:sz w:val="19"/>
          <w:szCs w:val="19"/>
          <w:highlight w:val="none"/>
        </w:rPr>
        <w:t>的，不得评标。</w:t>
      </w:r>
    </w:p>
    <w:p w14:paraId="79D55A12">
      <w:pPr>
        <w:spacing w:line="244" w:lineRule="auto"/>
        <w:rPr>
          <w:color w:val="auto"/>
          <w:sz w:val="19"/>
          <w:szCs w:val="19"/>
          <w:highlight w:val="none"/>
        </w:rPr>
        <w:sectPr>
          <w:footerReference r:id="rId45" w:type="default"/>
          <w:pgSz w:w="11907" w:h="16840"/>
          <w:pgMar w:top="1402" w:right="1079" w:bottom="1170" w:left="1134" w:header="0" w:footer="992" w:gutter="0"/>
          <w:pgBorders>
            <w:top w:val="none" w:sz="0" w:space="0"/>
            <w:left w:val="none" w:sz="0" w:space="0"/>
            <w:bottom w:val="none" w:sz="0" w:space="0"/>
            <w:right w:val="none" w:sz="0" w:space="0"/>
          </w:pgBorders>
          <w:pgNumType w:fmt="decimal"/>
          <w:cols w:space="720" w:num="1"/>
        </w:sectPr>
      </w:pPr>
    </w:p>
    <w:p w14:paraId="22FDAF13">
      <w:pPr>
        <w:spacing w:before="63" w:line="225" w:lineRule="auto"/>
        <w:ind w:left="4030"/>
        <w:outlineLvl w:val="0"/>
        <w:rPr>
          <w:rFonts w:ascii="宋体" w:hAnsi="宋体" w:eastAsia="宋体" w:cs="宋体"/>
          <w:color w:val="auto"/>
          <w:sz w:val="31"/>
          <w:szCs w:val="31"/>
          <w:highlight w:val="none"/>
        </w:rPr>
      </w:pPr>
      <w:bookmarkStart w:id="27" w:name="_Toc571"/>
      <w:bookmarkStart w:id="28" w:name="_Toc7984"/>
      <w:r>
        <w:rPr>
          <w:rFonts w:ascii="宋体" w:hAnsi="宋体" w:eastAsia="宋体" w:cs="宋体"/>
          <w:color w:val="auto"/>
          <w:spacing w:val="7"/>
          <w:sz w:val="31"/>
          <w:szCs w:val="31"/>
          <w:highlight w:val="none"/>
          <w14:textOutline w14:w="5793" w14:cap="sq" w14:cmpd="sng">
            <w14:solidFill>
              <w14:srgbClr w14:val="000000"/>
            </w14:solidFill>
            <w14:prstDash w14:val="solid"/>
            <w14:bevel/>
          </w14:textOutline>
        </w:rPr>
        <w:t>符合性检查</w:t>
      </w:r>
      <w:bookmarkEnd w:id="27"/>
      <w:bookmarkEnd w:id="28"/>
    </w:p>
    <w:p w14:paraId="11C57D76">
      <w:pPr>
        <w:spacing w:before="132" w:line="219" w:lineRule="auto"/>
        <w:ind w:left="9"/>
        <w:outlineLvl w:val="0"/>
        <w:rPr>
          <w:rFonts w:ascii="宋体" w:hAnsi="宋体" w:eastAsia="宋体" w:cs="宋体"/>
          <w:color w:val="auto"/>
          <w:sz w:val="24"/>
          <w:szCs w:val="24"/>
          <w:highlight w:val="none"/>
        </w:rPr>
      </w:pPr>
      <w:bookmarkStart w:id="29" w:name="_Toc1895"/>
      <w:bookmarkStart w:id="30" w:name="_Toc15129"/>
      <w:bookmarkStart w:id="31" w:name="_Toc26728"/>
      <w:r>
        <w:rPr>
          <w:rFonts w:ascii="宋体" w:hAnsi="宋体" w:eastAsia="宋体" w:cs="宋体"/>
          <w:color w:val="auto"/>
          <w:spacing w:val="-2"/>
          <w:sz w:val="24"/>
          <w:szCs w:val="24"/>
          <w:highlight w:val="none"/>
        </w:rPr>
        <w:t>符合性检查包含下列内容</w:t>
      </w:r>
      <w:bookmarkEnd w:id="29"/>
      <w:bookmarkEnd w:id="30"/>
      <w:bookmarkEnd w:id="31"/>
    </w:p>
    <w:tbl>
      <w:tblPr>
        <w:tblStyle w:val="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632"/>
        <w:gridCol w:w="6448"/>
        <w:gridCol w:w="722"/>
        <w:gridCol w:w="616"/>
      </w:tblGrid>
      <w:tr w14:paraId="3FFA5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880" w:type="dxa"/>
            <w:vMerge w:val="restart"/>
            <w:tcBorders>
              <w:right w:val="single" w:color="000000" w:sz="4" w:space="0"/>
            </w:tcBorders>
            <w:vAlign w:val="top"/>
          </w:tcPr>
          <w:p w14:paraId="0E512796">
            <w:pPr>
              <w:pStyle w:val="23"/>
              <w:spacing w:before="211" w:line="220" w:lineRule="auto"/>
              <w:ind w:left="121"/>
              <w:outlineLvl w:val="0"/>
              <w:rPr>
                <w:color w:val="auto"/>
                <w:sz w:val="24"/>
                <w:szCs w:val="24"/>
                <w:highlight w:val="none"/>
              </w:rPr>
            </w:pPr>
            <w:bookmarkStart w:id="32" w:name="_Toc30904"/>
            <w:bookmarkStart w:id="33" w:name="_Toc5472"/>
            <w:bookmarkStart w:id="34" w:name="_Toc552"/>
            <w:r>
              <w:rPr>
                <w:color w:val="auto"/>
                <w:spacing w:val="-7"/>
                <w:sz w:val="24"/>
                <w:szCs w:val="24"/>
                <w:highlight w:val="none"/>
              </w:rPr>
              <w:t>项目</w:t>
            </w:r>
            <w:bookmarkEnd w:id="32"/>
            <w:bookmarkEnd w:id="33"/>
            <w:bookmarkEnd w:id="34"/>
          </w:p>
        </w:tc>
        <w:tc>
          <w:tcPr>
            <w:tcW w:w="7080" w:type="dxa"/>
            <w:gridSpan w:val="2"/>
            <w:vMerge w:val="restart"/>
            <w:tcBorders>
              <w:left w:val="single" w:color="000000" w:sz="4" w:space="0"/>
              <w:right w:val="single" w:color="000000" w:sz="4" w:space="0"/>
            </w:tcBorders>
            <w:vAlign w:val="top"/>
          </w:tcPr>
          <w:p w14:paraId="3141BD8C">
            <w:pPr>
              <w:pStyle w:val="23"/>
              <w:spacing w:before="211" w:line="219" w:lineRule="auto"/>
              <w:ind w:left="2715"/>
              <w:outlineLvl w:val="0"/>
              <w:rPr>
                <w:color w:val="auto"/>
                <w:sz w:val="24"/>
                <w:szCs w:val="24"/>
                <w:highlight w:val="none"/>
              </w:rPr>
            </w:pPr>
            <w:bookmarkStart w:id="35" w:name="_Toc20172"/>
            <w:bookmarkStart w:id="36" w:name="_Toc6861"/>
            <w:bookmarkStart w:id="37" w:name="_Toc16321"/>
            <w:r>
              <w:rPr>
                <w:color w:val="auto"/>
                <w:spacing w:val="-3"/>
                <w:sz w:val="24"/>
                <w:szCs w:val="24"/>
                <w:highlight w:val="none"/>
              </w:rPr>
              <w:t>评审内容</w:t>
            </w:r>
            <w:bookmarkEnd w:id="35"/>
            <w:bookmarkEnd w:id="36"/>
            <w:bookmarkEnd w:id="37"/>
          </w:p>
        </w:tc>
        <w:tc>
          <w:tcPr>
            <w:tcW w:w="1338" w:type="dxa"/>
            <w:gridSpan w:val="2"/>
            <w:tcBorders>
              <w:left w:val="single" w:color="000000" w:sz="4" w:space="0"/>
              <w:bottom w:val="single" w:color="000000" w:sz="4" w:space="0"/>
            </w:tcBorders>
            <w:vAlign w:val="top"/>
          </w:tcPr>
          <w:p w14:paraId="470F6678">
            <w:pPr>
              <w:pStyle w:val="23"/>
              <w:spacing w:before="211" w:line="219" w:lineRule="auto"/>
              <w:ind w:left="125"/>
              <w:outlineLvl w:val="0"/>
              <w:rPr>
                <w:color w:val="auto"/>
                <w:sz w:val="24"/>
                <w:szCs w:val="24"/>
                <w:highlight w:val="none"/>
              </w:rPr>
            </w:pPr>
            <w:bookmarkStart w:id="38" w:name="_Toc24347"/>
            <w:bookmarkStart w:id="39" w:name="_Toc13999"/>
            <w:bookmarkStart w:id="40" w:name="_Toc11181"/>
            <w:r>
              <w:rPr>
                <w:color w:val="auto"/>
                <w:spacing w:val="-3"/>
                <w:sz w:val="24"/>
                <w:szCs w:val="24"/>
                <w:highlight w:val="none"/>
              </w:rPr>
              <w:t>评审意见</w:t>
            </w:r>
            <w:bookmarkEnd w:id="38"/>
            <w:bookmarkEnd w:id="39"/>
            <w:bookmarkEnd w:id="40"/>
          </w:p>
        </w:tc>
      </w:tr>
      <w:tr w14:paraId="002C6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880" w:type="dxa"/>
            <w:vMerge w:val="continue"/>
            <w:tcBorders>
              <w:right w:val="single" w:color="000000" w:sz="4" w:space="0"/>
            </w:tcBorders>
            <w:vAlign w:val="top"/>
          </w:tcPr>
          <w:p w14:paraId="2A6B8AC5">
            <w:pPr>
              <w:rPr>
                <w:rFonts w:ascii="Arial"/>
                <w:color w:val="auto"/>
                <w:sz w:val="21"/>
                <w:highlight w:val="none"/>
              </w:rPr>
            </w:pPr>
          </w:p>
        </w:tc>
        <w:tc>
          <w:tcPr>
            <w:tcW w:w="7080" w:type="dxa"/>
            <w:gridSpan w:val="2"/>
            <w:vMerge w:val="continue"/>
            <w:tcBorders>
              <w:left w:val="single" w:color="000000" w:sz="4" w:space="0"/>
              <w:right w:val="single" w:color="000000" w:sz="4" w:space="0"/>
            </w:tcBorders>
            <w:vAlign w:val="top"/>
          </w:tcPr>
          <w:p w14:paraId="140F10C4">
            <w:pPr>
              <w:rPr>
                <w:rFonts w:ascii="Arial"/>
                <w:color w:val="auto"/>
                <w:sz w:val="21"/>
                <w:highlight w:val="none"/>
              </w:rPr>
            </w:pPr>
          </w:p>
        </w:tc>
        <w:tc>
          <w:tcPr>
            <w:tcW w:w="722" w:type="dxa"/>
            <w:tcBorders>
              <w:top w:val="single" w:color="000000" w:sz="4" w:space="0"/>
              <w:left w:val="single" w:color="000000" w:sz="4" w:space="0"/>
              <w:bottom w:val="single" w:color="000000" w:sz="4" w:space="0"/>
              <w:right w:val="single" w:color="000000" w:sz="4" w:space="0"/>
            </w:tcBorders>
            <w:vAlign w:val="top"/>
          </w:tcPr>
          <w:p w14:paraId="7D4533A5">
            <w:pPr>
              <w:pStyle w:val="23"/>
              <w:spacing w:before="146" w:line="223" w:lineRule="auto"/>
              <w:ind w:left="216"/>
              <w:outlineLvl w:val="0"/>
              <w:rPr>
                <w:color w:val="auto"/>
                <w:sz w:val="24"/>
                <w:szCs w:val="24"/>
                <w:highlight w:val="none"/>
              </w:rPr>
            </w:pPr>
            <w:bookmarkStart w:id="41" w:name="_Toc8877"/>
            <w:bookmarkStart w:id="42" w:name="_Toc11031"/>
            <w:bookmarkStart w:id="43" w:name="_Toc1192"/>
            <w:r>
              <w:rPr>
                <w:color w:val="auto"/>
                <w:sz w:val="24"/>
                <w:szCs w:val="24"/>
                <w:highlight w:val="none"/>
              </w:rPr>
              <w:t>是</w:t>
            </w:r>
            <w:bookmarkEnd w:id="41"/>
            <w:bookmarkEnd w:id="42"/>
            <w:bookmarkEnd w:id="43"/>
          </w:p>
        </w:tc>
        <w:tc>
          <w:tcPr>
            <w:tcW w:w="616" w:type="dxa"/>
            <w:tcBorders>
              <w:top w:val="single" w:color="000000" w:sz="4" w:space="0"/>
              <w:left w:val="single" w:color="000000" w:sz="4" w:space="0"/>
              <w:bottom w:val="single" w:color="000000" w:sz="4" w:space="0"/>
            </w:tcBorders>
            <w:vAlign w:val="top"/>
          </w:tcPr>
          <w:p w14:paraId="349D9B29">
            <w:pPr>
              <w:pStyle w:val="23"/>
              <w:spacing w:before="147" w:line="220" w:lineRule="auto"/>
              <w:ind w:left="168"/>
              <w:outlineLvl w:val="0"/>
              <w:rPr>
                <w:color w:val="auto"/>
                <w:sz w:val="24"/>
                <w:szCs w:val="24"/>
                <w:highlight w:val="none"/>
              </w:rPr>
            </w:pPr>
            <w:bookmarkStart w:id="44" w:name="_Toc22926"/>
            <w:bookmarkStart w:id="45" w:name="_Toc19047"/>
            <w:bookmarkStart w:id="46" w:name="_Toc9475"/>
            <w:r>
              <w:rPr>
                <w:color w:val="auto"/>
                <w:sz w:val="24"/>
                <w:szCs w:val="24"/>
                <w:highlight w:val="none"/>
              </w:rPr>
              <w:t>否</w:t>
            </w:r>
            <w:bookmarkEnd w:id="44"/>
            <w:bookmarkEnd w:id="45"/>
            <w:bookmarkEnd w:id="46"/>
          </w:p>
        </w:tc>
      </w:tr>
      <w:tr w14:paraId="03223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80" w:type="dxa"/>
            <w:vMerge w:val="restart"/>
            <w:tcBorders>
              <w:bottom w:val="nil"/>
            </w:tcBorders>
            <w:textDirection w:val="tbRlV"/>
            <w:vAlign w:val="top"/>
          </w:tcPr>
          <w:p w14:paraId="607EDD62">
            <w:pPr>
              <w:pStyle w:val="23"/>
              <w:spacing w:before="272" w:line="208" w:lineRule="auto"/>
              <w:ind w:left="2471"/>
              <w:outlineLvl w:val="0"/>
              <w:rPr>
                <w:color w:val="auto"/>
                <w:sz w:val="24"/>
                <w:szCs w:val="24"/>
                <w:highlight w:val="none"/>
              </w:rPr>
            </w:pPr>
            <w:bookmarkStart w:id="47" w:name="_Toc14542"/>
            <w:bookmarkStart w:id="48" w:name="_Toc5023"/>
            <w:bookmarkStart w:id="49" w:name="_Toc15548"/>
            <w:r>
              <w:rPr>
                <w:color w:val="auto"/>
                <w:spacing w:val="-1"/>
                <w:sz w:val="24"/>
                <w:szCs w:val="24"/>
                <w:highlight w:val="none"/>
              </w:rPr>
              <w:t>审查标准</w:t>
            </w:r>
            <w:bookmarkEnd w:id="47"/>
            <w:bookmarkEnd w:id="48"/>
            <w:bookmarkEnd w:id="49"/>
          </w:p>
        </w:tc>
        <w:tc>
          <w:tcPr>
            <w:tcW w:w="632" w:type="dxa"/>
            <w:tcBorders>
              <w:bottom w:val="single" w:color="000000" w:sz="4" w:space="0"/>
            </w:tcBorders>
            <w:vAlign w:val="center"/>
          </w:tcPr>
          <w:p w14:paraId="3297274F">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50" w:name="_Toc4276"/>
            <w:bookmarkStart w:id="51" w:name="_Toc10610"/>
            <w:bookmarkStart w:id="52" w:name="_Toc704"/>
            <w:r>
              <w:rPr>
                <w:color w:val="auto"/>
                <w:sz w:val="24"/>
                <w:szCs w:val="24"/>
                <w:highlight w:val="none"/>
              </w:rPr>
              <w:t>1</w:t>
            </w:r>
            <w:bookmarkEnd w:id="50"/>
            <w:bookmarkEnd w:id="51"/>
            <w:bookmarkEnd w:id="52"/>
          </w:p>
        </w:tc>
        <w:tc>
          <w:tcPr>
            <w:tcW w:w="6448" w:type="dxa"/>
            <w:tcBorders>
              <w:bottom w:val="single" w:color="000000" w:sz="4" w:space="0"/>
            </w:tcBorders>
            <w:vAlign w:val="top"/>
          </w:tcPr>
          <w:p w14:paraId="742CAE7F">
            <w:pPr>
              <w:pStyle w:val="23"/>
              <w:spacing w:before="147" w:line="218" w:lineRule="auto"/>
              <w:ind w:left="115"/>
              <w:outlineLvl w:val="0"/>
              <w:rPr>
                <w:color w:val="auto"/>
                <w:sz w:val="24"/>
                <w:szCs w:val="24"/>
                <w:highlight w:val="none"/>
              </w:rPr>
            </w:pPr>
            <w:bookmarkStart w:id="53" w:name="_Toc14057"/>
            <w:bookmarkStart w:id="54" w:name="_Toc22251"/>
            <w:bookmarkStart w:id="55" w:name="_Toc22397"/>
            <w:r>
              <w:rPr>
                <w:color w:val="auto"/>
                <w:spacing w:val="-1"/>
                <w:sz w:val="24"/>
                <w:szCs w:val="24"/>
                <w:highlight w:val="none"/>
              </w:rPr>
              <w:t>投标报价未高于设定的采购</w:t>
            </w:r>
            <w:r>
              <w:rPr>
                <w:rFonts w:hint="eastAsia"/>
                <w:color w:val="auto"/>
                <w:spacing w:val="-1"/>
                <w:sz w:val="24"/>
                <w:szCs w:val="24"/>
                <w:highlight w:val="none"/>
                <w:lang w:val="en-US" w:eastAsia="zh-CN"/>
              </w:rPr>
              <w:t>最高限价</w:t>
            </w:r>
            <w:r>
              <w:rPr>
                <w:color w:val="auto"/>
                <w:spacing w:val="-1"/>
                <w:sz w:val="24"/>
                <w:szCs w:val="24"/>
                <w:highlight w:val="none"/>
              </w:rPr>
              <w:t>的；</w:t>
            </w:r>
            <w:bookmarkEnd w:id="53"/>
            <w:bookmarkEnd w:id="54"/>
            <w:bookmarkEnd w:id="55"/>
          </w:p>
        </w:tc>
        <w:tc>
          <w:tcPr>
            <w:tcW w:w="722" w:type="dxa"/>
            <w:tcBorders>
              <w:top w:val="single" w:color="000000" w:sz="4" w:space="0"/>
              <w:bottom w:val="single" w:color="000000" w:sz="4" w:space="0"/>
            </w:tcBorders>
            <w:vAlign w:val="top"/>
          </w:tcPr>
          <w:p w14:paraId="50807975">
            <w:pPr>
              <w:rPr>
                <w:rFonts w:ascii="Arial"/>
                <w:color w:val="auto"/>
                <w:sz w:val="21"/>
                <w:highlight w:val="none"/>
              </w:rPr>
            </w:pPr>
          </w:p>
        </w:tc>
        <w:tc>
          <w:tcPr>
            <w:tcW w:w="616" w:type="dxa"/>
            <w:tcBorders>
              <w:top w:val="single" w:color="000000" w:sz="4" w:space="0"/>
              <w:bottom w:val="single" w:color="000000" w:sz="4" w:space="0"/>
            </w:tcBorders>
            <w:vAlign w:val="top"/>
          </w:tcPr>
          <w:p w14:paraId="2F6E65CC">
            <w:pPr>
              <w:rPr>
                <w:rFonts w:ascii="Arial"/>
                <w:color w:val="auto"/>
                <w:sz w:val="21"/>
                <w:highlight w:val="none"/>
              </w:rPr>
            </w:pPr>
          </w:p>
        </w:tc>
      </w:tr>
      <w:tr w14:paraId="76EB0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880" w:type="dxa"/>
            <w:vMerge w:val="continue"/>
            <w:tcBorders>
              <w:top w:val="nil"/>
              <w:bottom w:val="nil"/>
            </w:tcBorders>
            <w:textDirection w:val="tbRlV"/>
            <w:vAlign w:val="top"/>
          </w:tcPr>
          <w:p w14:paraId="2AEF51FC">
            <w:pPr>
              <w:rPr>
                <w:rFonts w:ascii="Arial"/>
                <w:color w:val="auto"/>
                <w:sz w:val="21"/>
                <w:highlight w:val="none"/>
              </w:rPr>
            </w:pPr>
          </w:p>
        </w:tc>
        <w:tc>
          <w:tcPr>
            <w:tcW w:w="632" w:type="dxa"/>
            <w:tcBorders>
              <w:top w:val="single" w:color="000000" w:sz="4" w:space="0"/>
            </w:tcBorders>
            <w:vAlign w:val="center"/>
          </w:tcPr>
          <w:p w14:paraId="735059A0">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56" w:name="_Toc3078"/>
            <w:bookmarkStart w:id="57" w:name="_Toc17233"/>
            <w:bookmarkStart w:id="58" w:name="_Toc12322"/>
            <w:r>
              <w:rPr>
                <w:color w:val="auto"/>
                <w:sz w:val="24"/>
                <w:szCs w:val="24"/>
                <w:highlight w:val="none"/>
              </w:rPr>
              <w:t>2</w:t>
            </w:r>
            <w:bookmarkEnd w:id="56"/>
            <w:bookmarkEnd w:id="57"/>
            <w:bookmarkEnd w:id="58"/>
          </w:p>
        </w:tc>
        <w:tc>
          <w:tcPr>
            <w:tcW w:w="6448" w:type="dxa"/>
            <w:tcBorders>
              <w:top w:val="single" w:color="000000" w:sz="4" w:space="0"/>
            </w:tcBorders>
            <w:vAlign w:val="top"/>
          </w:tcPr>
          <w:p w14:paraId="2C0F98ED">
            <w:pPr>
              <w:pStyle w:val="23"/>
              <w:spacing w:before="156" w:line="219" w:lineRule="auto"/>
              <w:ind w:left="116"/>
              <w:rPr>
                <w:color w:val="auto"/>
                <w:sz w:val="24"/>
                <w:szCs w:val="24"/>
                <w:highlight w:val="none"/>
              </w:rPr>
            </w:pPr>
            <w:r>
              <w:rPr>
                <w:rFonts w:hint="eastAsia"/>
                <w:color w:val="auto"/>
                <w:spacing w:val="-1"/>
                <w:sz w:val="24"/>
                <w:szCs w:val="24"/>
                <w:highlight w:val="none"/>
              </w:rPr>
              <w:t>投标人对同一招标项目未作出两个以上报价未明确效力的；</w:t>
            </w:r>
          </w:p>
        </w:tc>
        <w:tc>
          <w:tcPr>
            <w:tcW w:w="722" w:type="dxa"/>
            <w:tcBorders>
              <w:top w:val="single" w:color="000000" w:sz="4" w:space="0"/>
              <w:bottom w:val="single" w:color="000000" w:sz="4" w:space="0"/>
            </w:tcBorders>
            <w:vAlign w:val="top"/>
          </w:tcPr>
          <w:p w14:paraId="75751A79">
            <w:pPr>
              <w:rPr>
                <w:rFonts w:ascii="Arial"/>
                <w:color w:val="auto"/>
                <w:sz w:val="21"/>
                <w:highlight w:val="none"/>
              </w:rPr>
            </w:pPr>
          </w:p>
        </w:tc>
        <w:tc>
          <w:tcPr>
            <w:tcW w:w="616" w:type="dxa"/>
            <w:tcBorders>
              <w:top w:val="single" w:color="000000" w:sz="4" w:space="0"/>
              <w:bottom w:val="single" w:color="000000" w:sz="4" w:space="0"/>
            </w:tcBorders>
            <w:vAlign w:val="top"/>
          </w:tcPr>
          <w:p w14:paraId="466AC9A0">
            <w:pPr>
              <w:rPr>
                <w:rFonts w:ascii="Arial"/>
                <w:color w:val="auto"/>
                <w:sz w:val="21"/>
                <w:highlight w:val="none"/>
              </w:rPr>
            </w:pPr>
          </w:p>
        </w:tc>
      </w:tr>
      <w:tr w14:paraId="47E0E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jc w:val="center"/>
        </w:trPr>
        <w:tc>
          <w:tcPr>
            <w:tcW w:w="880" w:type="dxa"/>
            <w:vMerge w:val="continue"/>
            <w:tcBorders>
              <w:top w:val="nil"/>
              <w:bottom w:val="nil"/>
            </w:tcBorders>
            <w:textDirection w:val="tbRlV"/>
            <w:vAlign w:val="top"/>
          </w:tcPr>
          <w:p w14:paraId="01465604">
            <w:pPr>
              <w:rPr>
                <w:rFonts w:ascii="Arial"/>
                <w:color w:val="auto"/>
                <w:sz w:val="21"/>
                <w:highlight w:val="none"/>
              </w:rPr>
            </w:pPr>
          </w:p>
        </w:tc>
        <w:tc>
          <w:tcPr>
            <w:tcW w:w="632" w:type="dxa"/>
            <w:vAlign w:val="center"/>
          </w:tcPr>
          <w:p w14:paraId="0CF8BC67">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59" w:name="_Toc8415"/>
            <w:bookmarkStart w:id="60" w:name="_Toc24655"/>
            <w:bookmarkStart w:id="61" w:name="_Toc29138"/>
            <w:r>
              <w:rPr>
                <w:color w:val="auto"/>
                <w:sz w:val="24"/>
                <w:szCs w:val="24"/>
                <w:highlight w:val="none"/>
              </w:rPr>
              <w:t>3</w:t>
            </w:r>
            <w:bookmarkEnd w:id="59"/>
            <w:bookmarkEnd w:id="60"/>
            <w:bookmarkEnd w:id="61"/>
          </w:p>
        </w:tc>
        <w:tc>
          <w:tcPr>
            <w:tcW w:w="6448" w:type="dxa"/>
            <w:vAlign w:val="top"/>
          </w:tcPr>
          <w:p w14:paraId="376A8BDE">
            <w:pPr>
              <w:pStyle w:val="23"/>
              <w:spacing w:before="147" w:line="218" w:lineRule="auto"/>
              <w:ind w:left="111"/>
              <w:outlineLvl w:val="0"/>
              <w:rPr>
                <w:color w:val="auto"/>
                <w:sz w:val="24"/>
                <w:szCs w:val="24"/>
                <w:highlight w:val="none"/>
              </w:rPr>
            </w:pPr>
            <w:bookmarkStart w:id="62" w:name="_Toc31708"/>
            <w:bookmarkStart w:id="63" w:name="_Toc16291"/>
            <w:bookmarkStart w:id="64" w:name="_Toc9582"/>
            <w:r>
              <w:rPr>
                <w:rFonts w:hint="eastAsia"/>
                <w:color w:val="auto"/>
                <w:spacing w:val="-1"/>
                <w:sz w:val="24"/>
                <w:szCs w:val="24"/>
                <w:highlight w:val="none"/>
              </w:rPr>
              <w:t>评标委员会认为供应商的报价无明显低于其他通过符</w:t>
            </w:r>
            <w:bookmarkEnd w:id="62"/>
            <w:r>
              <w:rPr>
                <w:rFonts w:hint="eastAsia"/>
                <w:color w:val="auto"/>
                <w:spacing w:val="-1"/>
                <w:sz w:val="24"/>
                <w:szCs w:val="24"/>
                <w:highlight w:val="none"/>
              </w:rPr>
              <w:t>合性审查供应商的报价的，供应商的报价不存在异常一致并成规律性的，其报价合理；</w:t>
            </w:r>
            <w:bookmarkEnd w:id="63"/>
            <w:bookmarkEnd w:id="64"/>
          </w:p>
        </w:tc>
        <w:tc>
          <w:tcPr>
            <w:tcW w:w="722" w:type="dxa"/>
            <w:tcBorders>
              <w:top w:val="single" w:color="000000" w:sz="4" w:space="0"/>
              <w:bottom w:val="single" w:color="000000" w:sz="4" w:space="0"/>
              <w:right w:val="single" w:color="000000" w:sz="4" w:space="0"/>
            </w:tcBorders>
            <w:vAlign w:val="top"/>
          </w:tcPr>
          <w:p w14:paraId="01C88C59">
            <w:pPr>
              <w:rPr>
                <w:rFonts w:ascii="Arial"/>
                <w:color w:val="auto"/>
                <w:sz w:val="21"/>
                <w:highlight w:val="none"/>
              </w:rPr>
            </w:pPr>
          </w:p>
        </w:tc>
        <w:tc>
          <w:tcPr>
            <w:tcW w:w="616" w:type="dxa"/>
            <w:tcBorders>
              <w:top w:val="single" w:color="000000" w:sz="4" w:space="0"/>
              <w:left w:val="single" w:color="000000" w:sz="4" w:space="0"/>
              <w:bottom w:val="single" w:color="000000" w:sz="4" w:space="0"/>
            </w:tcBorders>
            <w:vAlign w:val="top"/>
          </w:tcPr>
          <w:p w14:paraId="753FE36A">
            <w:pPr>
              <w:rPr>
                <w:rFonts w:ascii="Arial"/>
                <w:color w:val="auto"/>
                <w:sz w:val="21"/>
                <w:highlight w:val="none"/>
              </w:rPr>
            </w:pPr>
          </w:p>
        </w:tc>
      </w:tr>
      <w:tr w14:paraId="674C0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jc w:val="center"/>
        </w:trPr>
        <w:tc>
          <w:tcPr>
            <w:tcW w:w="880" w:type="dxa"/>
            <w:vMerge w:val="continue"/>
            <w:tcBorders>
              <w:top w:val="nil"/>
              <w:bottom w:val="nil"/>
            </w:tcBorders>
            <w:textDirection w:val="tbRlV"/>
            <w:vAlign w:val="top"/>
          </w:tcPr>
          <w:p w14:paraId="0F413024">
            <w:pPr>
              <w:rPr>
                <w:rFonts w:ascii="Arial"/>
                <w:color w:val="auto"/>
                <w:sz w:val="21"/>
                <w:highlight w:val="none"/>
              </w:rPr>
            </w:pPr>
          </w:p>
        </w:tc>
        <w:tc>
          <w:tcPr>
            <w:tcW w:w="632" w:type="dxa"/>
            <w:tcBorders>
              <w:bottom w:val="single" w:color="000000" w:sz="4" w:space="0"/>
            </w:tcBorders>
            <w:vAlign w:val="center"/>
          </w:tcPr>
          <w:p w14:paraId="6D7DEDAE">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65" w:name="_Toc6542"/>
            <w:bookmarkStart w:id="66" w:name="_Toc31199"/>
            <w:bookmarkStart w:id="67" w:name="_Toc11608"/>
            <w:r>
              <w:rPr>
                <w:color w:val="auto"/>
                <w:sz w:val="24"/>
                <w:szCs w:val="24"/>
                <w:highlight w:val="none"/>
              </w:rPr>
              <w:t>4</w:t>
            </w:r>
            <w:bookmarkEnd w:id="65"/>
            <w:bookmarkEnd w:id="66"/>
            <w:bookmarkEnd w:id="67"/>
          </w:p>
        </w:tc>
        <w:tc>
          <w:tcPr>
            <w:tcW w:w="6448" w:type="dxa"/>
            <w:tcBorders>
              <w:bottom w:val="single" w:color="000000" w:sz="4" w:space="0"/>
            </w:tcBorders>
            <w:vAlign w:val="top"/>
          </w:tcPr>
          <w:p w14:paraId="6E83EEDC">
            <w:pPr>
              <w:pStyle w:val="23"/>
              <w:spacing w:before="147" w:line="219" w:lineRule="auto"/>
              <w:ind w:left="111"/>
              <w:outlineLvl w:val="0"/>
              <w:rPr>
                <w:rFonts w:hint="default" w:eastAsia="宋体"/>
                <w:color w:val="auto"/>
                <w:sz w:val="24"/>
                <w:szCs w:val="24"/>
                <w:highlight w:val="none"/>
                <w:lang w:val="en-US" w:eastAsia="zh-CN"/>
              </w:rPr>
            </w:pPr>
            <w:bookmarkStart w:id="68" w:name="_Toc25959"/>
            <w:bookmarkStart w:id="69" w:name="_Toc8296"/>
            <w:r>
              <w:rPr>
                <w:rFonts w:hint="eastAsia"/>
                <w:color w:val="auto"/>
                <w:spacing w:val="-1"/>
                <w:sz w:val="24"/>
                <w:szCs w:val="24"/>
                <w:highlight w:val="none"/>
                <w:lang w:val="en-US" w:eastAsia="zh-CN"/>
              </w:rPr>
              <w:t>质保期满足采购文件要求；</w:t>
            </w:r>
            <w:bookmarkEnd w:id="68"/>
            <w:bookmarkEnd w:id="69"/>
          </w:p>
        </w:tc>
        <w:tc>
          <w:tcPr>
            <w:tcW w:w="722" w:type="dxa"/>
            <w:tcBorders>
              <w:top w:val="single" w:color="000000" w:sz="4" w:space="0"/>
              <w:bottom w:val="single" w:color="000000" w:sz="4" w:space="0"/>
              <w:right w:val="single" w:color="000000" w:sz="4" w:space="0"/>
            </w:tcBorders>
            <w:vAlign w:val="top"/>
          </w:tcPr>
          <w:p w14:paraId="5A6BFD7D">
            <w:pPr>
              <w:rPr>
                <w:rFonts w:ascii="Arial"/>
                <w:color w:val="auto"/>
                <w:sz w:val="21"/>
                <w:highlight w:val="none"/>
              </w:rPr>
            </w:pPr>
          </w:p>
        </w:tc>
        <w:tc>
          <w:tcPr>
            <w:tcW w:w="616" w:type="dxa"/>
            <w:tcBorders>
              <w:top w:val="single" w:color="000000" w:sz="4" w:space="0"/>
              <w:left w:val="single" w:color="000000" w:sz="4" w:space="0"/>
              <w:bottom w:val="single" w:color="000000" w:sz="4" w:space="0"/>
            </w:tcBorders>
            <w:vAlign w:val="top"/>
          </w:tcPr>
          <w:p w14:paraId="10FDDB20">
            <w:pPr>
              <w:rPr>
                <w:rFonts w:ascii="Arial"/>
                <w:color w:val="auto"/>
                <w:sz w:val="21"/>
                <w:highlight w:val="none"/>
              </w:rPr>
            </w:pPr>
          </w:p>
        </w:tc>
      </w:tr>
      <w:tr w14:paraId="65176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jc w:val="center"/>
        </w:trPr>
        <w:tc>
          <w:tcPr>
            <w:tcW w:w="880" w:type="dxa"/>
            <w:vMerge w:val="continue"/>
            <w:tcBorders>
              <w:top w:val="nil"/>
              <w:bottom w:val="nil"/>
            </w:tcBorders>
            <w:textDirection w:val="tbRlV"/>
            <w:vAlign w:val="top"/>
          </w:tcPr>
          <w:p w14:paraId="3DFEAB2D">
            <w:pPr>
              <w:rPr>
                <w:rFonts w:ascii="Arial"/>
                <w:color w:val="auto"/>
                <w:sz w:val="21"/>
                <w:highlight w:val="none"/>
              </w:rPr>
            </w:pPr>
          </w:p>
        </w:tc>
        <w:tc>
          <w:tcPr>
            <w:tcW w:w="632" w:type="dxa"/>
            <w:tcBorders>
              <w:top w:val="single" w:color="000000" w:sz="4" w:space="0"/>
              <w:bottom w:val="single" w:color="000000" w:sz="4" w:space="0"/>
              <w:right w:val="single" w:color="000000" w:sz="4" w:space="0"/>
            </w:tcBorders>
            <w:vAlign w:val="center"/>
          </w:tcPr>
          <w:p w14:paraId="4CD5D80C">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70" w:name="_Toc1056"/>
            <w:bookmarkStart w:id="71" w:name="_Toc20055"/>
            <w:bookmarkStart w:id="72" w:name="_Toc28959"/>
            <w:r>
              <w:rPr>
                <w:color w:val="auto"/>
                <w:sz w:val="24"/>
                <w:szCs w:val="24"/>
                <w:highlight w:val="none"/>
              </w:rPr>
              <w:t>5</w:t>
            </w:r>
            <w:bookmarkEnd w:id="70"/>
            <w:bookmarkEnd w:id="71"/>
            <w:bookmarkEnd w:id="72"/>
          </w:p>
        </w:tc>
        <w:tc>
          <w:tcPr>
            <w:tcW w:w="6448" w:type="dxa"/>
            <w:tcBorders>
              <w:top w:val="single" w:color="000000" w:sz="4" w:space="0"/>
              <w:left w:val="single" w:color="000000" w:sz="4" w:space="0"/>
              <w:bottom w:val="single" w:color="000000" w:sz="4" w:space="0"/>
            </w:tcBorders>
            <w:vAlign w:val="top"/>
          </w:tcPr>
          <w:p w14:paraId="582F66BF">
            <w:pPr>
              <w:pStyle w:val="23"/>
              <w:spacing w:before="147" w:line="219" w:lineRule="auto"/>
              <w:ind w:left="113"/>
              <w:outlineLvl w:val="0"/>
              <w:rPr>
                <w:color w:val="auto"/>
                <w:sz w:val="24"/>
                <w:szCs w:val="24"/>
                <w:highlight w:val="none"/>
              </w:rPr>
            </w:pPr>
            <w:bookmarkStart w:id="73" w:name="_Toc741"/>
            <w:bookmarkStart w:id="74" w:name="_Toc2139"/>
            <w:bookmarkStart w:id="75" w:name="_Toc3571"/>
            <w:r>
              <w:rPr>
                <w:color w:val="auto"/>
                <w:spacing w:val="-1"/>
                <w:sz w:val="24"/>
                <w:szCs w:val="24"/>
                <w:highlight w:val="none"/>
              </w:rPr>
              <w:t>投标文件有投标单位法定代表人或其授权代表签字</w:t>
            </w:r>
            <w:bookmarkEnd w:id="73"/>
            <w:r>
              <w:rPr>
                <w:color w:val="auto"/>
                <w:spacing w:val="-2"/>
                <w:sz w:val="24"/>
                <w:szCs w:val="24"/>
                <w:highlight w:val="none"/>
              </w:rPr>
              <w:t>（章）和加盖投标单位公章的；</w:t>
            </w:r>
            <w:bookmarkEnd w:id="74"/>
            <w:bookmarkEnd w:id="75"/>
          </w:p>
        </w:tc>
        <w:tc>
          <w:tcPr>
            <w:tcW w:w="722" w:type="dxa"/>
            <w:tcBorders>
              <w:top w:val="single" w:color="000000" w:sz="4" w:space="0"/>
              <w:bottom w:val="single" w:color="000000" w:sz="4" w:space="0"/>
              <w:right w:val="single" w:color="000000" w:sz="4" w:space="0"/>
            </w:tcBorders>
            <w:vAlign w:val="top"/>
          </w:tcPr>
          <w:p w14:paraId="666E1D6F">
            <w:pPr>
              <w:rPr>
                <w:rFonts w:ascii="Arial"/>
                <w:color w:val="auto"/>
                <w:sz w:val="21"/>
                <w:highlight w:val="none"/>
              </w:rPr>
            </w:pPr>
          </w:p>
        </w:tc>
        <w:tc>
          <w:tcPr>
            <w:tcW w:w="616" w:type="dxa"/>
            <w:tcBorders>
              <w:top w:val="single" w:color="000000" w:sz="4" w:space="0"/>
              <w:left w:val="single" w:color="000000" w:sz="4" w:space="0"/>
              <w:bottom w:val="single" w:color="000000" w:sz="4" w:space="0"/>
            </w:tcBorders>
            <w:vAlign w:val="top"/>
          </w:tcPr>
          <w:p w14:paraId="528F9FFF">
            <w:pPr>
              <w:rPr>
                <w:rFonts w:ascii="Arial"/>
                <w:color w:val="auto"/>
                <w:sz w:val="21"/>
                <w:highlight w:val="none"/>
              </w:rPr>
            </w:pPr>
          </w:p>
        </w:tc>
      </w:tr>
      <w:tr w14:paraId="435BF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80" w:type="dxa"/>
            <w:vMerge w:val="continue"/>
            <w:tcBorders>
              <w:top w:val="nil"/>
              <w:bottom w:val="nil"/>
            </w:tcBorders>
            <w:textDirection w:val="tbRlV"/>
            <w:vAlign w:val="top"/>
          </w:tcPr>
          <w:p w14:paraId="116C0C73">
            <w:pPr>
              <w:rPr>
                <w:rFonts w:ascii="Arial"/>
                <w:color w:val="auto"/>
                <w:sz w:val="21"/>
                <w:highlight w:val="none"/>
              </w:rPr>
            </w:pPr>
          </w:p>
        </w:tc>
        <w:tc>
          <w:tcPr>
            <w:tcW w:w="632" w:type="dxa"/>
            <w:tcBorders>
              <w:top w:val="single" w:color="000000" w:sz="4" w:space="0"/>
              <w:right w:val="single" w:color="000000" w:sz="4" w:space="0"/>
            </w:tcBorders>
            <w:vAlign w:val="center"/>
          </w:tcPr>
          <w:p w14:paraId="459B1859">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76" w:name="_Toc15085"/>
            <w:bookmarkStart w:id="77" w:name="_Toc315"/>
            <w:bookmarkStart w:id="78" w:name="_Toc20089"/>
            <w:r>
              <w:rPr>
                <w:color w:val="auto"/>
                <w:sz w:val="24"/>
                <w:szCs w:val="24"/>
                <w:highlight w:val="none"/>
              </w:rPr>
              <w:t>6</w:t>
            </w:r>
            <w:bookmarkEnd w:id="76"/>
            <w:bookmarkEnd w:id="77"/>
            <w:bookmarkEnd w:id="78"/>
          </w:p>
        </w:tc>
        <w:tc>
          <w:tcPr>
            <w:tcW w:w="6448" w:type="dxa"/>
            <w:tcBorders>
              <w:top w:val="single" w:color="000000" w:sz="4" w:space="0"/>
              <w:left w:val="single" w:color="000000" w:sz="4" w:space="0"/>
            </w:tcBorders>
            <w:vAlign w:val="top"/>
          </w:tcPr>
          <w:p w14:paraId="4F6E46FF">
            <w:pPr>
              <w:pStyle w:val="23"/>
              <w:spacing w:before="148" w:line="219" w:lineRule="auto"/>
              <w:ind w:left="113"/>
              <w:outlineLvl w:val="0"/>
              <w:rPr>
                <w:color w:val="auto"/>
                <w:sz w:val="24"/>
                <w:szCs w:val="24"/>
                <w:highlight w:val="none"/>
              </w:rPr>
            </w:pPr>
            <w:bookmarkStart w:id="79" w:name="_Toc18916"/>
            <w:bookmarkStart w:id="80" w:name="_Toc1043"/>
            <w:bookmarkStart w:id="81" w:name="_Toc15382"/>
            <w:r>
              <w:rPr>
                <w:color w:val="auto"/>
                <w:spacing w:val="-1"/>
                <w:sz w:val="24"/>
                <w:szCs w:val="24"/>
                <w:highlight w:val="none"/>
              </w:rPr>
              <w:t>投标的政府采购项目完成期限未超过招标文件规定期</w:t>
            </w:r>
            <w:bookmarkEnd w:id="79"/>
            <w:r>
              <w:rPr>
                <w:color w:val="auto"/>
                <w:spacing w:val="-9"/>
                <w:sz w:val="24"/>
                <w:szCs w:val="24"/>
                <w:highlight w:val="none"/>
              </w:rPr>
              <w:t>限的；</w:t>
            </w:r>
            <w:bookmarkEnd w:id="80"/>
            <w:bookmarkEnd w:id="81"/>
          </w:p>
        </w:tc>
        <w:tc>
          <w:tcPr>
            <w:tcW w:w="722" w:type="dxa"/>
            <w:tcBorders>
              <w:top w:val="single" w:color="000000" w:sz="4" w:space="0"/>
              <w:right w:val="single" w:color="000000" w:sz="4" w:space="0"/>
            </w:tcBorders>
            <w:vAlign w:val="top"/>
          </w:tcPr>
          <w:p w14:paraId="77270CA4">
            <w:pPr>
              <w:rPr>
                <w:rFonts w:ascii="Arial"/>
                <w:color w:val="auto"/>
                <w:sz w:val="21"/>
                <w:highlight w:val="none"/>
              </w:rPr>
            </w:pPr>
          </w:p>
        </w:tc>
        <w:tc>
          <w:tcPr>
            <w:tcW w:w="616" w:type="dxa"/>
            <w:tcBorders>
              <w:top w:val="single" w:color="000000" w:sz="4" w:space="0"/>
              <w:left w:val="single" w:color="000000" w:sz="4" w:space="0"/>
            </w:tcBorders>
            <w:vAlign w:val="top"/>
          </w:tcPr>
          <w:p w14:paraId="60D91FFA">
            <w:pPr>
              <w:rPr>
                <w:rFonts w:ascii="Arial"/>
                <w:color w:val="auto"/>
                <w:sz w:val="21"/>
                <w:highlight w:val="none"/>
              </w:rPr>
            </w:pPr>
          </w:p>
        </w:tc>
      </w:tr>
      <w:tr w14:paraId="5FFEE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jc w:val="center"/>
        </w:trPr>
        <w:tc>
          <w:tcPr>
            <w:tcW w:w="880" w:type="dxa"/>
            <w:vMerge w:val="continue"/>
            <w:tcBorders>
              <w:top w:val="nil"/>
              <w:bottom w:val="nil"/>
            </w:tcBorders>
            <w:textDirection w:val="tbRlV"/>
            <w:vAlign w:val="top"/>
          </w:tcPr>
          <w:p w14:paraId="6C88A4C6">
            <w:pPr>
              <w:rPr>
                <w:rFonts w:ascii="Arial"/>
                <w:color w:val="auto"/>
                <w:sz w:val="21"/>
                <w:highlight w:val="none"/>
              </w:rPr>
            </w:pPr>
          </w:p>
        </w:tc>
        <w:tc>
          <w:tcPr>
            <w:tcW w:w="632" w:type="dxa"/>
            <w:tcBorders>
              <w:bottom w:val="single" w:color="000000" w:sz="4" w:space="0"/>
            </w:tcBorders>
            <w:vAlign w:val="center"/>
          </w:tcPr>
          <w:p w14:paraId="273ADB55">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82" w:name="_Toc18980"/>
            <w:bookmarkStart w:id="83" w:name="_Toc7645"/>
            <w:bookmarkStart w:id="84" w:name="_Toc26879"/>
            <w:r>
              <w:rPr>
                <w:color w:val="auto"/>
                <w:sz w:val="24"/>
                <w:szCs w:val="24"/>
                <w:highlight w:val="none"/>
              </w:rPr>
              <w:t>7</w:t>
            </w:r>
            <w:bookmarkEnd w:id="82"/>
            <w:bookmarkEnd w:id="83"/>
            <w:bookmarkEnd w:id="84"/>
          </w:p>
        </w:tc>
        <w:tc>
          <w:tcPr>
            <w:tcW w:w="6448" w:type="dxa"/>
            <w:tcBorders>
              <w:bottom w:val="single" w:color="000000" w:sz="4" w:space="0"/>
            </w:tcBorders>
            <w:vAlign w:val="top"/>
          </w:tcPr>
          <w:p w14:paraId="2EBD5089">
            <w:pPr>
              <w:pStyle w:val="23"/>
              <w:spacing w:before="156" w:line="219" w:lineRule="auto"/>
              <w:ind w:left="115"/>
              <w:outlineLvl w:val="0"/>
              <w:rPr>
                <w:color w:val="auto"/>
                <w:sz w:val="24"/>
                <w:szCs w:val="24"/>
                <w:highlight w:val="none"/>
              </w:rPr>
            </w:pPr>
            <w:bookmarkStart w:id="85" w:name="_Toc11770"/>
            <w:bookmarkStart w:id="86" w:name="_Toc27976"/>
            <w:bookmarkStart w:id="87" w:name="_Toc4183"/>
            <w:r>
              <w:rPr>
                <w:color w:val="auto"/>
                <w:spacing w:val="-1"/>
                <w:sz w:val="24"/>
                <w:szCs w:val="24"/>
                <w:highlight w:val="none"/>
              </w:rPr>
              <w:t>投标文件未附有采购人不能接受条件的；</w:t>
            </w:r>
            <w:bookmarkEnd w:id="85"/>
            <w:bookmarkEnd w:id="86"/>
            <w:bookmarkEnd w:id="87"/>
          </w:p>
        </w:tc>
        <w:tc>
          <w:tcPr>
            <w:tcW w:w="722" w:type="dxa"/>
            <w:tcBorders>
              <w:bottom w:val="single" w:color="000000" w:sz="4" w:space="0"/>
            </w:tcBorders>
            <w:vAlign w:val="top"/>
          </w:tcPr>
          <w:p w14:paraId="14070A39">
            <w:pPr>
              <w:rPr>
                <w:rFonts w:ascii="Arial"/>
                <w:color w:val="auto"/>
                <w:sz w:val="21"/>
                <w:highlight w:val="none"/>
              </w:rPr>
            </w:pPr>
          </w:p>
        </w:tc>
        <w:tc>
          <w:tcPr>
            <w:tcW w:w="616" w:type="dxa"/>
            <w:tcBorders>
              <w:bottom w:val="single" w:color="000000" w:sz="4" w:space="0"/>
            </w:tcBorders>
            <w:vAlign w:val="top"/>
          </w:tcPr>
          <w:p w14:paraId="21DA5F9A">
            <w:pPr>
              <w:rPr>
                <w:rFonts w:ascii="Arial"/>
                <w:color w:val="auto"/>
                <w:sz w:val="21"/>
                <w:highlight w:val="none"/>
              </w:rPr>
            </w:pPr>
          </w:p>
        </w:tc>
      </w:tr>
      <w:tr w14:paraId="5AB1C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880" w:type="dxa"/>
            <w:vMerge w:val="continue"/>
            <w:tcBorders>
              <w:top w:val="nil"/>
              <w:bottom w:val="single" w:color="000000" w:sz="4" w:space="0"/>
            </w:tcBorders>
            <w:textDirection w:val="tbRlV"/>
            <w:vAlign w:val="top"/>
          </w:tcPr>
          <w:p w14:paraId="7C54BE2A">
            <w:pPr>
              <w:rPr>
                <w:rFonts w:ascii="Arial"/>
                <w:color w:val="auto"/>
                <w:sz w:val="21"/>
                <w:highlight w:val="none"/>
              </w:rPr>
            </w:pPr>
          </w:p>
        </w:tc>
        <w:tc>
          <w:tcPr>
            <w:tcW w:w="632" w:type="dxa"/>
            <w:tcBorders>
              <w:top w:val="single" w:color="000000" w:sz="4" w:space="0"/>
              <w:bottom w:val="single" w:color="000000" w:sz="4" w:space="0"/>
              <w:right w:val="single" w:color="000000" w:sz="4" w:space="0"/>
            </w:tcBorders>
            <w:vAlign w:val="center"/>
          </w:tcPr>
          <w:p w14:paraId="4285A047">
            <w:pPr>
              <w:pStyle w:val="2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0"/>
              <w:rPr>
                <w:color w:val="auto"/>
                <w:sz w:val="24"/>
                <w:szCs w:val="24"/>
                <w:highlight w:val="none"/>
              </w:rPr>
            </w:pPr>
            <w:bookmarkStart w:id="88" w:name="_Toc24679"/>
            <w:bookmarkStart w:id="89" w:name="_Toc4714"/>
            <w:bookmarkStart w:id="90" w:name="_Toc23926"/>
            <w:r>
              <w:rPr>
                <w:color w:val="auto"/>
                <w:sz w:val="24"/>
                <w:szCs w:val="24"/>
                <w:highlight w:val="none"/>
              </w:rPr>
              <w:t>8</w:t>
            </w:r>
            <w:bookmarkEnd w:id="88"/>
            <w:bookmarkEnd w:id="89"/>
            <w:bookmarkEnd w:id="90"/>
          </w:p>
        </w:tc>
        <w:tc>
          <w:tcPr>
            <w:tcW w:w="6448" w:type="dxa"/>
            <w:tcBorders>
              <w:top w:val="single" w:color="000000" w:sz="4" w:space="0"/>
              <w:left w:val="single" w:color="000000" w:sz="4" w:space="0"/>
              <w:bottom w:val="single" w:color="000000" w:sz="4" w:space="0"/>
            </w:tcBorders>
            <w:vAlign w:val="top"/>
          </w:tcPr>
          <w:p w14:paraId="1ABD2B4A">
            <w:pPr>
              <w:pStyle w:val="23"/>
              <w:spacing w:before="151" w:line="219" w:lineRule="auto"/>
              <w:ind w:left="112"/>
              <w:outlineLvl w:val="0"/>
              <w:rPr>
                <w:color w:val="auto"/>
                <w:sz w:val="24"/>
                <w:szCs w:val="24"/>
                <w:highlight w:val="none"/>
              </w:rPr>
            </w:pPr>
            <w:bookmarkStart w:id="91" w:name="_Toc29837"/>
            <w:bookmarkStart w:id="92" w:name="_Toc22411"/>
            <w:bookmarkStart w:id="93" w:name="_Toc28747"/>
            <w:r>
              <w:rPr>
                <w:color w:val="auto"/>
                <w:spacing w:val="-1"/>
                <w:sz w:val="24"/>
                <w:szCs w:val="24"/>
                <w:highlight w:val="none"/>
              </w:rPr>
              <w:t>符合招标文件中规定的其他实质性要求；</w:t>
            </w:r>
            <w:bookmarkEnd w:id="91"/>
            <w:bookmarkEnd w:id="92"/>
            <w:bookmarkEnd w:id="93"/>
          </w:p>
        </w:tc>
        <w:tc>
          <w:tcPr>
            <w:tcW w:w="722" w:type="dxa"/>
            <w:tcBorders>
              <w:top w:val="single" w:color="000000" w:sz="4" w:space="0"/>
              <w:bottom w:val="single" w:color="000000" w:sz="4" w:space="0"/>
              <w:right w:val="single" w:color="000000" w:sz="4" w:space="0"/>
            </w:tcBorders>
            <w:vAlign w:val="top"/>
          </w:tcPr>
          <w:p w14:paraId="30B5EBAB">
            <w:pPr>
              <w:rPr>
                <w:rFonts w:ascii="Arial"/>
                <w:color w:val="auto"/>
                <w:sz w:val="21"/>
                <w:highlight w:val="none"/>
              </w:rPr>
            </w:pPr>
          </w:p>
        </w:tc>
        <w:tc>
          <w:tcPr>
            <w:tcW w:w="616" w:type="dxa"/>
            <w:tcBorders>
              <w:top w:val="single" w:color="000000" w:sz="4" w:space="0"/>
              <w:left w:val="single" w:color="000000" w:sz="4" w:space="0"/>
              <w:bottom w:val="single" w:color="000000" w:sz="4" w:space="0"/>
            </w:tcBorders>
            <w:vAlign w:val="top"/>
          </w:tcPr>
          <w:p w14:paraId="24EDCCD7">
            <w:pPr>
              <w:rPr>
                <w:rFonts w:ascii="Arial"/>
                <w:color w:val="auto"/>
                <w:sz w:val="21"/>
                <w:highlight w:val="none"/>
              </w:rPr>
            </w:pPr>
          </w:p>
        </w:tc>
      </w:tr>
      <w:tr w14:paraId="2AFAE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jc w:val="center"/>
        </w:trPr>
        <w:tc>
          <w:tcPr>
            <w:tcW w:w="880" w:type="dxa"/>
            <w:tcBorders>
              <w:top w:val="single" w:color="000000" w:sz="4" w:space="0"/>
            </w:tcBorders>
            <w:vAlign w:val="top"/>
          </w:tcPr>
          <w:p w14:paraId="7384B345">
            <w:pPr>
              <w:rPr>
                <w:rFonts w:ascii="Arial"/>
                <w:color w:val="auto"/>
                <w:sz w:val="21"/>
                <w:highlight w:val="none"/>
              </w:rPr>
            </w:pPr>
          </w:p>
        </w:tc>
        <w:tc>
          <w:tcPr>
            <w:tcW w:w="7080" w:type="dxa"/>
            <w:gridSpan w:val="2"/>
            <w:tcBorders>
              <w:top w:val="single" w:color="000000" w:sz="4" w:space="0"/>
            </w:tcBorders>
            <w:vAlign w:val="top"/>
          </w:tcPr>
          <w:p w14:paraId="73D6B773">
            <w:pPr>
              <w:pStyle w:val="23"/>
              <w:spacing w:before="150" w:line="220" w:lineRule="auto"/>
              <w:ind w:left="118"/>
              <w:outlineLvl w:val="0"/>
              <w:rPr>
                <w:color w:val="auto"/>
                <w:sz w:val="24"/>
                <w:szCs w:val="24"/>
                <w:highlight w:val="none"/>
              </w:rPr>
            </w:pPr>
            <w:bookmarkStart w:id="94" w:name="_Toc3661"/>
            <w:bookmarkStart w:id="95" w:name="_Toc20892"/>
            <w:bookmarkStart w:id="96" w:name="_Toc25347"/>
            <w:r>
              <w:rPr>
                <w:color w:val="auto"/>
                <w:spacing w:val="-1"/>
                <w:sz w:val="24"/>
                <w:szCs w:val="24"/>
                <w:highlight w:val="none"/>
              </w:rPr>
              <w:t>结论：是否通过评审（填写通过或不通过）</w:t>
            </w:r>
            <w:bookmarkEnd w:id="94"/>
            <w:bookmarkEnd w:id="95"/>
            <w:bookmarkEnd w:id="96"/>
          </w:p>
          <w:p w14:paraId="69631971">
            <w:pPr>
              <w:pStyle w:val="23"/>
              <w:spacing w:before="152" w:line="219" w:lineRule="auto"/>
              <w:ind w:left="112"/>
              <w:outlineLvl w:val="0"/>
              <w:rPr>
                <w:color w:val="auto"/>
                <w:sz w:val="24"/>
                <w:szCs w:val="24"/>
                <w:highlight w:val="none"/>
              </w:rPr>
            </w:pPr>
            <w:bookmarkStart w:id="97" w:name="_Toc12081"/>
            <w:bookmarkStart w:id="98" w:name="_Toc32553"/>
            <w:bookmarkStart w:id="99" w:name="_Toc21611"/>
            <w:r>
              <w:rPr>
                <w:color w:val="auto"/>
                <w:spacing w:val="-1"/>
                <w:sz w:val="24"/>
                <w:szCs w:val="24"/>
                <w:highlight w:val="none"/>
              </w:rPr>
              <w:t>注：如有一项不合格，则不通过本阶段评审。</w:t>
            </w:r>
            <w:bookmarkEnd w:id="97"/>
            <w:bookmarkEnd w:id="98"/>
            <w:bookmarkEnd w:id="99"/>
          </w:p>
        </w:tc>
        <w:tc>
          <w:tcPr>
            <w:tcW w:w="1338" w:type="dxa"/>
            <w:gridSpan w:val="2"/>
            <w:tcBorders>
              <w:top w:val="single" w:color="000000" w:sz="4" w:space="0"/>
            </w:tcBorders>
            <w:vAlign w:val="top"/>
          </w:tcPr>
          <w:p w14:paraId="4547952C">
            <w:pPr>
              <w:rPr>
                <w:rFonts w:ascii="Arial"/>
                <w:color w:val="auto"/>
                <w:sz w:val="21"/>
                <w:highlight w:val="none"/>
              </w:rPr>
            </w:pPr>
          </w:p>
        </w:tc>
      </w:tr>
    </w:tbl>
    <w:p w14:paraId="34B40CCC">
      <w:pPr>
        <w:spacing w:line="269" w:lineRule="auto"/>
        <w:rPr>
          <w:rFonts w:ascii="Arial"/>
          <w:color w:val="auto"/>
          <w:sz w:val="21"/>
          <w:highlight w:val="none"/>
        </w:rPr>
      </w:pPr>
    </w:p>
    <w:p w14:paraId="108F188C">
      <w:pPr>
        <w:pStyle w:val="5"/>
        <w:spacing w:before="82" w:line="189" w:lineRule="auto"/>
        <w:rPr>
          <w:color w:val="auto"/>
          <w:sz w:val="21"/>
          <w:szCs w:val="21"/>
          <w:highlight w:val="none"/>
        </w:rPr>
      </w:pPr>
      <w:r>
        <w:rPr>
          <w:color w:val="auto"/>
          <w:spacing w:val="5"/>
          <w:sz w:val="21"/>
          <w:szCs w:val="21"/>
          <w:highlight w:val="none"/>
        </w:rPr>
        <w:t>说明：</w:t>
      </w:r>
    </w:p>
    <w:p w14:paraId="23F61125">
      <w:pPr>
        <w:pStyle w:val="5"/>
        <w:spacing w:before="49" w:line="229" w:lineRule="auto"/>
        <w:ind w:left="32"/>
        <w:rPr>
          <w:color w:val="auto"/>
          <w:sz w:val="21"/>
          <w:szCs w:val="21"/>
          <w:highlight w:val="none"/>
        </w:rPr>
      </w:pPr>
      <w:r>
        <w:rPr>
          <w:color w:val="auto"/>
          <w:spacing w:val="6"/>
          <w:sz w:val="21"/>
          <w:szCs w:val="21"/>
          <w:highlight w:val="none"/>
        </w:rPr>
        <w:t>（1）上述各项中用“合格”表示通过，“不合格”表示不通过；</w:t>
      </w:r>
    </w:p>
    <w:p w14:paraId="7C2C99E2">
      <w:pPr>
        <w:pStyle w:val="5"/>
        <w:spacing w:before="31" w:line="235" w:lineRule="auto"/>
        <w:ind w:firstLine="32"/>
        <w:rPr>
          <w:color w:val="auto"/>
          <w:sz w:val="21"/>
          <w:szCs w:val="21"/>
          <w:highlight w:val="none"/>
        </w:rPr>
      </w:pPr>
      <w:r>
        <w:rPr>
          <w:color w:val="auto"/>
          <w:spacing w:val="7"/>
          <w:sz w:val="21"/>
          <w:szCs w:val="21"/>
          <w:highlight w:val="none"/>
        </w:rPr>
        <w:t>（2）上述各项中如有一项为“不合格”，则结论为“不通过”，表示该投标文件中存在重大偏差，不能通过</w:t>
      </w:r>
      <w:r>
        <w:rPr>
          <w:color w:val="auto"/>
          <w:spacing w:val="8"/>
          <w:sz w:val="21"/>
          <w:szCs w:val="21"/>
          <w:highlight w:val="none"/>
        </w:rPr>
        <w:t>初步评审；评委对某一分项评审认为不合格时，必须要写明原因。</w:t>
      </w:r>
    </w:p>
    <w:p w14:paraId="454B96FC">
      <w:pPr>
        <w:pStyle w:val="5"/>
        <w:spacing w:before="48" w:line="235" w:lineRule="auto"/>
        <w:ind w:left="2" w:firstLine="30"/>
        <w:rPr>
          <w:rFonts w:hint="eastAsia" w:eastAsia="微软雅黑"/>
          <w:color w:val="auto"/>
          <w:sz w:val="19"/>
          <w:szCs w:val="19"/>
          <w:highlight w:val="none"/>
          <w:lang w:eastAsia="zh-CN"/>
        </w:rPr>
        <w:sectPr>
          <w:footerReference r:id="rId46" w:type="default"/>
          <w:pgSz w:w="11907" w:h="16840"/>
          <w:pgMar w:top="1431" w:right="1157" w:bottom="1169" w:left="1134" w:header="0" w:footer="992" w:gutter="0"/>
          <w:pgBorders>
            <w:top w:val="none" w:sz="0" w:space="0"/>
            <w:left w:val="none" w:sz="0" w:space="0"/>
            <w:bottom w:val="none" w:sz="0" w:space="0"/>
            <w:right w:val="none" w:sz="0" w:space="0"/>
          </w:pgBorders>
          <w:pgNumType w:fmt="decimal"/>
          <w:cols w:space="720" w:num="1"/>
        </w:sectPr>
      </w:pPr>
      <w:r>
        <w:rPr>
          <w:color w:val="auto"/>
          <w:spacing w:val="8"/>
          <w:sz w:val="21"/>
          <w:szCs w:val="21"/>
          <w:highlight w:val="none"/>
        </w:rPr>
        <w:t>（3）投标文件最终合格与否，以所有评委的评审意见中少数服从多数为原则定论。未通过符合性审查的供应商不进入评标；通过符合性审查的供应商少于不足三家的，不得评标</w:t>
      </w:r>
      <w:r>
        <w:rPr>
          <w:rFonts w:hint="eastAsia"/>
          <w:color w:val="auto"/>
          <w:spacing w:val="8"/>
          <w:sz w:val="21"/>
          <w:szCs w:val="21"/>
          <w:highlight w:val="none"/>
          <w:lang w:eastAsia="zh-CN"/>
        </w:rPr>
        <w:t>。</w:t>
      </w:r>
    </w:p>
    <w:p w14:paraId="2F19D753">
      <w:pPr>
        <w:spacing w:line="347" w:lineRule="auto"/>
        <w:rPr>
          <w:rFonts w:ascii="Arial"/>
          <w:color w:val="auto"/>
          <w:sz w:val="21"/>
          <w:highlight w:val="none"/>
        </w:rPr>
      </w:pPr>
    </w:p>
    <w:p w14:paraId="004FDAED">
      <w:pPr>
        <w:spacing w:before="101" w:line="218" w:lineRule="auto"/>
        <w:jc w:val="center"/>
        <w:rPr>
          <w:rFonts w:ascii="宋体" w:hAnsi="宋体" w:eastAsia="宋体" w:cs="宋体"/>
          <w:color w:val="auto"/>
          <w:sz w:val="31"/>
          <w:szCs w:val="31"/>
          <w:highlight w:val="none"/>
        </w:rPr>
      </w:pPr>
      <w:bookmarkStart w:id="100" w:name="bookmark14"/>
      <w:bookmarkEnd w:id="100"/>
      <w:r>
        <w:rPr>
          <w:rFonts w:ascii="宋体" w:hAnsi="宋体" w:eastAsia="宋体" w:cs="宋体"/>
          <w:color w:val="auto"/>
          <w:spacing w:val="10"/>
          <w:sz w:val="31"/>
          <w:szCs w:val="31"/>
          <w:highlight w:val="none"/>
          <w14:textOutline w14:w="5793" w14:cap="sq" w14:cmpd="sng">
            <w14:solidFill>
              <w14:srgbClr w14:val="000000"/>
            </w14:solidFill>
            <w14:prstDash w14:val="solid"/>
            <w14:bevel/>
          </w14:textOutline>
        </w:rPr>
        <w:t>评分办法（综合评分法）及评分标准</w:t>
      </w:r>
    </w:p>
    <w:p w14:paraId="1E0AC390">
      <w:pPr>
        <w:bidi w:val="0"/>
        <w:spacing w:line="240" w:lineRule="auto"/>
        <w:rPr>
          <w:rFonts w:hint="eastAsia" w:ascii="宋体" w:hAnsi="宋体" w:eastAsia="宋体" w:cs="宋体"/>
          <w:color w:val="auto"/>
          <w:sz w:val="24"/>
          <w:szCs w:val="24"/>
          <w:highlight w:val="none"/>
        </w:rPr>
      </w:pPr>
    </w:p>
    <w:p w14:paraId="1D0DB4C8">
      <w:pPr>
        <w:pStyle w:val="5"/>
        <w:keepNext w:val="0"/>
        <w:keepLines w:val="0"/>
        <w:pageBreakBefore w:val="0"/>
        <w:kinsoku/>
        <w:wordWrap/>
        <w:overflowPunct/>
        <w:topLinePunct w:val="0"/>
        <w:autoSpaceDE/>
        <w:autoSpaceDN/>
        <w:bidi w:val="0"/>
        <w:spacing w:before="0" w:line="360" w:lineRule="auto"/>
        <w:rPr>
          <w:rFonts w:hint="eastAsia" w:ascii="方正公文仿宋" w:hAnsi="方正公文仿宋" w:eastAsia="方正公文仿宋" w:cs="方正公文仿宋"/>
          <w:b/>
          <w:bCs/>
          <w:iCs/>
          <w:color w:val="auto"/>
          <w:spacing w:val="0"/>
          <w:w w:val="90"/>
          <w:sz w:val="22"/>
          <w:szCs w:val="22"/>
          <w:highlight w:val="none"/>
        </w:rPr>
      </w:pPr>
      <w:r>
        <w:rPr>
          <w:rFonts w:hint="eastAsia" w:ascii="方正公文仿宋" w:hAnsi="方正公文仿宋" w:eastAsia="方正公文仿宋" w:cs="方正公文仿宋"/>
          <w:b/>
          <w:bCs/>
          <w:iCs/>
          <w:color w:val="auto"/>
          <w:spacing w:val="0"/>
          <w:w w:val="90"/>
          <w:sz w:val="22"/>
          <w:szCs w:val="22"/>
          <w:highlight w:val="none"/>
        </w:rPr>
        <w:t>1、报价得分（</w:t>
      </w:r>
      <w:r>
        <w:rPr>
          <w:rFonts w:hint="eastAsia" w:ascii="方正公文仿宋" w:hAnsi="方正公文仿宋" w:eastAsia="方正公文仿宋" w:cs="方正公文仿宋"/>
          <w:b/>
          <w:color w:val="auto"/>
          <w:spacing w:val="0"/>
          <w:w w:val="90"/>
          <w:sz w:val="22"/>
          <w:szCs w:val="22"/>
          <w:highlight w:val="none"/>
        </w:rPr>
        <w:t>占总分值的</w:t>
      </w:r>
      <w:r>
        <w:rPr>
          <w:rFonts w:hint="eastAsia" w:ascii="方正公文仿宋" w:hAnsi="方正公文仿宋" w:eastAsia="方正公文仿宋" w:cs="方正公文仿宋"/>
          <w:b/>
          <w:color w:val="auto"/>
          <w:spacing w:val="0"/>
          <w:w w:val="90"/>
          <w:sz w:val="22"/>
          <w:szCs w:val="22"/>
          <w:highlight w:val="none"/>
          <w:lang w:val="en-US" w:eastAsia="zh-CN"/>
        </w:rPr>
        <w:t>30</w:t>
      </w:r>
      <w:r>
        <w:rPr>
          <w:rFonts w:hint="eastAsia" w:ascii="方正公文仿宋" w:hAnsi="方正公文仿宋" w:eastAsia="方正公文仿宋" w:cs="方正公文仿宋"/>
          <w:b/>
          <w:color w:val="auto"/>
          <w:spacing w:val="0"/>
          <w:w w:val="90"/>
          <w:sz w:val="22"/>
          <w:szCs w:val="22"/>
          <w:highlight w:val="none"/>
        </w:rPr>
        <w:t>%</w:t>
      </w:r>
      <w:r>
        <w:rPr>
          <w:rFonts w:hint="eastAsia" w:ascii="方正公文仿宋" w:hAnsi="方正公文仿宋" w:eastAsia="方正公文仿宋" w:cs="方正公文仿宋"/>
          <w:b/>
          <w:bCs/>
          <w:iCs/>
          <w:color w:val="auto"/>
          <w:spacing w:val="0"/>
          <w:w w:val="90"/>
          <w:sz w:val="22"/>
          <w:szCs w:val="22"/>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96"/>
        <w:gridCol w:w="8043"/>
      </w:tblGrid>
      <w:tr w14:paraId="61186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blHeader/>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14:paraId="7C75C06E">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eastAsia" w:ascii="方正公文仿宋" w:hAnsi="方正公文仿宋" w:eastAsia="方正公文仿宋" w:cs="方正公文仿宋"/>
                <w:color w:val="auto"/>
                <w:spacing w:val="0"/>
                <w:w w:val="90"/>
                <w:sz w:val="21"/>
                <w:szCs w:val="21"/>
                <w:highlight w:val="none"/>
              </w:rPr>
            </w:pPr>
            <w:r>
              <w:rPr>
                <w:rFonts w:hint="eastAsia" w:ascii="方正公文仿宋" w:hAnsi="方正公文仿宋" w:eastAsia="方正公文仿宋" w:cs="方正公文仿宋"/>
                <w:color w:val="auto"/>
                <w:spacing w:val="0"/>
                <w:w w:val="90"/>
                <w:sz w:val="21"/>
                <w:szCs w:val="21"/>
                <w:highlight w:val="none"/>
              </w:rPr>
              <w:t>评审项目</w:t>
            </w:r>
          </w:p>
        </w:tc>
        <w:tc>
          <w:tcPr>
            <w:tcW w:w="8043" w:type="dxa"/>
            <w:tcBorders>
              <w:top w:val="single" w:color="auto" w:sz="4" w:space="0"/>
              <w:left w:val="single" w:color="auto" w:sz="4" w:space="0"/>
              <w:bottom w:val="single" w:color="auto" w:sz="4" w:space="0"/>
              <w:right w:val="single" w:color="auto" w:sz="4" w:space="0"/>
            </w:tcBorders>
            <w:noWrap w:val="0"/>
            <w:vAlign w:val="center"/>
          </w:tcPr>
          <w:p w14:paraId="74307EB8">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eastAsia" w:ascii="方正公文仿宋" w:hAnsi="方正公文仿宋" w:eastAsia="方正公文仿宋" w:cs="方正公文仿宋"/>
                <w:color w:val="auto"/>
                <w:spacing w:val="0"/>
                <w:w w:val="90"/>
                <w:sz w:val="22"/>
                <w:szCs w:val="22"/>
                <w:highlight w:val="none"/>
              </w:rPr>
            </w:pPr>
            <w:r>
              <w:rPr>
                <w:rFonts w:hint="eastAsia" w:ascii="方正公文仿宋" w:hAnsi="方正公文仿宋" w:eastAsia="方正公文仿宋" w:cs="方正公文仿宋"/>
                <w:color w:val="auto"/>
                <w:spacing w:val="0"/>
                <w:w w:val="90"/>
                <w:sz w:val="22"/>
                <w:szCs w:val="22"/>
                <w:highlight w:val="none"/>
              </w:rPr>
              <w:t>评分标准</w:t>
            </w:r>
          </w:p>
        </w:tc>
      </w:tr>
      <w:tr w14:paraId="3BB71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4" w:hRule="atLeast"/>
          <w:jc w:val="center"/>
        </w:trPr>
        <w:tc>
          <w:tcPr>
            <w:tcW w:w="1096" w:type="dxa"/>
            <w:tcBorders>
              <w:top w:val="single" w:color="auto" w:sz="4" w:space="0"/>
              <w:left w:val="single" w:color="auto" w:sz="4" w:space="0"/>
              <w:bottom w:val="single" w:color="auto" w:sz="4" w:space="0"/>
              <w:right w:val="single" w:color="auto" w:sz="4" w:space="0"/>
            </w:tcBorders>
            <w:noWrap w:val="0"/>
            <w:vAlign w:val="center"/>
          </w:tcPr>
          <w:p w14:paraId="7E738566">
            <w:pPr>
              <w:keepNext w:val="0"/>
              <w:keepLines w:val="0"/>
              <w:pageBreakBefore w:val="0"/>
              <w:kinsoku/>
              <w:wordWrap/>
              <w:overflowPunct/>
              <w:topLinePunct w:val="0"/>
              <w:autoSpaceDE/>
              <w:autoSpaceDN/>
              <w:bidi w:val="0"/>
              <w:snapToGrid/>
              <w:spacing w:line="260" w:lineRule="exact"/>
              <w:rPr>
                <w:rFonts w:hint="eastAsia" w:ascii="方正公文仿宋" w:hAnsi="方正公文仿宋" w:eastAsia="方正公文仿宋" w:cs="方正公文仿宋"/>
                <w:color w:val="auto"/>
                <w:spacing w:val="0"/>
                <w:w w:val="90"/>
                <w:sz w:val="21"/>
                <w:szCs w:val="21"/>
                <w:highlight w:val="none"/>
              </w:rPr>
            </w:pPr>
            <w:r>
              <w:rPr>
                <w:rFonts w:hint="eastAsia" w:ascii="方正公文仿宋" w:hAnsi="方正公文仿宋" w:eastAsia="方正公文仿宋" w:cs="方正公文仿宋"/>
                <w:color w:val="auto"/>
                <w:spacing w:val="0"/>
                <w:w w:val="90"/>
                <w:sz w:val="21"/>
                <w:szCs w:val="21"/>
                <w:highlight w:val="none"/>
              </w:rPr>
              <w:t>投标人报价（</w:t>
            </w:r>
            <w:r>
              <w:rPr>
                <w:rFonts w:hint="eastAsia" w:ascii="方正公文仿宋" w:hAnsi="方正公文仿宋" w:eastAsia="方正公文仿宋" w:cs="方正公文仿宋"/>
                <w:color w:val="auto"/>
                <w:spacing w:val="0"/>
                <w:w w:val="90"/>
                <w:sz w:val="21"/>
                <w:szCs w:val="21"/>
                <w:highlight w:val="none"/>
                <w:lang w:val="en-US" w:eastAsia="zh-CN"/>
              </w:rPr>
              <w:t>30</w:t>
            </w:r>
            <w:r>
              <w:rPr>
                <w:rFonts w:hint="eastAsia" w:ascii="方正公文仿宋" w:hAnsi="方正公文仿宋" w:eastAsia="方正公文仿宋" w:cs="方正公文仿宋"/>
                <w:color w:val="auto"/>
                <w:spacing w:val="0"/>
                <w:w w:val="90"/>
                <w:sz w:val="21"/>
                <w:szCs w:val="21"/>
                <w:highlight w:val="none"/>
              </w:rPr>
              <w:t>分）</w:t>
            </w:r>
          </w:p>
        </w:tc>
        <w:tc>
          <w:tcPr>
            <w:tcW w:w="8043" w:type="dxa"/>
            <w:tcBorders>
              <w:top w:val="single" w:color="auto" w:sz="4" w:space="0"/>
              <w:left w:val="single" w:color="auto" w:sz="4" w:space="0"/>
              <w:bottom w:val="single" w:color="auto" w:sz="4" w:space="0"/>
              <w:right w:val="single" w:color="auto" w:sz="4" w:space="0"/>
            </w:tcBorders>
            <w:noWrap w:val="0"/>
            <w:vAlign w:val="center"/>
          </w:tcPr>
          <w:p w14:paraId="221043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eastAsia" w:ascii="方正公文仿宋" w:hAnsi="方正公文仿宋" w:eastAsia="方正公文仿宋" w:cs="方正公文仿宋"/>
                <w:color w:val="auto"/>
                <w:spacing w:val="0"/>
                <w:w w:val="90"/>
                <w:sz w:val="22"/>
                <w:szCs w:val="22"/>
                <w:highlight w:val="none"/>
              </w:rPr>
            </w:pPr>
            <w:r>
              <w:rPr>
                <w:rFonts w:hint="eastAsia" w:ascii="方正公文仿宋" w:hAnsi="方正公文仿宋" w:eastAsia="方正公文仿宋" w:cs="方正公文仿宋"/>
                <w:color w:val="auto"/>
                <w:spacing w:val="0"/>
                <w:sz w:val="22"/>
                <w:szCs w:val="22"/>
                <w:highlight w:val="none"/>
              </w:rPr>
              <w:t>评标基准价=有效投标报价的最低值，有效投标报价等于基准值的得满分</w:t>
            </w:r>
            <w:r>
              <w:rPr>
                <w:rFonts w:hint="eastAsia" w:ascii="方正公文仿宋" w:hAnsi="方正公文仿宋" w:eastAsia="方正公文仿宋" w:cs="方正公文仿宋"/>
                <w:color w:val="auto"/>
                <w:spacing w:val="0"/>
                <w:sz w:val="22"/>
                <w:szCs w:val="22"/>
                <w:highlight w:val="none"/>
                <w:lang w:val="en-US" w:eastAsia="zh-CN"/>
              </w:rPr>
              <w:t>30</w:t>
            </w:r>
            <w:r>
              <w:rPr>
                <w:rFonts w:hint="eastAsia" w:ascii="方正公文仿宋" w:hAnsi="方正公文仿宋" w:eastAsia="方正公文仿宋" w:cs="方正公文仿宋"/>
                <w:color w:val="auto"/>
                <w:spacing w:val="0"/>
                <w:sz w:val="22"/>
                <w:szCs w:val="22"/>
                <w:highlight w:val="none"/>
              </w:rPr>
              <w:t>分，投标报价得分=（评标基准价/投标报价）×价格权重×100；有效投标报价为通过资格性和符合性审查的供应商报价。计算分数时四舍五入取小数点后两位,分数最高不超过</w:t>
            </w:r>
            <w:r>
              <w:rPr>
                <w:rFonts w:hint="eastAsia" w:ascii="方正公文仿宋" w:hAnsi="方正公文仿宋" w:eastAsia="方正公文仿宋" w:cs="方正公文仿宋"/>
                <w:color w:val="auto"/>
                <w:spacing w:val="0"/>
                <w:sz w:val="22"/>
                <w:szCs w:val="22"/>
                <w:highlight w:val="none"/>
                <w:lang w:val="en-US" w:eastAsia="zh-CN"/>
              </w:rPr>
              <w:t>30</w:t>
            </w:r>
            <w:r>
              <w:rPr>
                <w:rFonts w:hint="eastAsia" w:ascii="方正公文仿宋" w:hAnsi="方正公文仿宋" w:eastAsia="方正公文仿宋" w:cs="方正公文仿宋"/>
                <w:color w:val="auto"/>
                <w:spacing w:val="0"/>
                <w:sz w:val="22"/>
                <w:szCs w:val="22"/>
                <w:highlight w:val="none"/>
              </w:rPr>
              <w:t>分。评标过程中，不得去掉报价中的最低和最高报价。因落实政府采购政策进行价格调整的，以调整后的价格计算评标基准价和投标报价。</w:t>
            </w:r>
          </w:p>
        </w:tc>
      </w:tr>
    </w:tbl>
    <w:p w14:paraId="044FB809">
      <w:pPr>
        <w:keepNext w:val="0"/>
        <w:keepLines w:val="0"/>
        <w:pageBreakBefore w:val="0"/>
        <w:kinsoku/>
        <w:wordWrap/>
        <w:overflowPunct/>
        <w:topLinePunct w:val="0"/>
        <w:autoSpaceDE/>
        <w:autoSpaceDN/>
        <w:bidi w:val="0"/>
        <w:spacing w:line="260" w:lineRule="exact"/>
        <w:jc w:val="left"/>
        <w:rPr>
          <w:rFonts w:hint="eastAsia" w:ascii="方正公文仿宋" w:hAnsi="方正公文仿宋" w:eastAsia="方正公文仿宋" w:cs="方正公文仿宋"/>
          <w:b/>
          <w:color w:val="auto"/>
          <w:spacing w:val="0"/>
          <w:w w:val="90"/>
          <w:sz w:val="22"/>
          <w:szCs w:val="22"/>
          <w:highlight w:val="none"/>
        </w:rPr>
      </w:pPr>
      <w:r>
        <w:rPr>
          <w:rFonts w:hint="eastAsia" w:ascii="方正公文仿宋" w:hAnsi="方正公文仿宋" w:eastAsia="方正公文仿宋" w:cs="方正公文仿宋"/>
          <w:b/>
          <w:color w:val="auto"/>
          <w:spacing w:val="0"/>
          <w:w w:val="90"/>
          <w:sz w:val="22"/>
          <w:szCs w:val="22"/>
          <w:highlight w:val="none"/>
        </w:rPr>
        <w:t>2.技术部分（占总分值的</w:t>
      </w:r>
      <w:r>
        <w:rPr>
          <w:rFonts w:hint="eastAsia" w:ascii="方正公文仿宋" w:hAnsi="方正公文仿宋" w:eastAsia="方正公文仿宋" w:cs="方正公文仿宋"/>
          <w:b/>
          <w:color w:val="auto"/>
          <w:spacing w:val="0"/>
          <w:w w:val="90"/>
          <w:sz w:val="22"/>
          <w:szCs w:val="22"/>
          <w:highlight w:val="none"/>
          <w:lang w:val="en-US" w:eastAsia="zh-CN"/>
        </w:rPr>
        <w:t>70</w:t>
      </w:r>
      <w:r>
        <w:rPr>
          <w:rFonts w:hint="eastAsia" w:ascii="方正公文仿宋" w:hAnsi="方正公文仿宋" w:eastAsia="方正公文仿宋" w:cs="方正公文仿宋"/>
          <w:b/>
          <w:color w:val="auto"/>
          <w:spacing w:val="0"/>
          <w:w w:val="90"/>
          <w:sz w:val="22"/>
          <w:szCs w:val="22"/>
          <w:highlight w:val="none"/>
        </w:rPr>
        <w:t>%）</w:t>
      </w:r>
    </w:p>
    <w:tbl>
      <w:tblPr>
        <w:tblStyle w:val="16"/>
        <w:tblW w:w="0" w:type="auto"/>
        <w:jc w:val="center"/>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39"/>
        <w:gridCol w:w="1256"/>
        <w:gridCol w:w="6283"/>
      </w:tblGrid>
      <w:tr w14:paraId="07C6E6F3">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5" w:hRule="atLeast"/>
          <w:jc w:val="center"/>
        </w:trPr>
        <w:tc>
          <w:tcPr>
            <w:tcW w:w="1639" w:type="dxa"/>
            <w:vMerge w:val="restart"/>
            <w:noWrap w:val="0"/>
            <w:vAlign w:val="center"/>
          </w:tcPr>
          <w:p w14:paraId="47798387">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eastAsia" w:ascii="方正公文仿宋" w:hAnsi="方正公文仿宋" w:eastAsia="方正公文仿宋" w:cs="方正公文仿宋"/>
                <w:color w:val="auto"/>
                <w:spacing w:val="0"/>
                <w:w w:val="90"/>
                <w:sz w:val="21"/>
                <w:szCs w:val="21"/>
                <w:highlight w:val="none"/>
                <w:lang w:val="en-US" w:eastAsia="zh-CN"/>
              </w:rPr>
            </w:pPr>
            <w:r>
              <w:rPr>
                <w:rFonts w:hint="eastAsia" w:ascii="方正公文仿宋" w:hAnsi="方正公文仿宋" w:eastAsia="方正公文仿宋" w:cs="方正公文仿宋"/>
                <w:color w:val="auto"/>
                <w:spacing w:val="0"/>
                <w:w w:val="90"/>
                <w:sz w:val="21"/>
                <w:szCs w:val="21"/>
                <w:highlight w:val="none"/>
                <w:lang w:val="en-US" w:eastAsia="zh-CN"/>
              </w:rPr>
              <w:t>技术及商务部分（70分）</w:t>
            </w:r>
          </w:p>
        </w:tc>
        <w:tc>
          <w:tcPr>
            <w:tcW w:w="1256" w:type="dxa"/>
            <w:noWrap w:val="0"/>
            <w:vAlign w:val="center"/>
          </w:tcPr>
          <w:p w14:paraId="43429AEC">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default" w:ascii="方正公文仿宋" w:hAnsi="方正公文仿宋" w:eastAsia="方正公文仿宋" w:cs="方正公文仿宋"/>
                <w:color w:val="auto"/>
                <w:spacing w:val="0"/>
                <w:w w:val="90"/>
                <w:sz w:val="21"/>
                <w:szCs w:val="21"/>
                <w:highlight w:val="none"/>
                <w:lang w:val="en-US" w:eastAsia="zh-CN"/>
              </w:rPr>
            </w:pPr>
            <w:r>
              <w:rPr>
                <w:rFonts w:hint="eastAsia" w:ascii="方正公文仿宋" w:hAnsi="方正公文仿宋" w:eastAsia="方正公文仿宋" w:cs="方正公文仿宋"/>
                <w:color w:val="auto"/>
                <w:spacing w:val="0"/>
                <w:w w:val="90"/>
                <w:sz w:val="21"/>
                <w:szCs w:val="21"/>
                <w:highlight w:val="none"/>
              </w:rPr>
              <w:t>评分标准</w:t>
            </w:r>
            <w:r>
              <w:rPr>
                <w:rFonts w:hint="eastAsia" w:ascii="方正公文仿宋" w:hAnsi="方正公文仿宋" w:eastAsia="方正公文仿宋" w:cs="方正公文仿宋"/>
                <w:color w:val="auto"/>
                <w:spacing w:val="0"/>
                <w:w w:val="90"/>
                <w:sz w:val="21"/>
                <w:szCs w:val="21"/>
                <w:highlight w:val="none"/>
                <w:lang w:val="en-US" w:eastAsia="zh-CN"/>
              </w:rPr>
              <w:t>及分值</w:t>
            </w:r>
          </w:p>
        </w:tc>
        <w:tc>
          <w:tcPr>
            <w:tcW w:w="6283" w:type="dxa"/>
            <w:noWrap w:val="0"/>
            <w:vAlign w:val="center"/>
          </w:tcPr>
          <w:p w14:paraId="22F275F0">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default" w:ascii="方正公文仿宋" w:hAnsi="方正公文仿宋" w:eastAsia="方正公文仿宋" w:cs="方正公文仿宋"/>
                <w:color w:val="auto"/>
                <w:spacing w:val="0"/>
                <w:w w:val="90"/>
                <w:sz w:val="21"/>
                <w:szCs w:val="21"/>
                <w:highlight w:val="none"/>
                <w:lang w:val="en-US" w:eastAsia="zh-CN"/>
              </w:rPr>
            </w:pPr>
            <w:r>
              <w:rPr>
                <w:rFonts w:hint="eastAsia" w:ascii="方正公文仿宋" w:hAnsi="方正公文仿宋" w:eastAsia="方正公文仿宋" w:cs="方正公文仿宋"/>
                <w:color w:val="auto"/>
                <w:spacing w:val="0"/>
                <w:w w:val="90"/>
                <w:sz w:val="21"/>
                <w:szCs w:val="21"/>
                <w:highlight w:val="none"/>
                <w:lang w:val="en-US" w:eastAsia="zh-CN"/>
              </w:rPr>
              <w:t>评分细则</w:t>
            </w:r>
          </w:p>
        </w:tc>
      </w:tr>
      <w:tr w14:paraId="5DC815D4">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2" w:hRule="atLeast"/>
          <w:jc w:val="center"/>
        </w:trPr>
        <w:tc>
          <w:tcPr>
            <w:tcW w:w="1639" w:type="dxa"/>
            <w:vMerge w:val="continue"/>
            <w:noWrap w:val="0"/>
            <w:vAlign w:val="center"/>
          </w:tcPr>
          <w:p w14:paraId="7DE6A4FC">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eastAsia" w:ascii="方正公文仿宋" w:hAnsi="方正公文仿宋" w:eastAsia="方正公文仿宋" w:cs="方正公文仿宋"/>
                <w:color w:val="auto"/>
                <w:spacing w:val="0"/>
                <w:w w:val="90"/>
                <w:sz w:val="21"/>
                <w:szCs w:val="21"/>
                <w:highlight w:val="none"/>
              </w:rPr>
            </w:pPr>
          </w:p>
        </w:tc>
        <w:tc>
          <w:tcPr>
            <w:tcW w:w="1256" w:type="dxa"/>
            <w:noWrap w:val="0"/>
            <w:vAlign w:val="center"/>
          </w:tcPr>
          <w:p w14:paraId="6EC8C433">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eastAsia" w:ascii="方正公文仿宋" w:hAnsi="方正公文仿宋" w:eastAsia="方正公文仿宋" w:cs="方正公文仿宋"/>
                <w:color w:val="auto"/>
                <w:spacing w:val="0"/>
                <w:w w:val="90"/>
                <w:sz w:val="21"/>
                <w:szCs w:val="21"/>
                <w:highlight w:val="none"/>
              </w:rPr>
            </w:pPr>
            <w:r>
              <w:rPr>
                <w:rFonts w:hint="eastAsia" w:ascii="方正公文仿宋" w:hAnsi="方正公文仿宋" w:eastAsia="方正公文仿宋" w:cs="方正公文仿宋"/>
                <w:color w:val="auto"/>
                <w:spacing w:val="0"/>
                <w:w w:val="90"/>
                <w:sz w:val="21"/>
                <w:szCs w:val="21"/>
                <w:highlight w:val="none"/>
              </w:rPr>
              <w:t>配置及性能指标</w:t>
            </w:r>
          </w:p>
          <w:p w14:paraId="78FA16B9">
            <w:pPr>
              <w:pStyle w:val="62"/>
              <w:keepNext w:val="0"/>
              <w:keepLines w:val="0"/>
              <w:pageBreakBefore w:val="0"/>
              <w:kinsoku/>
              <w:wordWrap/>
              <w:overflowPunct/>
              <w:topLinePunct w:val="0"/>
              <w:autoSpaceDE/>
              <w:autoSpaceDN/>
              <w:bidi w:val="0"/>
              <w:snapToGrid/>
              <w:spacing w:before="0" w:after="0" w:line="260" w:lineRule="exact"/>
              <w:ind w:firstLine="0"/>
              <w:jc w:val="center"/>
              <w:rPr>
                <w:rFonts w:hint="eastAsia" w:ascii="方正公文仿宋" w:hAnsi="方正公文仿宋" w:eastAsia="方正公文仿宋" w:cs="方正公文仿宋"/>
                <w:color w:val="auto"/>
                <w:spacing w:val="0"/>
                <w:w w:val="90"/>
                <w:sz w:val="21"/>
                <w:szCs w:val="21"/>
                <w:highlight w:val="none"/>
              </w:rPr>
            </w:pPr>
            <w:r>
              <w:rPr>
                <w:rFonts w:hint="eastAsia" w:ascii="方正公文仿宋" w:hAnsi="方正公文仿宋" w:eastAsia="方正公文仿宋" w:cs="方正公文仿宋"/>
                <w:color w:val="auto"/>
                <w:spacing w:val="0"/>
                <w:w w:val="90"/>
                <w:sz w:val="21"/>
                <w:szCs w:val="21"/>
                <w:highlight w:val="none"/>
              </w:rPr>
              <w:t>（</w:t>
            </w:r>
            <w:r>
              <w:rPr>
                <w:rFonts w:hint="eastAsia" w:ascii="方正公文仿宋" w:hAnsi="方正公文仿宋" w:eastAsia="方正公文仿宋" w:cs="方正公文仿宋"/>
                <w:color w:val="auto"/>
                <w:spacing w:val="0"/>
                <w:w w:val="90"/>
                <w:sz w:val="21"/>
                <w:szCs w:val="21"/>
                <w:highlight w:val="none"/>
                <w:lang w:val="en-US" w:eastAsia="zh-CN"/>
              </w:rPr>
              <w:t>45</w:t>
            </w:r>
            <w:r>
              <w:rPr>
                <w:rFonts w:hint="eastAsia" w:ascii="方正公文仿宋" w:hAnsi="方正公文仿宋" w:eastAsia="方正公文仿宋" w:cs="方正公文仿宋"/>
                <w:color w:val="auto"/>
                <w:spacing w:val="0"/>
                <w:w w:val="90"/>
                <w:sz w:val="21"/>
                <w:szCs w:val="21"/>
                <w:highlight w:val="none"/>
              </w:rPr>
              <w:t>分）</w:t>
            </w:r>
          </w:p>
        </w:tc>
        <w:tc>
          <w:tcPr>
            <w:tcW w:w="6283" w:type="dxa"/>
            <w:noWrap w:val="0"/>
            <w:vAlign w:val="center"/>
          </w:tcPr>
          <w:p w14:paraId="0D60D3F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方正公文仿宋" w:hAnsi="方正公文仿宋" w:eastAsia="方正公文仿宋" w:cs="方正公文仿宋"/>
                <w:color w:val="auto"/>
                <w:spacing w:val="0"/>
                <w:sz w:val="21"/>
                <w:szCs w:val="21"/>
                <w:highlight w:val="none"/>
                <w:lang w:eastAsia="zh-CN"/>
              </w:rPr>
            </w:pPr>
            <w:r>
              <w:rPr>
                <w:rFonts w:hint="eastAsia" w:ascii="方正公文仿宋" w:hAnsi="方正公文仿宋" w:eastAsia="方正公文仿宋" w:cs="方正公文仿宋"/>
                <w:b/>
                <w:bCs/>
                <w:color w:val="auto"/>
                <w:spacing w:val="0"/>
                <w:sz w:val="21"/>
                <w:szCs w:val="21"/>
                <w:highlight w:val="none"/>
              </w:rPr>
              <w:t>（</w:t>
            </w:r>
            <w:r>
              <w:rPr>
                <w:rFonts w:hint="eastAsia" w:ascii="方正公文仿宋" w:hAnsi="方正公文仿宋" w:eastAsia="方正公文仿宋" w:cs="方正公文仿宋"/>
                <w:b/>
                <w:bCs/>
                <w:color w:val="auto"/>
                <w:spacing w:val="0"/>
                <w:sz w:val="21"/>
                <w:szCs w:val="21"/>
                <w:highlight w:val="none"/>
                <w:lang w:val="en-US" w:eastAsia="zh-CN"/>
              </w:rPr>
              <w:t>0-45</w:t>
            </w:r>
            <w:r>
              <w:rPr>
                <w:rFonts w:hint="eastAsia" w:ascii="方正公文仿宋" w:hAnsi="方正公文仿宋" w:eastAsia="方正公文仿宋" w:cs="方正公文仿宋"/>
                <w:b/>
                <w:bCs/>
                <w:color w:val="auto"/>
                <w:spacing w:val="0"/>
                <w:sz w:val="21"/>
                <w:szCs w:val="21"/>
                <w:highlight w:val="none"/>
              </w:rPr>
              <w:t xml:space="preserve"> 分）</w:t>
            </w:r>
            <w:r>
              <w:rPr>
                <w:rFonts w:hint="eastAsia" w:ascii="方正公文仿宋" w:hAnsi="方正公文仿宋" w:eastAsia="方正公文仿宋" w:cs="方正公文仿宋"/>
                <w:color w:val="auto"/>
                <w:spacing w:val="0"/>
                <w:sz w:val="21"/>
                <w:szCs w:val="21"/>
                <w:highlight w:val="none"/>
              </w:rPr>
              <w:t>投标产品对招标文件具体需求的响应程度：全部响应即满足招标文件技术指标、参数要求等的得</w:t>
            </w:r>
            <w:r>
              <w:rPr>
                <w:rFonts w:hint="eastAsia" w:ascii="方正公文仿宋" w:hAnsi="方正公文仿宋" w:eastAsia="方正公文仿宋" w:cs="方正公文仿宋"/>
                <w:color w:val="auto"/>
                <w:spacing w:val="0"/>
                <w:sz w:val="21"/>
                <w:szCs w:val="21"/>
                <w:highlight w:val="none"/>
                <w:lang w:val="en-US" w:eastAsia="zh-CN"/>
              </w:rPr>
              <w:t>基础分45</w:t>
            </w:r>
            <w:r>
              <w:rPr>
                <w:rFonts w:hint="eastAsia" w:ascii="方正公文仿宋" w:hAnsi="方正公文仿宋" w:eastAsia="方正公文仿宋" w:cs="方正公文仿宋"/>
                <w:color w:val="auto"/>
                <w:spacing w:val="0"/>
                <w:sz w:val="21"/>
                <w:szCs w:val="21"/>
                <w:highlight w:val="none"/>
              </w:rPr>
              <w:t>分</w:t>
            </w:r>
            <w:r>
              <w:rPr>
                <w:rFonts w:hint="eastAsia" w:ascii="方正公文仿宋" w:hAnsi="方正公文仿宋" w:eastAsia="方正公文仿宋" w:cs="方正公文仿宋"/>
                <w:color w:val="auto"/>
                <w:spacing w:val="0"/>
                <w:sz w:val="21"/>
                <w:szCs w:val="21"/>
                <w:highlight w:val="none"/>
                <w:lang w:eastAsia="zh-CN"/>
              </w:rPr>
              <w:t>，</w:t>
            </w:r>
          </w:p>
          <w:p w14:paraId="6F1E5B0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方正公文仿宋" w:hAnsi="方正公文仿宋" w:eastAsia="方正公文仿宋" w:cs="方正公文仿宋"/>
                <w:color w:val="auto"/>
                <w:spacing w:val="0"/>
                <w:kern w:val="0"/>
                <w:sz w:val="21"/>
                <w:szCs w:val="21"/>
                <w:highlight w:val="none"/>
                <w:lang w:val="en-US" w:eastAsia="zh-CN" w:bidi="ar"/>
              </w:rPr>
            </w:pPr>
            <w:r>
              <w:rPr>
                <w:rFonts w:hint="eastAsia" w:ascii="方正公文仿宋" w:hAnsi="方正公文仿宋" w:eastAsia="方正公文仿宋" w:cs="方正公文仿宋"/>
                <w:color w:val="auto"/>
                <w:spacing w:val="0"/>
                <w:kern w:val="0"/>
                <w:sz w:val="21"/>
                <w:szCs w:val="21"/>
                <w:highlight w:val="none"/>
                <w:lang w:val="en-US" w:eastAsia="zh-CN" w:bidi="ar"/>
              </w:rPr>
              <w:t>未</w:t>
            </w:r>
            <w:r>
              <w:rPr>
                <w:rFonts w:hint="eastAsia" w:ascii="方正公文仿宋" w:hAnsi="方正公文仿宋" w:eastAsia="方正公文仿宋" w:cs="方正公文仿宋"/>
                <w:color w:val="auto"/>
                <w:spacing w:val="0"/>
                <w:sz w:val="21"/>
                <w:szCs w:val="21"/>
                <w:highlight w:val="none"/>
                <w:lang w:val="en-US" w:eastAsia="zh-CN"/>
              </w:rPr>
              <w:t>标注“</w:t>
            </w:r>
            <w:r>
              <w:rPr>
                <w:rFonts w:hint="eastAsia" w:ascii="PingFang SC" w:hAnsi="PingFang SC" w:eastAsia="PingFang SC" w:cs="PingFang SC"/>
                <w:color w:val="auto"/>
                <w:spacing w:val="0"/>
                <w:sz w:val="21"/>
                <w:szCs w:val="21"/>
                <w:highlight w:val="none"/>
                <w:lang w:val="en-US" w:eastAsia="zh-CN"/>
              </w:rPr>
              <w:t>▲</w:t>
            </w:r>
            <w:r>
              <w:rPr>
                <w:rFonts w:hint="eastAsia" w:ascii="方正公文仿宋" w:hAnsi="方正公文仿宋" w:eastAsia="方正公文仿宋" w:cs="方正公文仿宋"/>
                <w:color w:val="auto"/>
                <w:spacing w:val="0"/>
                <w:sz w:val="21"/>
                <w:szCs w:val="21"/>
                <w:highlight w:val="none"/>
                <w:lang w:val="en-US" w:eastAsia="zh-CN"/>
              </w:rPr>
              <w:t>”号的一般性技</w:t>
            </w:r>
            <w:r>
              <w:rPr>
                <w:rFonts w:hint="eastAsia" w:ascii="方正公文仿宋" w:hAnsi="方正公文仿宋" w:eastAsia="方正公文仿宋" w:cs="方正公文仿宋"/>
                <w:color w:val="auto"/>
                <w:spacing w:val="0"/>
                <w:kern w:val="0"/>
                <w:sz w:val="21"/>
                <w:szCs w:val="21"/>
                <w:highlight w:val="none"/>
                <w:lang w:val="en-US" w:eastAsia="zh-CN" w:bidi="ar"/>
              </w:rPr>
              <w:t>术参数</w:t>
            </w:r>
            <w:r>
              <w:rPr>
                <w:rFonts w:hint="eastAsia" w:ascii="仿宋" w:hAnsi="仿宋" w:eastAsia="仿宋" w:cs="仿宋"/>
                <w:color w:val="auto"/>
                <w:kern w:val="0"/>
                <w:sz w:val="21"/>
                <w:szCs w:val="21"/>
                <w:highlight w:val="none"/>
                <w:lang w:val="en-US" w:eastAsia="zh-CN"/>
              </w:rPr>
              <w:t>一项</w:t>
            </w:r>
            <w:r>
              <w:rPr>
                <w:rFonts w:hint="eastAsia" w:ascii="仿宋" w:hAnsi="仿宋" w:eastAsia="仿宋" w:cs="仿宋"/>
                <w:color w:val="auto"/>
                <w:kern w:val="0"/>
                <w:sz w:val="21"/>
                <w:szCs w:val="21"/>
                <w:highlight w:val="none"/>
              </w:rPr>
              <w:t>负偏离扣</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分，直至扣完为止。</w:t>
            </w:r>
          </w:p>
          <w:p w14:paraId="336D3EE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方正公文仿宋" w:hAnsi="方正公文仿宋" w:eastAsia="方正公文仿宋" w:cs="方正公文仿宋"/>
                <w:color w:val="auto"/>
                <w:spacing w:val="0"/>
                <w:kern w:val="0"/>
                <w:sz w:val="21"/>
                <w:szCs w:val="21"/>
                <w:highlight w:val="none"/>
                <w:lang w:val="en-US" w:eastAsia="zh-CN" w:bidi="ar"/>
              </w:rPr>
            </w:pPr>
            <w:r>
              <w:rPr>
                <w:rFonts w:hint="eastAsia" w:ascii="方正公文仿宋" w:hAnsi="方正公文仿宋" w:eastAsia="方正公文仿宋" w:cs="方正公文仿宋"/>
                <w:color w:val="auto"/>
                <w:spacing w:val="0"/>
                <w:kern w:val="0"/>
                <w:sz w:val="21"/>
                <w:szCs w:val="21"/>
                <w:highlight w:val="none"/>
                <w:lang w:val="en-US" w:eastAsia="zh-CN" w:bidi="ar"/>
              </w:rPr>
              <w:t>标注“</w:t>
            </w:r>
            <w:r>
              <w:rPr>
                <w:rFonts w:hint="eastAsia" w:ascii="PingFang SC" w:hAnsi="PingFang SC" w:eastAsia="PingFang SC" w:cs="PingFang SC"/>
                <w:color w:val="auto"/>
                <w:spacing w:val="0"/>
                <w:sz w:val="21"/>
                <w:szCs w:val="21"/>
                <w:highlight w:val="none"/>
                <w:lang w:val="en-US" w:eastAsia="zh-CN"/>
              </w:rPr>
              <w:t>▲</w:t>
            </w:r>
            <w:r>
              <w:rPr>
                <w:rFonts w:hint="eastAsia" w:ascii="方正公文仿宋" w:hAnsi="方正公文仿宋" w:eastAsia="方正公文仿宋" w:cs="方正公文仿宋"/>
                <w:color w:val="auto"/>
                <w:spacing w:val="0"/>
                <w:kern w:val="0"/>
                <w:sz w:val="21"/>
                <w:szCs w:val="21"/>
                <w:highlight w:val="none"/>
                <w:lang w:val="en-US" w:eastAsia="zh-CN" w:bidi="ar"/>
              </w:rPr>
              <w:t>”号的重要性技术参数</w:t>
            </w:r>
            <w:r>
              <w:rPr>
                <w:rFonts w:hint="eastAsia" w:ascii="仿宋" w:hAnsi="仿宋" w:eastAsia="仿宋" w:cs="仿宋"/>
                <w:color w:val="auto"/>
                <w:kern w:val="0"/>
                <w:sz w:val="21"/>
                <w:szCs w:val="21"/>
                <w:highlight w:val="none"/>
                <w:lang w:val="en-US" w:eastAsia="zh-CN"/>
              </w:rPr>
              <w:t>一项</w:t>
            </w:r>
            <w:r>
              <w:rPr>
                <w:rFonts w:hint="eastAsia" w:ascii="仿宋" w:hAnsi="仿宋" w:eastAsia="仿宋" w:cs="仿宋"/>
                <w:color w:val="auto"/>
                <w:kern w:val="0"/>
                <w:sz w:val="21"/>
                <w:szCs w:val="21"/>
                <w:highlight w:val="none"/>
              </w:rPr>
              <w:t>负偏离扣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分，直至扣完为止。</w:t>
            </w:r>
          </w:p>
          <w:p w14:paraId="63FBCB49">
            <w:pPr>
              <w:numPr>
                <w:ilvl w:val="0"/>
                <w:numId w:val="0"/>
              </w:numPr>
              <w:jc w:val="left"/>
              <w:rPr>
                <w:rFonts w:hint="eastAsia" w:ascii="仿宋" w:hAnsi="仿宋" w:eastAsia="仿宋" w:cs="仿宋"/>
                <w:color w:val="auto"/>
                <w:kern w:val="0"/>
                <w:sz w:val="21"/>
                <w:szCs w:val="21"/>
                <w:highlight w:val="none"/>
                <w:lang w:val="en-US" w:eastAsia="zh-CN"/>
              </w:rPr>
            </w:pPr>
            <w:r>
              <w:rPr>
                <w:rFonts w:hint="eastAsia" w:ascii="方正公文仿宋" w:hAnsi="方正公文仿宋" w:eastAsia="方正公文仿宋" w:cs="方正公文仿宋"/>
                <w:b/>
                <w:bCs/>
                <w:color w:val="auto"/>
                <w:sz w:val="21"/>
                <w:szCs w:val="21"/>
                <w:highlight w:val="none"/>
              </w:rPr>
              <w:t>注：</w:t>
            </w:r>
            <w:r>
              <w:rPr>
                <w:rFonts w:hint="eastAsia" w:ascii="仿宋" w:hAnsi="仿宋" w:eastAsia="仿宋" w:cs="仿宋"/>
                <w:color w:val="auto"/>
                <w:kern w:val="0"/>
                <w:sz w:val="21"/>
                <w:szCs w:val="21"/>
                <w:highlight w:val="none"/>
                <w:lang w:val="en-US" w:eastAsia="zh-CN" w:bidi="ar-SA"/>
              </w:rPr>
              <w:t>1、</w:t>
            </w:r>
            <w:r>
              <w:rPr>
                <w:rFonts w:hint="eastAsia" w:ascii="仿宋" w:hAnsi="仿宋" w:eastAsia="仿宋" w:cs="仿宋"/>
                <w:color w:val="auto"/>
                <w:kern w:val="0"/>
                <w:sz w:val="21"/>
                <w:szCs w:val="21"/>
                <w:highlight w:val="none"/>
                <w:lang w:val="en-US" w:eastAsia="zh-CN"/>
              </w:rPr>
              <w:t>投标人需如实填写技术参数偏离表，如虚假响应或提供虚假证明资料，采购人及</w:t>
            </w:r>
            <w:r>
              <w:rPr>
                <w:rFonts w:hint="eastAsia" w:ascii="仿宋" w:hAnsi="仿宋" w:eastAsia="仿宋" w:cs="仿宋"/>
                <w:color w:val="auto"/>
                <w:kern w:val="2"/>
                <w:sz w:val="21"/>
                <w:szCs w:val="21"/>
                <w:highlight w:val="none"/>
                <w:lang w:val="en-US" w:eastAsia="zh-CN" w:bidi="ar-SA"/>
              </w:rPr>
              <w:t>评审小组</w:t>
            </w:r>
            <w:r>
              <w:rPr>
                <w:rFonts w:hint="eastAsia" w:ascii="仿宋" w:hAnsi="仿宋" w:eastAsia="仿宋" w:cs="仿宋"/>
                <w:color w:val="auto"/>
                <w:kern w:val="0"/>
                <w:sz w:val="21"/>
                <w:szCs w:val="21"/>
                <w:highlight w:val="none"/>
                <w:lang w:val="en-US" w:eastAsia="zh-CN"/>
              </w:rPr>
              <w:t>有权追究其法律责任。</w:t>
            </w:r>
          </w:p>
          <w:p w14:paraId="4748C9F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方正公文仿宋" w:hAnsi="方正公文仿宋" w:eastAsia="方正公文仿宋" w:cs="方正公文仿宋"/>
                <w:color w:val="auto"/>
                <w:spacing w:val="0"/>
                <w:w w:val="90"/>
                <w:sz w:val="21"/>
                <w:szCs w:val="21"/>
                <w:highlight w:val="none"/>
                <w:lang w:eastAsia="zh-CN"/>
              </w:rPr>
            </w:pPr>
            <w:r>
              <w:rPr>
                <w:rFonts w:hint="eastAsia" w:ascii="仿宋" w:hAnsi="仿宋" w:eastAsia="仿宋" w:cs="仿宋"/>
                <w:color w:val="auto"/>
                <w:kern w:val="2"/>
                <w:sz w:val="21"/>
                <w:szCs w:val="21"/>
                <w:highlight w:val="none"/>
                <w:lang w:val="en-US" w:eastAsia="zh-CN" w:bidi="ar-SA"/>
              </w:rPr>
              <w:t>2、技术参数中要求提供相关证明材料，包含但不限于（产品彩页、功能截图、证书、查询链接、检测报告等）未提供或不符合要求的，视为负偏离。</w:t>
            </w:r>
          </w:p>
        </w:tc>
      </w:tr>
      <w:tr w14:paraId="5220E767">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44" w:hRule="atLeast"/>
          <w:jc w:val="center"/>
        </w:trPr>
        <w:tc>
          <w:tcPr>
            <w:tcW w:w="1639" w:type="dxa"/>
            <w:vMerge w:val="continue"/>
            <w:noWrap w:val="0"/>
            <w:vAlign w:val="center"/>
          </w:tcPr>
          <w:p w14:paraId="6349284C">
            <w:pPr>
              <w:pStyle w:val="62"/>
              <w:keepNext w:val="0"/>
              <w:keepLines w:val="0"/>
              <w:pageBreakBefore w:val="0"/>
              <w:kinsoku/>
              <w:wordWrap/>
              <w:overflowPunct/>
              <w:topLinePunct w:val="0"/>
              <w:autoSpaceDE/>
              <w:autoSpaceDN/>
              <w:bidi w:val="0"/>
              <w:snapToGrid/>
              <w:spacing w:before="0" w:after="0" w:line="260" w:lineRule="exact"/>
              <w:ind w:firstLine="0" w:firstLineChars="0"/>
              <w:jc w:val="center"/>
              <w:rPr>
                <w:rFonts w:hint="eastAsia" w:ascii="方正公文仿宋" w:hAnsi="方正公文仿宋" w:eastAsia="方正公文仿宋" w:cs="方正公文仿宋"/>
                <w:color w:val="auto"/>
                <w:spacing w:val="0"/>
                <w:w w:val="90"/>
                <w:sz w:val="21"/>
                <w:szCs w:val="21"/>
                <w:highlight w:val="none"/>
              </w:rPr>
            </w:pPr>
          </w:p>
        </w:tc>
        <w:tc>
          <w:tcPr>
            <w:tcW w:w="1256" w:type="dxa"/>
            <w:noWrap w:val="0"/>
            <w:vAlign w:val="center"/>
          </w:tcPr>
          <w:p w14:paraId="0226888F">
            <w:pPr>
              <w:pStyle w:val="62"/>
              <w:keepNext w:val="0"/>
              <w:keepLines w:val="0"/>
              <w:pageBreakBefore w:val="0"/>
              <w:kinsoku/>
              <w:wordWrap/>
              <w:overflowPunct/>
              <w:topLinePunct w:val="0"/>
              <w:autoSpaceDE/>
              <w:autoSpaceDN/>
              <w:bidi w:val="0"/>
              <w:snapToGrid/>
              <w:spacing w:before="0" w:after="0" w:line="260" w:lineRule="exact"/>
              <w:ind w:firstLine="0" w:firstLineChars="0"/>
              <w:jc w:val="center"/>
              <w:rPr>
                <w:rFonts w:hint="eastAsia" w:ascii="方正公文仿宋" w:hAnsi="方正公文仿宋" w:eastAsia="方正公文仿宋" w:cs="方正公文仿宋"/>
                <w:color w:val="auto"/>
                <w:spacing w:val="0"/>
                <w:w w:val="90"/>
                <w:sz w:val="21"/>
                <w:szCs w:val="21"/>
                <w:highlight w:val="none"/>
              </w:rPr>
            </w:pPr>
            <w:r>
              <w:rPr>
                <w:rFonts w:hint="eastAsia" w:ascii="方正公文仿宋" w:hAnsi="方正公文仿宋" w:eastAsia="方正公文仿宋" w:cs="方正公文仿宋"/>
                <w:color w:val="auto"/>
                <w:kern w:val="0"/>
                <w:sz w:val="21"/>
                <w:szCs w:val="21"/>
                <w:highlight w:val="none"/>
                <w:lang w:val="en-US" w:eastAsia="zh-CN"/>
              </w:rPr>
              <w:t>培训方案（10分）</w:t>
            </w:r>
          </w:p>
        </w:tc>
        <w:tc>
          <w:tcPr>
            <w:tcW w:w="6283" w:type="dxa"/>
            <w:noWrap w:val="0"/>
            <w:vAlign w:val="center"/>
          </w:tcPr>
          <w:p w14:paraId="2049E8C7">
            <w:pPr>
              <w:keepNext w:val="0"/>
              <w:keepLines w:val="0"/>
              <w:pageBreakBefore w:val="0"/>
              <w:kinsoku/>
              <w:wordWrap/>
              <w:overflowPunct/>
              <w:topLinePunct w:val="0"/>
              <w:autoSpaceDE/>
              <w:autoSpaceDN/>
              <w:bidi w:val="0"/>
              <w:adjustRightInd/>
              <w:snapToGrid/>
              <w:spacing w:line="260" w:lineRule="exact"/>
              <w:textAlignment w:val="auto"/>
              <w:rPr>
                <w:rFonts w:hint="eastAsia" w:ascii="方正公文仿宋" w:hAnsi="方正公文仿宋" w:eastAsia="方正公文仿宋" w:cs="方正公文仿宋"/>
                <w:b/>
                <w:bCs/>
                <w:color w:val="auto"/>
                <w:sz w:val="21"/>
                <w:szCs w:val="21"/>
                <w:highlight w:val="none"/>
              </w:rPr>
            </w:pPr>
            <w:r>
              <w:rPr>
                <w:rFonts w:hint="eastAsia" w:ascii="仿宋" w:hAnsi="仿宋" w:eastAsia="仿宋" w:cs="仿宋"/>
                <w:color w:val="auto"/>
                <w:sz w:val="21"/>
                <w:szCs w:val="21"/>
                <w:highlight w:val="none"/>
                <w:lang w:val="en-US" w:eastAsia="zh-CN"/>
              </w:rPr>
              <w:t>培训方案：培训计划情况，应含详细合理的培训方案（包含：①培训时间；②培训地点；③培训产品基本原理、④操作使用和保养维修；⑤培训方式）培训方案中包含以上每项内容，且方案切实可行，满足采购方需求得10分，每有一项内容缺失的扣2分，每有一项内容阐述不全面、不符合项目实际情况、无法满足采购需求的扣1分，扣完为止。</w:t>
            </w:r>
          </w:p>
        </w:tc>
      </w:tr>
      <w:tr w14:paraId="01186D83">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9" w:hRule="atLeast"/>
          <w:jc w:val="center"/>
        </w:trPr>
        <w:tc>
          <w:tcPr>
            <w:tcW w:w="1639" w:type="dxa"/>
            <w:vMerge w:val="continue"/>
            <w:noWrap w:val="0"/>
            <w:vAlign w:val="center"/>
          </w:tcPr>
          <w:p w14:paraId="571B4753">
            <w:pPr>
              <w:pStyle w:val="62"/>
              <w:keepNext w:val="0"/>
              <w:keepLines w:val="0"/>
              <w:pageBreakBefore w:val="0"/>
              <w:kinsoku/>
              <w:wordWrap/>
              <w:overflowPunct/>
              <w:topLinePunct w:val="0"/>
              <w:autoSpaceDE/>
              <w:autoSpaceDN/>
              <w:bidi w:val="0"/>
              <w:snapToGrid/>
              <w:spacing w:before="0" w:after="0" w:line="260" w:lineRule="exact"/>
              <w:ind w:firstLine="0" w:firstLineChars="0"/>
              <w:jc w:val="center"/>
              <w:rPr>
                <w:rFonts w:hint="eastAsia" w:ascii="方正公文仿宋" w:hAnsi="方正公文仿宋" w:eastAsia="方正公文仿宋" w:cs="方正公文仿宋"/>
                <w:color w:val="auto"/>
                <w:kern w:val="0"/>
                <w:sz w:val="21"/>
                <w:szCs w:val="21"/>
                <w:highlight w:val="none"/>
                <w:lang w:val="en-US" w:eastAsia="zh-CN"/>
              </w:rPr>
            </w:pPr>
          </w:p>
        </w:tc>
        <w:tc>
          <w:tcPr>
            <w:tcW w:w="1256" w:type="dxa"/>
            <w:noWrap w:val="0"/>
            <w:vAlign w:val="center"/>
          </w:tcPr>
          <w:p w14:paraId="7C046B00">
            <w:pPr>
              <w:pStyle w:val="62"/>
              <w:keepNext w:val="0"/>
              <w:keepLines w:val="0"/>
              <w:pageBreakBefore w:val="0"/>
              <w:kinsoku/>
              <w:wordWrap/>
              <w:overflowPunct/>
              <w:topLinePunct w:val="0"/>
              <w:autoSpaceDE/>
              <w:autoSpaceDN/>
              <w:bidi w:val="0"/>
              <w:snapToGrid/>
              <w:spacing w:before="0" w:after="0" w:line="260" w:lineRule="exact"/>
              <w:ind w:firstLine="0" w:firstLineChars="0"/>
              <w:jc w:val="center"/>
              <w:rPr>
                <w:rFonts w:hint="eastAsia" w:ascii="方正公文仿宋" w:hAnsi="方正公文仿宋" w:eastAsia="方正公文仿宋" w:cs="方正公文仿宋"/>
                <w:color w:val="auto"/>
                <w:sz w:val="21"/>
                <w:szCs w:val="21"/>
                <w:highlight w:val="none"/>
              </w:rPr>
            </w:pPr>
            <w:r>
              <w:rPr>
                <w:rFonts w:hint="eastAsia" w:ascii="方正公文仿宋" w:hAnsi="方正公文仿宋" w:eastAsia="方正公文仿宋" w:cs="方正公文仿宋"/>
                <w:color w:val="auto"/>
                <w:sz w:val="21"/>
                <w:szCs w:val="21"/>
                <w:highlight w:val="none"/>
              </w:rPr>
              <w:t>应急处理方案</w:t>
            </w:r>
          </w:p>
          <w:p w14:paraId="6A1CE774">
            <w:pPr>
              <w:pStyle w:val="62"/>
              <w:keepNext w:val="0"/>
              <w:keepLines w:val="0"/>
              <w:pageBreakBefore w:val="0"/>
              <w:kinsoku/>
              <w:wordWrap/>
              <w:overflowPunct/>
              <w:topLinePunct w:val="0"/>
              <w:autoSpaceDE/>
              <w:autoSpaceDN/>
              <w:bidi w:val="0"/>
              <w:snapToGrid/>
              <w:spacing w:before="0" w:after="0" w:line="260" w:lineRule="exact"/>
              <w:ind w:firstLine="0" w:firstLineChars="0"/>
              <w:jc w:val="center"/>
              <w:rPr>
                <w:rFonts w:hint="eastAsia" w:ascii="方正公文仿宋" w:hAnsi="方正公文仿宋" w:eastAsia="方正公文仿宋" w:cs="方正公文仿宋"/>
                <w:color w:val="auto"/>
                <w:kern w:val="0"/>
                <w:sz w:val="21"/>
                <w:szCs w:val="21"/>
                <w:highlight w:val="none"/>
                <w:lang w:val="en-US" w:eastAsia="zh-CN"/>
              </w:rPr>
            </w:pPr>
            <w:r>
              <w:rPr>
                <w:rFonts w:hint="eastAsia" w:ascii="方正公文仿宋" w:hAnsi="方正公文仿宋" w:eastAsia="方正公文仿宋" w:cs="方正公文仿宋"/>
                <w:color w:val="auto"/>
                <w:sz w:val="21"/>
                <w:szCs w:val="21"/>
                <w:highlight w:val="none"/>
                <w:lang w:eastAsia="zh-CN"/>
              </w:rPr>
              <w:t>（</w:t>
            </w:r>
            <w:r>
              <w:rPr>
                <w:rFonts w:hint="eastAsia" w:ascii="方正公文仿宋" w:hAnsi="方正公文仿宋" w:eastAsia="方正公文仿宋" w:cs="方正公文仿宋"/>
                <w:bCs/>
                <w:color w:val="auto"/>
                <w:sz w:val="21"/>
                <w:szCs w:val="21"/>
                <w:highlight w:val="none"/>
                <w:lang w:val="en-US" w:eastAsia="zh-CN"/>
              </w:rPr>
              <w:t>5分</w:t>
            </w:r>
            <w:r>
              <w:rPr>
                <w:rFonts w:hint="eastAsia" w:ascii="方正公文仿宋" w:hAnsi="方正公文仿宋" w:eastAsia="方正公文仿宋" w:cs="方正公文仿宋"/>
                <w:color w:val="auto"/>
                <w:sz w:val="21"/>
                <w:szCs w:val="21"/>
                <w:highlight w:val="none"/>
                <w:lang w:eastAsia="zh-CN"/>
              </w:rPr>
              <w:t>）</w:t>
            </w:r>
          </w:p>
        </w:tc>
        <w:tc>
          <w:tcPr>
            <w:tcW w:w="6283" w:type="dxa"/>
            <w:noWrap w:val="0"/>
            <w:vAlign w:val="center"/>
          </w:tcPr>
          <w:p w14:paraId="22CEF0C6">
            <w:pPr>
              <w:keepNext w:val="0"/>
              <w:keepLines w:val="0"/>
              <w:pageBreakBefore w:val="0"/>
              <w:kinsoku/>
              <w:wordWrap/>
              <w:overflowPunct/>
              <w:topLinePunct w:val="0"/>
              <w:autoSpaceDE/>
              <w:autoSpaceDN/>
              <w:bidi w:val="0"/>
              <w:adjustRightInd/>
              <w:snapToGrid/>
              <w:spacing w:line="260" w:lineRule="exact"/>
              <w:textAlignment w:val="auto"/>
              <w:rPr>
                <w:rFonts w:hint="eastAsia" w:ascii="方正公文仿宋" w:hAnsi="方正公文仿宋" w:eastAsia="方正公文仿宋" w:cs="方正公文仿宋"/>
                <w:b/>
                <w:bCs/>
                <w:color w:val="auto"/>
                <w:sz w:val="21"/>
                <w:szCs w:val="21"/>
                <w:highlight w:val="none"/>
              </w:rPr>
            </w:pPr>
            <w:r>
              <w:rPr>
                <w:rFonts w:hint="eastAsia" w:ascii="方正公文仿宋" w:hAnsi="方正公文仿宋" w:eastAsia="方正公文仿宋" w:cs="方正公文仿宋"/>
                <w:color w:val="auto"/>
                <w:sz w:val="21"/>
                <w:szCs w:val="21"/>
                <w:highlight w:val="none"/>
              </w:rPr>
              <w:t>应急处理方案</w:t>
            </w:r>
            <w:r>
              <w:rPr>
                <w:rFonts w:hint="eastAsia" w:ascii="方正公文仿宋" w:hAnsi="方正公文仿宋" w:eastAsia="方正公文仿宋" w:cs="方正公文仿宋"/>
                <w:color w:val="auto"/>
                <w:sz w:val="21"/>
                <w:szCs w:val="21"/>
                <w:highlight w:val="none"/>
                <w:lang w:val="en-US" w:eastAsia="zh-CN"/>
              </w:rPr>
              <w:t>包括</w:t>
            </w:r>
            <w:r>
              <w:rPr>
                <w:rFonts w:hint="eastAsia" w:ascii="方正公文仿宋" w:hAnsi="方正公文仿宋" w:eastAsia="方正公文仿宋" w:cs="方正公文仿宋"/>
                <w:color w:val="auto"/>
                <w:kern w:val="0"/>
                <w:sz w:val="21"/>
                <w:szCs w:val="21"/>
                <w:highlight w:val="none"/>
                <w:lang w:val="en-US" w:eastAsia="zh-CN" w:bidi="ar-SA"/>
              </w:rPr>
              <w:t>①应急小组人员构成、②应急设备设施投入、③应急预案、④应急保障体系⑤应急响应时间。</w:t>
            </w:r>
            <w:r>
              <w:rPr>
                <w:rFonts w:hint="eastAsia" w:ascii="仿宋" w:hAnsi="仿宋" w:eastAsia="仿宋" w:cs="仿宋"/>
                <w:color w:val="auto"/>
                <w:sz w:val="21"/>
                <w:szCs w:val="21"/>
                <w:highlight w:val="none"/>
                <w:lang w:val="en-US" w:eastAsia="zh-CN"/>
              </w:rPr>
              <w:t>方案中包含以上每项内容，且方案切实可行，满足采购方需求得5分，每有一项内容缺失的扣1分，每有一项内容阐述不全面、不符合项目实际情况、无法满足采购需求的扣0.5分，扣完为止。</w:t>
            </w:r>
          </w:p>
        </w:tc>
      </w:tr>
      <w:tr w14:paraId="3DE9ED88">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64" w:hRule="atLeast"/>
          <w:jc w:val="center"/>
        </w:trPr>
        <w:tc>
          <w:tcPr>
            <w:tcW w:w="1639" w:type="dxa"/>
            <w:vMerge w:val="continue"/>
            <w:noWrap w:val="0"/>
            <w:vAlign w:val="center"/>
          </w:tcPr>
          <w:p w14:paraId="1A547164">
            <w:pPr>
              <w:keepNext w:val="0"/>
              <w:keepLines w:val="0"/>
              <w:pageBreakBefore w:val="0"/>
              <w:kinsoku/>
              <w:wordWrap/>
              <w:overflowPunct/>
              <w:topLinePunct w:val="0"/>
              <w:autoSpaceDE/>
              <w:autoSpaceDN/>
              <w:bidi w:val="0"/>
              <w:snapToGrid/>
              <w:spacing w:line="260" w:lineRule="exact"/>
              <w:rPr>
                <w:rFonts w:hint="eastAsia" w:ascii="方正公文仿宋" w:hAnsi="方正公文仿宋" w:eastAsia="方正公文仿宋" w:cs="方正公文仿宋"/>
                <w:color w:val="auto"/>
                <w:spacing w:val="0"/>
                <w:w w:val="90"/>
                <w:sz w:val="21"/>
                <w:szCs w:val="21"/>
                <w:highlight w:val="none"/>
              </w:rPr>
            </w:pPr>
          </w:p>
        </w:tc>
        <w:tc>
          <w:tcPr>
            <w:tcW w:w="1256" w:type="dxa"/>
            <w:tcBorders>
              <w:bottom w:val="single" w:color="auto" w:sz="4" w:space="0"/>
            </w:tcBorders>
            <w:noWrap w:val="0"/>
            <w:vAlign w:val="center"/>
          </w:tcPr>
          <w:p w14:paraId="6347EC7E">
            <w:pPr>
              <w:keepNext w:val="0"/>
              <w:keepLines w:val="0"/>
              <w:pageBreakBefore w:val="0"/>
              <w:kinsoku/>
              <w:wordWrap/>
              <w:overflowPunct/>
              <w:topLinePunct w:val="0"/>
              <w:autoSpaceDE/>
              <w:autoSpaceDN/>
              <w:bidi w:val="0"/>
              <w:snapToGrid/>
              <w:spacing w:line="260" w:lineRule="exact"/>
              <w:rPr>
                <w:rFonts w:hint="eastAsia" w:ascii="方正公文仿宋" w:hAnsi="方正公文仿宋" w:eastAsia="方正公文仿宋" w:cs="方正公文仿宋"/>
                <w:color w:val="auto"/>
                <w:spacing w:val="0"/>
                <w:w w:val="90"/>
                <w:sz w:val="21"/>
                <w:szCs w:val="21"/>
                <w:highlight w:val="none"/>
              </w:rPr>
            </w:pPr>
            <w:r>
              <w:rPr>
                <w:rFonts w:hint="eastAsia" w:ascii="方正公文仿宋" w:hAnsi="方正公文仿宋" w:eastAsia="方正公文仿宋" w:cs="方正公文仿宋"/>
                <w:color w:val="auto"/>
                <w:kern w:val="2"/>
                <w:sz w:val="21"/>
                <w:szCs w:val="21"/>
                <w:highlight w:val="none"/>
                <w:lang w:val="en-US" w:eastAsia="zh-CN" w:bidi="ar-SA"/>
              </w:rPr>
              <w:t>售后服务方案（10分）</w:t>
            </w:r>
          </w:p>
        </w:tc>
        <w:tc>
          <w:tcPr>
            <w:tcW w:w="6283" w:type="dxa"/>
            <w:noWrap w:val="0"/>
            <w:vAlign w:val="center"/>
          </w:tcPr>
          <w:p w14:paraId="4D6EF79F">
            <w:pPr>
              <w:keepNext w:val="0"/>
              <w:keepLines w:val="0"/>
              <w:pageBreakBefore w:val="0"/>
              <w:kinsoku/>
              <w:wordWrap/>
              <w:overflowPunct/>
              <w:topLinePunct w:val="0"/>
              <w:autoSpaceDE/>
              <w:autoSpaceDN/>
              <w:bidi w:val="0"/>
              <w:snapToGrid/>
              <w:spacing w:line="260" w:lineRule="exact"/>
              <w:rPr>
                <w:rFonts w:hint="default" w:ascii="方正公文仿宋" w:hAnsi="方正公文仿宋" w:eastAsia="方正公文仿宋" w:cs="方正公文仿宋"/>
                <w:color w:val="auto"/>
                <w:spacing w:val="0"/>
                <w:w w:val="90"/>
                <w:sz w:val="21"/>
                <w:szCs w:val="21"/>
                <w:highlight w:val="none"/>
                <w:lang w:val="en-US"/>
              </w:rPr>
            </w:pPr>
            <w:r>
              <w:rPr>
                <w:rFonts w:hint="eastAsia" w:ascii="方正公文仿宋" w:hAnsi="方正公文仿宋" w:eastAsia="方正公文仿宋" w:cs="方正公文仿宋"/>
                <w:color w:val="auto"/>
                <w:kern w:val="0"/>
                <w:sz w:val="22"/>
                <w:szCs w:val="22"/>
                <w:highlight w:val="none"/>
                <w:lang w:val="en-US" w:eastAsia="zh-CN" w:bidi="ar-SA"/>
              </w:rPr>
              <w:t>售后服务方案：①售后服务承诺质保期三年；②售后时间响应及问题解决措施；③针对本项目设有专业维修人员；④备用机保证；⑤设有备件仓库保证常规配件供应（需</w:t>
            </w:r>
            <w:r>
              <w:rPr>
                <w:rFonts w:hint="eastAsia" w:ascii="仿宋" w:hAnsi="仿宋" w:eastAsia="仿宋" w:cs="仿宋"/>
                <w:color w:val="auto"/>
                <w:sz w:val="21"/>
                <w:szCs w:val="21"/>
                <w:highlight w:val="none"/>
              </w:rPr>
              <w:t xml:space="preserve">提供配件库房、维修详细地址及维修工程师姓名、联系电话、设备维修工程师资格证书及身份证、 </w:t>
            </w:r>
            <w:r>
              <w:rPr>
                <w:rFonts w:hint="eastAsia" w:ascii="仿宋" w:hAnsi="仿宋" w:eastAsia="仿宋" w:cs="仿宋"/>
                <w:color w:val="auto"/>
                <w:sz w:val="21"/>
                <w:szCs w:val="21"/>
                <w:highlight w:val="none"/>
                <w:lang w:val="en-US" w:eastAsia="zh-CN"/>
              </w:rPr>
              <w:t>投标截止时间前</w:t>
            </w:r>
            <w:r>
              <w:rPr>
                <w:rFonts w:hint="eastAsia" w:ascii="仿宋" w:hAnsi="仿宋" w:eastAsia="仿宋" w:cs="仿宋"/>
                <w:color w:val="auto"/>
                <w:sz w:val="21"/>
                <w:szCs w:val="21"/>
                <w:highlight w:val="none"/>
              </w:rPr>
              <w:t>近三个月</w:t>
            </w:r>
            <w:r>
              <w:rPr>
                <w:rFonts w:hint="eastAsia" w:ascii="仿宋" w:hAnsi="仿宋" w:eastAsia="仿宋" w:cs="仿宋"/>
                <w:color w:val="auto"/>
                <w:sz w:val="21"/>
                <w:szCs w:val="21"/>
                <w:highlight w:val="none"/>
                <w:lang w:val="en-US" w:eastAsia="zh-CN"/>
              </w:rPr>
              <w:t>内任意一个月的</w:t>
            </w:r>
            <w:r>
              <w:rPr>
                <w:rFonts w:hint="eastAsia" w:ascii="仿宋" w:hAnsi="仿宋" w:eastAsia="仿宋" w:cs="仿宋"/>
                <w:color w:val="auto"/>
                <w:sz w:val="21"/>
                <w:szCs w:val="21"/>
                <w:highlight w:val="none"/>
              </w:rPr>
              <w:t>社保证明复印件</w:t>
            </w:r>
            <w:r>
              <w:rPr>
                <w:rFonts w:hint="eastAsia" w:ascii="仿宋" w:hAnsi="仿宋" w:eastAsia="仿宋" w:cs="仿宋"/>
                <w:color w:val="auto"/>
                <w:sz w:val="21"/>
                <w:szCs w:val="21"/>
                <w:highlight w:val="none"/>
                <w:lang w:val="en-US" w:eastAsia="zh-CN"/>
              </w:rPr>
              <w:t>等佐证材料</w:t>
            </w:r>
            <w:r>
              <w:rPr>
                <w:rFonts w:hint="eastAsia" w:ascii="仿宋" w:hAnsi="仿宋" w:eastAsia="仿宋" w:cs="仿宋"/>
                <w:color w:val="auto"/>
                <w:sz w:val="21"/>
                <w:szCs w:val="21"/>
                <w:highlight w:val="none"/>
              </w:rPr>
              <w:t>。资料齐全、方案合理可行得</w:t>
            </w:r>
            <w:r>
              <w:rPr>
                <w:rFonts w:hint="eastAsia" w:ascii="仿宋" w:hAnsi="仿宋" w:eastAsia="仿宋" w:cs="仿宋"/>
                <w:color w:val="auto"/>
                <w:sz w:val="21"/>
                <w:szCs w:val="21"/>
                <w:highlight w:val="none"/>
                <w:lang w:val="en-US" w:eastAsia="zh-CN"/>
              </w:rPr>
              <w:t>10分，每有一项内容缺失的扣2分，每有一项内容阐述不全面、不符合项目实际情况的扣1分，扣完为止。</w:t>
            </w:r>
            <w:r>
              <w:rPr>
                <w:rFonts w:hint="eastAsia" w:ascii="仿宋" w:hAnsi="仿宋" w:eastAsia="仿宋" w:cs="仿宋"/>
                <w:color w:val="auto"/>
                <w:sz w:val="21"/>
                <w:szCs w:val="21"/>
                <w:highlight w:val="none"/>
              </w:rPr>
              <w:t>未提供</w:t>
            </w:r>
            <w:r>
              <w:rPr>
                <w:rFonts w:hint="eastAsia" w:ascii="仿宋" w:hAnsi="仿宋" w:eastAsia="仿宋" w:cs="仿宋"/>
                <w:color w:val="auto"/>
                <w:sz w:val="21"/>
                <w:szCs w:val="21"/>
                <w:highlight w:val="none"/>
                <w:lang w:val="en-US" w:eastAsia="zh-CN"/>
              </w:rPr>
              <w:t>佐证材料</w:t>
            </w:r>
            <w:r>
              <w:rPr>
                <w:rFonts w:hint="eastAsia" w:ascii="仿宋" w:hAnsi="仿宋" w:eastAsia="仿宋" w:cs="仿宋"/>
                <w:color w:val="auto"/>
                <w:sz w:val="21"/>
                <w:szCs w:val="21"/>
                <w:highlight w:val="none"/>
              </w:rPr>
              <w:t>不得分</w:t>
            </w:r>
            <w:r>
              <w:rPr>
                <w:rFonts w:hint="eastAsia" w:ascii="仿宋" w:hAnsi="仿宋" w:eastAsia="仿宋" w:cs="仿宋"/>
                <w:color w:val="auto"/>
                <w:sz w:val="21"/>
                <w:szCs w:val="21"/>
                <w:highlight w:val="none"/>
                <w:lang w:eastAsia="zh-CN"/>
              </w:rPr>
              <w:t>。</w:t>
            </w:r>
          </w:p>
        </w:tc>
      </w:tr>
    </w:tbl>
    <w:p w14:paraId="642BD613">
      <w:pPr>
        <w:bidi w:val="0"/>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注：（1）投标人应提交与评价指标体系相关的各类有效资料。</w:t>
      </w:r>
    </w:p>
    <w:p w14:paraId="16EAE111">
      <w:pPr>
        <w:bidi w:val="0"/>
        <w:spacing w:line="240" w:lineRule="auto"/>
        <w:ind w:firstLine="50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（2）投标人最终得分等于技术部分、商务部分、报价部分三者得分之和。</w:t>
      </w:r>
    </w:p>
    <w:p w14:paraId="2892DED0">
      <w:pPr>
        <w:bidi w:val="0"/>
        <w:spacing w:line="240" w:lineRule="auto"/>
        <w:ind w:firstLine="50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87令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129CDC5">
      <w:pP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bookmarkStart w:id="101" w:name="_Toc16740"/>
      <w: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br w:type="page"/>
      </w:r>
    </w:p>
    <w:p w14:paraId="577BDF9F">
      <w:pPr>
        <w:spacing w:before="64" w:line="224" w:lineRule="auto"/>
        <w:ind w:left="3299"/>
        <w:outlineLvl w:val="0"/>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pPr>
      <w:r>
        <w:rPr>
          <w:rFonts w:ascii="宋体" w:hAnsi="宋体" w:eastAsia="宋体" w:cs="宋体"/>
          <w:color w:val="auto"/>
          <w:spacing w:val="9"/>
          <w:sz w:val="31"/>
          <w:szCs w:val="31"/>
          <w:highlight w:val="none"/>
          <w14:textOutline w14:w="5793" w14:cap="sq" w14:cmpd="sng">
            <w14:solidFill>
              <w14:srgbClr w14:val="000000"/>
            </w14:solidFill>
            <w14:prstDash w14:val="solid"/>
            <w14:bevel/>
          </w14:textOutline>
        </w:rPr>
        <w:t>第7章政府采购合同</w:t>
      </w:r>
      <w:bookmarkEnd w:id="101"/>
    </w:p>
    <w:p w14:paraId="6135C6DD">
      <w:pPr>
        <w:spacing w:line="352" w:lineRule="auto"/>
        <w:rPr>
          <w:rFonts w:ascii="Arial"/>
          <w:color w:val="auto"/>
          <w:sz w:val="21"/>
          <w:highlight w:val="none"/>
        </w:rPr>
      </w:pPr>
    </w:p>
    <w:p w14:paraId="707429C7">
      <w:pPr>
        <w:spacing w:line="353" w:lineRule="auto"/>
        <w:jc w:val="center"/>
        <w:rPr>
          <w:rFonts w:ascii="Arial"/>
          <w:color w:val="auto"/>
          <w:sz w:val="21"/>
          <w:highlight w:val="none"/>
        </w:rPr>
      </w:pPr>
    </w:p>
    <w:p w14:paraId="76716D99">
      <w:pPr>
        <w:spacing w:line="264" w:lineRule="auto"/>
        <w:jc w:val="center"/>
        <w:rPr>
          <w:rFonts w:hint="default" w:ascii="Arial"/>
          <w:color w:val="auto"/>
          <w:sz w:val="21"/>
          <w:highlight w:val="none"/>
        </w:rPr>
      </w:pPr>
      <w:r>
        <w:rPr>
          <w:rFonts w:hint="eastAsia" w:ascii="宋体" w:hAnsi="宋体" w:eastAsia="宋体" w:cs="宋体"/>
          <w:color w:val="auto"/>
          <w:spacing w:val="9"/>
          <w:position w:val="19"/>
          <w:sz w:val="35"/>
          <w:szCs w:val="35"/>
          <w:highlight w:val="none"/>
          <w:lang w:eastAsia="zh-CN"/>
          <w14:textOutline w14:w="6537" w14:cap="sq" w14:cmpd="sng">
            <w14:solidFill>
              <w14:srgbClr w14:val="000000"/>
            </w14:solidFill>
            <w14:prstDash w14:val="solid"/>
            <w14:bevel/>
          </w14:textOutline>
        </w:rPr>
        <w:t xml:space="preserve">喀什地区伽师县紧密型县域医共体建设项目(第一批) </w:t>
      </w:r>
    </w:p>
    <w:p w14:paraId="047D8D5B">
      <w:pPr>
        <w:spacing w:line="265" w:lineRule="auto"/>
        <w:rPr>
          <w:rFonts w:ascii="Arial"/>
          <w:color w:val="auto"/>
          <w:sz w:val="21"/>
          <w:highlight w:val="none"/>
        </w:rPr>
      </w:pPr>
    </w:p>
    <w:p w14:paraId="01D2FD5E">
      <w:pPr>
        <w:spacing w:line="265" w:lineRule="auto"/>
        <w:rPr>
          <w:rFonts w:ascii="Arial"/>
          <w:color w:val="auto"/>
          <w:sz w:val="21"/>
          <w:highlight w:val="none"/>
        </w:rPr>
      </w:pPr>
    </w:p>
    <w:p w14:paraId="54CA3976">
      <w:pPr>
        <w:spacing w:line="265" w:lineRule="auto"/>
        <w:rPr>
          <w:rFonts w:ascii="Arial"/>
          <w:color w:val="auto"/>
          <w:sz w:val="21"/>
          <w:highlight w:val="none"/>
        </w:rPr>
      </w:pPr>
    </w:p>
    <w:p w14:paraId="2D3916EC">
      <w:pPr>
        <w:spacing w:before="114" w:line="225" w:lineRule="auto"/>
        <w:ind w:left="3426"/>
        <w:rPr>
          <w:rFonts w:ascii="宋体" w:hAnsi="宋体" w:eastAsia="宋体" w:cs="宋体"/>
          <w:color w:val="auto"/>
          <w:sz w:val="35"/>
          <w:szCs w:val="35"/>
          <w:highlight w:val="none"/>
        </w:rPr>
      </w:pPr>
      <w:r>
        <w:rPr>
          <w:rFonts w:ascii="宋体" w:hAnsi="宋体" w:eastAsia="宋体" w:cs="宋体"/>
          <w:color w:val="auto"/>
          <w:spacing w:val="6"/>
          <w:sz w:val="35"/>
          <w:szCs w:val="35"/>
          <w:highlight w:val="none"/>
          <w14:textOutline w14:w="6537" w14:cap="sq" w14:cmpd="sng">
            <w14:solidFill>
              <w14:srgbClr w14:val="000000"/>
            </w14:solidFill>
            <w14:prstDash w14:val="solid"/>
            <w14:bevel/>
          </w14:textOutline>
        </w:rPr>
        <w:t>公开招标文件</w:t>
      </w:r>
    </w:p>
    <w:p w14:paraId="34E1DCA5">
      <w:pPr>
        <w:spacing w:line="252" w:lineRule="auto"/>
        <w:rPr>
          <w:rFonts w:ascii="Arial"/>
          <w:color w:val="auto"/>
          <w:sz w:val="21"/>
          <w:highlight w:val="none"/>
        </w:rPr>
      </w:pPr>
    </w:p>
    <w:p w14:paraId="5DBCCCDF">
      <w:pPr>
        <w:spacing w:line="252" w:lineRule="auto"/>
        <w:rPr>
          <w:rFonts w:ascii="Arial"/>
          <w:color w:val="auto"/>
          <w:sz w:val="21"/>
          <w:highlight w:val="none"/>
        </w:rPr>
      </w:pPr>
    </w:p>
    <w:p w14:paraId="3E3EB0D8">
      <w:pPr>
        <w:spacing w:line="252" w:lineRule="auto"/>
        <w:rPr>
          <w:rFonts w:ascii="Arial"/>
          <w:color w:val="auto"/>
          <w:sz w:val="21"/>
          <w:highlight w:val="none"/>
        </w:rPr>
      </w:pPr>
    </w:p>
    <w:p w14:paraId="6DB41F16">
      <w:pPr>
        <w:spacing w:line="252" w:lineRule="auto"/>
        <w:rPr>
          <w:rFonts w:ascii="Arial"/>
          <w:color w:val="auto"/>
          <w:sz w:val="21"/>
          <w:highlight w:val="none"/>
        </w:rPr>
      </w:pPr>
    </w:p>
    <w:p w14:paraId="56A7A67B">
      <w:pPr>
        <w:spacing w:line="252" w:lineRule="auto"/>
        <w:rPr>
          <w:rFonts w:ascii="Arial"/>
          <w:color w:val="auto"/>
          <w:sz w:val="21"/>
          <w:highlight w:val="none"/>
        </w:rPr>
      </w:pPr>
    </w:p>
    <w:p w14:paraId="6B2EFE9A">
      <w:pPr>
        <w:spacing w:line="252" w:lineRule="auto"/>
        <w:rPr>
          <w:rFonts w:ascii="Arial"/>
          <w:color w:val="auto"/>
          <w:sz w:val="21"/>
          <w:highlight w:val="none"/>
        </w:rPr>
      </w:pPr>
    </w:p>
    <w:p w14:paraId="77DB80C9">
      <w:pPr>
        <w:spacing w:line="252" w:lineRule="auto"/>
        <w:rPr>
          <w:rFonts w:ascii="Arial"/>
          <w:color w:val="auto"/>
          <w:sz w:val="21"/>
          <w:highlight w:val="none"/>
        </w:rPr>
      </w:pPr>
    </w:p>
    <w:p w14:paraId="4583AF95">
      <w:pPr>
        <w:spacing w:line="252" w:lineRule="auto"/>
        <w:rPr>
          <w:rFonts w:ascii="Arial"/>
          <w:color w:val="auto"/>
          <w:sz w:val="21"/>
          <w:highlight w:val="none"/>
        </w:rPr>
      </w:pPr>
    </w:p>
    <w:p w14:paraId="5028680F">
      <w:pPr>
        <w:spacing w:line="252" w:lineRule="auto"/>
        <w:rPr>
          <w:rFonts w:ascii="Arial"/>
          <w:color w:val="auto"/>
          <w:sz w:val="21"/>
          <w:highlight w:val="none"/>
        </w:rPr>
      </w:pPr>
    </w:p>
    <w:p w14:paraId="57022DE2">
      <w:pPr>
        <w:spacing w:line="252" w:lineRule="auto"/>
        <w:rPr>
          <w:rFonts w:ascii="Arial"/>
          <w:color w:val="auto"/>
          <w:sz w:val="21"/>
          <w:highlight w:val="none"/>
        </w:rPr>
      </w:pPr>
    </w:p>
    <w:p w14:paraId="76BE3A73">
      <w:pPr>
        <w:spacing w:line="253" w:lineRule="auto"/>
        <w:rPr>
          <w:rFonts w:ascii="Arial"/>
          <w:color w:val="auto"/>
          <w:sz w:val="21"/>
          <w:highlight w:val="none"/>
        </w:rPr>
      </w:pPr>
    </w:p>
    <w:p w14:paraId="5090953A">
      <w:pPr>
        <w:spacing w:line="253" w:lineRule="auto"/>
        <w:rPr>
          <w:rFonts w:ascii="Arial"/>
          <w:color w:val="auto"/>
          <w:sz w:val="21"/>
          <w:highlight w:val="none"/>
        </w:rPr>
      </w:pPr>
    </w:p>
    <w:p w14:paraId="7892F8E2">
      <w:pPr>
        <w:spacing w:line="253" w:lineRule="auto"/>
        <w:rPr>
          <w:rFonts w:ascii="Arial"/>
          <w:color w:val="auto"/>
          <w:sz w:val="21"/>
          <w:highlight w:val="none"/>
        </w:rPr>
      </w:pPr>
    </w:p>
    <w:p w14:paraId="72DBED50">
      <w:pPr>
        <w:spacing w:before="101" w:line="225" w:lineRule="auto"/>
        <w:ind w:left="4015"/>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14:textOutline w14:w="5793" w14:cap="sq" w14:cmpd="sng">
            <w14:solidFill>
              <w14:srgbClr w14:val="000000"/>
            </w14:solidFill>
            <w14:prstDash w14:val="solid"/>
            <w14:bevel/>
          </w14:textOutline>
        </w:rPr>
        <w:t>第三册</w:t>
      </w:r>
    </w:p>
    <w:p w14:paraId="46933711">
      <w:pPr>
        <w:spacing w:line="225" w:lineRule="auto"/>
        <w:rPr>
          <w:rFonts w:ascii="宋体" w:hAnsi="宋体" w:eastAsia="宋体" w:cs="宋体"/>
          <w:color w:val="auto"/>
          <w:sz w:val="31"/>
          <w:szCs w:val="31"/>
          <w:highlight w:val="none"/>
        </w:rPr>
        <w:sectPr>
          <w:footerReference r:id="rId47" w:type="default"/>
          <w:pgSz w:w="11906" w:h="16839"/>
          <w:pgMar w:top="1431" w:right="1238" w:bottom="1171" w:left="1694" w:header="0" w:footer="992" w:gutter="0"/>
          <w:pgBorders>
            <w:top w:val="none" w:sz="0" w:space="0"/>
            <w:left w:val="none" w:sz="0" w:space="0"/>
            <w:bottom w:val="none" w:sz="0" w:space="0"/>
            <w:right w:val="none" w:sz="0" w:space="0"/>
          </w:pgBorders>
          <w:pgNumType w:fmt="decimal"/>
          <w:cols w:space="720" w:num="1"/>
        </w:sectPr>
      </w:pPr>
    </w:p>
    <w:p w14:paraId="46F9AD1C">
      <w:pPr>
        <w:spacing w:before="79" w:line="219" w:lineRule="auto"/>
        <w:ind w:left="3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合同编号：</w:t>
      </w:r>
    </w:p>
    <w:p w14:paraId="780C4E2C">
      <w:pPr>
        <w:spacing w:line="260" w:lineRule="auto"/>
        <w:rPr>
          <w:rFonts w:ascii="Arial"/>
          <w:color w:val="auto"/>
          <w:sz w:val="21"/>
          <w:highlight w:val="none"/>
        </w:rPr>
      </w:pPr>
    </w:p>
    <w:p w14:paraId="46F22FC2">
      <w:pPr>
        <w:spacing w:line="260" w:lineRule="auto"/>
        <w:rPr>
          <w:rFonts w:ascii="Arial"/>
          <w:color w:val="auto"/>
          <w:sz w:val="21"/>
          <w:highlight w:val="none"/>
        </w:rPr>
      </w:pPr>
    </w:p>
    <w:p w14:paraId="606C45CA">
      <w:pPr>
        <w:spacing w:line="260" w:lineRule="auto"/>
        <w:rPr>
          <w:rFonts w:ascii="Arial"/>
          <w:color w:val="auto"/>
          <w:sz w:val="21"/>
          <w:highlight w:val="none"/>
        </w:rPr>
      </w:pPr>
    </w:p>
    <w:p w14:paraId="4393817A">
      <w:pPr>
        <w:spacing w:line="260" w:lineRule="auto"/>
        <w:rPr>
          <w:rFonts w:ascii="Arial"/>
          <w:color w:val="auto"/>
          <w:sz w:val="21"/>
          <w:highlight w:val="none"/>
        </w:rPr>
      </w:pPr>
    </w:p>
    <w:p w14:paraId="02C505A6">
      <w:pPr>
        <w:spacing w:line="260" w:lineRule="auto"/>
        <w:rPr>
          <w:rFonts w:ascii="Arial"/>
          <w:color w:val="auto"/>
          <w:sz w:val="21"/>
          <w:highlight w:val="none"/>
        </w:rPr>
      </w:pPr>
    </w:p>
    <w:p w14:paraId="0305B40A">
      <w:pPr>
        <w:spacing w:line="260" w:lineRule="auto"/>
        <w:rPr>
          <w:rFonts w:ascii="Arial"/>
          <w:color w:val="auto"/>
          <w:sz w:val="21"/>
          <w:highlight w:val="none"/>
        </w:rPr>
      </w:pPr>
    </w:p>
    <w:p w14:paraId="6F8B3201">
      <w:pPr>
        <w:spacing w:line="261" w:lineRule="auto"/>
        <w:rPr>
          <w:rFonts w:ascii="Arial"/>
          <w:color w:val="auto"/>
          <w:sz w:val="21"/>
          <w:highlight w:val="none"/>
        </w:rPr>
      </w:pPr>
    </w:p>
    <w:p w14:paraId="3FED5021">
      <w:pPr>
        <w:spacing w:line="261" w:lineRule="auto"/>
        <w:rPr>
          <w:rFonts w:ascii="Arial"/>
          <w:color w:val="auto"/>
          <w:sz w:val="21"/>
          <w:highlight w:val="none"/>
        </w:rPr>
      </w:pPr>
    </w:p>
    <w:p w14:paraId="04222AA1">
      <w:pPr>
        <w:spacing w:before="140" w:line="222" w:lineRule="auto"/>
        <w:ind w:left="1973"/>
        <w:rPr>
          <w:rFonts w:ascii="宋体" w:hAnsi="宋体" w:eastAsia="宋体" w:cs="宋体"/>
          <w:color w:val="auto"/>
          <w:sz w:val="43"/>
          <w:szCs w:val="43"/>
          <w:highlight w:val="none"/>
        </w:rPr>
      </w:pPr>
      <w:r>
        <w:rPr>
          <w:rFonts w:ascii="宋体" w:hAnsi="宋体" w:eastAsia="宋体" w:cs="宋体"/>
          <w:color w:val="auto"/>
          <w:spacing w:val="9"/>
          <w:sz w:val="43"/>
          <w:szCs w:val="43"/>
          <w:highlight w:val="none"/>
          <w14:textOutline w14:w="7972" w14:cap="sq" w14:cmpd="sng">
            <w14:solidFill>
              <w14:srgbClr w14:val="000000"/>
            </w14:solidFill>
            <w14:prstDash w14:val="solid"/>
            <w14:bevel/>
          </w14:textOutline>
        </w:rPr>
        <w:t>政府采购合同参考范本</w:t>
      </w:r>
    </w:p>
    <w:p w14:paraId="0D0DEAB7">
      <w:pPr>
        <w:spacing w:line="254" w:lineRule="auto"/>
        <w:rPr>
          <w:rFonts w:ascii="Arial"/>
          <w:color w:val="auto"/>
          <w:sz w:val="21"/>
          <w:highlight w:val="none"/>
        </w:rPr>
      </w:pPr>
    </w:p>
    <w:p w14:paraId="74D1121D">
      <w:pPr>
        <w:spacing w:line="255" w:lineRule="auto"/>
        <w:rPr>
          <w:rFonts w:ascii="Arial"/>
          <w:color w:val="auto"/>
          <w:sz w:val="21"/>
          <w:highlight w:val="none"/>
        </w:rPr>
      </w:pPr>
    </w:p>
    <w:p w14:paraId="1BB4F12F">
      <w:pPr>
        <w:spacing w:before="78" w:line="219" w:lineRule="auto"/>
        <w:ind w:left="358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14:textOutline w14:w="4358" w14:cap="sq" w14:cmpd="sng">
            <w14:solidFill>
              <w14:srgbClr w14:val="000000"/>
            </w14:solidFill>
            <w14:prstDash w14:val="solid"/>
            <w14:bevel/>
          </w14:textOutline>
        </w:rPr>
        <w:t>（货物类）</w:t>
      </w:r>
    </w:p>
    <w:p w14:paraId="122F4D77">
      <w:pPr>
        <w:spacing w:line="296" w:lineRule="auto"/>
        <w:rPr>
          <w:rFonts w:ascii="Arial"/>
          <w:color w:val="auto"/>
          <w:sz w:val="21"/>
          <w:highlight w:val="none"/>
        </w:rPr>
      </w:pPr>
    </w:p>
    <w:p w14:paraId="750A9D55">
      <w:pPr>
        <w:spacing w:line="297" w:lineRule="auto"/>
        <w:rPr>
          <w:rFonts w:ascii="Arial"/>
          <w:color w:val="auto"/>
          <w:sz w:val="21"/>
          <w:highlight w:val="none"/>
        </w:rPr>
      </w:pPr>
    </w:p>
    <w:p w14:paraId="0DBAC688">
      <w:pPr>
        <w:spacing w:line="297" w:lineRule="auto"/>
        <w:rPr>
          <w:rFonts w:ascii="Arial"/>
          <w:color w:val="auto"/>
          <w:sz w:val="21"/>
          <w:highlight w:val="none"/>
        </w:rPr>
      </w:pPr>
    </w:p>
    <w:p w14:paraId="21BEAA7C">
      <w:pPr>
        <w:spacing w:line="297" w:lineRule="auto"/>
        <w:rPr>
          <w:rFonts w:ascii="Arial"/>
          <w:color w:val="auto"/>
          <w:sz w:val="21"/>
          <w:highlight w:val="none"/>
        </w:rPr>
      </w:pPr>
    </w:p>
    <w:p w14:paraId="3F47C80E">
      <w:pPr>
        <w:spacing w:before="78" w:line="219" w:lineRule="auto"/>
        <w:ind w:left="333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第一部分合同书</w:t>
      </w:r>
    </w:p>
    <w:p w14:paraId="5C85D6B9">
      <w:pPr>
        <w:spacing w:line="279" w:lineRule="auto"/>
        <w:rPr>
          <w:rFonts w:ascii="Arial"/>
          <w:color w:val="auto"/>
          <w:sz w:val="21"/>
          <w:highlight w:val="none"/>
        </w:rPr>
      </w:pPr>
    </w:p>
    <w:p w14:paraId="77E5E9D4">
      <w:pPr>
        <w:spacing w:line="279" w:lineRule="auto"/>
        <w:rPr>
          <w:rFonts w:ascii="Arial"/>
          <w:color w:val="auto"/>
          <w:sz w:val="21"/>
          <w:highlight w:val="none"/>
        </w:rPr>
      </w:pPr>
    </w:p>
    <w:p w14:paraId="16B5DD52">
      <w:pPr>
        <w:spacing w:line="279" w:lineRule="auto"/>
        <w:rPr>
          <w:rFonts w:ascii="Arial"/>
          <w:color w:val="auto"/>
          <w:sz w:val="21"/>
          <w:highlight w:val="none"/>
        </w:rPr>
      </w:pPr>
    </w:p>
    <w:p w14:paraId="747D27B7">
      <w:pPr>
        <w:spacing w:line="279" w:lineRule="auto"/>
        <w:rPr>
          <w:rFonts w:ascii="Arial"/>
          <w:color w:val="auto"/>
          <w:sz w:val="21"/>
          <w:highlight w:val="none"/>
        </w:rPr>
      </w:pPr>
    </w:p>
    <w:p w14:paraId="3DC34916">
      <w:pPr>
        <w:spacing w:before="79" w:line="220" w:lineRule="auto"/>
        <w:ind w:left="100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项目名称：</w:t>
      </w:r>
    </w:p>
    <w:p w14:paraId="7FB40EDB">
      <w:pPr>
        <w:spacing w:line="298" w:lineRule="auto"/>
        <w:rPr>
          <w:rFonts w:ascii="Arial"/>
          <w:color w:val="auto"/>
          <w:sz w:val="21"/>
          <w:highlight w:val="none"/>
        </w:rPr>
      </w:pPr>
    </w:p>
    <w:p w14:paraId="27A39BB9">
      <w:pPr>
        <w:spacing w:line="298" w:lineRule="auto"/>
        <w:rPr>
          <w:rFonts w:ascii="Arial"/>
          <w:color w:val="auto"/>
          <w:sz w:val="21"/>
          <w:highlight w:val="none"/>
        </w:rPr>
      </w:pPr>
    </w:p>
    <w:p w14:paraId="2FC8664A">
      <w:pPr>
        <w:spacing w:before="78" w:line="221" w:lineRule="auto"/>
        <w:ind w:left="1028"/>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甲方：</w:t>
      </w:r>
    </w:p>
    <w:p w14:paraId="59F091F2">
      <w:pPr>
        <w:spacing w:line="247" w:lineRule="auto"/>
        <w:rPr>
          <w:rFonts w:ascii="Arial"/>
          <w:color w:val="auto"/>
          <w:sz w:val="21"/>
          <w:highlight w:val="none"/>
        </w:rPr>
      </w:pPr>
    </w:p>
    <w:p w14:paraId="62405420">
      <w:pPr>
        <w:spacing w:line="248" w:lineRule="auto"/>
        <w:rPr>
          <w:rFonts w:ascii="Arial"/>
          <w:color w:val="auto"/>
          <w:sz w:val="21"/>
          <w:highlight w:val="none"/>
        </w:rPr>
      </w:pPr>
    </w:p>
    <w:p w14:paraId="66740269">
      <w:pPr>
        <w:spacing w:before="78" w:line="221" w:lineRule="auto"/>
        <w:ind w:left="1021"/>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乙方：</w:t>
      </w:r>
    </w:p>
    <w:p w14:paraId="6CD16DE6">
      <w:pPr>
        <w:spacing w:line="246" w:lineRule="auto"/>
        <w:rPr>
          <w:rFonts w:ascii="Arial"/>
          <w:color w:val="auto"/>
          <w:sz w:val="21"/>
          <w:highlight w:val="none"/>
        </w:rPr>
      </w:pPr>
    </w:p>
    <w:p w14:paraId="14051774">
      <w:pPr>
        <w:spacing w:line="247" w:lineRule="auto"/>
        <w:rPr>
          <w:rFonts w:ascii="Arial"/>
          <w:color w:val="auto"/>
          <w:sz w:val="21"/>
          <w:highlight w:val="none"/>
        </w:rPr>
      </w:pPr>
    </w:p>
    <w:p w14:paraId="55C257D7">
      <w:pPr>
        <w:spacing w:before="79" w:line="222" w:lineRule="auto"/>
        <w:ind w:left="99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签订地：</w:t>
      </w:r>
    </w:p>
    <w:p w14:paraId="030A9898">
      <w:pPr>
        <w:spacing w:line="246" w:lineRule="auto"/>
        <w:rPr>
          <w:rFonts w:ascii="Arial"/>
          <w:color w:val="auto"/>
          <w:sz w:val="21"/>
          <w:highlight w:val="none"/>
        </w:rPr>
      </w:pPr>
    </w:p>
    <w:p w14:paraId="12101E41">
      <w:pPr>
        <w:spacing w:line="246" w:lineRule="auto"/>
        <w:rPr>
          <w:rFonts w:ascii="Arial"/>
          <w:color w:val="auto"/>
          <w:sz w:val="21"/>
          <w:highlight w:val="none"/>
        </w:rPr>
      </w:pPr>
    </w:p>
    <w:p w14:paraId="44B398A6">
      <w:pPr>
        <w:spacing w:before="78" w:line="219" w:lineRule="auto"/>
        <w:ind w:left="9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签订日期：年月日</w:t>
      </w:r>
    </w:p>
    <w:p w14:paraId="04A81333">
      <w:pPr>
        <w:spacing w:line="219" w:lineRule="auto"/>
        <w:rPr>
          <w:rFonts w:ascii="宋体" w:hAnsi="宋体" w:eastAsia="宋体" w:cs="宋体"/>
          <w:color w:val="auto"/>
          <w:sz w:val="24"/>
          <w:szCs w:val="24"/>
          <w:highlight w:val="none"/>
        </w:rPr>
        <w:sectPr>
          <w:footerReference r:id="rId48" w:type="default"/>
          <w:pgSz w:w="11907" w:h="16840"/>
          <w:pgMar w:top="1431" w:right="1786" w:bottom="1264" w:left="1786" w:header="0" w:footer="1085" w:gutter="0"/>
          <w:pgBorders>
            <w:top w:val="none" w:sz="0" w:space="0"/>
            <w:left w:val="none" w:sz="0" w:space="0"/>
            <w:bottom w:val="none" w:sz="0" w:space="0"/>
            <w:right w:val="none" w:sz="0" w:space="0"/>
          </w:pgBorders>
          <w:pgNumType w:fmt="decimal"/>
          <w:cols w:space="720" w:num="1"/>
        </w:sectPr>
      </w:pPr>
    </w:p>
    <w:p w14:paraId="628B0F7E">
      <w:pPr>
        <w:keepNext w:val="0"/>
        <w:keepLines w:val="0"/>
        <w:pageBreakBefore w:val="0"/>
        <w:widowControl/>
        <w:kinsoku w:val="0"/>
        <w:wordWrap/>
        <w:overflowPunct/>
        <w:topLinePunct w:val="0"/>
        <w:autoSpaceDE w:val="0"/>
        <w:autoSpaceDN w:val="0"/>
        <w:bidi w:val="0"/>
        <w:adjustRightInd w:val="0"/>
        <w:snapToGrid w:val="0"/>
        <w:spacing w:line="360" w:lineRule="auto"/>
        <w:ind w:left="51" w:firstLine="479"/>
        <w:jc w:val="both"/>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ascii="宋体" w:hAnsi="宋体" w:eastAsia="宋体" w:cs="宋体"/>
          <w:color w:val="auto"/>
          <w:spacing w:val="-3"/>
          <w:sz w:val="24"/>
          <w:szCs w:val="24"/>
          <w:highlight w:val="none"/>
        </w:rPr>
        <w:t>日</w:t>
      </w:r>
      <w:r>
        <w:rPr>
          <w:rFonts w:ascii="宋体" w:hAnsi="宋体" w:eastAsia="宋体" w:cs="宋体"/>
          <w:color w:val="auto"/>
          <w:spacing w:val="-33"/>
          <w:sz w:val="24"/>
          <w:szCs w:val="24"/>
          <w:highlight w:val="none"/>
        </w:rPr>
        <w:t>，</w:t>
      </w:r>
      <w:r>
        <w:rPr>
          <w:rFonts w:ascii="宋体" w:hAnsi="宋体" w:eastAsia="宋体" w:cs="宋体"/>
          <w:color w:val="auto"/>
          <w:spacing w:val="-33"/>
          <w:sz w:val="24"/>
          <w:szCs w:val="24"/>
          <w:highlight w:val="none"/>
          <w:u w:val="single" w:color="auto"/>
        </w:rPr>
        <w:t>（</w:t>
      </w:r>
      <w:r>
        <w:rPr>
          <w:rFonts w:ascii="宋体" w:hAnsi="宋体" w:eastAsia="宋体" w:cs="宋体"/>
          <w:color w:val="auto"/>
          <w:spacing w:val="-3"/>
          <w:sz w:val="24"/>
          <w:szCs w:val="24"/>
          <w:highlight w:val="none"/>
          <w:u w:val="single" w:color="auto"/>
        </w:rPr>
        <w:t>采购人名称）</w:t>
      </w:r>
      <w:r>
        <w:rPr>
          <w:rFonts w:ascii="宋体" w:hAnsi="宋体" w:eastAsia="宋体" w:cs="宋体"/>
          <w:color w:val="auto"/>
          <w:spacing w:val="-3"/>
          <w:sz w:val="24"/>
          <w:szCs w:val="24"/>
          <w:highlight w:val="none"/>
        </w:rPr>
        <w:t>以</w:t>
      </w:r>
      <w:r>
        <w:rPr>
          <w:rFonts w:ascii="宋体" w:hAnsi="宋体" w:eastAsia="宋体" w:cs="宋体"/>
          <w:color w:val="auto"/>
          <w:spacing w:val="-3"/>
          <w:sz w:val="24"/>
          <w:szCs w:val="24"/>
          <w:highlight w:val="none"/>
          <w:u w:val="single" w:color="auto"/>
        </w:rPr>
        <w:t>（政府采购方式）</w:t>
      </w:r>
      <w:r>
        <w:rPr>
          <w:rFonts w:ascii="宋体" w:hAnsi="宋体" w:eastAsia="宋体" w:cs="宋体"/>
          <w:color w:val="auto"/>
          <w:spacing w:val="-3"/>
          <w:sz w:val="24"/>
          <w:szCs w:val="24"/>
          <w:highlight w:val="none"/>
        </w:rPr>
        <w:t>对</w:t>
      </w:r>
      <w:r>
        <w:rPr>
          <w:rFonts w:ascii="宋体" w:hAnsi="宋体" w:eastAsia="宋体" w:cs="宋体"/>
          <w:color w:val="auto"/>
          <w:spacing w:val="-3"/>
          <w:sz w:val="24"/>
          <w:szCs w:val="24"/>
          <w:highlight w:val="none"/>
          <w:u w:val="single" w:color="auto"/>
        </w:rPr>
        <w:t>（同前页项目名称）</w:t>
      </w:r>
      <w:r>
        <w:rPr>
          <w:rFonts w:ascii="宋体" w:hAnsi="宋体" w:eastAsia="宋体" w:cs="宋体"/>
          <w:color w:val="auto"/>
          <w:spacing w:val="-3"/>
          <w:sz w:val="24"/>
          <w:szCs w:val="24"/>
          <w:highlight w:val="none"/>
        </w:rPr>
        <w:t>项目进行了采购。</w:t>
      </w:r>
      <w:r>
        <w:rPr>
          <w:rFonts w:ascii="宋体" w:hAnsi="宋体" w:eastAsia="宋体" w:cs="宋体"/>
          <w:color w:val="auto"/>
          <w:spacing w:val="1"/>
          <w:sz w:val="24"/>
          <w:szCs w:val="24"/>
          <w:highlight w:val="none"/>
        </w:rPr>
        <w:t>经</w:t>
      </w:r>
      <w:r>
        <w:rPr>
          <w:rFonts w:ascii="宋体" w:hAnsi="宋体" w:eastAsia="宋体" w:cs="宋体"/>
          <w:color w:val="auto"/>
          <w:spacing w:val="1"/>
          <w:sz w:val="24"/>
          <w:szCs w:val="24"/>
          <w:highlight w:val="none"/>
          <w:u w:val="single" w:color="auto"/>
        </w:rPr>
        <w:t>（相关评定主体名称）</w:t>
      </w:r>
      <w:r>
        <w:rPr>
          <w:rFonts w:ascii="宋体" w:hAnsi="宋体" w:eastAsia="宋体" w:cs="宋体"/>
          <w:color w:val="auto"/>
          <w:spacing w:val="1"/>
          <w:sz w:val="24"/>
          <w:szCs w:val="24"/>
          <w:highlight w:val="none"/>
        </w:rPr>
        <w:t>评定</w:t>
      </w:r>
      <w:r>
        <w:rPr>
          <w:rFonts w:ascii="宋体" w:hAnsi="宋体" w:eastAsia="宋体" w:cs="宋体"/>
          <w:color w:val="auto"/>
          <w:spacing w:val="-26"/>
          <w:sz w:val="24"/>
          <w:szCs w:val="24"/>
          <w:highlight w:val="none"/>
        </w:rPr>
        <w:t>，</w:t>
      </w:r>
      <w:r>
        <w:rPr>
          <w:rFonts w:ascii="宋体" w:hAnsi="宋体" w:eastAsia="宋体" w:cs="宋体"/>
          <w:color w:val="auto"/>
          <w:spacing w:val="-26"/>
          <w:sz w:val="24"/>
          <w:szCs w:val="24"/>
          <w:highlight w:val="none"/>
          <w:u w:val="single" w:color="auto"/>
        </w:rPr>
        <w:t>（</w:t>
      </w:r>
      <w:r>
        <w:rPr>
          <w:rFonts w:ascii="宋体" w:hAnsi="宋体" w:eastAsia="宋体" w:cs="宋体"/>
          <w:color w:val="auto"/>
          <w:spacing w:val="1"/>
          <w:sz w:val="24"/>
          <w:szCs w:val="24"/>
          <w:highlight w:val="none"/>
          <w:u w:val="single" w:color="auto"/>
        </w:rPr>
        <w:t>中标供应商名称）</w:t>
      </w:r>
      <w:r>
        <w:rPr>
          <w:rFonts w:ascii="宋体" w:hAnsi="宋体" w:eastAsia="宋体" w:cs="宋体"/>
          <w:color w:val="auto"/>
          <w:spacing w:val="1"/>
          <w:sz w:val="24"/>
          <w:szCs w:val="24"/>
          <w:highlight w:val="none"/>
        </w:rPr>
        <w:t>为该项目中标供应商。现于中标通知</w:t>
      </w:r>
      <w:r>
        <w:rPr>
          <w:rFonts w:ascii="宋体" w:hAnsi="宋体" w:eastAsia="宋体" w:cs="宋体"/>
          <w:color w:val="auto"/>
          <w:spacing w:val="-1"/>
          <w:sz w:val="24"/>
          <w:szCs w:val="24"/>
          <w:highlight w:val="none"/>
        </w:rPr>
        <w:t>书发出之日起三十日内，按照采购文件确定的事项签订本合同。</w:t>
      </w:r>
    </w:p>
    <w:p w14:paraId="603C1F8C">
      <w:pPr>
        <w:keepNext w:val="0"/>
        <w:keepLines w:val="0"/>
        <w:pageBreakBefore w:val="0"/>
        <w:widowControl/>
        <w:tabs>
          <w:tab w:val="left" w:pos="175"/>
        </w:tabs>
        <w:kinsoku w:val="0"/>
        <w:wordWrap/>
        <w:overflowPunct/>
        <w:topLinePunct w:val="0"/>
        <w:autoSpaceDE w:val="0"/>
        <w:autoSpaceDN w:val="0"/>
        <w:bidi w:val="0"/>
        <w:adjustRightInd w:val="0"/>
        <w:snapToGrid w:val="0"/>
        <w:spacing w:line="360" w:lineRule="auto"/>
        <w:ind w:left="39" w:right="80" w:firstLine="489"/>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根据《中华人民共和国合同法》、《中华人民共和国政</w:t>
      </w:r>
      <w:r>
        <w:rPr>
          <w:rFonts w:ascii="宋体" w:hAnsi="宋体" w:eastAsia="宋体" w:cs="宋体"/>
          <w:color w:val="auto"/>
          <w:spacing w:val="-1"/>
          <w:sz w:val="24"/>
          <w:szCs w:val="24"/>
          <w:highlight w:val="none"/>
        </w:rPr>
        <w:t>府采购法》等相关法律法规之</w:t>
      </w:r>
      <w:r>
        <w:rPr>
          <w:rFonts w:ascii="宋体" w:hAnsi="宋体" w:eastAsia="宋体" w:cs="宋体"/>
          <w:color w:val="auto"/>
          <w:spacing w:val="-3"/>
          <w:sz w:val="24"/>
          <w:szCs w:val="24"/>
          <w:highlight w:val="none"/>
        </w:rPr>
        <w:t>规定，按照平等、自愿、公平和诚实信用的原则，经</w:t>
      </w:r>
      <w:r>
        <w:rPr>
          <w:rFonts w:ascii="宋体" w:hAnsi="宋体" w:eastAsia="宋体" w:cs="宋体"/>
          <w:color w:val="auto"/>
          <w:spacing w:val="-3"/>
          <w:sz w:val="24"/>
          <w:szCs w:val="24"/>
          <w:highlight w:val="none"/>
          <w:u w:val="single" w:color="auto"/>
        </w:rPr>
        <w:t>（采购人名称）</w:t>
      </w:r>
      <w:r>
        <w:rPr>
          <w:rFonts w:ascii="宋体" w:hAnsi="宋体" w:eastAsia="宋体" w:cs="宋体"/>
          <w:color w:val="auto"/>
          <w:spacing w:val="-3"/>
          <w:sz w:val="24"/>
          <w:szCs w:val="24"/>
          <w:highlight w:val="none"/>
        </w:rPr>
        <w:t>(以下简称：甲方)和</w:t>
      </w:r>
      <w:r>
        <w:rPr>
          <w:rFonts w:ascii="宋体" w:hAnsi="宋体" w:eastAsia="宋体" w:cs="宋体"/>
          <w:color w:val="auto"/>
          <w:sz w:val="24"/>
          <w:szCs w:val="24"/>
          <w:highlight w:val="none"/>
          <w:u w:val="single" w:color="auto"/>
        </w:rPr>
        <w:tab/>
      </w:r>
      <w:r>
        <w:rPr>
          <w:rFonts w:ascii="宋体" w:hAnsi="宋体" w:eastAsia="宋体" w:cs="宋体"/>
          <w:color w:val="auto"/>
          <w:spacing w:val="-5"/>
          <w:sz w:val="24"/>
          <w:szCs w:val="24"/>
          <w:highlight w:val="none"/>
          <w:u w:val="single" w:color="auto"/>
        </w:rPr>
        <w:t>（中标供应商名称）</w:t>
      </w:r>
      <w:r>
        <w:rPr>
          <w:rFonts w:ascii="宋体" w:hAnsi="宋体" w:eastAsia="宋体" w:cs="宋体"/>
          <w:color w:val="auto"/>
          <w:spacing w:val="-5"/>
          <w:sz w:val="24"/>
          <w:szCs w:val="24"/>
          <w:highlight w:val="none"/>
        </w:rPr>
        <w:t>(以下简称：乙方)协商一致，约定以下合同条款，以兹共同遵守、全</w:t>
      </w:r>
      <w:r>
        <w:rPr>
          <w:rFonts w:ascii="宋体" w:hAnsi="宋体" w:eastAsia="宋体" w:cs="宋体"/>
          <w:color w:val="auto"/>
          <w:spacing w:val="-3"/>
          <w:sz w:val="24"/>
          <w:szCs w:val="24"/>
          <w:highlight w:val="none"/>
        </w:rPr>
        <w:t>面履行。</w:t>
      </w:r>
    </w:p>
    <w:p w14:paraId="77741184">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outlineLvl w:val="0"/>
        <w:rPr>
          <w:rFonts w:ascii="宋体" w:hAnsi="宋体" w:eastAsia="宋体" w:cs="宋体"/>
          <w:color w:val="auto"/>
          <w:sz w:val="24"/>
          <w:szCs w:val="24"/>
          <w:highlight w:val="none"/>
        </w:rPr>
      </w:pPr>
      <w:bookmarkStart w:id="102" w:name="_Toc11841"/>
      <w:bookmarkStart w:id="103" w:name="_Toc15145"/>
      <w:r>
        <w:rPr>
          <w:rFonts w:ascii="宋体" w:hAnsi="宋体" w:eastAsia="宋体" w:cs="宋体"/>
          <w:color w:val="auto"/>
          <w:spacing w:val="-4"/>
          <w:sz w:val="24"/>
          <w:szCs w:val="24"/>
          <w:highlight w:val="none"/>
          <w14:textOutline w14:w="4358" w14:cap="sq" w14:cmpd="sng">
            <w14:solidFill>
              <w14:srgbClr w14:val="000000"/>
            </w14:solidFill>
            <w14:prstDash w14:val="solid"/>
            <w14:bevel/>
          </w14:textOutline>
        </w:rPr>
        <w:t>1.1合同组成部分</w:t>
      </w:r>
      <w:bookmarkEnd w:id="102"/>
      <w:bookmarkEnd w:id="103"/>
    </w:p>
    <w:p w14:paraId="03AA1491">
      <w:pPr>
        <w:keepNext w:val="0"/>
        <w:keepLines w:val="0"/>
        <w:pageBreakBefore w:val="0"/>
        <w:widowControl/>
        <w:kinsoku w:val="0"/>
        <w:wordWrap/>
        <w:overflowPunct/>
        <w:topLinePunct w:val="0"/>
        <w:autoSpaceDE w:val="0"/>
        <w:autoSpaceDN w:val="0"/>
        <w:bidi w:val="0"/>
        <w:adjustRightInd w:val="0"/>
        <w:snapToGrid w:val="0"/>
        <w:spacing w:line="360" w:lineRule="auto"/>
        <w:ind w:left="51" w:right="80" w:firstLine="485"/>
        <w:jc w:val="both"/>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下列文件为本合同的组成部分，并构成一个整体，需综合解释、相互补充。如果下列</w:t>
      </w:r>
      <w:r>
        <w:rPr>
          <w:rFonts w:ascii="宋体" w:hAnsi="宋体" w:eastAsia="宋体" w:cs="宋体"/>
          <w:color w:val="auto"/>
          <w:sz w:val="24"/>
          <w:szCs w:val="24"/>
          <w:highlight w:val="none"/>
        </w:rPr>
        <w:t>文件内容出现不一致的情形，那么在保证按照采购文件</w:t>
      </w:r>
      <w:r>
        <w:rPr>
          <w:rFonts w:ascii="宋体" w:hAnsi="宋体" w:eastAsia="宋体" w:cs="宋体"/>
          <w:color w:val="auto"/>
          <w:spacing w:val="-1"/>
          <w:sz w:val="24"/>
          <w:szCs w:val="24"/>
          <w:highlight w:val="none"/>
        </w:rPr>
        <w:t>确定的事项的前提下，组成本合同</w:t>
      </w:r>
      <w:r>
        <w:rPr>
          <w:rFonts w:ascii="宋体" w:hAnsi="宋体" w:eastAsia="宋体" w:cs="宋体"/>
          <w:color w:val="auto"/>
          <w:spacing w:val="-2"/>
          <w:sz w:val="24"/>
          <w:szCs w:val="24"/>
          <w:highlight w:val="none"/>
        </w:rPr>
        <w:t>的多个文件的优先适用顺序如下：</w:t>
      </w:r>
    </w:p>
    <w:p w14:paraId="6CEC6A7B">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1.1.1本合同及其补充合同、变更协议；</w:t>
      </w:r>
    </w:p>
    <w:p w14:paraId="57B097D7">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1.1.2中标通知书；</w:t>
      </w:r>
    </w:p>
    <w:p w14:paraId="10A12BAF">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1.1.3投标文件（含澄清或者说明文件</w:t>
      </w:r>
      <w:r>
        <w:rPr>
          <w:rFonts w:ascii="宋体" w:hAnsi="宋体" w:eastAsia="宋体" w:cs="宋体"/>
          <w:color w:val="auto"/>
          <w:spacing w:val="8"/>
          <w:sz w:val="24"/>
          <w:szCs w:val="24"/>
          <w:highlight w:val="none"/>
        </w:rPr>
        <w:t>）；</w:t>
      </w:r>
    </w:p>
    <w:p w14:paraId="42AF686A">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1.1.4招标文件（含澄清或者修改文件</w:t>
      </w:r>
      <w:r>
        <w:rPr>
          <w:rFonts w:ascii="宋体" w:hAnsi="宋体" w:eastAsia="宋体" w:cs="宋体"/>
          <w:color w:val="auto"/>
          <w:sz w:val="24"/>
          <w:szCs w:val="24"/>
          <w:highlight w:val="none"/>
        </w:rPr>
        <w:t>）；</w:t>
      </w:r>
    </w:p>
    <w:p w14:paraId="352B4FF0">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1.1.5其他相关采购文件。</w:t>
      </w:r>
    </w:p>
    <w:p w14:paraId="0C77EDB5">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outlineLvl w:val="0"/>
        <w:rPr>
          <w:rFonts w:ascii="宋体" w:hAnsi="宋体" w:eastAsia="宋体" w:cs="宋体"/>
          <w:color w:val="auto"/>
          <w:sz w:val="24"/>
          <w:szCs w:val="24"/>
          <w:highlight w:val="none"/>
        </w:rPr>
      </w:pPr>
      <w:bookmarkStart w:id="104" w:name="_Toc20258"/>
      <w:bookmarkStart w:id="105" w:name="_Toc9787"/>
      <w:r>
        <w:rPr>
          <w:rFonts w:ascii="宋体" w:hAnsi="宋体" w:eastAsia="宋体" w:cs="宋体"/>
          <w:color w:val="auto"/>
          <w:spacing w:val="-8"/>
          <w:sz w:val="24"/>
          <w:szCs w:val="24"/>
          <w:highlight w:val="none"/>
          <w14:textOutline w14:w="4358" w14:cap="sq" w14:cmpd="sng">
            <w14:solidFill>
              <w14:srgbClr w14:val="000000"/>
            </w14:solidFill>
            <w14:prstDash w14:val="solid"/>
            <w14:bevel/>
          </w14:textOutline>
        </w:rPr>
        <w:t>1.2货物</w:t>
      </w:r>
      <w:bookmarkEnd w:id="104"/>
      <w:bookmarkEnd w:id="105"/>
    </w:p>
    <w:p w14:paraId="1542CBAF">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1.2.1货物名称</w:t>
      </w:r>
      <w:r>
        <w:rPr>
          <w:rFonts w:ascii="宋体" w:hAnsi="宋体" w:eastAsia="宋体" w:cs="宋体"/>
          <w:color w:val="auto"/>
          <w:sz w:val="24"/>
          <w:szCs w:val="24"/>
          <w:highlight w:val="none"/>
        </w:rPr>
        <w:t>：；</w:t>
      </w:r>
    </w:p>
    <w:p w14:paraId="1A6CB161">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1.2.2货物数量</w:t>
      </w:r>
      <w:r>
        <w:rPr>
          <w:rFonts w:ascii="宋体" w:hAnsi="宋体" w:eastAsia="宋体" w:cs="宋体"/>
          <w:color w:val="auto"/>
          <w:sz w:val="24"/>
          <w:szCs w:val="24"/>
          <w:highlight w:val="none"/>
        </w:rPr>
        <w:t>：；</w:t>
      </w:r>
    </w:p>
    <w:p w14:paraId="668A40EF">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1.2.3货物质量：。</w:t>
      </w:r>
    </w:p>
    <w:p w14:paraId="1A43F42C">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outlineLvl w:val="0"/>
        <w:rPr>
          <w:rFonts w:ascii="宋体" w:hAnsi="宋体" w:eastAsia="宋体" w:cs="宋体"/>
          <w:color w:val="auto"/>
          <w:sz w:val="24"/>
          <w:szCs w:val="24"/>
          <w:highlight w:val="none"/>
        </w:rPr>
      </w:pPr>
      <w:bookmarkStart w:id="106" w:name="_Toc18381"/>
      <w:bookmarkStart w:id="107" w:name="_Toc14734"/>
      <w:r>
        <w:rPr>
          <w:rFonts w:ascii="宋体" w:hAnsi="宋体" w:eastAsia="宋体" w:cs="宋体"/>
          <w:color w:val="auto"/>
          <w:spacing w:val="-8"/>
          <w:sz w:val="24"/>
          <w:szCs w:val="24"/>
          <w:highlight w:val="none"/>
          <w14:textOutline w14:w="4358" w14:cap="sq" w14:cmpd="sng">
            <w14:solidFill>
              <w14:srgbClr w14:val="000000"/>
            </w14:solidFill>
            <w14:prstDash w14:val="solid"/>
            <w14:bevel/>
          </w14:textOutline>
        </w:rPr>
        <w:t>1.3价款</w:t>
      </w:r>
      <w:bookmarkEnd w:id="106"/>
      <w:bookmarkEnd w:id="107"/>
    </w:p>
    <w:p w14:paraId="485B4CA9">
      <w:pPr>
        <w:keepNext w:val="0"/>
        <w:keepLines w:val="0"/>
        <w:pageBreakBefore w:val="0"/>
        <w:widowControl/>
        <w:kinsoku w:val="0"/>
        <w:wordWrap/>
        <w:overflowPunct/>
        <w:topLinePunct w:val="0"/>
        <w:autoSpaceDE w:val="0"/>
        <w:autoSpaceDN w:val="0"/>
        <w:bidi w:val="0"/>
        <w:adjustRightInd w:val="0"/>
        <w:snapToGrid w:val="0"/>
        <w:spacing w:line="360" w:lineRule="auto"/>
        <w:ind w:left="530"/>
        <w:textAlignment w:val="baseline"/>
        <w:rPr>
          <w:rFonts w:ascii="宋体" w:hAnsi="宋体" w:eastAsia="宋体" w:cs="宋体"/>
          <w:color w:val="auto"/>
          <w:sz w:val="24"/>
          <w:szCs w:val="24"/>
          <w:highlight w:val="none"/>
        </w:rPr>
      </w:pPr>
      <w:r>
        <w:rPr>
          <w:rFonts w:ascii="宋体" w:hAnsi="宋体" w:eastAsia="宋体" w:cs="宋体"/>
          <w:color w:val="auto"/>
          <w:spacing w:val="-1"/>
          <w:position w:val="24"/>
          <w:sz w:val="24"/>
          <w:szCs w:val="24"/>
          <w:highlight w:val="none"/>
        </w:rPr>
        <w:t>本合同总价为：￥元（大写：元人民币）。</w:t>
      </w:r>
    </w:p>
    <w:p w14:paraId="5E7AA25C">
      <w:pPr>
        <w:keepNext w:val="0"/>
        <w:keepLines w:val="0"/>
        <w:pageBreakBefore w:val="0"/>
        <w:widowControl/>
        <w:kinsoku w:val="0"/>
        <w:wordWrap/>
        <w:overflowPunct/>
        <w:topLinePunct w:val="0"/>
        <w:autoSpaceDE w:val="0"/>
        <w:autoSpaceDN w:val="0"/>
        <w:bidi w:val="0"/>
        <w:adjustRightInd w:val="0"/>
        <w:snapToGrid w:val="0"/>
        <w:spacing w:line="360" w:lineRule="auto"/>
        <w:ind w:left="532"/>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分项价格：</w:t>
      </w:r>
    </w:p>
    <w:p w14:paraId="50A29A5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color w:val="auto"/>
          <w:highlight w:val="none"/>
        </w:rPr>
      </w:pPr>
    </w:p>
    <w:tbl>
      <w:tblPr>
        <w:tblStyle w:val="22"/>
        <w:tblW w:w="9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3"/>
        <w:gridCol w:w="3396"/>
        <w:gridCol w:w="4820"/>
      </w:tblGrid>
      <w:tr w14:paraId="705A1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3" w:type="dxa"/>
            <w:vAlign w:val="center"/>
          </w:tcPr>
          <w:p w14:paraId="0878DFA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r>
              <w:rPr>
                <w:color w:val="auto"/>
                <w:spacing w:val="-5"/>
                <w:sz w:val="24"/>
                <w:szCs w:val="24"/>
                <w:highlight w:val="none"/>
              </w:rPr>
              <w:t>序号</w:t>
            </w:r>
          </w:p>
        </w:tc>
        <w:tc>
          <w:tcPr>
            <w:tcW w:w="3396" w:type="dxa"/>
            <w:vAlign w:val="center"/>
          </w:tcPr>
          <w:p w14:paraId="14E18D1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r>
              <w:rPr>
                <w:color w:val="auto"/>
                <w:spacing w:val="-4"/>
                <w:sz w:val="24"/>
                <w:szCs w:val="24"/>
                <w:highlight w:val="none"/>
              </w:rPr>
              <w:t>分项名称</w:t>
            </w:r>
          </w:p>
        </w:tc>
        <w:tc>
          <w:tcPr>
            <w:tcW w:w="4820" w:type="dxa"/>
            <w:vAlign w:val="center"/>
          </w:tcPr>
          <w:p w14:paraId="42FC1DF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r>
              <w:rPr>
                <w:color w:val="auto"/>
                <w:spacing w:val="-4"/>
                <w:sz w:val="24"/>
                <w:szCs w:val="24"/>
                <w:highlight w:val="none"/>
              </w:rPr>
              <w:t>分项价格</w:t>
            </w:r>
          </w:p>
        </w:tc>
      </w:tr>
      <w:tr w14:paraId="48DA3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203" w:type="dxa"/>
            <w:vAlign w:val="center"/>
          </w:tcPr>
          <w:p w14:paraId="4E3F6D0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c>
          <w:tcPr>
            <w:tcW w:w="3396" w:type="dxa"/>
            <w:vAlign w:val="center"/>
          </w:tcPr>
          <w:p w14:paraId="065A020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c>
          <w:tcPr>
            <w:tcW w:w="4820" w:type="dxa"/>
            <w:vAlign w:val="center"/>
          </w:tcPr>
          <w:p w14:paraId="14641A0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r>
      <w:tr w14:paraId="367EC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203" w:type="dxa"/>
            <w:vAlign w:val="center"/>
          </w:tcPr>
          <w:p w14:paraId="27F0AFB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c>
          <w:tcPr>
            <w:tcW w:w="3396" w:type="dxa"/>
            <w:vAlign w:val="center"/>
          </w:tcPr>
          <w:p w14:paraId="66FAF6D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c>
          <w:tcPr>
            <w:tcW w:w="4820" w:type="dxa"/>
            <w:vAlign w:val="center"/>
          </w:tcPr>
          <w:p w14:paraId="10868C5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r>
      <w:tr w14:paraId="613E4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203" w:type="dxa"/>
            <w:vAlign w:val="center"/>
          </w:tcPr>
          <w:p w14:paraId="345B68B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c>
          <w:tcPr>
            <w:tcW w:w="3396" w:type="dxa"/>
            <w:vAlign w:val="center"/>
          </w:tcPr>
          <w:p w14:paraId="4DD329F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c>
          <w:tcPr>
            <w:tcW w:w="4820" w:type="dxa"/>
            <w:vAlign w:val="center"/>
          </w:tcPr>
          <w:p w14:paraId="6ABF2E8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r>
      <w:tr w14:paraId="42709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599" w:type="dxa"/>
            <w:gridSpan w:val="2"/>
            <w:vAlign w:val="center"/>
          </w:tcPr>
          <w:p w14:paraId="73BE2406">
            <w:pPr>
              <w:pStyle w:val="23"/>
              <w:keepNext w:val="0"/>
              <w:keepLines w:val="0"/>
              <w:pageBreakBefore w:val="0"/>
              <w:widowControl/>
              <w:kinsoku w:val="0"/>
              <w:wordWrap/>
              <w:overflowPunct/>
              <w:topLinePunct w:val="0"/>
              <w:autoSpaceDE w:val="0"/>
              <w:autoSpaceDN w:val="0"/>
              <w:bidi w:val="0"/>
              <w:adjustRightInd w:val="0"/>
              <w:snapToGrid w:val="0"/>
              <w:spacing w:line="360" w:lineRule="auto"/>
              <w:ind w:left="2177"/>
              <w:jc w:val="center"/>
              <w:textAlignment w:val="baseline"/>
              <w:rPr>
                <w:color w:val="auto"/>
                <w:sz w:val="24"/>
                <w:szCs w:val="24"/>
                <w:highlight w:val="none"/>
              </w:rPr>
            </w:pPr>
            <w:r>
              <w:rPr>
                <w:color w:val="auto"/>
                <w:spacing w:val="-8"/>
                <w:sz w:val="24"/>
                <w:szCs w:val="24"/>
                <w:highlight w:val="none"/>
              </w:rPr>
              <w:t>总价</w:t>
            </w:r>
          </w:p>
        </w:tc>
        <w:tc>
          <w:tcPr>
            <w:tcW w:w="4820" w:type="dxa"/>
            <w:vAlign w:val="center"/>
          </w:tcPr>
          <w:p w14:paraId="19C4974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Arial"/>
                <w:color w:val="auto"/>
                <w:sz w:val="21"/>
                <w:highlight w:val="none"/>
              </w:rPr>
            </w:pPr>
          </w:p>
        </w:tc>
      </w:tr>
    </w:tbl>
    <w:p w14:paraId="10A5FAA6">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outlineLvl w:val="0"/>
        <w:rPr>
          <w:rFonts w:ascii="宋体" w:hAnsi="宋体" w:eastAsia="宋体" w:cs="宋体"/>
          <w:color w:val="auto"/>
          <w:sz w:val="24"/>
          <w:szCs w:val="24"/>
          <w:highlight w:val="none"/>
        </w:rPr>
      </w:pPr>
      <w:bookmarkStart w:id="108" w:name="_Toc19058"/>
      <w:bookmarkStart w:id="109" w:name="_Toc14082"/>
      <w:r>
        <w:rPr>
          <w:rFonts w:ascii="宋体" w:hAnsi="宋体" w:eastAsia="宋体" w:cs="宋体"/>
          <w:color w:val="auto"/>
          <w:spacing w:val="-3"/>
          <w:sz w:val="24"/>
          <w:szCs w:val="24"/>
          <w:highlight w:val="none"/>
          <w14:textOutline w14:w="4358" w14:cap="sq" w14:cmpd="sng">
            <w14:solidFill>
              <w14:srgbClr w14:val="000000"/>
            </w14:solidFill>
            <w14:prstDash w14:val="solid"/>
            <w14:bevel/>
          </w14:textOutline>
        </w:rPr>
        <w:t>1.5货物交付期限、地点和方式</w:t>
      </w:r>
      <w:bookmarkEnd w:id="108"/>
      <w:bookmarkEnd w:id="109"/>
    </w:p>
    <w:p w14:paraId="1AA4210B">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1.5.1交付期限</w:t>
      </w:r>
      <w:r>
        <w:rPr>
          <w:rFonts w:ascii="宋体" w:hAnsi="宋体" w:eastAsia="宋体" w:cs="宋体"/>
          <w:color w:val="auto"/>
          <w:spacing w:val="1"/>
          <w:sz w:val="24"/>
          <w:szCs w:val="24"/>
          <w:highlight w:val="none"/>
        </w:rPr>
        <w:t>：；</w:t>
      </w:r>
    </w:p>
    <w:p w14:paraId="3B0D546E">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1.5.2交付地点</w:t>
      </w:r>
      <w:r>
        <w:rPr>
          <w:rFonts w:ascii="宋体" w:hAnsi="宋体" w:eastAsia="宋体" w:cs="宋体"/>
          <w:color w:val="auto"/>
          <w:spacing w:val="1"/>
          <w:sz w:val="24"/>
          <w:szCs w:val="24"/>
          <w:highlight w:val="none"/>
        </w:rPr>
        <w:t>：；</w:t>
      </w:r>
    </w:p>
    <w:p w14:paraId="5784B201">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1.5.3交付方式：。</w:t>
      </w:r>
    </w:p>
    <w:p w14:paraId="3C14279B">
      <w:pPr>
        <w:keepNext w:val="0"/>
        <w:keepLines w:val="0"/>
        <w:pageBreakBefore w:val="0"/>
        <w:widowControl/>
        <w:kinsoku w:val="0"/>
        <w:wordWrap/>
        <w:overflowPunct/>
        <w:topLinePunct w:val="0"/>
        <w:autoSpaceDE w:val="0"/>
        <w:autoSpaceDN w:val="0"/>
        <w:bidi w:val="0"/>
        <w:adjustRightInd w:val="0"/>
        <w:snapToGrid w:val="0"/>
        <w:spacing w:line="360" w:lineRule="auto"/>
        <w:ind w:left="546"/>
        <w:textAlignment w:val="baseline"/>
        <w:outlineLvl w:val="0"/>
        <w:rPr>
          <w:rFonts w:ascii="宋体" w:hAnsi="宋体" w:eastAsia="宋体" w:cs="宋体"/>
          <w:color w:val="auto"/>
          <w:sz w:val="24"/>
          <w:szCs w:val="24"/>
          <w:highlight w:val="none"/>
        </w:rPr>
      </w:pPr>
      <w:bookmarkStart w:id="110" w:name="_Toc23632"/>
      <w:bookmarkStart w:id="111" w:name="_Toc7606"/>
      <w:r>
        <w:rPr>
          <w:rFonts w:ascii="宋体" w:hAnsi="宋体" w:eastAsia="宋体" w:cs="宋体"/>
          <w:color w:val="auto"/>
          <w:spacing w:val="-5"/>
          <w:sz w:val="24"/>
          <w:szCs w:val="24"/>
          <w:highlight w:val="none"/>
          <w14:textOutline w14:w="4358" w14:cap="sq" w14:cmpd="sng">
            <w14:solidFill>
              <w14:srgbClr w14:val="000000"/>
            </w14:solidFill>
            <w14:prstDash w14:val="solid"/>
            <w14:bevel/>
          </w14:textOutline>
        </w:rPr>
        <w:t>1.6违约责任</w:t>
      </w:r>
      <w:bookmarkEnd w:id="110"/>
      <w:bookmarkEnd w:id="111"/>
    </w:p>
    <w:p w14:paraId="7C0592C4">
      <w:pPr>
        <w:keepNext w:val="0"/>
        <w:keepLines w:val="0"/>
        <w:pageBreakBefore w:val="0"/>
        <w:widowControl/>
        <w:kinsoku w:val="0"/>
        <w:wordWrap/>
        <w:overflowPunct/>
        <w:topLinePunct w:val="0"/>
        <w:autoSpaceDE w:val="0"/>
        <w:autoSpaceDN w:val="0"/>
        <w:bidi w:val="0"/>
        <w:adjustRightInd w:val="0"/>
        <w:snapToGrid w:val="0"/>
        <w:spacing w:line="360" w:lineRule="auto"/>
        <w:ind w:left="49" w:right="39" w:firstLine="497"/>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1.6.1除不可抗力外，如果乙方没有按照本合同约定的期限、地点和方式交付货物，</w:t>
      </w:r>
      <w:r>
        <w:rPr>
          <w:rFonts w:ascii="宋体" w:hAnsi="宋体" w:eastAsia="宋体" w:cs="宋体"/>
          <w:color w:val="auto"/>
          <w:spacing w:val="-2"/>
          <w:sz w:val="24"/>
          <w:szCs w:val="24"/>
          <w:highlight w:val="none"/>
        </w:rPr>
        <w:t>那么甲方可要求乙方支付违约金，违约金按每迟延交付货物一日的应交付而未交付货物价</w:t>
      </w:r>
      <w:r>
        <w:rPr>
          <w:rFonts w:ascii="宋体" w:hAnsi="宋体" w:eastAsia="宋体" w:cs="宋体"/>
          <w:color w:val="auto"/>
          <w:sz w:val="24"/>
          <w:szCs w:val="24"/>
          <w:highlight w:val="none"/>
        </w:rPr>
        <w:t>格的%计算，最高限额为本合同总价的%；迟延交付货物的违</w:t>
      </w:r>
      <w:r>
        <w:rPr>
          <w:rFonts w:ascii="宋体" w:hAnsi="宋体" w:eastAsia="宋体" w:cs="宋体"/>
          <w:color w:val="auto"/>
          <w:spacing w:val="-1"/>
          <w:sz w:val="24"/>
          <w:szCs w:val="24"/>
          <w:highlight w:val="none"/>
        </w:rPr>
        <w:t>约金计算数额达到前述最高限</w:t>
      </w:r>
      <w:r>
        <w:rPr>
          <w:rFonts w:ascii="宋体" w:hAnsi="宋体" w:eastAsia="宋体" w:cs="宋体"/>
          <w:color w:val="auto"/>
          <w:sz w:val="24"/>
          <w:szCs w:val="24"/>
          <w:highlight w:val="none"/>
        </w:rPr>
        <w:t>额之日起，甲方有权在要求乙方支付违约金的同时，书</w:t>
      </w:r>
      <w:r>
        <w:rPr>
          <w:rFonts w:ascii="宋体" w:hAnsi="宋体" w:eastAsia="宋体" w:cs="宋体"/>
          <w:color w:val="auto"/>
          <w:spacing w:val="-1"/>
          <w:sz w:val="24"/>
          <w:szCs w:val="24"/>
          <w:highlight w:val="none"/>
        </w:rPr>
        <w:t>面通知乙方解除本合同；</w:t>
      </w:r>
    </w:p>
    <w:p w14:paraId="56DA3C41">
      <w:pPr>
        <w:keepNext w:val="0"/>
        <w:keepLines w:val="0"/>
        <w:pageBreakBefore w:val="0"/>
        <w:widowControl/>
        <w:kinsoku w:val="0"/>
        <w:wordWrap/>
        <w:overflowPunct/>
        <w:topLinePunct w:val="0"/>
        <w:autoSpaceDE w:val="0"/>
        <w:autoSpaceDN w:val="0"/>
        <w:bidi w:val="0"/>
        <w:adjustRightInd w:val="0"/>
        <w:snapToGrid w:val="0"/>
        <w:spacing w:line="360" w:lineRule="auto"/>
        <w:ind w:left="51" w:right="39" w:firstLine="495"/>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1.6.2除不可抗力外，如果甲方没有按照本合同约定的付款方式付款，那么乙方可要</w:t>
      </w:r>
      <w:r>
        <w:rPr>
          <w:rFonts w:ascii="宋体" w:hAnsi="宋体" w:eastAsia="宋体" w:cs="宋体"/>
          <w:color w:val="auto"/>
          <w:spacing w:val="1"/>
          <w:sz w:val="24"/>
          <w:szCs w:val="24"/>
          <w:highlight w:val="none"/>
        </w:rPr>
        <w:t>求甲方支付违约金，违约金按每迟延付款一日的应付而未付款的%计算，最高限额为本合</w:t>
      </w:r>
      <w:r>
        <w:rPr>
          <w:rFonts w:ascii="宋体" w:hAnsi="宋体" w:eastAsia="宋体" w:cs="宋体"/>
          <w:color w:val="auto"/>
          <w:spacing w:val="3"/>
          <w:sz w:val="24"/>
          <w:szCs w:val="24"/>
          <w:highlight w:val="none"/>
        </w:rPr>
        <w:t>同总价的%；迟延付款的违约金计算数额达到前述最高限额之</w:t>
      </w:r>
      <w:r>
        <w:rPr>
          <w:rFonts w:ascii="宋体" w:hAnsi="宋体" w:eastAsia="宋体" w:cs="宋体"/>
          <w:color w:val="auto"/>
          <w:spacing w:val="2"/>
          <w:sz w:val="24"/>
          <w:szCs w:val="24"/>
          <w:highlight w:val="none"/>
        </w:rPr>
        <w:t>日起，乙方有权在要求甲方</w:t>
      </w:r>
      <w:r>
        <w:rPr>
          <w:rFonts w:ascii="宋体" w:hAnsi="宋体" w:eastAsia="宋体" w:cs="宋体"/>
          <w:color w:val="auto"/>
          <w:spacing w:val="-1"/>
          <w:sz w:val="24"/>
          <w:szCs w:val="24"/>
          <w:highlight w:val="none"/>
        </w:rPr>
        <w:t>支付违约金的同时，书面通知甲方解除本合同；</w:t>
      </w:r>
    </w:p>
    <w:p w14:paraId="251575FA">
      <w:pPr>
        <w:keepNext w:val="0"/>
        <w:keepLines w:val="0"/>
        <w:pageBreakBefore w:val="0"/>
        <w:widowControl/>
        <w:kinsoku w:val="0"/>
        <w:wordWrap/>
        <w:overflowPunct/>
        <w:topLinePunct w:val="0"/>
        <w:autoSpaceDE w:val="0"/>
        <w:autoSpaceDN w:val="0"/>
        <w:bidi w:val="0"/>
        <w:adjustRightInd w:val="0"/>
        <w:snapToGrid w:val="0"/>
        <w:spacing w:line="360" w:lineRule="auto"/>
        <w:ind w:left="52" w:right="39" w:firstLine="494"/>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1.6.3除不可抗力外，任何一方未能履行本合同约定的其他主要义务，经催告后在合理期限内仍未履行的，或者任何一方有其他违约行为</w:t>
      </w:r>
      <w:r>
        <w:rPr>
          <w:rFonts w:ascii="宋体" w:hAnsi="宋体" w:eastAsia="宋体" w:cs="宋体"/>
          <w:color w:val="auto"/>
          <w:spacing w:val="-1"/>
          <w:sz w:val="24"/>
          <w:szCs w:val="24"/>
          <w:highlight w:val="none"/>
        </w:rPr>
        <w:t>致使不能实现合同目的的，或者任何</w:t>
      </w:r>
      <w:r>
        <w:rPr>
          <w:rFonts w:ascii="宋体" w:hAnsi="宋体" w:eastAsia="宋体" w:cs="宋体"/>
          <w:color w:val="auto"/>
          <w:sz w:val="24"/>
          <w:szCs w:val="24"/>
          <w:highlight w:val="none"/>
        </w:rPr>
        <w:t>一方有腐败行为（即：提供或给予或接受或索取任</w:t>
      </w:r>
      <w:r>
        <w:rPr>
          <w:rFonts w:ascii="宋体" w:hAnsi="宋体" w:eastAsia="宋体" w:cs="宋体"/>
          <w:color w:val="auto"/>
          <w:spacing w:val="-1"/>
          <w:sz w:val="24"/>
          <w:szCs w:val="24"/>
          <w:highlight w:val="none"/>
        </w:rPr>
        <w:t>何财物或其他好处或者采取其他不正当</w:t>
      </w:r>
      <w:r>
        <w:rPr>
          <w:rFonts w:ascii="宋体" w:hAnsi="宋体" w:eastAsia="宋体" w:cs="宋体"/>
          <w:color w:val="auto"/>
          <w:sz w:val="24"/>
          <w:szCs w:val="24"/>
          <w:highlight w:val="none"/>
        </w:rPr>
        <w:t>手段影响对方当事人在合同签订、履行过程中的行为）或者</w:t>
      </w:r>
      <w:r>
        <w:rPr>
          <w:rFonts w:ascii="宋体" w:hAnsi="宋体" w:eastAsia="宋体" w:cs="宋体"/>
          <w:color w:val="auto"/>
          <w:spacing w:val="-1"/>
          <w:sz w:val="24"/>
          <w:szCs w:val="24"/>
          <w:highlight w:val="none"/>
        </w:rPr>
        <w:t>欺诈行为（即：以谎报事实或</w:t>
      </w:r>
      <w:r>
        <w:rPr>
          <w:rFonts w:ascii="宋体" w:hAnsi="宋体" w:eastAsia="宋体" w:cs="宋体"/>
          <w:color w:val="auto"/>
          <w:sz w:val="24"/>
          <w:szCs w:val="24"/>
          <w:highlight w:val="none"/>
        </w:rPr>
        <w:t>者隐瞒真相的方法来影响对方当事人在合同签订、履行</w:t>
      </w:r>
      <w:r>
        <w:rPr>
          <w:rFonts w:ascii="宋体" w:hAnsi="宋体" w:eastAsia="宋体" w:cs="宋体"/>
          <w:color w:val="auto"/>
          <w:spacing w:val="-1"/>
          <w:sz w:val="24"/>
          <w:szCs w:val="24"/>
          <w:highlight w:val="none"/>
        </w:rPr>
        <w:t>过程中的行为）的，对方当事人可</w:t>
      </w:r>
      <w:r>
        <w:rPr>
          <w:rFonts w:ascii="宋体" w:hAnsi="宋体" w:eastAsia="宋体" w:cs="宋体"/>
          <w:color w:val="auto"/>
          <w:spacing w:val="-3"/>
          <w:sz w:val="24"/>
          <w:szCs w:val="24"/>
          <w:highlight w:val="none"/>
        </w:rPr>
        <w:t>以书面通知违约方解除本合同；</w:t>
      </w:r>
    </w:p>
    <w:p w14:paraId="5D832450">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96"/>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1.6.4任何一方按照前述约定要求违约方支付违约金的同时，仍有权要求违约方继续履行合同、采取补救措施，并有权按照己方实际损失情况</w:t>
      </w:r>
      <w:r>
        <w:rPr>
          <w:rFonts w:ascii="宋体" w:hAnsi="宋体" w:eastAsia="宋体" w:cs="宋体"/>
          <w:color w:val="auto"/>
          <w:spacing w:val="-1"/>
          <w:sz w:val="24"/>
          <w:szCs w:val="24"/>
          <w:highlight w:val="none"/>
        </w:rPr>
        <w:t>要求违约方赔偿损失；任何一方</w:t>
      </w:r>
      <w:r>
        <w:rPr>
          <w:rFonts w:ascii="宋体" w:hAnsi="宋体" w:eastAsia="宋体" w:cs="宋体"/>
          <w:color w:val="auto"/>
          <w:sz w:val="24"/>
          <w:szCs w:val="24"/>
          <w:highlight w:val="none"/>
        </w:rPr>
        <w:t>按照前述约定要求解除本合同的同时，仍有权要求违约方</w:t>
      </w:r>
      <w:r>
        <w:rPr>
          <w:rFonts w:ascii="宋体" w:hAnsi="宋体" w:eastAsia="宋体" w:cs="宋体"/>
          <w:color w:val="auto"/>
          <w:spacing w:val="-1"/>
          <w:sz w:val="24"/>
          <w:szCs w:val="24"/>
          <w:highlight w:val="none"/>
        </w:rPr>
        <w:t>支付违约金和按照己方实际损失</w:t>
      </w:r>
      <w:r>
        <w:rPr>
          <w:rFonts w:ascii="宋体" w:hAnsi="宋体" w:eastAsia="宋体" w:cs="宋体"/>
          <w:color w:val="auto"/>
          <w:sz w:val="24"/>
          <w:szCs w:val="24"/>
          <w:highlight w:val="none"/>
        </w:rPr>
        <w:t>情况要求违约方赔偿损失；且守约方行使的任何权利救济</w:t>
      </w:r>
      <w:r>
        <w:rPr>
          <w:rFonts w:ascii="宋体" w:hAnsi="宋体" w:eastAsia="宋体" w:cs="宋体"/>
          <w:color w:val="auto"/>
          <w:spacing w:val="-1"/>
          <w:sz w:val="24"/>
          <w:szCs w:val="24"/>
          <w:highlight w:val="none"/>
        </w:rPr>
        <w:t>方式均不视为其放弃了其他法定</w:t>
      </w:r>
    </w:p>
    <w:p w14:paraId="4FB1A255">
      <w:pPr>
        <w:keepNext w:val="0"/>
        <w:keepLines w:val="0"/>
        <w:pageBreakBefore w:val="0"/>
        <w:widowControl/>
        <w:kinsoku w:val="0"/>
        <w:wordWrap/>
        <w:overflowPunct/>
        <w:topLinePunct w:val="0"/>
        <w:autoSpaceDE w:val="0"/>
        <w:autoSpaceDN w:val="0"/>
        <w:bidi w:val="0"/>
        <w:adjustRightInd w:val="0"/>
        <w:snapToGrid w:val="0"/>
        <w:spacing w:line="360" w:lineRule="auto"/>
        <w:ind w:left="3"/>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或者约定的权利救济方式；</w:t>
      </w:r>
    </w:p>
    <w:p w14:paraId="3C433C88">
      <w:pPr>
        <w:keepNext w:val="0"/>
        <w:keepLines w:val="0"/>
        <w:pageBreakBefore w:val="0"/>
        <w:widowControl/>
        <w:kinsoku w:val="0"/>
        <w:wordWrap/>
        <w:overflowPunct/>
        <w:topLinePunct w:val="0"/>
        <w:autoSpaceDE w:val="0"/>
        <w:autoSpaceDN w:val="0"/>
        <w:bidi w:val="0"/>
        <w:adjustRightInd w:val="0"/>
        <w:snapToGrid w:val="0"/>
        <w:spacing w:line="360" w:lineRule="auto"/>
        <w:ind w:firstLine="497"/>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1.6.5除前述约定外，除不可抗力外，任何一方未能履行本合同约定的义务，对方当事人均有权要求继续履行、采取补救措施或者赔偿损失等，</w:t>
      </w:r>
      <w:r>
        <w:rPr>
          <w:rFonts w:ascii="宋体" w:hAnsi="宋体" w:eastAsia="宋体" w:cs="宋体"/>
          <w:color w:val="auto"/>
          <w:spacing w:val="-1"/>
          <w:sz w:val="24"/>
          <w:szCs w:val="24"/>
          <w:highlight w:val="none"/>
        </w:rPr>
        <w:t>且对方当事人行使的任何权利</w:t>
      </w:r>
    </w:p>
    <w:p w14:paraId="55EC9DB1">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救济方式均不视为其放弃了其他法定或者约定的权利救济方式；</w:t>
      </w:r>
    </w:p>
    <w:p w14:paraId="0C11AF20">
      <w:pPr>
        <w:keepNext w:val="0"/>
        <w:keepLines w:val="0"/>
        <w:pageBreakBefore w:val="0"/>
        <w:widowControl/>
        <w:kinsoku w:val="0"/>
        <w:wordWrap/>
        <w:overflowPunct/>
        <w:topLinePunct w:val="0"/>
        <w:autoSpaceDE w:val="0"/>
        <w:autoSpaceDN w:val="0"/>
        <w:bidi w:val="0"/>
        <w:adjustRightInd w:val="0"/>
        <w:snapToGrid w:val="0"/>
        <w:spacing w:line="360" w:lineRule="auto"/>
        <w:ind w:left="4" w:firstLine="493"/>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1.6.6如果出现政府采购监督管理部门在处理投诉事项期间，书面通知甲方暂停采购活动的情形，或者询问或质疑事项可能影响中标结果的</w:t>
      </w:r>
      <w:r>
        <w:rPr>
          <w:rFonts w:ascii="宋体" w:hAnsi="宋体" w:eastAsia="宋体" w:cs="宋体"/>
          <w:color w:val="auto"/>
          <w:spacing w:val="-1"/>
          <w:sz w:val="24"/>
          <w:szCs w:val="24"/>
          <w:highlight w:val="none"/>
        </w:rPr>
        <w:t>，导致甲方中止履行合同的情形，</w:t>
      </w:r>
    </w:p>
    <w:p w14:paraId="15B59193">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均不视为甲方违约。</w:t>
      </w:r>
    </w:p>
    <w:p w14:paraId="38C3E0F7">
      <w:pPr>
        <w:keepNext w:val="0"/>
        <w:keepLines w:val="0"/>
        <w:pageBreakBefore w:val="0"/>
        <w:widowControl/>
        <w:kinsoku w:val="0"/>
        <w:wordWrap/>
        <w:overflowPunct/>
        <w:topLinePunct w:val="0"/>
        <w:autoSpaceDE w:val="0"/>
        <w:autoSpaceDN w:val="0"/>
        <w:bidi w:val="0"/>
        <w:adjustRightInd w:val="0"/>
        <w:snapToGrid w:val="0"/>
        <w:spacing w:line="360" w:lineRule="auto"/>
        <w:ind w:left="498"/>
        <w:textAlignment w:val="baseline"/>
        <w:outlineLvl w:val="0"/>
        <w:rPr>
          <w:rFonts w:ascii="宋体" w:hAnsi="宋体" w:eastAsia="宋体" w:cs="宋体"/>
          <w:color w:val="auto"/>
          <w:sz w:val="24"/>
          <w:szCs w:val="24"/>
          <w:highlight w:val="none"/>
        </w:rPr>
      </w:pPr>
      <w:bookmarkStart w:id="112" w:name="_Toc1939"/>
      <w:bookmarkStart w:id="113" w:name="_Toc28365"/>
      <w:r>
        <w:rPr>
          <w:rFonts w:ascii="宋体" w:hAnsi="宋体" w:eastAsia="宋体" w:cs="宋体"/>
          <w:color w:val="auto"/>
          <w:spacing w:val="-4"/>
          <w:sz w:val="24"/>
          <w:szCs w:val="24"/>
          <w:highlight w:val="none"/>
          <w14:textOutline w14:w="4358" w14:cap="sq" w14:cmpd="sng">
            <w14:solidFill>
              <w14:srgbClr w14:val="000000"/>
            </w14:solidFill>
            <w14:prstDash w14:val="solid"/>
            <w14:bevel/>
          </w14:textOutline>
        </w:rPr>
        <w:t>1.7合同争议的解决</w:t>
      </w:r>
      <w:bookmarkEnd w:id="112"/>
      <w:bookmarkEnd w:id="113"/>
    </w:p>
    <w:p w14:paraId="06A78542">
      <w:pPr>
        <w:keepNext w:val="0"/>
        <w:keepLines w:val="0"/>
        <w:pageBreakBefore w:val="0"/>
        <w:widowControl/>
        <w:kinsoku w:val="0"/>
        <w:wordWrap/>
        <w:overflowPunct/>
        <w:topLinePunct w:val="0"/>
        <w:autoSpaceDE w:val="0"/>
        <w:autoSpaceDN w:val="0"/>
        <w:bidi w:val="0"/>
        <w:adjustRightInd w:val="0"/>
        <w:snapToGrid w:val="0"/>
        <w:spacing w:line="360" w:lineRule="auto"/>
        <w:ind w:left="3" w:firstLine="472" w:firstLineChars="200"/>
        <w:textAlignment w:val="baseline"/>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本合同履行过程中发生的任何争议，双方当事人均可通过和解或者调解解决；不愿和解、调解或者和解、调解不成的，可以选择下列第种方式解决：</w:t>
      </w:r>
    </w:p>
    <w:p w14:paraId="23A9A92C">
      <w:pPr>
        <w:keepNext w:val="0"/>
        <w:keepLines w:val="0"/>
        <w:pageBreakBefore w:val="0"/>
        <w:widowControl/>
        <w:kinsoku w:val="0"/>
        <w:wordWrap/>
        <w:overflowPunct/>
        <w:topLinePunct w:val="0"/>
        <w:autoSpaceDE w:val="0"/>
        <w:autoSpaceDN w:val="0"/>
        <w:bidi w:val="0"/>
        <w:adjustRightInd w:val="0"/>
        <w:snapToGrid w:val="0"/>
        <w:spacing w:line="360" w:lineRule="auto"/>
        <w:ind w:left="3"/>
        <w:textAlignment w:val="baseline"/>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1.7.1将争议提交仲裁委员会依申请仲裁时其现行有效的仲裁规则裁决；</w:t>
      </w:r>
    </w:p>
    <w:p w14:paraId="038A50C8">
      <w:pPr>
        <w:keepNext w:val="0"/>
        <w:keepLines w:val="0"/>
        <w:pageBreakBefore w:val="0"/>
        <w:widowControl/>
        <w:kinsoku w:val="0"/>
        <w:wordWrap/>
        <w:overflowPunct/>
        <w:topLinePunct w:val="0"/>
        <w:autoSpaceDE w:val="0"/>
        <w:autoSpaceDN w:val="0"/>
        <w:bidi w:val="0"/>
        <w:adjustRightInd w:val="0"/>
        <w:snapToGrid w:val="0"/>
        <w:spacing w:line="360" w:lineRule="auto"/>
        <w:ind w:left="3"/>
        <w:textAlignment w:val="baseline"/>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1.7.2向（被告住所地、合同履行地、合同签订地、原告住所地、标的物所在地等与</w:t>
      </w:r>
    </w:p>
    <w:p w14:paraId="31CD1240">
      <w:pPr>
        <w:keepNext w:val="0"/>
        <w:keepLines w:val="0"/>
        <w:pageBreakBefore w:val="0"/>
        <w:widowControl/>
        <w:kinsoku w:val="0"/>
        <w:wordWrap/>
        <w:overflowPunct/>
        <w:topLinePunct w:val="0"/>
        <w:autoSpaceDE w:val="0"/>
        <w:autoSpaceDN w:val="0"/>
        <w:bidi w:val="0"/>
        <w:adjustRightInd w:val="0"/>
        <w:snapToGrid w:val="0"/>
        <w:spacing w:line="360" w:lineRule="auto"/>
        <w:ind w:left="3"/>
        <w:textAlignment w:val="baseline"/>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争议有实际联系的地点中选出的人民法院名称）人民法院起诉。</w:t>
      </w:r>
    </w:p>
    <w:p w14:paraId="47600297">
      <w:pPr>
        <w:keepNext w:val="0"/>
        <w:keepLines w:val="0"/>
        <w:pageBreakBefore w:val="0"/>
        <w:widowControl/>
        <w:kinsoku w:val="0"/>
        <w:wordWrap/>
        <w:overflowPunct/>
        <w:topLinePunct w:val="0"/>
        <w:autoSpaceDE w:val="0"/>
        <w:autoSpaceDN w:val="0"/>
        <w:bidi w:val="0"/>
        <w:adjustRightInd w:val="0"/>
        <w:snapToGrid w:val="0"/>
        <w:spacing w:line="360" w:lineRule="auto"/>
        <w:ind w:left="498"/>
        <w:textAlignment w:val="baseline"/>
        <w:outlineLvl w:val="0"/>
        <w:rPr>
          <w:rFonts w:ascii="宋体" w:hAnsi="宋体" w:eastAsia="宋体" w:cs="宋体"/>
          <w:color w:val="auto"/>
          <w:sz w:val="24"/>
          <w:szCs w:val="24"/>
          <w:highlight w:val="none"/>
        </w:rPr>
      </w:pPr>
      <w:bookmarkStart w:id="114" w:name="_Toc17618"/>
      <w:bookmarkStart w:id="115" w:name="_Toc6263"/>
      <w:r>
        <w:rPr>
          <w:rFonts w:ascii="宋体" w:hAnsi="宋体" w:eastAsia="宋体" w:cs="宋体"/>
          <w:color w:val="auto"/>
          <w:spacing w:val="-5"/>
          <w:sz w:val="24"/>
          <w:szCs w:val="24"/>
          <w:highlight w:val="none"/>
          <w14:textOutline w14:w="4358" w14:cap="sq" w14:cmpd="sng">
            <w14:solidFill>
              <w14:srgbClr w14:val="000000"/>
            </w14:solidFill>
            <w14:prstDash w14:val="solid"/>
            <w14:bevel/>
          </w14:textOutline>
        </w:rPr>
        <w:t>1.8合同生效</w:t>
      </w:r>
      <w:bookmarkEnd w:id="114"/>
      <w:bookmarkEnd w:id="115"/>
    </w:p>
    <w:p w14:paraId="6D139360">
      <w:pPr>
        <w:keepNext w:val="0"/>
        <w:keepLines w:val="0"/>
        <w:pageBreakBefore w:val="0"/>
        <w:widowControl/>
        <w:kinsoku w:val="0"/>
        <w:wordWrap/>
        <w:overflowPunct/>
        <w:topLinePunct w:val="0"/>
        <w:autoSpaceDE w:val="0"/>
        <w:autoSpaceDN w:val="0"/>
        <w:bidi w:val="0"/>
        <w:adjustRightInd w:val="0"/>
        <w:snapToGrid w:val="0"/>
        <w:spacing w:line="360" w:lineRule="auto"/>
        <w:ind w:left="481"/>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本合同自双方当事人盖章或者签字时生效。</w:t>
      </w:r>
    </w:p>
    <w:p w14:paraId="06B489AF">
      <w:pPr>
        <w:keepNext w:val="0"/>
        <w:keepLines w:val="0"/>
        <w:pageBreakBefore w:val="0"/>
        <w:widowControl/>
        <w:kinsoku w:val="0"/>
        <w:wordWrap/>
        <w:overflowPunct/>
        <w:topLinePunct w:val="0"/>
        <w:autoSpaceDE w:val="0"/>
        <w:autoSpaceDN w:val="0"/>
        <w:bidi w:val="0"/>
        <w:adjustRightInd w:val="0"/>
        <w:snapToGrid w:val="0"/>
        <w:spacing w:line="360" w:lineRule="auto"/>
        <w:ind w:left="481"/>
        <w:textAlignment w:val="baseline"/>
        <w:rPr>
          <w:rFonts w:ascii="宋体" w:hAnsi="宋体" w:eastAsia="宋体" w:cs="宋体"/>
          <w:color w:val="auto"/>
          <w:spacing w:val="-7"/>
          <w:sz w:val="24"/>
          <w:szCs w:val="24"/>
          <w:highlight w:val="none"/>
          <w14:textOutline w14:w="4358" w14:cap="sq" w14:cmpd="sng">
            <w14:solidFill>
              <w14:srgbClr w14:val="000000"/>
            </w14:solidFill>
            <w14:prstDash w14:val="solid"/>
            <w14:bevel/>
          </w14:textOutline>
        </w:rPr>
      </w:pPr>
    </w:p>
    <w:p w14:paraId="5F4A5E00">
      <w:pPr>
        <w:keepNext w:val="0"/>
        <w:keepLines w:val="0"/>
        <w:pageBreakBefore w:val="0"/>
        <w:widowControl/>
        <w:kinsoku w:val="0"/>
        <w:wordWrap/>
        <w:overflowPunct/>
        <w:topLinePunct w:val="0"/>
        <w:autoSpaceDE w:val="0"/>
        <w:autoSpaceDN w:val="0"/>
        <w:bidi w:val="0"/>
        <w:adjustRightInd w:val="0"/>
        <w:snapToGrid w:val="0"/>
        <w:spacing w:line="360" w:lineRule="auto"/>
        <w:ind w:left="481"/>
        <w:textAlignment w:val="baseline"/>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14:textOutline w14:w="4358" w14:cap="sq" w14:cmpd="sng">
            <w14:solidFill>
              <w14:srgbClr w14:val="000000"/>
            </w14:solidFill>
            <w14:prstDash w14:val="solid"/>
            <w14:bevel/>
          </w14:textOutline>
        </w:rPr>
        <w:t>甲方</w:t>
      </w:r>
      <w:r>
        <w:rPr>
          <w:rFonts w:ascii="宋体" w:hAnsi="宋体" w:eastAsia="宋体" w:cs="宋体"/>
          <w:color w:val="auto"/>
          <w:spacing w:val="-7"/>
          <w:sz w:val="24"/>
          <w:szCs w:val="24"/>
          <w:highlight w:val="none"/>
        </w:rPr>
        <w:t>：</w:t>
      </w:r>
      <w:r>
        <w:rPr>
          <w:rFonts w:ascii="宋体" w:hAnsi="宋体" w:eastAsia="宋体" w:cs="宋体"/>
          <w:color w:val="auto"/>
          <w:spacing w:val="-7"/>
          <w:sz w:val="24"/>
          <w:szCs w:val="24"/>
          <w:highlight w:val="none"/>
          <w14:textOutline w14:w="4358" w14:cap="sq" w14:cmpd="sng">
            <w14:solidFill>
              <w14:srgbClr w14:val="000000"/>
            </w14:solidFill>
            <w14:prstDash w14:val="solid"/>
            <w14:bevel/>
          </w14:textOutline>
        </w:rPr>
        <w:t>乙方</w:t>
      </w:r>
      <w:r>
        <w:rPr>
          <w:rFonts w:ascii="宋体" w:hAnsi="宋体" w:eastAsia="宋体" w:cs="宋体"/>
          <w:color w:val="auto"/>
          <w:spacing w:val="-7"/>
          <w:sz w:val="24"/>
          <w:szCs w:val="24"/>
          <w:highlight w:val="none"/>
        </w:rPr>
        <w:t>：</w:t>
      </w:r>
    </w:p>
    <w:p w14:paraId="345C2C3C">
      <w:pPr>
        <w:keepNext w:val="0"/>
        <w:keepLines w:val="0"/>
        <w:pageBreakBefore w:val="0"/>
        <w:widowControl/>
        <w:kinsoku w:val="0"/>
        <w:wordWrap/>
        <w:overflowPunct/>
        <w:topLinePunct w:val="0"/>
        <w:autoSpaceDE w:val="0"/>
        <w:autoSpaceDN w:val="0"/>
        <w:bidi w:val="0"/>
        <w:adjustRightInd w:val="0"/>
        <w:snapToGrid w:val="0"/>
        <w:spacing w:line="360" w:lineRule="auto"/>
        <w:ind w:left="7"/>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统一社会信用代码：</w:t>
      </w:r>
      <w:r>
        <w:rPr>
          <w:rFonts w:hint="eastAsia" w:ascii="宋体" w:hAnsi="宋体" w:eastAsia="宋体" w:cs="宋体"/>
          <w:color w:val="auto"/>
          <w:spacing w:val="-1"/>
          <w:sz w:val="24"/>
          <w:szCs w:val="24"/>
          <w:highlight w:val="none"/>
          <w:lang w:val="en-US" w:eastAsia="zh-CN"/>
        </w:rPr>
        <w:t xml:space="preserve">                     </w:t>
      </w:r>
      <w:r>
        <w:rPr>
          <w:rFonts w:ascii="宋体" w:hAnsi="宋体" w:eastAsia="宋体" w:cs="宋体"/>
          <w:color w:val="auto"/>
          <w:spacing w:val="-1"/>
          <w:sz w:val="24"/>
          <w:szCs w:val="24"/>
          <w:highlight w:val="none"/>
        </w:rPr>
        <w:t>统一社会信用代码或身份证号码：</w:t>
      </w:r>
    </w:p>
    <w:p w14:paraId="4D31AFD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住所：</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rPr>
        <w:t>住所：</w:t>
      </w:r>
    </w:p>
    <w:p w14:paraId="1DAAEB76">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w:t>
      </w:r>
      <w:r>
        <w:rPr>
          <w:rFonts w:hint="eastAsia" w:ascii="宋体" w:hAnsi="宋体" w:eastAsia="宋体" w:cs="宋体"/>
          <w:color w:val="auto"/>
          <w:spacing w:val="-1"/>
          <w:sz w:val="24"/>
          <w:szCs w:val="24"/>
          <w:highlight w:val="none"/>
          <w:lang w:val="en-US" w:eastAsia="zh-CN"/>
        </w:rPr>
        <w:t xml:space="preserve">                           </w:t>
      </w:r>
      <w:r>
        <w:rPr>
          <w:rFonts w:ascii="宋体" w:hAnsi="宋体" w:eastAsia="宋体" w:cs="宋体"/>
          <w:color w:val="auto"/>
          <w:spacing w:val="-1"/>
          <w:sz w:val="24"/>
          <w:szCs w:val="24"/>
          <w:highlight w:val="none"/>
        </w:rPr>
        <w:t>法定代表人</w:t>
      </w:r>
    </w:p>
    <w:p w14:paraId="3408B4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pPr>
      <w:r>
        <w:rPr>
          <w:rFonts w:ascii="宋体" w:hAnsi="宋体" w:eastAsia="宋体" w:cs="宋体"/>
          <w:color w:val="auto"/>
          <w:spacing w:val="1"/>
          <w:position w:val="24"/>
          <w:sz w:val="24"/>
          <w:szCs w:val="24"/>
          <w:highlight w:val="none"/>
        </w:rPr>
        <w:t>授权代表（签字</w:t>
      </w:r>
      <w:r>
        <w:rPr>
          <w:rFonts w:ascii="宋体" w:hAnsi="宋体" w:eastAsia="宋体" w:cs="宋体"/>
          <w:color w:val="auto"/>
          <w:spacing w:val="9"/>
          <w:position w:val="24"/>
          <w:sz w:val="24"/>
          <w:szCs w:val="24"/>
          <w:highlight w:val="none"/>
        </w:rPr>
        <w:t>）：</w:t>
      </w:r>
      <w:r>
        <w:rPr>
          <w:rFonts w:hint="eastAsia" w:ascii="宋体" w:hAnsi="宋体" w:eastAsia="宋体" w:cs="宋体"/>
          <w:color w:val="auto"/>
          <w:spacing w:val="9"/>
          <w:position w:val="24"/>
          <w:sz w:val="24"/>
          <w:szCs w:val="24"/>
          <w:highlight w:val="none"/>
          <w:lang w:val="en-US" w:eastAsia="zh-CN"/>
        </w:rPr>
        <w:t xml:space="preserve">                   </w:t>
      </w:r>
      <w:r>
        <w:rPr>
          <w:rFonts w:ascii="宋体" w:hAnsi="宋体" w:eastAsia="宋体" w:cs="宋体"/>
          <w:color w:val="auto"/>
          <w:spacing w:val="1"/>
          <w:position w:val="24"/>
          <w:sz w:val="24"/>
          <w:szCs w:val="24"/>
          <w:highlight w:val="none"/>
        </w:rPr>
        <w:t>或授权代表（签字）:</w:t>
      </w:r>
    </w:p>
    <w:p w14:paraId="0AFF2BE7">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联系人：</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rPr>
        <w:t>联系人：</w:t>
      </w:r>
    </w:p>
    <w:p w14:paraId="5FDB68CF">
      <w:pPr>
        <w:keepNext w:val="0"/>
        <w:keepLines w:val="0"/>
        <w:pageBreakBefore w:val="0"/>
        <w:widowControl/>
        <w:kinsoku w:val="0"/>
        <w:wordWrap/>
        <w:overflowPunct/>
        <w:topLinePunct w:val="0"/>
        <w:autoSpaceDE w:val="0"/>
        <w:autoSpaceDN w:val="0"/>
        <w:bidi w:val="0"/>
        <w:adjustRightInd w:val="0"/>
        <w:snapToGrid w:val="0"/>
        <w:spacing w:line="360" w:lineRule="auto"/>
        <w:ind w:left="7"/>
        <w:textAlignment w:val="baseline"/>
        <w:rPr>
          <w:rFonts w:ascii="宋体" w:hAnsi="宋体" w:eastAsia="宋体" w:cs="宋体"/>
          <w:color w:val="auto"/>
          <w:sz w:val="24"/>
          <w:szCs w:val="24"/>
          <w:highlight w:val="none"/>
        </w:rPr>
      </w:pPr>
      <w:r>
        <w:rPr>
          <w:rFonts w:ascii="宋体" w:hAnsi="宋体" w:eastAsia="宋体" w:cs="宋体"/>
          <w:color w:val="auto"/>
          <w:spacing w:val="-2"/>
          <w:position w:val="24"/>
          <w:sz w:val="24"/>
          <w:szCs w:val="24"/>
          <w:highlight w:val="none"/>
        </w:rPr>
        <w:t>约定送达地址：</w:t>
      </w:r>
      <w:r>
        <w:rPr>
          <w:rFonts w:hint="eastAsia" w:ascii="宋体" w:hAnsi="宋体" w:eastAsia="宋体" w:cs="宋体"/>
          <w:color w:val="auto"/>
          <w:spacing w:val="-2"/>
          <w:position w:val="24"/>
          <w:sz w:val="24"/>
          <w:szCs w:val="24"/>
          <w:highlight w:val="none"/>
          <w:lang w:val="en-US" w:eastAsia="zh-CN"/>
        </w:rPr>
        <w:t xml:space="preserve">                         </w:t>
      </w:r>
      <w:r>
        <w:rPr>
          <w:rFonts w:ascii="宋体" w:hAnsi="宋体" w:eastAsia="宋体" w:cs="宋体"/>
          <w:color w:val="auto"/>
          <w:spacing w:val="-2"/>
          <w:position w:val="24"/>
          <w:sz w:val="24"/>
          <w:szCs w:val="24"/>
          <w:highlight w:val="none"/>
        </w:rPr>
        <w:t>约定送达地址：</w:t>
      </w:r>
    </w:p>
    <w:p w14:paraId="3F6BAE18">
      <w:pPr>
        <w:keepNext w:val="0"/>
        <w:keepLines w:val="0"/>
        <w:pageBreakBefore w:val="0"/>
        <w:widowControl/>
        <w:kinsoku w:val="0"/>
        <w:wordWrap/>
        <w:overflowPunct/>
        <w:topLinePunct w:val="0"/>
        <w:autoSpaceDE w:val="0"/>
        <w:autoSpaceDN w:val="0"/>
        <w:bidi w:val="0"/>
        <w:adjustRightInd w:val="0"/>
        <w:snapToGrid w:val="0"/>
        <w:spacing w:line="360" w:lineRule="auto"/>
        <w:ind w:left="19"/>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邮政编码：</w:t>
      </w:r>
      <w:r>
        <w:rPr>
          <w:rFonts w:hint="eastAsia" w:ascii="宋体" w:hAnsi="宋体" w:eastAsia="宋体" w:cs="宋体"/>
          <w:color w:val="auto"/>
          <w:spacing w:val="-3"/>
          <w:sz w:val="24"/>
          <w:szCs w:val="24"/>
          <w:highlight w:val="none"/>
          <w:lang w:val="en-US" w:eastAsia="zh-CN"/>
        </w:rPr>
        <w:t xml:space="preserve">                             </w:t>
      </w:r>
      <w:r>
        <w:rPr>
          <w:rFonts w:ascii="宋体" w:hAnsi="宋体" w:eastAsia="宋体" w:cs="宋体"/>
          <w:color w:val="auto"/>
          <w:spacing w:val="-3"/>
          <w:sz w:val="24"/>
          <w:szCs w:val="24"/>
          <w:highlight w:val="none"/>
        </w:rPr>
        <w:t>邮政编码：</w:t>
      </w:r>
    </w:p>
    <w:p w14:paraId="05E18FE1">
      <w:pPr>
        <w:keepNext w:val="0"/>
        <w:keepLines w:val="0"/>
        <w:pageBreakBefore w:val="0"/>
        <w:widowControl/>
        <w:kinsoku w:val="0"/>
        <w:wordWrap/>
        <w:overflowPunct/>
        <w:topLinePunct w:val="0"/>
        <w:autoSpaceDE w:val="0"/>
        <w:autoSpaceDN w:val="0"/>
        <w:bidi w:val="0"/>
        <w:adjustRightInd w:val="0"/>
        <w:snapToGrid w:val="0"/>
        <w:spacing w:line="360" w:lineRule="auto"/>
        <w:ind w:left="30"/>
        <w:textAlignment w:val="baseline"/>
        <w:rPr>
          <w:rFonts w:ascii="宋体" w:hAnsi="宋体" w:eastAsia="宋体" w:cs="宋体"/>
          <w:color w:val="auto"/>
          <w:sz w:val="24"/>
          <w:szCs w:val="24"/>
          <w:highlight w:val="none"/>
        </w:rPr>
      </w:pPr>
      <w:r>
        <w:rPr>
          <w:rFonts w:ascii="宋体" w:hAnsi="宋体" w:eastAsia="宋体" w:cs="宋体"/>
          <w:color w:val="auto"/>
          <w:spacing w:val="1"/>
          <w:position w:val="24"/>
          <w:sz w:val="24"/>
          <w:szCs w:val="24"/>
          <w:highlight w:val="none"/>
        </w:rPr>
        <w:t>电话:</w:t>
      </w:r>
      <w:r>
        <w:rPr>
          <w:rFonts w:hint="eastAsia" w:ascii="宋体" w:hAnsi="宋体" w:eastAsia="宋体" w:cs="宋体"/>
          <w:color w:val="auto"/>
          <w:spacing w:val="1"/>
          <w:position w:val="24"/>
          <w:sz w:val="24"/>
          <w:szCs w:val="24"/>
          <w:highlight w:val="none"/>
          <w:lang w:val="en-US" w:eastAsia="zh-CN"/>
        </w:rPr>
        <w:t xml:space="preserve">                                 </w:t>
      </w:r>
      <w:r>
        <w:rPr>
          <w:rFonts w:ascii="宋体" w:hAnsi="宋体" w:eastAsia="宋体" w:cs="宋体"/>
          <w:color w:val="auto"/>
          <w:spacing w:val="1"/>
          <w:position w:val="24"/>
          <w:sz w:val="24"/>
          <w:szCs w:val="24"/>
          <w:highlight w:val="none"/>
        </w:rPr>
        <w:t>电话:</w:t>
      </w:r>
    </w:p>
    <w:p w14:paraId="235A2A9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传真:</w:t>
      </w:r>
      <w:r>
        <w:rPr>
          <w:rFonts w:hint="eastAsia" w:ascii="宋体" w:hAnsi="宋体" w:eastAsia="宋体" w:cs="宋体"/>
          <w:color w:val="auto"/>
          <w:spacing w:val="6"/>
          <w:sz w:val="24"/>
          <w:szCs w:val="24"/>
          <w:highlight w:val="none"/>
          <w:lang w:val="en-US" w:eastAsia="zh-CN"/>
        </w:rPr>
        <w:t xml:space="preserve">                                </w:t>
      </w:r>
      <w:r>
        <w:rPr>
          <w:rFonts w:ascii="宋体" w:hAnsi="宋体" w:eastAsia="宋体" w:cs="宋体"/>
          <w:color w:val="auto"/>
          <w:spacing w:val="6"/>
          <w:sz w:val="24"/>
          <w:szCs w:val="24"/>
          <w:highlight w:val="none"/>
        </w:rPr>
        <w:t>传真:</w:t>
      </w:r>
    </w:p>
    <w:p w14:paraId="6CC5BCC5">
      <w:pPr>
        <w:keepNext w:val="0"/>
        <w:keepLines w:val="0"/>
        <w:pageBreakBefore w:val="0"/>
        <w:widowControl/>
        <w:kinsoku w:val="0"/>
        <w:wordWrap/>
        <w:overflowPunct/>
        <w:topLinePunct w:val="0"/>
        <w:autoSpaceDE w:val="0"/>
        <w:autoSpaceDN w:val="0"/>
        <w:bidi w:val="0"/>
        <w:adjustRightInd w:val="0"/>
        <w:snapToGrid w:val="0"/>
        <w:spacing w:line="360" w:lineRule="auto"/>
        <w:ind w:left="30"/>
        <w:textAlignment w:val="baseline"/>
        <w:rPr>
          <w:rFonts w:ascii="宋体" w:hAnsi="宋体" w:eastAsia="宋体" w:cs="宋体"/>
          <w:color w:val="auto"/>
          <w:sz w:val="24"/>
          <w:szCs w:val="24"/>
          <w:highlight w:val="none"/>
        </w:rPr>
      </w:pPr>
      <w:r>
        <w:rPr>
          <w:rFonts w:ascii="宋体" w:hAnsi="宋体" w:eastAsia="宋体" w:cs="宋体"/>
          <w:color w:val="auto"/>
          <w:spacing w:val="-4"/>
          <w:position w:val="24"/>
          <w:sz w:val="24"/>
          <w:szCs w:val="24"/>
          <w:highlight w:val="none"/>
        </w:rPr>
        <w:t>电子邮箱：</w:t>
      </w:r>
      <w:r>
        <w:rPr>
          <w:rFonts w:hint="eastAsia" w:ascii="宋体" w:hAnsi="宋体" w:eastAsia="宋体" w:cs="宋体"/>
          <w:color w:val="auto"/>
          <w:spacing w:val="-4"/>
          <w:position w:val="24"/>
          <w:sz w:val="24"/>
          <w:szCs w:val="24"/>
          <w:highlight w:val="none"/>
          <w:lang w:val="en-US" w:eastAsia="zh-CN"/>
        </w:rPr>
        <w:t xml:space="preserve">                             </w:t>
      </w:r>
      <w:r>
        <w:rPr>
          <w:rFonts w:ascii="宋体" w:hAnsi="宋体" w:eastAsia="宋体" w:cs="宋体"/>
          <w:color w:val="auto"/>
          <w:spacing w:val="-4"/>
          <w:position w:val="24"/>
          <w:sz w:val="24"/>
          <w:szCs w:val="24"/>
          <w:highlight w:val="none"/>
        </w:rPr>
        <w:t>电子邮箱：</w:t>
      </w:r>
    </w:p>
    <w:p w14:paraId="7BEDA688">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开户银行：</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rPr>
        <w:t>开户银行：</w:t>
      </w:r>
    </w:p>
    <w:p w14:paraId="0B2A224B">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开户名称：</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rPr>
        <w:t>开户名称：</w:t>
      </w:r>
    </w:p>
    <w:p w14:paraId="58E283B6">
      <w:pPr>
        <w:keepNext w:val="0"/>
        <w:keepLines w:val="0"/>
        <w:pageBreakBefore w:val="0"/>
        <w:widowControl/>
        <w:kinsoku w:val="0"/>
        <w:wordWrap/>
        <w:overflowPunct/>
        <w:topLinePunct w:val="0"/>
        <w:autoSpaceDE w:val="0"/>
        <w:autoSpaceDN w:val="0"/>
        <w:bidi w:val="0"/>
        <w:adjustRightInd w:val="0"/>
        <w:snapToGrid w:val="0"/>
        <w:spacing w:line="360" w:lineRule="auto"/>
        <w:ind w:left="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开户账号：</w:t>
      </w:r>
      <w:r>
        <w:rPr>
          <w:rFonts w:hint="eastAsia" w:ascii="宋体" w:hAnsi="宋体" w:eastAsia="宋体" w:cs="宋体"/>
          <w:color w:val="auto"/>
          <w:spacing w:val="-2"/>
          <w:sz w:val="24"/>
          <w:szCs w:val="24"/>
          <w:highlight w:val="none"/>
          <w:lang w:val="en-US" w:eastAsia="zh-CN"/>
        </w:rPr>
        <w:t xml:space="preserve">                             </w:t>
      </w:r>
      <w:r>
        <w:rPr>
          <w:rFonts w:ascii="宋体" w:hAnsi="宋体" w:eastAsia="宋体" w:cs="宋体"/>
          <w:color w:val="auto"/>
          <w:spacing w:val="-2"/>
          <w:sz w:val="24"/>
          <w:szCs w:val="24"/>
          <w:highlight w:val="none"/>
        </w:rPr>
        <w:t>开户账号：</w:t>
      </w:r>
    </w:p>
    <w:p w14:paraId="317C1EC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sectPr>
          <w:footerReference r:id="rId49" w:type="default"/>
          <w:pgSz w:w="11907" w:h="16840"/>
          <w:pgMar w:top="1431" w:right="1786" w:bottom="1262" w:left="1423" w:header="0" w:footer="1083" w:gutter="0"/>
          <w:pgBorders>
            <w:top w:val="none" w:sz="0" w:space="0"/>
            <w:left w:val="none" w:sz="0" w:space="0"/>
            <w:bottom w:val="none" w:sz="0" w:space="0"/>
            <w:right w:val="none" w:sz="0" w:space="0"/>
          </w:pgBorders>
          <w:pgNumType w:fmt="decimal"/>
          <w:cols w:space="720" w:num="1"/>
        </w:sectPr>
      </w:pPr>
    </w:p>
    <w:p w14:paraId="4059A8F2">
      <w:pPr>
        <w:keepNext w:val="0"/>
        <w:keepLines w:val="0"/>
        <w:pageBreakBefore w:val="0"/>
        <w:widowControl/>
        <w:kinsoku w:val="0"/>
        <w:wordWrap/>
        <w:overflowPunct/>
        <w:topLinePunct w:val="0"/>
        <w:autoSpaceDE w:val="0"/>
        <w:autoSpaceDN w:val="0"/>
        <w:bidi w:val="0"/>
        <w:adjustRightInd w:val="0"/>
        <w:snapToGrid w:val="0"/>
        <w:spacing w:line="360" w:lineRule="auto"/>
        <w:ind w:left="3574"/>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14:textOutline w14:w="4358" w14:cap="sq" w14:cmpd="sng">
            <w14:solidFill>
              <w14:srgbClr w14:val="000000"/>
            </w14:solidFill>
            <w14:prstDash w14:val="solid"/>
            <w14:bevel/>
          </w14:textOutline>
        </w:rPr>
        <w:t>第二部分合同一般条款</w:t>
      </w:r>
    </w:p>
    <w:p w14:paraId="22C3AA0C">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16" w:name="_Toc10515"/>
      <w:bookmarkStart w:id="117" w:name="_Toc16688"/>
      <w:r>
        <w:rPr>
          <w:rFonts w:ascii="宋体" w:hAnsi="宋体" w:eastAsia="宋体" w:cs="宋体"/>
          <w:color w:val="auto"/>
          <w:spacing w:val="-5"/>
          <w:sz w:val="24"/>
          <w:szCs w:val="24"/>
          <w:highlight w:val="none"/>
          <w14:textOutline w14:w="4358" w14:cap="sq" w14:cmpd="sng">
            <w14:solidFill>
              <w14:srgbClr w14:val="000000"/>
            </w14:solidFill>
            <w14:prstDash w14:val="solid"/>
            <w14:bevel/>
          </w14:textOutline>
        </w:rPr>
        <w:t>2.1定义</w:t>
      </w:r>
      <w:bookmarkEnd w:id="116"/>
      <w:bookmarkEnd w:id="117"/>
    </w:p>
    <w:p w14:paraId="046A4530">
      <w:pPr>
        <w:keepNext w:val="0"/>
        <w:keepLines w:val="0"/>
        <w:pageBreakBefore w:val="0"/>
        <w:widowControl/>
        <w:kinsoku w:val="0"/>
        <w:wordWrap/>
        <w:overflowPunct/>
        <w:topLinePunct w:val="0"/>
        <w:autoSpaceDE w:val="0"/>
        <w:autoSpaceDN w:val="0"/>
        <w:bidi w:val="0"/>
        <w:adjustRightInd w:val="0"/>
        <w:snapToGrid w:val="0"/>
        <w:spacing w:line="360" w:lineRule="auto"/>
        <w:ind w:left="481"/>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本合同中的下列词语应按以下内容进行解释：</w:t>
      </w:r>
    </w:p>
    <w:p w14:paraId="4C0AD406">
      <w:pPr>
        <w:keepNext w:val="0"/>
        <w:keepLines w:val="0"/>
        <w:pageBreakBefore w:val="0"/>
        <w:widowControl/>
        <w:kinsoku w:val="0"/>
        <w:wordWrap/>
        <w:overflowPunct/>
        <w:topLinePunct w:val="0"/>
        <w:autoSpaceDE w:val="0"/>
        <w:autoSpaceDN w:val="0"/>
        <w:bidi w:val="0"/>
        <w:adjustRightInd w:val="0"/>
        <w:snapToGrid w:val="0"/>
        <w:spacing w:line="360" w:lineRule="auto"/>
        <w:ind w:right="4"/>
        <w:jc w:val="right"/>
        <w:textAlignment w:val="baseline"/>
        <w:rPr>
          <w:rFonts w:ascii="宋体" w:hAnsi="宋体" w:eastAsia="宋体" w:cs="宋体"/>
          <w:color w:val="auto"/>
          <w:sz w:val="24"/>
          <w:szCs w:val="24"/>
          <w:highlight w:val="none"/>
        </w:rPr>
      </w:pPr>
      <w:r>
        <w:rPr>
          <w:rFonts w:ascii="宋体" w:hAnsi="宋体" w:eastAsia="宋体" w:cs="宋体"/>
          <w:color w:val="auto"/>
          <w:spacing w:val="2"/>
          <w:position w:val="24"/>
          <w:sz w:val="24"/>
          <w:szCs w:val="24"/>
          <w:highlight w:val="none"/>
        </w:rPr>
        <w:t>2.1.1“合同”系指采购人和中标供应商签订的载明双</w:t>
      </w:r>
      <w:r>
        <w:rPr>
          <w:rFonts w:ascii="宋体" w:hAnsi="宋体" w:eastAsia="宋体" w:cs="宋体"/>
          <w:color w:val="auto"/>
          <w:spacing w:val="1"/>
          <w:position w:val="24"/>
          <w:sz w:val="24"/>
          <w:szCs w:val="24"/>
          <w:highlight w:val="none"/>
        </w:rPr>
        <w:t>方当事人所达成的协议，并包</w:t>
      </w:r>
    </w:p>
    <w:p w14:paraId="05DC1C2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括所有的附件、附录和构成合同的其他文件。</w:t>
      </w:r>
    </w:p>
    <w:p w14:paraId="792EA697">
      <w:pPr>
        <w:keepNext w:val="0"/>
        <w:keepLines w:val="0"/>
        <w:pageBreakBefore w:val="0"/>
        <w:widowControl/>
        <w:kinsoku w:val="0"/>
        <w:wordWrap/>
        <w:overflowPunct/>
        <w:topLinePunct w:val="0"/>
        <w:autoSpaceDE w:val="0"/>
        <w:autoSpaceDN w:val="0"/>
        <w:bidi w:val="0"/>
        <w:adjustRightInd w:val="0"/>
        <w:snapToGrid w:val="0"/>
        <w:spacing w:line="360" w:lineRule="auto"/>
        <w:ind w:right="2"/>
        <w:jc w:val="right"/>
        <w:textAlignment w:val="baseline"/>
        <w:rPr>
          <w:rFonts w:ascii="宋体" w:hAnsi="宋体" w:eastAsia="宋体" w:cs="宋体"/>
          <w:color w:val="auto"/>
          <w:sz w:val="24"/>
          <w:szCs w:val="24"/>
          <w:highlight w:val="none"/>
        </w:rPr>
      </w:pPr>
      <w:r>
        <w:rPr>
          <w:rFonts w:ascii="宋体" w:hAnsi="宋体" w:eastAsia="宋体" w:cs="宋体"/>
          <w:color w:val="auto"/>
          <w:spacing w:val="2"/>
          <w:position w:val="24"/>
          <w:sz w:val="24"/>
          <w:szCs w:val="24"/>
          <w:highlight w:val="none"/>
        </w:rPr>
        <w:t>2.1.2“合同价”系指根据合同约定，中标供应商在完全履行合</w:t>
      </w:r>
      <w:r>
        <w:rPr>
          <w:rFonts w:ascii="宋体" w:hAnsi="宋体" w:eastAsia="宋体" w:cs="宋体"/>
          <w:color w:val="auto"/>
          <w:spacing w:val="1"/>
          <w:position w:val="24"/>
          <w:sz w:val="24"/>
          <w:szCs w:val="24"/>
          <w:highlight w:val="none"/>
        </w:rPr>
        <w:t>同义务后，采购人应</w:t>
      </w:r>
    </w:p>
    <w:p w14:paraId="59BEC04B">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支付给中标供应商的价格。</w:t>
      </w:r>
    </w:p>
    <w:p w14:paraId="6FF843C8">
      <w:pPr>
        <w:keepNext w:val="0"/>
        <w:keepLines w:val="0"/>
        <w:pageBreakBefore w:val="0"/>
        <w:widowControl/>
        <w:kinsoku w:val="0"/>
        <w:wordWrap/>
        <w:overflowPunct/>
        <w:topLinePunct w:val="0"/>
        <w:autoSpaceDE w:val="0"/>
        <w:autoSpaceDN w:val="0"/>
        <w:bidi w:val="0"/>
        <w:adjustRightInd w:val="0"/>
        <w:snapToGrid w:val="0"/>
        <w:spacing w:line="360" w:lineRule="auto"/>
        <w:ind w:left="20" w:right="2" w:firstLine="463"/>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2.1.3“货物”系指中标供应商根据合同约定应向采购</w:t>
      </w:r>
      <w:r>
        <w:rPr>
          <w:rFonts w:ascii="宋体" w:hAnsi="宋体" w:eastAsia="宋体" w:cs="宋体"/>
          <w:color w:val="auto"/>
          <w:spacing w:val="1"/>
          <w:sz w:val="24"/>
          <w:szCs w:val="24"/>
          <w:highlight w:val="none"/>
        </w:rPr>
        <w:t>人交付的一切各种形态和种类</w:t>
      </w:r>
      <w:r>
        <w:rPr>
          <w:rFonts w:ascii="宋体" w:hAnsi="宋体" w:eastAsia="宋体" w:cs="宋体"/>
          <w:color w:val="auto"/>
          <w:spacing w:val="-1"/>
          <w:sz w:val="24"/>
          <w:szCs w:val="24"/>
          <w:highlight w:val="none"/>
        </w:rPr>
        <w:t>的物品，包括原材料、燃料、设备、机械、仪表、备件、计算机软件、产品等，并包括工</w:t>
      </w:r>
    </w:p>
    <w:p w14:paraId="3754BC01">
      <w:pPr>
        <w:keepNext w:val="0"/>
        <w:keepLines w:val="0"/>
        <w:pageBreakBefore w:val="0"/>
        <w:widowControl/>
        <w:kinsoku w:val="0"/>
        <w:wordWrap/>
        <w:overflowPunct/>
        <w:topLinePunct w:val="0"/>
        <w:autoSpaceDE w:val="0"/>
        <w:autoSpaceDN w:val="0"/>
        <w:bidi w:val="0"/>
        <w:adjustRightInd w:val="0"/>
        <w:snapToGrid w:val="0"/>
        <w:spacing w:line="360" w:lineRule="auto"/>
        <w:ind w:left="5"/>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具、手册等其他相关资料。</w:t>
      </w:r>
    </w:p>
    <w:p w14:paraId="0A59CACF">
      <w:pPr>
        <w:keepNext w:val="0"/>
        <w:keepLines w:val="0"/>
        <w:pageBreakBefore w:val="0"/>
        <w:widowControl/>
        <w:kinsoku w:val="0"/>
        <w:wordWrap/>
        <w:overflowPunct/>
        <w:topLinePunct w:val="0"/>
        <w:autoSpaceDE w:val="0"/>
        <w:autoSpaceDN w:val="0"/>
        <w:bidi w:val="0"/>
        <w:adjustRightInd w:val="0"/>
        <w:snapToGrid w:val="0"/>
        <w:spacing w:line="360" w:lineRule="auto"/>
        <w:ind w:right="4"/>
        <w:jc w:val="right"/>
        <w:textAlignment w:val="baseline"/>
        <w:rPr>
          <w:rFonts w:ascii="宋体" w:hAnsi="宋体" w:eastAsia="宋体" w:cs="宋体"/>
          <w:color w:val="auto"/>
          <w:sz w:val="24"/>
          <w:szCs w:val="24"/>
          <w:highlight w:val="none"/>
        </w:rPr>
      </w:pPr>
      <w:r>
        <w:rPr>
          <w:rFonts w:ascii="宋体" w:hAnsi="宋体" w:eastAsia="宋体" w:cs="宋体"/>
          <w:color w:val="auto"/>
          <w:spacing w:val="1"/>
          <w:position w:val="24"/>
          <w:sz w:val="24"/>
          <w:szCs w:val="24"/>
          <w:highlight w:val="none"/>
        </w:rPr>
        <w:t>2.1.4“甲方”系指与中标供应商签署合同的</w:t>
      </w:r>
      <w:r>
        <w:rPr>
          <w:rFonts w:ascii="宋体" w:hAnsi="宋体" w:eastAsia="宋体" w:cs="宋体"/>
          <w:color w:val="auto"/>
          <w:position w:val="24"/>
          <w:sz w:val="24"/>
          <w:szCs w:val="24"/>
          <w:highlight w:val="none"/>
        </w:rPr>
        <w:t>采购人；采购人委托采购代理机构代表</w:t>
      </w:r>
    </w:p>
    <w:p w14:paraId="665735B0">
      <w:pPr>
        <w:keepNext w:val="0"/>
        <w:keepLines w:val="0"/>
        <w:pageBreakBefore w:val="0"/>
        <w:widowControl/>
        <w:kinsoku w:val="0"/>
        <w:wordWrap/>
        <w:overflowPunct/>
        <w:topLinePunct w:val="0"/>
        <w:autoSpaceDE w:val="0"/>
        <w:autoSpaceDN w:val="0"/>
        <w:bidi w:val="0"/>
        <w:adjustRightInd w:val="0"/>
        <w:snapToGrid w:val="0"/>
        <w:spacing w:line="360" w:lineRule="auto"/>
        <w:ind w:left="1"/>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其与乙方签订合同的，采购人的授权委托书作为合同附件。</w:t>
      </w:r>
    </w:p>
    <w:p w14:paraId="25A2F6F7">
      <w:pPr>
        <w:keepNext w:val="0"/>
        <w:keepLines w:val="0"/>
        <w:pageBreakBefore w:val="0"/>
        <w:widowControl/>
        <w:kinsoku w:val="0"/>
        <w:wordWrap/>
        <w:overflowPunct/>
        <w:topLinePunct w:val="0"/>
        <w:autoSpaceDE w:val="0"/>
        <w:autoSpaceDN w:val="0"/>
        <w:bidi w:val="0"/>
        <w:adjustRightInd w:val="0"/>
        <w:snapToGrid w:val="0"/>
        <w:spacing w:line="360" w:lineRule="auto"/>
        <w:ind w:left="3" w:right="2" w:firstLine="480"/>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2.1.5“乙方”系指根据合同约定交付货物的中标供应商；两</w:t>
      </w:r>
      <w:r>
        <w:rPr>
          <w:rFonts w:ascii="宋体" w:hAnsi="宋体" w:eastAsia="宋体" w:cs="宋体"/>
          <w:color w:val="auto"/>
          <w:sz w:val="24"/>
          <w:szCs w:val="24"/>
          <w:highlight w:val="none"/>
        </w:rPr>
        <w:t>个以上的自然人、法人或者其他组织组成一个联合体，以一个供应商的身份</w:t>
      </w:r>
      <w:r>
        <w:rPr>
          <w:rFonts w:ascii="宋体" w:hAnsi="宋体" w:eastAsia="宋体" w:cs="宋体"/>
          <w:color w:val="auto"/>
          <w:spacing w:val="-1"/>
          <w:sz w:val="24"/>
          <w:szCs w:val="24"/>
          <w:highlight w:val="none"/>
        </w:rPr>
        <w:t>共同参加政府采购的，联合体各方均</w:t>
      </w:r>
      <w:r>
        <w:rPr>
          <w:rFonts w:ascii="宋体" w:hAnsi="宋体" w:eastAsia="宋体" w:cs="宋体"/>
          <w:color w:val="auto"/>
          <w:sz w:val="24"/>
          <w:szCs w:val="24"/>
          <w:highlight w:val="none"/>
        </w:rPr>
        <w:t>应为乙方或者与乙方相同地位的合同当事人，并就合同约定的事</w:t>
      </w:r>
      <w:r>
        <w:rPr>
          <w:rFonts w:ascii="宋体" w:hAnsi="宋体" w:eastAsia="宋体" w:cs="宋体"/>
          <w:color w:val="auto"/>
          <w:spacing w:val="-1"/>
          <w:sz w:val="24"/>
          <w:szCs w:val="24"/>
          <w:highlight w:val="none"/>
        </w:rPr>
        <w:t>项对甲方承担连带责任。</w:t>
      </w:r>
    </w:p>
    <w:p w14:paraId="163CA5F4">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2.1.6“现场”系指合同约定货物将要运至或者安装的地点。</w:t>
      </w:r>
    </w:p>
    <w:p w14:paraId="1603B988">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18" w:name="_Toc14981"/>
      <w:bookmarkStart w:id="119" w:name="_Toc17104"/>
      <w:r>
        <w:rPr>
          <w:rFonts w:ascii="宋体" w:hAnsi="宋体" w:eastAsia="宋体" w:cs="宋体"/>
          <w:color w:val="auto"/>
          <w:spacing w:val="-3"/>
          <w:sz w:val="24"/>
          <w:szCs w:val="24"/>
          <w:highlight w:val="none"/>
          <w14:textOutline w14:w="4358" w14:cap="sq" w14:cmpd="sng">
            <w14:solidFill>
              <w14:srgbClr w14:val="000000"/>
            </w14:solidFill>
            <w14:prstDash w14:val="solid"/>
            <w14:bevel/>
          </w14:textOutline>
        </w:rPr>
        <w:t>2.2技术规范</w:t>
      </w:r>
      <w:bookmarkEnd w:id="118"/>
      <w:bookmarkEnd w:id="119"/>
    </w:p>
    <w:p w14:paraId="40F33D4A">
      <w:pPr>
        <w:keepNext w:val="0"/>
        <w:keepLines w:val="0"/>
        <w:pageBreakBefore w:val="0"/>
        <w:widowControl/>
        <w:kinsoku w:val="0"/>
        <w:wordWrap/>
        <w:overflowPunct/>
        <w:topLinePunct w:val="0"/>
        <w:autoSpaceDE w:val="0"/>
        <w:autoSpaceDN w:val="0"/>
        <w:bidi w:val="0"/>
        <w:adjustRightInd w:val="0"/>
        <w:snapToGrid w:val="0"/>
        <w:spacing w:line="360" w:lineRule="auto"/>
        <w:ind w:firstLine="486"/>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货物所应遵守的技术规范应与采购文件规定的技</w:t>
      </w:r>
      <w:r>
        <w:rPr>
          <w:rFonts w:ascii="宋体" w:hAnsi="宋体" w:eastAsia="宋体" w:cs="宋体"/>
          <w:color w:val="auto"/>
          <w:spacing w:val="-1"/>
          <w:sz w:val="24"/>
          <w:szCs w:val="24"/>
          <w:highlight w:val="none"/>
        </w:rPr>
        <w:t>术规范和技术规范附件(如果有的话)</w:t>
      </w:r>
      <w:r>
        <w:rPr>
          <w:rFonts w:ascii="宋体" w:hAnsi="宋体" w:eastAsia="宋体" w:cs="宋体"/>
          <w:color w:val="auto"/>
          <w:sz w:val="24"/>
          <w:szCs w:val="24"/>
          <w:highlight w:val="none"/>
        </w:rPr>
        <w:t>及其技术规范偏差表(如果被甲方接受的话)相一致；如果采购</w:t>
      </w:r>
      <w:r>
        <w:rPr>
          <w:rFonts w:ascii="宋体" w:hAnsi="宋体" w:eastAsia="宋体" w:cs="宋体"/>
          <w:color w:val="auto"/>
          <w:spacing w:val="-1"/>
          <w:sz w:val="24"/>
          <w:szCs w:val="24"/>
          <w:highlight w:val="none"/>
        </w:rPr>
        <w:t>文件中没有技术规范的相应说明，那么应以国家有关部门最新颁布的相应标准和规范为准。</w:t>
      </w:r>
    </w:p>
    <w:p w14:paraId="38E26B31">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20" w:name="_Toc8952"/>
      <w:bookmarkStart w:id="121" w:name="_Toc30150"/>
      <w:r>
        <w:rPr>
          <w:rFonts w:ascii="宋体" w:hAnsi="宋体" w:eastAsia="宋体" w:cs="宋体"/>
          <w:color w:val="auto"/>
          <w:spacing w:val="-4"/>
          <w:sz w:val="24"/>
          <w:szCs w:val="24"/>
          <w:highlight w:val="none"/>
          <w14:textOutline w14:w="4358" w14:cap="sq" w14:cmpd="sng">
            <w14:solidFill>
              <w14:srgbClr w14:val="000000"/>
            </w14:solidFill>
            <w14:prstDash w14:val="solid"/>
            <w14:bevel/>
          </w14:textOutline>
        </w:rPr>
        <w:t>2.3知识产权</w:t>
      </w:r>
      <w:bookmarkEnd w:id="120"/>
      <w:bookmarkEnd w:id="121"/>
    </w:p>
    <w:p w14:paraId="4A9ACFAA">
      <w:pPr>
        <w:keepNext w:val="0"/>
        <w:keepLines w:val="0"/>
        <w:pageBreakBefore w:val="0"/>
        <w:widowControl/>
        <w:kinsoku w:val="0"/>
        <w:wordWrap/>
        <w:overflowPunct/>
        <w:topLinePunct w:val="0"/>
        <w:autoSpaceDE w:val="0"/>
        <w:autoSpaceDN w:val="0"/>
        <w:bidi w:val="0"/>
        <w:adjustRightInd w:val="0"/>
        <w:snapToGrid w:val="0"/>
        <w:spacing w:line="360" w:lineRule="auto"/>
        <w:ind w:left="4" w:right="2" w:firstLine="479"/>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4FDFDAAC">
      <w:pPr>
        <w:keepNext w:val="0"/>
        <w:keepLines w:val="0"/>
        <w:pageBreakBefore w:val="0"/>
        <w:widowControl/>
        <w:kinsoku w:val="0"/>
        <w:wordWrap/>
        <w:overflowPunct/>
        <w:topLinePunct w:val="0"/>
        <w:autoSpaceDE w:val="0"/>
        <w:autoSpaceDN w:val="0"/>
        <w:bidi w:val="0"/>
        <w:adjustRightInd w:val="0"/>
        <w:snapToGrid w:val="0"/>
        <w:spacing w:line="360" w:lineRule="auto"/>
        <w:ind w:left="4" w:right="2" w:firstLine="479"/>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2.3.2具有知识产权的计算机软件等货物的知识产权归属，详见合同专用条款。</w:t>
      </w:r>
    </w:p>
    <w:p w14:paraId="691FC827">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outlineLvl w:val="0"/>
        <w:rPr>
          <w:rFonts w:ascii="宋体" w:hAnsi="宋体" w:eastAsia="宋体" w:cs="宋体"/>
          <w:color w:val="auto"/>
          <w:sz w:val="24"/>
          <w:szCs w:val="24"/>
          <w:highlight w:val="none"/>
        </w:rPr>
      </w:pPr>
      <w:bookmarkStart w:id="122" w:name="bookmark15"/>
      <w:bookmarkEnd w:id="122"/>
      <w:bookmarkStart w:id="123" w:name="_Toc8527"/>
      <w:bookmarkStart w:id="124" w:name="_Toc8055"/>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2.4包装和装运</w:t>
      </w:r>
      <w:bookmarkEnd w:id="123"/>
      <w:bookmarkEnd w:id="124"/>
    </w:p>
    <w:p w14:paraId="15BE887B">
      <w:pPr>
        <w:keepNext w:val="0"/>
        <w:keepLines w:val="0"/>
        <w:pageBreakBefore w:val="0"/>
        <w:widowControl/>
        <w:kinsoku w:val="0"/>
        <w:wordWrap/>
        <w:overflowPunct/>
        <w:topLinePunct w:val="0"/>
        <w:autoSpaceDE w:val="0"/>
        <w:autoSpaceDN w:val="0"/>
        <w:bidi w:val="0"/>
        <w:adjustRightInd w:val="0"/>
        <w:snapToGrid w:val="0"/>
        <w:spacing w:line="360" w:lineRule="auto"/>
        <w:ind w:firstLine="484"/>
        <w:jc w:val="both"/>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2.4.1除</w:t>
      </w:r>
      <w:r>
        <w:rPr>
          <w:rFonts w:ascii="宋体" w:hAnsi="宋体" w:eastAsia="宋体" w:cs="宋体"/>
          <w:i/>
          <w:iCs/>
          <w:color w:val="auto"/>
          <w:spacing w:val="-1"/>
          <w:sz w:val="25"/>
          <w:szCs w:val="25"/>
          <w:highlight w:val="none"/>
          <w:u w:val="single" w:color="auto"/>
        </w:rPr>
        <w:t>合同专用条款</w:t>
      </w:r>
      <w:r>
        <w:rPr>
          <w:rFonts w:ascii="宋体" w:hAnsi="宋体" w:eastAsia="宋体" w:cs="宋体"/>
          <w:color w:val="auto"/>
          <w:spacing w:val="-1"/>
          <w:sz w:val="24"/>
          <w:szCs w:val="24"/>
          <w:highlight w:val="none"/>
        </w:rPr>
        <w:t>另有约定外,乙方交付的全部货物,均应采用本行业</w:t>
      </w:r>
      <w:r>
        <w:rPr>
          <w:rFonts w:ascii="宋体" w:hAnsi="宋体" w:eastAsia="宋体" w:cs="宋体"/>
          <w:color w:val="auto"/>
          <w:spacing w:val="-2"/>
          <w:sz w:val="24"/>
          <w:szCs w:val="24"/>
          <w:highlight w:val="none"/>
        </w:rPr>
        <w:t>通用的方式</w:t>
      </w:r>
      <w:r>
        <w:rPr>
          <w:rFonts w:ascii="宋体" w:hAnsi="宋体" w:eastAsia="宋体" w:cs="宋体"/>
          <w:color w:val="auto"/>
          <w:sz w:val="24"/>
          <w:szCs w:val="24"/>
          <w:highlight w:val="none"/>
        </w:rPr>
        <w:t>进行包装，没有通用方式的，应当采取足以保护货物的包装方式</w:t>
      </w:r>
      <w:r>
        <w:rPr>
          <w:rFonts w:ascii="宋体" w:hAnsi="宋体" w:eastAsia="宋体" w:cs="宋体"/>
          <w:color w:val="auto"/>
          <w:spacing w:val="-1"/>
          <w:sz w:val="24"/>
          <w:szCs w:val="24"/>
          <w:highlight w:val="none"/>
        </w:rPr>
        <w:t>，且该包装应符合国家有</w:t>
      </w:r>
      <w:r>
        <w:rPr>
          <w:rFonts w:ascii="宋体" w:hAnsi="宋体" w:eastAsia="宋体" w:cs="宋体"/>
          <w:color w:val="auto"/>
          <w:sz w:val="24"/>
          <w:szCs w:val="24"/>
          <w:highlight w:val="none"/>
        </w:rPr>
        <w:t>关包装的法律、法规的规定。如有必要，包装应适用于远</w:t>
      </w:r>
      <w:r>
        <w:rPr>
          <w:rFonts w:ascii="宋体" w:hAnsi="宋体" w:eastAsia="宋体" w:cs="宋体"/>
          <w:color w:val="auto"/>
          <w:spacing w:val="-1"/>
          <w:sz w:val="24"/>
          <w:szCs w:val="24"/>
          <w:highlight w:val="none"/>
        </w:rPr>
        <w:t>距离运输、防潮、防震、防锈和</w:t>
      </w:r>
      <w:r>
        <w:rPr>
          <w:rFonts w:ascii="宋体" w:hAnsi="宋体" w:eastAsia="宋体" w:cs="宋体"/>
          <w:color w:val="auto"/>
          <w:sz w:val="24"/>
          <w:szCs w:val="24"/>
          <w:highlight w:val="none"/>
        </w:rPr>
        <w:t>防粗暴装卸，确保货物安全无损地运抵现场。由于包装不善所引</w:t>
      </w:r>
      <w:r>
        <w:rPr>
          <w:rFonts w:ascii="宋体" w:hAnsi="宋体" w:eastAsia="宋体" w:cs="宋体"/>
          <w:color w:val="auto"/>
          <w:spacing w:val="-1"/>
          <w:sz w:val="24"/>
          <w:szCs w:val="24"/>
          <w:highlight w:val="none"/>
        </w:rPr>
        <w:t>起的货物锈蚀、损坏和损</w:t>
      </w:r>
      <w:r>
        <w:rPr>
          <w:rFonts w:ascii="宋体" w:hAnsi="宋体" w:eastAsia="宋体" w:cs="宋体"/>
          <w:color w:val="auto"/>
          <w:spacing w:val="-2"/>
          <w:sz w:val="24"/>
          <w:szCs w:val="24"/>
          <w:highlight w:val="none"/>
        </w:rPr>
        <w:t>失等一切风险均由乙方承担。</w:t>
      </w:r>
    </w:p>
    <w:p w14:paraId="552873E0">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2.4.2装运货物的要求和通知，详见</w:t>
      </w:r>
      <w:r>
        <w:rPr>
          <w:rFonts w:ascii="宋体" w:hAnsi="宋体" w:eastAsia="宋体" w:cs="宋体"/>
          <w:i/>
          <w:iCs/>
          <w:color w:val="auto"/>
          <w:spacing w:val="-1"/>
          <w:sz w:val="25"/>
          <w:szCs w:val="25"/>
          <w:highlight w:val="none"/>
          <w:u w:val="single" w:color="auto"/>
        </w:rPr>
        <w:t>合同专用条款</w:t>
      </w:r>
      <w:r>
        <w:rPr>
          <w:rFonts w:ascii="宋体" w:hAnsi="宋体" w:eastAsia="宋体" w:cs="宋体"/>
          <w:color w:val="auto"/>
          <w:spacing w:val="-1"/>
          <w:sz w:val="24"/>
          <w:szCs w:val="24"/>
          <w:highlight w:val="none"/>
        </w:rPr>
        <w:t>。</w:t>
      </w:r>
    </w:p>
    <w:p w14:paraId="5A873FA1">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outlineLvl w:val="0"/>
        <w:rPr>
          <w:rFonts w:ascii="宋体" w:hAnsi="宋体" w:eastAsia="宋体" w:cs="宋体"/>
          <w:color w:val="auto"/>
          <w:sz w:val="24"/>
          <w:szCs w:val="24"/>
          <w:highlight w:val="none"/>
        </w:rPr>
      </w:pPr>
      <w:bookmarkStart w:id="125" w:name="_Toc17062"/>
      <w:bookmarkStart w:id="126" w:name="_Toc12004"/>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2.5履约检查和问题反馈</w:t>
      </w:r>
      <w:bookmarkEnd w:id="125"/>
      <w:bookmarkEnd w:id="126"/>
    </w:p>
    <w:p w14:paraId="74DA17F0">
      <w:pPr>
        <w:keepNext w:val="0"/>
        <w:keepLines w:val="0"/>
        <w:pageBreakBefore w:val="0"/>
        <w:widowControl/>
        <w:kinsoku w:val="0"/>
        <w:wordWrap/>
        <w:overflowPunct/>
        <w:topLinePunct w:val="0"/>
        <w:autoSpaceDE w:val="0"/>
        <w:autoSpaceDN w:val="0"/>
        <w:bidi w:val="0"/>
        <w:adjustRightInd w:val="0"/>
        <w:snapToGrid w:val="0"/>
        <w:spacing w:line="360" w:lineRule="auto"/>
        <w:ind w:left="4" w:firstLine="480"/>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2.5.1甲方有权在其认为必要时，对乙方是否能</w:t>
      </w:r>
      <w:r>
        <w:rPr>
          <w:rFonts w:ascii="宋体" w:hAnsi="宋体" w:eastAsia="宋体" w:cs="宋体"/>
          <w:color w:val="auto"/>
          <w:spacing w:val="-1"/>
          <w:sz w:val="24"/>
          <w:szCs w:val="24"/>
          <w:highlight w:val="none"/>
        </w:rPr>
        <w:t>够按照合同约定交付货物进行履约检</w:t>
      </w:r>
      <w:r>
        <w:rPr>
          <w:rFonts w:ascii="宋体" w:hAnsi="宋体" w:eastAsia="宋体" w:cs="宋体"/>
          <w:color w:val="auto"/>
          <w:sz w:val="24"/>
          <w:szCs w:val="24"/>
          <w:highlight w:val="none"/>
        </w:rPr>
        <w:t>查，以确保乙方所交付的货物能够依约满足甲方之项</w:t>
      </w:r>
      <w:r>
        <w:rPr>
          <w:rFonts w:ascii="宋体" w:hAnsi="宋体" w:eastAsia="宋体" w:cs="宋体"/>
          <w:color w:val="auto"/>
          <w:spacing w:val="-1"/>
          <w:sz w:val="24"/>
          <w:szCs w:val="24"/>
          <w:highlight w:val="none"/>
        </w:rPr>
        <w:t>目需求，但不得因履约检查妨碍乙方</w:t>
      </w:r>
      <w:r>
        <w:rPr>
          <w:rFonts w:ascii="宋体" w:hAnsi="宋体" w:eastAsia="宋体" w:cs="宋体"/>
          <w:color w:val="auto"/>
          <w:spacing w:val="-2"/>
          <w:sz w:val="24"/>
          <w:szCs w:val="24"/>
          <w:highlight w:val="none"/>
        </w:rPr>
        <w:t>的正常工作，乙方应予积极配合；</w:t>
      </w:r>
    </w:p>
    <w:p w14:paraId="70600CC6">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宋体" w:hAnsi="宋体" w:eastAsia="宋体" w:cs="宋体"/>
          <w:color w:val="auto"/>
          <w:sz w:val="24"/>
          <w:szCs w:val="24"/>
          <w:highlight w:val="none"/>
        </w:rPr>
      </w:pPr>
      <w:r>
        <w:rPr>
          <w:rFonts w:ascii="宋体" w:hAnsi="宋体" w:eastAsia="宋体" w:cs="宋体"/>
          <w:color w:val="auto"/>
          <w:spacing w:val="1"/>
          <w:position w:val="24"/>
          <w:sz w:val="24"/>
          <w:szCs w:val="24"/>
          <w:highlight w:val="none"/>
        </w:rPr>
        <w:t>2.5.2合同履行期间，甲方有权将履行过程中出现的问题反馈给乙</w:t>
      </w:r>
      <w:r>
        <w:rPr>
          <w:rFonts w:ascii="宋体" w:hAnsi="宋体" w:eastAsia="宋体" w:cs="宋体"/>
          <w:color w:val="auto"/>
          <w:position w:val="24"/>
          <w:sz w:val="24"/>
          <w:szCs w:val="24"/>
          <w:highlight w:val="none"/>
        </w:rPr>
        <w:t>方，双方当事人应</w:t>
      </w:r>
    </w:p>
    <w:p w14:paraId="63916325">
      <w:pPr>
        <w:keepNext w:val="0"/>
        <w:keepLines w:val="0"/>
        <w:pageBreakBefore w:val="0"/>
        <w:widowControl/>
        <w:kinsoku w:val="0"/>
        <w:wordWrap/>
        <w:overflowPunct/>
        <w:topLinePunct w:val="0"/>
        <w:autoSpaceDE w:val="0"/>
        <w:autoSpaceDN w:val="0"/>
        <w:bidi w:val="0"/>
        <w:adjustRightInd w:val="0"/>
        <w:snapToGrid w:val="0"/>
        <w:spacing w:line="360" w:lineRule="auto"/>
        <w:ind w:left="29"/>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以书面形式约定需要完善和改进的内容。</w:t>
      </w:r>
    </w:p>
    <w:p w14:paraId="3841944B">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outlineLvl w:val="0"/>
        <w:rPr>
          <w:rFonts w:ascii="宋体" w:hAnsi="宋体" w:eastAsia="宋体" w:cs="宋体"/>
          <w:color w:val="auto"/>
          <w:sz w:val="24"/>
          <w:szCs w:val="24"/>
          <w:highlight w:val="none"/>
        </w:rPr>
      </w:pPr>
      <w:bookmarkStart w:id="127" w:name="_Toc24382"/>
      <w:bookmarkStart w:id="128" w:name="_Toc16012"/>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2.6结算方式和付款条件</w:t>
      </w:r>
      <w:bookmarkEnd w:id="127"/>
      <w:bookmarkEnd w:id="128"/>
    </w:p>
    <w:p w14:paraId="032D765B">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详见</w:t>
      </w:r>
      <w:r>
        <w:rPr>
          <w:rFonts w:ascii="宋体" w:hAnsi="宋体" w:eastAsia="宋体" w:cs="宋体"/>
          <w:i/>
          <w:iCs/>
          <w:color w:val="auto"/>
          <w:spacing w:val="-1"/>
          <w:sz w:val="25"/>
          <w:szCs w:val="25"/>
          <w:highlight w:val="none"/>
          <w:u w:val="single" w:color="auto"/>
        </w:rPr>
        <w:t>合同专用条款</w:t>
      </w:r>
      <w:r>
        <w:rPr>
          <w:rFonts w:ascii="宋体" w:hAnsi="宋体" w:eastAsia="宋体" w:cs="宋体"/>
          <w:color w:val="auto"/>
          <w:spacing w:val="-1"/>
          <w:sz w:val="24"/>
          <w:szCs w:val="24"/>
          <w:highlight w:val="none"/>
        </w:rPr>
        <w:t>。</w:t>
      </w:r>
    </w:p>
    <w:p w14:paraId="514917A5">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outlineLvl w:val="0"/>
        <w:rPr>
          <w:rFonts w:ascii="宋体" w:hAnsi="宋体" w:eastAsia="宋体" w:cs="宋体"/>
          <w:color w:val="auto"/>
          <w:sz w:val="24"/>
          <w:szCs w:val="24"/>
          <w:highlight w:val="none"/>
        </w:rPr>
      </w:pPr>
      <w:bookmarkStart w:id="129" w:name="_Toc587"/>
      <w:bookmarkStart w:id="130" w:name="_Toc12220"/>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2.7技术资料和保密义务</w:t>
      </w:r>
      <w:bookmarkEnd w:id="129"/>
      <w:bookmarkEnd w:id="130"/>
    </w:p>
    <w:p w14:paraId="41DC059F">
      <w:pPr>
        <w:keepNext w:val="0"/>
        <w:keepLines w:val="0"/>
        <w:pageBreakBefore w:val="0"/>
        <w:widowControl/>
        <w:kinsoku w:val="0"/>
        <w:wordWrap/>
        <w:overflowPunct/>
        <w:topLinePunct w:val="0"/>
        <w:autoSpaceDE w:val="0"/>
        <w:autoSpaceDN w:val="0"/>
        <w:bidi w:val="0"/>
        <w:adjustRightInd w:val="0"/>
        <w:snapToGrid w:val="0"/>
        <w:spacing w:line="360" w:lineRule="auto"/>
        <w:ind w:right="2"/>
        <w:jc w:val="right"/>
        <w:textAlignment w:val="baseline"/>
        <w:rPr>
          <w:rFonts w:ascii="宋体" w:hAnsi="宋体" w:eastAsia="宋体" w:cs="宋体"/>
          <w:color w:val="auto"/>
          <w:sz w:val="24"/>
          <w:szCs w:val="24"/>
          <w:highlight w:val="none"/>
        </w:rPr>
      </w:pPr>
      <w:r>
        <w:rPr>
          <w:rFonts w:ascii="宋体" w:hAnsi="宋体" w:eastAsia="宋体" w:cs="宋体"/>
          <w:color w:val="auto"/>
          <w:position w:val="24"/>
          <w:sz w:val="24"/>
          <w:szCs w:val="24"/>
          <w:highlight w:val="none"/>
        </w:rPr>
        <w:t>2.7.1乙方有权依据合同约定和项目需要，向甲方了解有关情况，调阅有关资料等，</w:t>
      </w:r>
    </w:p>
    <w:p w14:paraId="179E2957">
      <w:pPr>
        <w:keepNext w:val="0"/>
        <w:keepLines w:val="0"/>
        <w:pageBreakBefore w:val="0"/>
        <w:widowControl/>
        <w:kinsoku w:val="0"/>
        <w:wordWrap/>
        <w:overflowPunct/>
        <w:topLinePunct w:val="0"/>
        <w:autoSpaceDE w:val="0"/>
        <w:autoSpaceDN w:val="0"/>
        <w:bidi w:val="0"/>
        <w:adjustRightInd w:val="0"/>
        <w:snapToGrid w:val="0"/>
        <w:spacing w:line="360" w:lineRule="auto"/>
        <w:ind w:left="32"/>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甲方应予积极配合；</w:t>
      </w:r>
    </w:p>
    <w:p w14:paraId="5B662304">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2.7.2乙方有义务妥善保管和保护由甲方提供的前款信息和资料等；</w:t>
      </w:r>
    </w:p>
    <w:p w14:paraId="4CAD7299">
      <w:pPr>
        <w:keepNext w:val="0"/>
        <w:keepLines w:val="0"/>
        <w:pageBreakBefore w:val="0"/>
        <w:widowControl/>
        <w:kinsoku w:val="0"/>
        <w:wordWrap/>
        <w:overflowPunct/>
        <w:topLinePunct w:val="0"/>
        <w:autoSpaceDE w:val="0"/>
        <w:autoSpaceDN w:val="0"/>
        <w:bidi w:val="0"/>
        <w:adjustRightInd w:val="0"/>
        <w:snapToGrid w:val="0"/>
        <w:spacing w:line="360" w:lineRule="auto"/>
        <w:ind w:left="1" w:firstLine="482"/>
        <w:jc w:val="both"/>
        <w:textAlignment w:val="baseline"/>
        <w:rPr>
          <w:rFonts w:ascii="宋体" w:hAnsi="宋体" w:eastAsia="宋体" w:cs="宋体"/>
          <w:color w:val="auto"/>
          <w:spacing w:val="-1"/>
          <w:sz w:val="24"/>
          <w:szCs w:val="24"/>
          <w:highlight w:val="none"/>
        </w:rPr>
      </w:pPr>
      <w:r>
        <w:rPr>
          <w:rFonts w:ascii="宋体" w:hAnsi="宋体" w:eastAsia="宋体" w:cs="宋体"/>
          <w:color w:val="auto"/>
          <w:sz w:val="24"/>
          <w:szCs w:val="24"/>
          <w:highlight w:val="none"/>
        </w:rPr>
        <w:t>2.7.3除非依照法律规定或者对方当事人的书面同意，任何一方均应保证不向任何第</w:t>
      </w:r>
      <w:r>
        <w:rPr>
          <w:rFonts w:ascii="宋体" w:hAnsi="宋体" w:eastAsia="宋体" w:cs="宋体"/>
          <w:color w:val="auto"/>
          <w:spacing w:val="6"/>
          <w:sz w:val="24"/>
          <w:szCs w:val="24"/>
          <w:highlight w:val="none"/>
        </w:rPr>
        <w:t>三方提供或披露有关合同的或者履行合同过程中知悉的对方当事人任何未公开</w:t>
      </w:r>
      <w:r>
        <w:rPr>
          <w:rFonts w:ascii="宋体" w:hAnsi="宋体" w:eastAsia="宋体" w:cs="宋体"/>
          <w:color w:val="auto"/>
          <w:spacing w:val="5"/>
          <w:sz w:val="24"/>
          <w:szCs w:val="24"/>
          <w:highlight w:val="none"/>
        </w:rPr>
        <w:t>的信息和</w:t>
      </w:r>
      <w:r>
        <w:rPr>
          <w:rFonts w:ascii="宋体" w:hAnsi="宋体" w:eastAsia="宋体" w:cs="宋体"/>
          <w:color w:val="auto"/>
          <w:sz w:val="24"/>
          <w:szCs w:val="24"/>
          <w:highlight w:val="none"/>
        </w:rPr>
        <w:t>资料，包括但不限于技术情报、技术资料、商业秘密和商业</w:t>
      </w:r>
      <w:r>
        <w:rPr>
          <w:rFonts w:ascii="宋体" w:hAnsi="宋体" w:eastAsia="宋体" w:cs="宋体"/>
          <w:color w:val="auto"/>
          <w:spacing w:val="-1"/>
          <w:sz w:val="24"/>
          <w:szCs w:val="24"/>
          <w:highlight w:val="none"/>
        </w:rPr>
        <w:t>信息等，并采取一切合理和必</w:t>
      </w:r>
      <w:r>
        <w:rPr>
          <w:rFonts w:ascii="宋体" w:hAnsi="宋体" w:eastAsia="宋体" w:cs="宋体"/>
          <w:color w:val="auto"/>
          <w:sz w:val="24"/>
          <w:szCs w:val="24"/>
          <w:highlight w:val="none"/>
        </w:rPr>
        <w:t>要措施和方式防止任何第三方接触到对方当事</w:t>
      </w:r>
      <w:r>
        <w:rPr>
          <w:rFonts w:ascii="宋体" w:hAnsi="宋体" w:eastAsia="宋体" w:cs="宋体"/>
          <w:color w:val="auto"/>
          <w:spacing w:val="-1"/>
          <w:sz w:val="24"/>
          <w:szCs w:val="24"/>
          <w:highlight w:val="none"/>
        </w:rPr>
        <w:t>人的上述保密信息和资料。</w:t>
      </w:r>
      <w:bookmarkStart w:id="131" w:name="_Toc11750"/>
      <w:bookmarkStart w:id="132" w:name="_Toc32409"/>
    </w:p>
    <w:p w14:paraId="4C89942D">
      <w:pPr>
        <w:keepNext w:val="0"/>
        <w:keepLines w:val="0"/>
        <w:pageBreakBefore w:val="0"/>
        <w:widowControl/>
        <w:kinsoku w:val="0"/>
        <w:wordWrap/>
        <w:overflowPunct/>
        <w:topLinePunct w:val="0"/>
        <w:autoSpaceDE w:val="0"/>
        <w:autoSpaceDN w:val="0"/>
        <w:bidi w:val="0"/>
        <w:adjustRightInd w:val="0"/>
        <w:snapToGrid w:val="0"/>
        <w:spacing w:line="360" w:lineRule="auto"/>
        <w:ind w:left="484"/>
        <w:textAlignment w:val="baseline"/>
        <w:outlineLvl w:val="0"/>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pPr>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2.8质量保证</w:t>
      </w:r>
      <w:bookmarkEnd w:id="131"/>
      <w:bookmarkEnd w:id="132"/>
    </w:p>
    <w:p w14:paraId="608E77B3">
      <w:pPr>
        <w:keepNext w:val="0"/>
        <w:keepLines w:val="0"/>
        <w:pageBreakBefore w:val="0"/>
        <w:widowControl/>
        <w:kinsoku w:val="0"/>
        <w:wordWrap/>
        <w:overflowPunct/>
        <w:topLinePunct w:val="0"/>
        <w:autoSpaceDE w:val="0"/>
        <w:autoSpaceDN w:val="0"/>
        <w:bidi w:val="0"/>
        <w:adjustRightInd w:val="0"/>
        <w:snapToGrid w:val="0"/>
        <w:spacing w:line="360" w:lineRule="auto"/>
        <w:ind w:right="66"/>
        <w:jc w:val="right"/>
        <w:textAlignment w:val="baseline"/>
        <w:rPr>
          <w:rFonts w:ascii="宋体" w:hAnsi="宋体" w:eastAsia="宋体" w:cs="宋体"/>
          <w:color w:val="auto"/>
          <w:sz w:val="24"/>
          <w:szCs w:val="24"/>
          <w:highlight w:val="none"/>
        </w:rPr>
      </w:pPr>
      <w:r>
        <w:rPr>
          <w:rFonts w:ascii="宋体" w:hAnsi="宋体" w:eastAsia="宋体" w:cs="宋体"/>
          <w:color w:val="auto"/>
          <w:position w:val="24"/>
          <w:sz w:val="24"/>
          <w:szCs w:val="24"/>
          <w:highlight w:val="none"/>
        </w:rPr>
        <w:t>2.8.1乙方应建立和完善履行合同的内部质量保证体系，并提供相关内部规章制度给</w:t>
      </w:r>
    </w:p>
    <w:p w14:paraId="6DE789B8">
      <w:pPr>
        <w:keepNext w:val="0"/>
        <w:keepLines w:val="0"/>
        <w:pageBreakBefore w:val="0"/>
        <w:widowControl/>
        <w:kinsoku w:val="0"/>
        <w:wordWrap/>
        <w:overflowPunct/>
        <w:topLinePunct w:val="0"/>
        <w:autoSpaceDE w:val="0"/>
        <w:autoSpaceDN w:val="0"/>
        <w:bidi w:val="0"/>
        <w:adjustRightInd w:val="0"/>
        <w:snapToGrid w:val="0"/>
        <w:spacing w:line="360" w:lineRule="auto"/>
        <w:ind w:left="39"/>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甲方，以便甲方进行监督检查；</w:t>
      </w:r>
    </w:p>
    <w:p w14:paraId="303B4AEF">
      <w:pPr>
        <w:keepNext w:val="0"/>
        <w:keepLines w:val="0"/>
        <w:pageBreakBefore w:val="0"/>
        <w:widowControl/>
        <w:kinsoku w:val="0"/>
        <w:wordWrap/>
        <w:overflowPunct/>
        <w:topLinePunct w:val="0"/>
        <w:autoSpaceDE w:val="0"/>
        <w:autoSpaceDN w:val="0"/>
        <w:bidi w:val="0"/>
        <w:adjustRightInd w:val="0"/>
        <w:snapToGrid w:val="0"/>
        <w:spacing w:line="360" w:lineRule="auto"/>
        <w:ind w:right="66"/>
        <w:jc w:val="right"/>
        <w:textAlignment w:val="baseline"/>
        <w:rPr>
          <w:rFonts w:ascii="宋体" w:hAnsi="宋体" w:eastAsia="宋体" w:cs="宋体"/>
          <w:color w:val="auto"/>
          <w:sz w:val="24"/>
          <w:szCs w:val="24"/>
          <w:highlight w:val="none"/>
        </w:rPr>
      </w:pPr>
      <w:r>
        <w:rPr>
          <w:rFonts w:ascii="宋体" w:hAnsi="宋体" w:eastAsia="宋体" w:cs="宋体"/>
          <w:color w:val="auto"/>
          <w:position w:val="24"/>
          <w:sz w:val="24"/>
          <w:szCs w:val="24"/>
          <w:highlight w:val="none"/>
        </w:rPr>
        <w:t>2.8.2乙方应保证履行合同的人员数量和素质、软件和硬件设备的配置、场地、环境</w:t>
      </w:r>
    </w:p>
    <w:p w14:paraId="670E7090">
      <w:pPr>
        <w:keepNext w:val="0"/>
        <w:keepLines w:val="0"/>
        <w:pageBreakBefore w:val="0"/>
        <w:widowControl/>
        <w:kinsoku w:val="0"/>
        <w:wordWrap/>
        <w:overflowPunct/>
        <w:topLinePunct w:val="0"/>
        <w:autoSpaceDE w:val="0"/>
        <w:autoSpaceDN w:val="0"/>
        <w:bidi w:val="0"/>
        <w:adjustRightInd w:val="0"/>
        <w:snapToGrid w:val="0"/>
        <w:spacing w:line="360" w:lineRule="auto"/>
        <w:ind w:left="9"/>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和设施等满足全面履行合同的要求，并应接受甲方的监督检查。</w:t>
      </w:r>
    </w:p>
    <w:p w14:paraId="43D1CF6D">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outlineLvl w:val="0"/>
        <w:rPr>
          <w:rFonts w:ascii="宋体" w:hAnsi="宋体" w:eastAsia="宋体" w:cs="宋体"/>
          <w:color w:val="auto"/>
          <w:sz w:val="24"/>
          <w:szCs w:val="24"/>
          <w:highlight w:val="none"/>
        </w:rPr>
      </w:pPr>
      <w:bookmarkStart w:id="133" w:name="_Toc10620"/>
      <w:bookmarkStart w:id="134" w:name="_Toc26534"/>
      <w:r>
        <w:rPr>
          <w:rFonts w:ascii="宋体" w:hAnsi="宋体" w:eastAsia="宋体" w:cs="宋体"/>
          <w:color w:val="auto"/>
          <w:spacing w:val="-3"/>
          <w:sz w:val="24"/>
          <w:szCs w:val="24"/>
          <w:highlight w:val="none"/>
          <w14:textOutline w14:w="4358" w14:cap="sq" w14:cmpd="sng">
            <w14:solidFill>
              <w14:srgbClr w14:val="000000"/>
            </w14:solidFill>
            <w14:prstDash w14:val="solid"/>
            <w14:bevel/>
          </w14:textOutline>
        </w:rPr>
        <w:t>2.9货物的风险负担</w:t>
      </w:r>
      <w:bookmarkEnd w:id="133"/>
      <w:bookmarkEnd w:id="134"/>
    </w:p>
    <w:p w14:paraId="3B1B98D9">
      <w:pPr>
        <w:keepNext w:val="0"/>
        <w:keepLines w:val="0"/>
        <w:pageBreakBefore w:val="0"/>
        <w:widowControl/>
        <w:kinsoku w:val="0"/>
        <w:wordWrap/>
        <w:overflowPunct/>
        <w:topLinePunct w:val="0"/>
        <w:autoSpaceDE w:val="0"/>
        <w:autoSpaceDN w:val="0"/>
        <w:bidi w:val="0"/>
        <w:adjustRightInd w:val="0"/>
        <w:snapToGrid w:val="0"/>
        <w:spacing w:line="360" w:lineRule="auto"/>
        <w:jc w:val="right"/>
        <w:textAlignment w:val="baseline"/>
        <w:rPr>
          <w:rFonts w:ascii="宋体" w:hAnsi="宋体" w:eastAsia="宋体" w:cs="宋体"/>
          <w:color w:val="auto"/>
          <w:sz w:val="25"/>
          <w:szCs w:val="25"/>
          <w:highlight w:val="none"/>
        </w:rPr>
      </w:pPr>
      <w:r>
        <w:rPr>
          <w:rFonts w:ascii="宋体" w:hAnsi="宋体" w:eastAsia="宋体" w:cs="宋体"/>
          <w:color w:val="auto"/>
          <w:sz w:val="24"/>
          <w:szCs w:val="24"/>
          <w:highlight w:val="none"/>
        </w:rPr>
        <w:t>货物或者在途货物或者交付给第一承运人后的货物毁损、灭失的风险负担详见</w:t>
      </w:r>
      <w:r>
        <w:rPr>
          <w:rFonts w:ascii="宋体" w:hAnsi="宋体" w:eastAsia="宋体" w:cs="宋体"/>
          <w:i/>
          <w:iCs/>
          <w:color w:val="auto"/>
          <w:sz w:val="25"/>
          <w:szCs w:val="25"/>
          <w:highlight w:val="none"/>
          <w:u w:val="single" w:color="auto"/>
        </w:rPr>
        <w:t>合同专</w:t>
      </w:r>
    </w:p>
    <w:p w14:paraId="16C123C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pPr>
      <w:r>
        <w:rPr>
          <w:rFonts w:ascii="宋体" w:hAnsi="宋体" w:eastAsia="宋体" w:cs="宋体"/>
          <w:i/>
          <w:iCs/>
          <w:color w:val="auto"/>
          <w:spacing w:val="8"/>
          <w:sz w:val="25"/>
          <w:szCs w:val="25"/>
          <w:highlight w:val="none"/>
          <w:u w:val="single" w:color="auto"/>
        </w:rPr>
        <w:t>用条款</w:t>
      </w:r>
      <w:r>
        <w:rPr>
          <w:rFonts w:ascii="宋体" w:hAnsi="宋体" w:eastAsia="宋体" w:cs="宋体"/>
          <w:color w:val="auto"/>
          <w:spacing w:val="8"/>
          <w:sz w:val="24"/>
          <w:szCs w:val="24"/>
          <w:highlight w:val="none"/>
        </w:rPr>
        <w:t>。</w:t>
      </w:r>
    </w:p>
    <w:p w14:paraId="7E62E3CB">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outlineLvl w:val="0"/>
        <w:rPr>
          <w:rFonts w:ascii="宋体" w:hAnsi="宋体" w:eastAsia="宋体" w:cs="宋体"/>
          <w:color w:val="auto"/>
          <w:sz w:val="24"/>
          <w:szCs w:val="24"/>
          <w:highlight w:val="none"/>
        </w:rPr>
      </w:pPr>
      <w:bookmarkStart w:id="135" w:name="_Toc6363"/>
      <w:bookmarkStart w:id="136" w:name="_Toc24926"/>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2.10延迟交货</w:t>
      </w:r>
      <w:bookmarkEnd w:id="135"/>
      <w:bookmarkEnd w:id="136"/>
    </w:p>
    <w:p w14:paraId="3E1BF251">
      <w:pPr>
        <w:keepNext w:val="0"/>
        <w:keepLines w:val="0"/>
        <w:pageBreakBefore w:val="0"/>
        <w:widowControl/>
        <w:kinsoku w:val="0"/>
        <w:wordWrap/>
        <w:overflowPunct/>
        <w:topLinePunct w:val="0"/>
        <w:autoSpaceDE w:val="0"/>
        <w:autoSpaceDN w:val="0"/>
        <w:bidi w:val="0"/>
        <w:adjustRightInd w:val="0"/>
        <w:snapToGrid w:val="0"/>
        <w:spacing w:line="360" w:lineRule="auto"/>
        <w:ind w:left="18" w:right="65" w:firstLine="469"/>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在合同履行过程中，如果乙方遇到不能按时交付货物的情</w:t>
      </w:r>
      <w:r>
        <w:rPr>
          <w:rFonts w:ascii="宋体" w:hAnsi="宋体" w:eastAsia="宋体" w:cs="宋体"/>
          <w:color w:val="auto"/>
          <w:spacing w:val="-1"/>
          <w:sz w:val="24"/>
          <w:szCs w:val="24"/>
          <w:highlight w:val="none"/>
        </w:rPr>
        <w:t>况，应及时以书面形式将不能按时交付货物的理由、预期延误时间通知甲方；甲方收到乙方通知后，认为其理由正当的，可以书面形式酌情同意乙方可以延长交货的</w:t>
      </w:r>
      <w:r>
        <w:rPr>
          <w:rFonts w:ascii="宋体" w:hAnsi="宋体" w:eastAsia="宋体" w:cs="宋体"/>
          <w:color w:val="auto"/>
          <w:spacing w:val="-2"/>
          <w:sz w:val="24"/>
          <w:szCs w:val="24"/>
          <w:highlight w:val="none"/>
        </w:rPr>
        <w:t>具体时间。</w:t>
      </w:r>
    </w:p>
    <w:p w14:paraId="4C23FEF5">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outlineLvl w:val="0"/>
        <w:rPr>
          <w:rFonts w:ascii="宋体" w:hAnsi="宋体" w:eastAsia="宋体" w:cs="宋体"/>
          <w:color w:val="auto"/>
          <w:sz w:val="24"/>
          <w:szCs w:val="24"/>
          <w:highlight w:val="none"/>
        </w:rPr>
      </w:pPr>
      <w:bookmarkStart w:id="137" w:name="_Toc29756"/>
      <w:bookmarkStart w:id="138" w:name="_Toc19540"/>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2.11合同变更</w:t>
      </w:r>
      <w:bookmarkEnd w:id="137"/>
      <w:bookmarkEnd w:id="138"/>
    </w:p>
    <w:p w14:paraId="64E3CAB5">
      <w:pPr>
        <w:keepNext w:val="0"/>
        <w:keepLines w:val="0"/>
        <w:pageBreakBefore w:val="0"/>
        <w:widowControl/>
        <w:kinsoku w:val="0"/>
        <w:wordWrap/>
        <w:overflowPunct/>
        <w:topLinePunct w:val="0"/>
        <w:autoSpaceDE w:val="0"/>
        <w:autoSpaceDN w:val="0"/>
        <w:bidi w:val="0"/>
        <w:adjustRightInd w:val="0"/>
        <w:snapToGrid w:val="0"/>
        <w:spacing w:line="360" w:lineRule="auto"/>
        <w:ind w:left="6" w:right="65" w:firstLine="484"/>
        <w:jc w:val="both"/>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2.11.1双方当事人协商一致，可以签订书面补充合同的形式变更合同，</w:t>
      </w:r>
      <w:r>
        <w:rPr>
          <w:rFonts w:ascii="宋体" w:hAnsi="宋体" w:eastAsia="宋体" w:cs="宋体"/>
          <w:color w:val="auto"/>
          <w:spacing w:val="-3"/>
          <w:sz w:val="24"/>
          <w:szCs w:val="24"/>
          <w:highlight w:val="none"/>
        </w:rPr>
        <w:t>但不得违背采</w:t>
      </w:r>
      <w:r>
        <w:rPr>
          <w:rFonts w:ascii="宋体" w:hAnsi="宋体" w:eastAsia="宋体" w:cs="宋体"/>
          <w:color w:val="auto"/>
          <w:sz w:val="24"/>
          <w:szCs w:val="24"/>
          <w:highlight w:val="none"/>
        </w:rPr>
        <w:t>购文件确定的事项，且如果系追加与合同标的相同的货物的，那</w:t>
      </w:r>
      <w:r>
        <w:rPr>
          <w:rFonts w:ascii="宋体" w:hAnsi="宋体" w:eastAsia="宋体" w:cs="宋体"/>
          <w:color w:val="auto"/>
          <w:spacing w:val="-1"/>
          <w:sz w:val="24"/>
          <w:szCs w:val="24"/>
          <w:highlight w:val="none"/>
        </w:rPr>
        <w:t>么所有补充合同的采购金</w:t>
      </w:r>
      <w:r>
        <w:rPr>
          <w:rFonts w:ascii="宋体" w:hAnsi="宋体" w:eastAsia="宋体" w:cs="宋体"/>
          <w:color w:val="auto"/>
          <w:spacing w:val="-3"/>
          <w:sz w:val="24"/>
          <w:szCs w:val="24"/>
          <w:highlight w:val="none"/>
        </w:rPr>
        <w:t>额不得超过原合同价的10%；</w:t>
      </w:r>
    </w:p>
    <w:p w14:paraId="1E4EDE44">
      <w:pPr>
        <w:keepNext w:val="0"/>
        <w:keepLines w:val="0"/>
        <w:pageBreakBefore w:val="0"/>
        <w:widowControl/>
        <w:kinsoku w:val="0"/>
        <w:wordWrap/>
        <w:overflowPunct/>
        <w:topLinePunct w:val="0"/>
        <w:autoSpaceDE w:val="0"/>
        <w:autoSpaceDN w:val="0"/>
        <w:bidi w:val="0"/>
        <w:adjustRightInd w:val="0"/>
        <w:snapToGrid w:val="0"/>
        <w:spacing w:line="360" w:lineRule="auto"/>
        <w:ind w:left="8" w:right="65" w:firstLine="482"/>
        <w:jc w:val="both"/>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2.11.2</w:t>
      </w:r>
      <w:r>
        <w:rPr>
          <w:rFonts w:ascii="宋体" w:hAnsi="宋体" w:eastAsia="宋体" w:cs="宋体"/>
          <w:color w:val="auto"/>
          <w:spacing w:val="-11"/>
          <w:sz w:val="24"/>
          <w:szCs w:val="24"/>
          <w:highlight w:val="none"/>
        </w:rPr>
        <w:t>合同继续履行将损害国家利益和社会公共利益的，双方当事人应当以书面形式变更合同。有过错的一方应当承担赔偿责任，双方当事人都有过错的，各自承担相应的责任</w:t>
      </w:r>
      <w:r>
        <w:rPr>
          <w:rFonts w:ascii="宋体" w:hAnsi="宋体" w:eastAsia="宋体" w:cs="宋体"/>
          <w:color w:val="auto"/>
          <w:spacing w:val="-5"/>
          <w:sz w:val="24"/>
          <w:szCs w:val="24"/>
          <w:highlight w:val="none"/>
        </w:rPr>
        <w:t>。</w:t>
      </w:r>
    </w:p>
    <w:p w14:paraId="7FB1A15E">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outlineLvl w:val="0"/>
        <w:rPr>
          <w:rFonts w:ascii="宋体" w:hAnsi="宋体" w:eastAsia="宋体" w:cs="宋体"/>
          <w:color w:val="auto"/>
          <w:sz w:val="24"/>
          <w:szCs w:val="24"/>
          <w:highlight w:val="none"/>
        </w:rPr>
      </w:pPr>
      <w:bookmarkStart w:id="139" w:name="_Toc7360"/>
      <w:bookmarkStart w:id="140" w:name="_Toc30744"/>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2.12合同转让和分包</w:t>
      </w:r>
      <w:bookmarkEnd w:id="139"/>
      <w:bookmarkEnd w:id="140"/>
    </w:p>
    <w:p w14:paraId="3D17F0BF">
      <w:pPr>
        <w:keepNext w:val="0"/>
        <w:keepLines w:val="0"/>
        <w:pageBreakBefore w:val="0"/>
        <w:widowControl/>
        <w:kinsoku w:val="0"/>
        <w:wordWrap/>
        <w:overflowPunct/>
        <w:topLinePunct w:val="0"/>
        <w:autoSpaceDE w:val="0"/>
        <w:autoSpaceDN w:val="0"/>
        <w:bidi w:val="0"/>
        <w:adjustRightInd w:val="0"/>
        <w:snapToGrid w:val="0"/>
        <w:spacing w:line="360" w:lineRule="auto"/>
        <w:ind w:left="23" w:right="4" w:firstLine="465"/>
        <w:jc w:val="both"/>
        <w:textAlignment w:val="baseline"/>
        <w:rPr>
          <w:rFonts w:ascii="宋体" w:hAnsi="宋体" w:eastAsia="宋体" w:cs="宋体"/>
          <w:color w:val="auto"/>
          <w:spacing w:val="-1"/>
          <w:sz w:val="24"/>
          <w:szCs w:val="24"/>
          <w:highlight w:val="none"/>
        </w:rPr>
      </w:pPr>
      <w:r>
        <w:rPr>
          <w:rFonts w:ascii="宋体" w:hAnsi="宋体" w:eastAsia="宋体" w:cs="宋体"/>
          <w:color w:val="auto"/>
          <w:spacing w:val="-5"/>
          <w:sz w:val="24"/>
          <w:szCs w:val="24"/>
          <w:highlight w:val="none"/>
        </w:rPr>
        <w:t>合同的权利义务依法不得转让，但经甲方同意，乙方可以依法采取分包方式履行</w:t>
      </w:r>
      <w:r>
        <w:rPr>
          <w:rFonts w:ascii="宋体" w:hAnsi="宋体" w:eastAsia="宋体" w:cs="宋体"/>
          <w:color w:val="auto"/>
          <w:spacing w:val="-6"/>
          <w:sz w:val="24"/>
          <w:szCs w:val="24"/>
          <w:highlight w:val="none"/>
        </w:rPr>
        <w:t>合同，</w:t>
      </w:r>
      <w:r>
        <w:rPr>
          <w:rFonts w:ascii="宋体" w:hAnsi="宋体" w:eastAsia="宋体" w:cs="宋体"/>
          <w:color w:val="auto"/>
          <w:spacing w:val="-1"/>
          <w:sz w:val="24"/>
          <w:szCs w:val="24"/>
          <w:highlight w:val="none"/>
        </w:rPr>
        <w:t>即：依法可以将合同项下的部分非主体、非关键性工作分包给他人完成，接受分包的人应当具备相应的资格条件，并不得再次分包，且乙方应就分包项目向甲方负责，并与分包供应商就分包项目向甲方承担连带责任。</w:t>
      </w:r>
      <w:bookmarkStart w:id="141" w:name="_Toc7247"/>
      <w:bookmarkStart w:id="142" w:name="_Toc370"/>
    </w:p>
    <w:p w14:paraId="070DE495">
      <w:pPr>
        <w:keepNext w:val="0"/>
        <w:keepLines w:val="0"/>
        <w:pageBreakBefore w:val="0"/>
        <w:widowControl/>
        <w:kinsoku w:val="0"/>
        <w:wordWrap/>
        <w:overflowPunct/>
        <w:topLinePunct w:val="0"/>
        <w:autoSpaceDE w:val="0"/>
        <w:autoSpaceDN w:val="0"/>
        <w:bidi w:val="0"/>
        <w:adjustRightInd w:val="0"/>
        <w:snapToGrid w:val="0"/>
        <w:spacing w:line="360" w:lineRule="auto"/>
        <w:ind w:left="491"/>
        <w:textAlignment w:val="baseline"/>
        <w:outlineLvl w:val="0"/>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pPr>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2.13不可抗力</w:t>
      </w:r>
      <w:bookmarkEnd w:id="141"/>
      <w:bookmarkEnd w:id="142"/>
    </w:p>
    <w:p w14:paraId="369C6371">
      <w:pPr>
        <w:keepNext w:val="0"/>
        <w:keepLines w:val="0"/>
        <w:pageBreakBefore w:val="0"/>
        <w:widowControl/>
        <w:kinsoku w:val="0"/>
        <w:wordWrap/>
        <w:overflowPunct/>
        <w:topLinePunct w:val="0"/>
        <w:autoSpaceDE w:val="0"/>
        <w:autoSpaceDN w:val="0"/>
        <w:bidi w:val="0"/>
        <w:adjustRightInd w:val="0"/>
        <w:snapToGrid w:val="0"/>
        <w:spacing w:line="360" w:lineRule="auto"/>
        <w:ind w:right="80"/>
        <w:jc w:val="right"/>
        <w:textAlignment w:val="baseline"/>
        <w:rPr>
          <w:rFonts w:ascii="宋体" w:hAnsi="宋体" w:eastAsia="宋体" w:cs="宋体"/>
          <w:color w:val="auto"/>
          <w:sz w:val="24"/>
          <w:szCs w:val="24"/>
          <w:highlight w:val="none"/>
        </w:rPr>
      </w:pPr>
      <w:r>
        <w:rPr>
          <w:rFonts w:ascii="宋体" w:hAnsi="宋体" w:eastAsia="宋体" w:cs="宋体"/>
          <w:color w:val="auto"/>
          <w:spacing w:val="-2"/>
          <w:position w:val="24"/>
          <w:sz w:val="24"/>
          <w:szCs w:val="24"/>
          <w:highlight w:val="none"/>
        </w:rPr>
        <w:t>2.13.1如果任何一方遭遇法律规定的不可抗力，致使合同履行受</w:t>
      </w:r>
      <w:r>
        <w:rPr>
          <w:rFonts w:ascii="宋体" w:hAnsi="宋体" w:eastAsia="宋体" w:cs="宋体"/>
          <w:color w:val="auto"/>
          <w:spacing w:val="-3"/>
          <w:position w:val="24"/>
          <w:sz w:val="24"/>
          <w:szCs w:val="24"/>
          <w:highlight w:val="none"/>
        </w:rPr>
        <w:t>阻时，履行合同的期</w:t>
      </w:r>
    </w:p>
    <w:p w14:paraId="5A2520A4">
      <w:pPr>
        <w:keepNext w:val="0"/>
        <w:keepLines w:val="0"/>
        <w:pageBreakBefore w:val="0"/>
        <w:widowControl/>
        <w:kinsoku w:val="0"/>
        <w:wordWrap/>
        <w:overflowPunct/>
        <w:topLinePunct w:val="0"/>
        <w:autoSpaceDE w:val="0"/>
        <w:autoSpaceDN w:val="0"/>
        <w:bidi w:val="0"/>
        <w:adjustRightInd w:val="0"/>
        <w:snapToGrid w:val="0"/>
        <w:spacing w:line="360" w:lineRule="auto"/>
        <w:ind w:left="17"/>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限应予延长，延长的期限应相当于不可抗力所影响的时</w:t>
      </w:r>
      <w:r>
        <w:rPr>
          <w:rFonts w:ascii="宋体" w:hAnsi="宋体" w:eastAsia="宋体" w:cs="宋体"/>
          <w:color w:val="auto"/>
          <w:spacing w:val="-2"/>
          <w:sz w:val="24"/>
          <w:szCs w:val="24"/>
          <w:highlight w:val="none"/>
        </w:rPr>
        <w:t>间；</w:t>
      </w:r>
    </w:p>
    <w:p w14:paraId="0320B897">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2.13.2因不可抗力致使不能实现合同目的的，当</w:t>
      </w:r>
      <w:r>
        <w:rPr>
          <w:rFonts w:ascii="宋体" w:hAnsi="宋体" w:eastAsia="宋体" w:cs="宋体"/>
          <w:color w:val="auto"/>
          <w:spacing w:val="-2"/>
          <w:sz w:val="24"/>
          <w:szCs w:val="24"/>
          <w:highlight w:val="none"/>
        </w:rPr>
        <w:t>事人可以解除合同；</w:t>
      </w:r>
    </w:p>
    <w:p w14:paraId="51D51257">
      <w:pPr>
        <w:keepNext w:val="0"/>
        <w:keepLines w:val="0"/>
        <w:pageBreakBefore w:val="0"/>
        <w:widowControl/>
        <w:kinsoku w:val="0"/>
        <w:wordWrap/>
        <w:overflowPunct/>
        <w:topLinePunct w:val="0"/>
        <w:autoSpaceDE w:val="0"/>
        <w:autoSpaceDN w:val="0"/>
        <w:bidi w:val="0"/>
        <w:adjustRightInd w:val="0"/>
        <w:snapToGrid w:val="0"/>
        <w:spacing w:line="360" w:lineRule="auto"/>
        <w:ind w:right="80"/>
        <w:jc w:val="right"/>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2.13.3因不可抗力致使合同有变更必要的，双方当事人应在</w:t>
      </w:r>
      <w:r>
        <w:rPr>
          <w:rFonts w:ascii="宋体" w:hAnsi="宋体" w:eastAsia="宋体" w:cs="宋体"/>
          <w:i/>
          <w:iCs/>
          <w:color w:val="auto"/>
          <w:spacing w:val="-4"/>
          <w:sz w:val="25"/>
          <w:szCs w:val="25"/>
          <w:highlight w:val="none"/>
          <w:u w:val="single" w:color="auto"/>
        </w:rPr>
        <w:t>合同专用条款</w:t>
      </w:r>
      <w:r>
        <w:rPr>
          <w:rFonts w:ascii="宋体" w:hAnsi="宋体" w:eastAsia="宋体" w:cs="宋体"/>
          <w:color w:val="auto"/>
          <w:spacing w:val="-4"/>
          <w:sz w:val="24"/>
          <w:szCs w:val="24"/>
          <w:highlight w:val="none"/>
        </w:rPr>
        <w:t>约</w:t>
      </w:r>
      <w:r>
        <w:rPr>
          <w:rFonts w:ascii="宋体" w:hAnsi="宋体" w:eastAsia="宋体" w:cs="宋体"/>
          <w:color w:val="auto"/>
          <w:spacing w:val="-5"/>
          <w:sz w:val="24"/>
          <w:szCs w:val="24"/>
          <w:highlight w:val="none"/>
        </w:rPr>
        <w:t>定时间内</w:t>
      </w:r>
    </w:p>
    <w:p w14:paraId="55883000">
      <w:pPr>
        <w:keepNext w:val="0"/>
        <w:keepLines w:val="0"/>
        <w:pageBreakBefore w:val="0"/>
        <w:widowControl/>
        <w:kinsoku w:val="0"/>
        <w:wordWrap/>
        <w:overflowPunct/>
        <w:topLinePunct w:val="0"/>
        <w:autoSpaceDE w:val="0"/>
        <w:autoSpaceDN w:val="0"/>
        <w:bidi w:val="0"/>
        <w:adjustRightInd w:val="0"/>
        <w:snapToGrid w:val="0"/>
        <w:spacing w:line="360" w:lineRule="auto"/>
        <w:ind w:left="28"/>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以书面形式变更合同；</w:t>
      </w:r>
    </w:p>
    <w:p w14:paraId="6DE22A82">
      <w:pPr>
        <w:keepNext w:val="0"/>
        <w:keepLines w:val="0"/>
        <w:pageBreakBefore w:val="0"/>
        <w:widowControl/>
        <w:kinsoku w:val="0"/>
        <w:wordWrap/>
        <w:overflowPunct/>
        <w:topLinePunct w:val="0"/>
        <w:autoSpaceDE w:val="0"/>
        <w:autoSpaceDN w:val="0"/>
        <w:bidi w:val="0"/>
        <w:adjustRightInd w:val="0"/>
        <w:snapToGrid w:val="0"/>
        <w:spacing w:line="360" w:lineRule="auto"/>
        <w:ind w:left="1" w:right="80" w:firstLine="481"/>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2.13.4受不可抗力影响的一方在不可抗力发生后，应在</w:t>
      </w:r>
      <w:r>
        <w:rPr>
          <w:rFonts w:ascii="宋体" w:hAnsi="宋体" w:eastAsia="宋体" w:cs="宋体"/>
          <w:i/>
          <w:iCs/>
          <w:color w:val="auto"/>
          <w:spacing w:val="-4"/>
          <w:sz w:val="25"/>
          <w:szCs w:val="25"/>
          <w:highlight w:val="none"/>
          <w:u w:val="single" w:color="auto"/>
        </w:rPr>
        <w:t>合同专用条款</w:t>
      </w:r>
      <w:r>
        <w:rPr>
          <w:rFonts w:ascii="宋体" w:hAnsi="宋体" w:eastAsia="宋体" w:cs="宋体"/>
          <w:color w:val="auto"/>
          <w:spacing w:val="-4"/>
          <w:sz w:val="24"/>
          <w:szCs w:val="24"/>
          <w:highlight w:val="none"/>
        </w:rPr>
        <w:t>约定时间内以书</w:t>
      </w:r>
      <w:r>
        <w:rPr>
          <w:rFonts w:ascii="宋体" w:hAnsi="宋体" w:eastAsia="宋体" w:cs="宋体"/>
          <w:color w:val="auto"/>
          <w:spacing w:val="-2"/>
          <w:sz w:val="24"/>
          <w:szCs w:val="24"/>
          <w:highlight w:val="none"/>
        </w:rPr>
        <w:t>面形式通知对方当事人，并在</w:t>
      </w:r>
      <w:r>
        <w:rPr>
          <w:rFonts w:ascii="宋体" w:hAnsi="宋体" w:eastAsia="宋体" w:cs="宋体"/>
          <w:i/>
          <w:iCs/>
          <w:color w:val="auto"/>
          <w:spacing w:val="-2"/>
          <w:sz w:val="25"/>
          <w:szCs w:val="25"/>
          <w:highlight w:val="none"/>
          <w:u w:val="single" w:color="auto"/>
        </w:rPr>
        <w:t>合同专用条款</w:t>
      </w:r>
      <w:r>
        <w:rPr>
          <w:rFonts w:ascii="宋体" w:hAnsi="宋体" w:eastAsia="宋体" w:cs="宋体"/>
          <w:color w:val="auto"/>
          <w:spacing w:val="-2"/>
          <w:sz w:val="24"/>
          <w:szCs w:val="24"/>
          <w:highlight w:val="none"/>
        </w:rPr>
        <w:t>约定时间内，将有关部门出具的证明文件送达对方当事人。</w:t>
      </w:r>
    </w:p>
    <w:p w14:paraId="49FC2AA6">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43" w:name="_Toc25058"/>
      <w:bookmarkStart w:id="144" w:name="_Toc7424"/>
      <w:r>
        <w:rPr>
          <w:rFonts w:ascii="宋体" w:hAnsi="宋体" w:eastAsia="宋体" w:cs="宋体"/>
          <w:color w:val="auto"/>
          <w:spacing w:val="-3"/>
          <w:sz w:val="24"/>
          <w:szCs w:val="24"/>
          <w:highlight w:val="none"/>
          <w14:textOutline w14:w="4358" w14:cap="sq" w14:cmpd="sng">
            <w14:solidFill>
              <w14:srgbClr w14:val="000000"/>
            </w14:solidFill>
            <w14:prstDash w14:val="solid"/>
            <w14:bevel/>
          </w14:textOutline>
        </w:rPr>
        <w:t>2.14税费</w:t>
      </w:r>
      <w:bookmarkEnd w:id="143"/>
      <w:bookmarkEnd w:id="144"/>
    </w:p>
    <w:p w14:paraId="06A677B5">
      <w:pPr>
        <w:keepNext w:val="0"/>
        <w:keepLines w:val="0"/>
        <w:pageBreakBefore w:val="0"/>
        <w:widowControl/>
        <w:kinsoku w:val="0"/>
        <w:wordWrap/>
        <w:overflowPunct/>
        <w:topLinePunct w:val="0"/>
        <w:autoSpaceDE w:val="0"/>
        <w:autoSpaceDN w:val="0"/>
        <w:bidi w:val="0"/>
        <w:adjustRightInd w:val="0"/>
        <w:snapToGrid w:val="0"/>
        <w:spacing w:line="360" w:lineRule="auto"/>
        <w:ind w:left="485"/>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与合同有关的一切税费，均按照中华人民共和国法律的相关规定。</w:t>
      </w:r>
    </w:p>
    <w:p w14:paraId="5906F32F">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45" w:name="_Toc9160"/>
      <w:bookmarkStart w:id="146" w:name="_Toc22586"/>
      <w:r>
        <w:rPr>
          <w:rFonts w:ascii="宋体" w:hAnsi="宋体" w:eastAsia="宋体" w:cs="宋体"/>
          <w:color w:val="auto"/>
          <w:spacing w:val="-5"/>
          <w:sz w:val="24"/>
          <w:szCs w:val="24"/>
          <w:highlight w:val="none"/>
          <w14:textOutline w14:w="4358" w14:cap="sq" w14:cmpd="sng">
            <w14:solidFill>
              <w14:srgbClr w14:val="000000"/>
            </w14:solidFill>
            <w14:prstDash w14:val="solid"/>
            <w14:bevel/>
          </w14:textOutline>
        </w:rPr>
        <w:t>2.15乙方破产</w:t>
      </w:r>
      <w:bookmarkEnd w:id="145"/>
      <w:bookmarkEnd w:id="146"/>
    </w:p>
    <w:p w14:paraId="41155943">
      <w:pPr>
        <w:keepNext w:val="0"/>
        <w:keepLines w:val="0"/>
        <w:pageBreakBefore w:val="0"/>
        <w:widowControl/>
        <w:kinsoku w:val="0"/>
        <w:wordWrap/>
        <w:overflowPunct/>
        <w:topLinePunct w:val="0"/>
        <w:autoSpaceDE w:val="0"/>
        <w:autoSpaceDN w:val="0"/>
        <w:bidi w:val="0"/>
        <w:adjustRightInd w:val="0"/>
        <w:snapToGrid w:val="0"/>
        <w:spacing w:line="360" w:lineRule="auto"/>
        <w:ind w:left="1" w:right="80" w:firstLine="482"/>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如果乙方破产导致合同无法履行时，甲方可以</w:t>
      </w:r>
      <w:r>
        <w:rPr>
          <w:rFonts w:ascii="宋体" w:hAnsi="宋体" w:eastAsia="宋体" w:cs="宋体"/>
          <w:color w:val="auto"/>
          <w:spacing w:val="-1"/>
          <w:sz w:val="24"/>
          <w:szCs w:val="24"/>
          <w:highlight w:val="none"/>
        </w:rPr>
        <w:t>书面形式通知乙方终止合同且不给予乙</w:t>
      </w:r>
      <w:r>
        <w:rPr>
          <w:rFonts w:ascii="宋体" w:hAnsi="宋体" w:eastAsia="宋体" w:cs="宋体"/>
          <w:color w:val="auto"/>
          <w:sz w:val="24"/>
          <w:szCs w:val="24"/>
          <w:highlight w:val="none"/>
        </w:rPr>
        <w:t>方任何补偿和赔偿，但合同的终止不损害或不影响甲方已</w:t>
      </w:r>
      <w:r>
        <w:rPr>
          <w:rFonts w:ascii="宋体" w:hAnsi="宋体" w:eastAsia="宋体" w:cs="宋体"/>
          <w:color w:val="auto"/>
          <w:spacing w:val="-1"/>
          <w:sz w:val="24"/>
          <w:szCs w:val="24"/>
          <w:highlight w:val="none"/>
        </w:rPr>
        <w:t>经采取或将要采取的任何要求乙方支付违约金、赔偿损失等的行动或补救措施的权利。</w:t>
      </w:r>
    </w:p>
    <w:p w14:paraId="4F3BB7F2">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47" w:name="_Toc27239"/>
      <w:bookmarkStart w:id="148" w:name="_Toc29969"/>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2.16合同中止、终止</w:t>
      </w:r>
      <w:bookmarkEnd w:id="147"/>
      <w:bookmarkEnd w:id="148"/>
    </w:p>
    <w:p w14:paraId="7991938C">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2.16.1双方当事人不得擅自中止或者终止合同；</w:t>
      </w:r>
    </w:p>
    <w:p w14:paraId="289887D0">
      <w:pPr>
        <w:keepNext w:val="0"/>
        <w:keepLines w:val="0"/>
        <w:pageBreakBefore w:val="0"/>
        <w:widowControl/>
        <w:kinsoku w:val="0"/>
        <w:wordWrap/>
        <w:overflowPunct/>
        <w:topLinePunct w:val="0"/>
        <w:autoSpaceDE w:val="0"/>
        <w:autoSpaceDN w:val="0"/>
        <w:bidi w:val="0"/>
        <w:adjustRightInd w:val="0"/>
        <w:snapToGrid w:val="0"/>
        <w:spacing w:line="360" w:lineRule="auto"/>
        <w:ind w:right="80"/>
        <w:jc w:val="left"/>
        <w:textAlignment w:val="baseline"/>
        <w:rPr>
          <w:rFonts w:ascii="宋体" w:hAnsi="宋体" w:eastAsia="宋体" w:cs="宋体"/>
          <w:color w:val="auto"/>
          <w:sz w:val="24"/>
          <w:szCs w:val="24"/>
          <w:highlight w:val="none"/>
        </w:rPr>
      </w:pPr>
      <w:r>
        <w:rPr>
          <w:rFonts w:ascii="宋体" w:hAnsi="宋体" w:eastAsia="宋体" w:cs="宋体"/>
          <w:color w:val="auto"/>
          <w:spacing w:val="-2"/>
          <w:position w:val="24"/>
          <w:sz w:val="24"/>
          <w:szCs w:val="24"/>
          <w:highlight w:val="none"/>
        </w:rPr>
        <w:t>2.16.2合同继续履行将损害国家利益和社会公共利益的，双方当事人应</w:t>
      </w:r>
      <w:r>
        <w:rPr>
          <w:rFonts w:ascii="宋体" w:hAnsi="宋体" w:eastAsia="宋体" w:cs="宋体"/>
          <w:color w:val="auto"/>
          <w:spacing w:val="-3"/>
          <w:position w:val="24"/>
          <w:sz w:val="24"/>
          <w:szCs w:val="24"/>
          <w:highlight w:val="none"/>
        </w:rPr>
        <w:t>当中止或者终</w:t>
      </w:r>
    </w:p>
    <w:p w14:paraId="0F84DD2A">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止合同。有过错的一方应当承担赔偿责任，双方当事人都有</w:t>
      </w:r>
      <w:r>
        <w:rPr>
          <w:rFonts w:ascii="宋体" w:hAnsi="宋体" w:eastAsia="宋体" w:cs="宋体"/>
          <w:color w:val="auto"/>
          <w:spacing w:val="-5"/>
          <w:sz w:val="24"/>
          <w:szCs w:val="24"/>
          <w:highlight w:val="none"/>
        </w:rPr>
        <w:t>过错的，各自承担相应的责任。</w:t>
      </w:r>
    </w:p>
    <w:p w14:paraId="12D03617">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49" w:name="_Toc4038"/>
      <w:bookmarkStart w:id="150" w:name="_Toc29293"/>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2.17检验和验收</w:t>
      </w:r>
      <w:bookmarkEnd w:id="149"/>
      <w:bookmarkEnd w:id="150"/>
    </w:p>
    <w:p w14:paraId="148F4AF1">
      <w:pPr>
        <w:keepNext w:val="0"/>
        <w:keepLines w:val="0"/>
        <w:pageBreakBefore w:val="0"/>
        <w:widowControl/>
        <w:kinsoku w:val="0"/>
        <w:wordWrap/>
        <w:overflowPunct/>
        <w:topLinePunct w:val="0"/>
        <w:autoSpaceDE w:val="0"/>
        <w:autoSpaceDN w:val="0"/>
        <w:bidi w:val="0"/>
        <w:adjustRightInd w:val="0"/>
        <w:snapToGrid w:val="0"/>
        <w:spacing w:line="360" w:lineRule="auto"/>
        <w:ind w:left="31" w:right="80" w:firstLine="451"/>
        <w:jc w:val="both"/>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2.17.1货物交付前，乙方应对货物的质量、数量等方面进行</w:t>
      </w:r>
      <w:r>
        <w:rPr>
          <w:rFonts w:ascii="宋体" w:hAnsi="宋体" w:eastAsia="宋体" w:cs="宋体"/>
          <w:color w:val="auto"/>
          <w:spacing w:val="-3"/>
          <w:sz w:val="24"/>
          <w:szCs w:val="24"/>
          <w:highlight w:val="none"/>
        </w:rPr>
        <w:t>详细、全面的检验，并向甲方出具证明货物符合合同约定的文件；货物交付时，乙方在</w:t>
      </w:r>
      <w:r>
        <w:rPr>
          <w:rFonts w:ascii="宋体" w:hAnsi="宋体" w:eastAsia="宋体" w:cs="宋体"/>
          <w:i/>
          <w:iCs/>
          <w:color w:val="auto"/>
          <w:spacing w:val="-3"/>
          <w:sz w:val="25"/>
          <w:szCs w:val="25"/>
          <w:highlight w:val="none"/>
          <w:u w:val="single" w:color="auto"/>
        </w:rPr>
        <w:t>合同专用条款</w:t>
      </w:r>
      <w:r>
        <w:rPr>
          <w:rFonts w:ascii="宋体" w:hAnsi="宋体" w:eastAsia="宋体" w:cs="宋体"/>
          <w:color w:val="auto"/>
          <w:spacing w:val="-3"/>
          <w:sz w:val="24"/>
          <w:szCs w:val="24"/>
          <w:highlight w:val="none"/>
        </w:rPr>
        <w:t>约定时间内组</w:t>
      </w:r>
      <w:r>
        <w:rPr>
          <w:rFonts w:ascii="宋体" w:hAnsi="宋体" w:eastAsia="宋体" w:cs="宋体"/>
          <w:color w:val="auto"/>
          <w:spacing w:val="-1"/>
          <w:sz w:val="24"/>
          <w:szCs w:val="24"/>
          <w:highlight w:val="none"/>
        </w:rPr>
        <w:t>织验收，并可依法邀请相关方参加，验收应出具验收书。</w:t>
      </w:r>
    </w:p>
    <w:p w14:paraId="1814AE4C">
      <w:pPr>
        <w:keepNext w:val="0"/>
        <w:keepLines w:val="0"/>
        <w:pageBreakBefore w:val="0"/>
        <w:widowControl/>
        <w:kinsoku w:val="0"/>
        <w:wordWrap/>
        <w:overflowPunct/>
        <w:topLinePunct w:val="0"/>
        <w:autoSpaceDE w:val="0"/>
        <w:autoSpaceDN w:val="0"/>
        <w:bidi w:val="0"/>
        <w:adjustRightInd w:val="0"/>
        <w:snapToGrid w:val="0"/>
        <w:spacing w:line="360" w:lineRule="auto"/>
        <w:ind w:left="31" w:right="80" w:firstLine="451"/>
        <w:jc w:val="both"/>
        <w:textAlignment w:val="baseline"/>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DB6DFEC">
      <w:pPr>
        <w:keepNext w:val="0"/>
        <w:keepLines w:val="0"/>
        <w:pageBreakBefore w:val="0"/>
        <w:widowControl/>
        <w:kinsoku w:val="0"/>
        <w:wordWrap/>
        <w:overflowPunct/>
        <w:topLinePunct w:val="0"/>
        <w:autoSpaceDE w:val="0"/>
        <w:autoSpaceDN w:val="0"/>
        <w:bidi w:val="0"/>
        <w:adjustRightInd w:val="0"/>
        <w:snapToGrid w:val="0"/>
        <w:spacing w:line="360" w:lineRule="auto"/>
        <w:ind w:left="31" w:right="80" w:firstLine="451"/>
        <w:jc w:val="both"/>
        <w:textAlignment w:val="baseline"/>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2.17.3检验和验收标准、程序等具体内容以及前述验收书的效力详见合同专用条款。</w:t>
      </w:r>
    </w:p>
    <w:p w14:paraId="54FA6BD0">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51" w:name="_Toc6504"/>
      <w:bookmarkStart w:id="152" w:name="_Toc31138"/>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2.18通知和送达</w:t>
      </w:r>
      <w:bookmarkEnd w:id="151"/>
      <w:bookmarkEnd w:id="152"/>
    </w:p>
    <w:p w14:paraId="445A03F8">
      <w:pPr>
        <w:keepNext w:val="0"/>
        <w:keepLines w:val="0"/>
        <w:pageBreakBefore w:val="0"/>
        <w:widowControl/>
        <w:kinsoku w:val="0"/>
        <w:wordWrap/>
        <w:overflowPunct/>
        <w:topLinePunct w:val="0"/>
        <w:autoSpaceDE w:val="0"/>
        <w:autoSpaceDN w:val="0"/>
        <w:bidi w:val="0"/>
        <w:adjustRightInd w:val="0"/>
        <w:snapToGrid w:val="0"/>
        <w:spacing w:line="360" w:lineRule="auto"/>
        <w:ind w:right="26" w:firstLine="48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2.18.1任何一方因履行合同而以合同第一部分尾部所列明的发出的所有通知、文件、</w:t>
      </w:r>
      <w:r>
        <w:rPr>
          <w:rFonts w:ascii="宋体" w:hAnsi="宋体" w:eastAsia="宋体" w:cs="宋体"/>
          <w:color w:val="auto"/>
          <w:sz w:val="24"/>
          <w:szCs w:val="24"/>
          <w:highlight w:val="none"/>
        </w:rPr>
        <w:t>材料，均视为已向对方当事人送达；任何一方变更上述送达</w:t>
      </w:r>
      <w:r>
        <w:rPr>
          <w:rFonts w:ascii="宋体" w:hAnsi="宋体" w:eastAsia="宋体" w:cs="宋体"/>
          <w:color w:val="auto"/>
          <w:spacing w:val="-1"/>
          <w:sz w:val="24"/>
          <w:szCs w:val="24"/>
          <w:highlight w:val="none"/>
        </w:rPr>
        <w:t>方式或者地址的，应于个工作</w:t>
      </w:r>
      <w:r>
        <w:rPr>
          <w:rFonts w:ascii="宋体" w:hAnsi="宋体" w:eastAsia="宋体" w:cs="宋体"/>
          <w:color w:val="auto"/>
          <w:sz w:val="24"/>
          <w:szCs w:val="24"/>
          <w:highlight w:val="none"/>
        </w:rPr>
        <w:t>日内书面通知对方当事人，在对方当事人收到有关变更通知</w:t>
      </w:r>
      <w:r>
        <w:rPr>
          <w:rFonts w:ascii="宋体" w:hAnsi="宋体" w:eastAsia="宋体" w:cs="宋体"/>
          <w:color w:val="auto"/>
          <w:spacing w:val="-1"/>
          <w:sz w:val="24"/>
          <w:szCs w:val="24"/>
          <w:highlight w:val="none"/>
        </w:rPr>
        <w:t>之前，变更前的约定送达方式</w:t>
      </w:r>
    </w:p>
    <w:p w14:paraId="09BE54D8">
      <w:pPr>
        <w:keepNext w:val="0"/>
        <w:keepLines w:val="0"/>
        <w:pageBreakBefore w:val="0"/>
        <w:widowControl/>
        <w:kinsoku w:val="0"/>
        <w:wordWrap/>
        <w:overflowPunct/>
        <w:topLinePunct w:val="0"/>
        <w:autoSpaceDE w:val="0"/>
        <w:autoSpaceDN w:val="0"/>
        <w:bidi w:val="0"/>
        <w:adjustRightInd w:val="0"/>
        <w:snapToGrid w:val="0"/>
        <w:spacing w:line="360" w:lineRule="auto"/>
        <w:ind w:left="3"/>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或者地址仍视为有效。</w:t>
      </w:r>
    </w:p>
    <w:p w14:paraId="1414182D">
      <w:pPr>
        <w:keepNext w:val="0"/>
        <w:keepLines w:val="0"/>
        <w:pageBreakBefore w:val="0"/>
        <w:widowControl/>
        <w:kinsoku w:val="0"/>
        <w:wordWrap/>
        <w:overflowPunct/>
        <w:topLinePunct w:val="0"/>
        <w:autoSpaceDE w:val="0"/>
        <w:autoSpaceDN w:val="0"/>
        <w:bidi w:val="0"/>
        <w:adjustRightInd w:val="0"/>
        <w:snapToGrid w:val="0"/>
        <w:spacing w:line="360" w:lineRule="auto"/>
        <w:ind w:left="1" w:right="49" w:firstLine="481"/>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2.18.2以当面交付方式送达的，交付之时视为送达；以电子邮件方式送达的，发出电</w:t>
      </w:r>
      <w:r>
        <w:rPr>
          <w:rFonts w:ascii="宋体" w:hAnsi="宋体" w:eastAsia="宋体" w:cs="宋体"/>
          <w:color w:val="auto"/>
          <w:sz w:val="24"/>
          <w:szCs w:val="24"/>
          <w:highlight w:val="none"/>
        </w:rPr>
        <w:t>子邮件之时视为送达；以传真方式送达的，发出传真之时视为</w:t>
      </w:r>
      <w:r>
        <w:rPr>
          <w:rFonts w:ascii="宋体" w:hAnsi="宋体" w:eastAsia="宋体" w:cs="宋体"/>
          <w:color w:val="auto"/>
          <w:spacing w:val="-1"/>
          <w:sz w:val="24"/>
          <w:szCs w:val="24"/>
          <w:highlight w:val="none"/>
        </w:rPr>
        <w:t>送达；以邮寄方式送达的，</w:t>
      </w:r>
      <w:r>
        <w:rPr>
          <w:rFonts w:ascii="宋体" w:hAnsi="宋体" w:eastAsia="宋体" w:cs="宋体"/>
          <w:color w:val="auto"/>
          <w:spacing w:val="-2"/>
          <w:sz w:val="24"/>
          <w:szCs w:val="24"/>
          <w:highlight w:val="none"/>
        </w:rPr>
        <w:t>邮件挂号寄出或者交邮之日之次日视为送达。</w:t>
      </w:r>
    </w:p>
    <w:p w14:paraId="7CFB7FFD">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53" w:name="_Toc7920"/>
      <w:bookmarkStart w:id="154" w:name="_Toc13653"/>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2.19计量单位</w:t>
      </w:r>
      <w:bookmarkEnd w:id="153"/>
      <w:bookmarkEnd w:id="154"/>
    </w:p>
    <w:p w14:paraId="0AA621C6">
      <w:pPr>
        <w:keepNext w:val="0"/>
        <w:keepLines w:val="0"/>
        <w:pageBreakBefore w:val="0"/>
        <w:widowControl/>
        <w:kinsoku w:val="0"/>
        <w:wordWrap/>
        <w:overflowPunct/>
        <w:topLinePunct w:val="0"/>
        <w:autoSpaceDE w:val="0"/>
        <w:autoSpaceDN w:val="0"/>
        <w:bidi w:val="0"/>
        <w:adjustRightInd w:val="0"/>
        <w:snapToGrid w:val="0"/>
        <w:spacing w:line="360" w:lineRule="auto"/>
        <w:ind w:left="495"/>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除技术规范中另有规定外,合同的计量单位均使用国家法定计量单位。</w:t>
      </w:r>
    </w:p>
    <w:p w14:paraId="73C679CE">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55" w:name="_Toc14330"/>
      <w:bookmarkStart w:id="156" w:name="_Toc24759"/>
      <w:r>
        <w:rPr>
          <w:rFonts w:ascii="宋体" w:hAnsi="宋体" w:eastAsia="宋体" w:cs="宋体"/>
          <w:color w:val="auto"/>
          <w:spacing w:val="-1"/>
          <w:sz w:val="24"/>
          <w:szCs w:val="24"/>
          <w:highlight w:val="none"/>
          <w14:textOutline w14:w="4358" w14:cap="sq" w14:cmpd="sng">
            <w14:solidFill>
              <w14:srgbClr w14:val="000000"/>
            </w14:solidFill>
            <w14:prstDash w14:val="solid"/>
            <w14:bevel/>
          </w14:textOutline>
        </w:rPr>
        <w:t>2.20合同使用的文字和适用的法律</w:t>
      </w:r>
      <w:bookmarkEnd w:id="155"/>
      <w:bookmarkEnd w:id="156"/>
    </w:p>
    <w:p w14:paraId="295600D1">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2.20.1合同使用汉语书就、变更和解释；</w:t>
      </w:r>
    </w:p>
    <w:p w14:paraId="7EE638AA">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2.20.2合同适用中华人民共和国法律。</w:t>
      </w:r>
    </w:p>
    <w:p w14:paraId="11B80A8F">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outlineLvl w:val="0"/>
        <w:rPr>
          <w:rFonts w:ascii="宋体" w:hAnsi="宋体" w:eastAsia="宋体" w:cs="宋体"/>
          <w:color w:val="auto"/>
          <w:sz w:val="24"/>
          <w:szCs w:val="24"/>
          <w:highlight w:val="none"/>
        </w:rPr>
      </w:pPr>
      <w:bookmarkStart w:id="157" w:name="bookmark10"/>
      <w:bookmarkEnd w:id="157"/>
      <w:bookmarkStart w:id="158" w:name="_Toc3025"/>
      <w:bookmarkStart w:id="159" w:name="_Toc32041"/>
      <w:r>
        <w:rPr>
          <w:rFonts w:ascii="宋体" w:hAnsi="宋体" w:eastAsia="宋体" w:cs="宋体"/>
          <w:color w:val="auto"/>
          <w:spacing w:val="-2"/>
          <w:sz w:val="24"/>
          <w:szCs w:val="24"/>
          <w:highlight w:val="none"/>
          <w14:textOutline w14:w="4358" w14:cap="sq" w14:cmpd="sng">
            <w14:solidFill>
              <w14:srgbClr w14:val="000000"/>
            </w14:solidFill>
            <w14:prstDash w14:val="solid"/>
            <w14:bevel/>
          </w14:textOutline>
        </w:rPr>
        <w:t>2.21履约保证金</w:t>
      </w:r>
      <w:bookmarkEnd w:id="158"/>
      <w:bookmarkEnd w:id="159"/>
    </w:p>
    <w:p w14:paraId="34A82F8B">
      <w:pPr>
        <w:keepNext w:val="0"/>
        <w:keepLines w:val="0"/>
        <w:pageBreakBefore w:val="0"/>
        <w:widowControl/>
        <w:kinsoku w:val="0"/>
        <w:wordWrap/>
        <w:overflowPunct/>
        <w:topLinePunct w:val="0"/>
        <w:autoSpaceDE w:val="0"/>
        <w:autoSpaceDN w:val="0"/>
        <w:bidi w:val="0"/>
        <w:adjustRightInd w:val="0"/>
        <w:snapToGrid w:val="0"/>
        <w:spacing w:line="360" w:lineRule="auto"/>
        <w:ind w:left="1" w:right="49" w:firstLine="481"/>
        <w:jc w:val="both"/>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2.21.1采购文件要求乙方提交履约保证金的，乙方应按</w:t>
      </w:r>
      <w:r>
        <w:rPr>
          <w:rFonts w:ascii="宋体" w:hAnsi="宋体" w:eastAsia="宋体" w:cs="宋体"/>
          <w:i/>
          <w:iCs/>
          <w:color w:val="auto"/>
          <w:spacing w:val="-4"/>
          <w:sz w:val="25"/>
          <w:szCs w:val="25"/>
          <w:highlight w:val="none"/>
          <w:u w:val="single" w:color="auto"/>
        </w:rPr>
        <w:t>合同专用条款</w:t>
      </w:r>
      <w:r>
        <w:rPr>
          <w:rFonts w:ascii="宋体" w:hAnsi="宋体" w:eastAsia="宋体" w:cs="宋体"/>
          <w:color w:val="auto"/>
          <w:spacing w:val="-4"/>
          <w:sz w:val="24"/>
          <w:szCs w:val="24"/>
          <w:highlight w:val="none"/>
        </w:rPr>
        <w:t>约定的方式，以</w:t>
      </w:r>
      <w:r>
        <w:rPr>
          <w:rFonts w:ascii="宋体" w:hAnsi="宋体" w:eastAsia="宋体" w:cs="宋体"/>
          <w:color w:val="auto"/>
          <w:sz w:val="24"/>
          <w:szCs w:val="24"/>
          <w:highlight w:val="none"/>
        </w:rPr>
        <w:t>支票、汇票、本票或者金融机构、担保机构出具的保函等</w:t>
      </w:r>
      <w:r>
        <w:rPr>
          <w:rFonts w:ascii="宋体" w:hAnsi="宋体" w:eastAsia="宋体" w:cs="宋体"/>
          <w:color w:val="auto"/>
          <w:spacing w:val="-1"/>
          <w:sz w:val="24"/>
          <w:szCs w:val="24"/>
          <w:highlight w:val="none"/>
        </w:rPr>
        <w:t>非现金形式，提交不超过合同价</w:t>
      </w:r>
      <w:r>
        <w:rPr>
          <w:rFonts w:ascii="宋体" w:hAnsi="宋体" w:eastAsia="宋体" w:cs="宋体"/>
          <w:color w:val="auto"/>
          <w:spacing w:val="-3"/>
          <w:sz w:val="24"/>
          <w:szCs w:val="24"/>
          <w:highlight w:val="none"/>
        </w:rPr>
        <w:t>10%的履约保证金；</w:t>
      </w:r>
    </w:p>
    <w:p w14:paraId="71146DDF">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82"/>
        <w:jc w:val="both"/>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2.21.2履约保证金在</w:t>
      </w:r>
      <w:r>
        <w:rPr>
          <w:rFonts w:ascii="宋体" w:hAnsi="宋体" w:eastAsia="宋体" w:cs="宋体"/>
          <w:i/>
          <w:iCs/>
          <w:color w:val="auto"/>
          <w:spacing w:val="2"/>
          <w:sz w:val="25"/>
          <w:szCs w:val="25"/>
          <w:highlight w:val="none"/>
          <w:u w:val="single" w:color="auto"/>
        </w:rPr>
        <w:t>合同专用条款</w:t>
      </w:r>
      <w:r>
        <w:rPr>
          <w:rFonts w:ascii="宋体" w:hAnsi="宋体" w:eastAsia="宋体" w:cs="宋体"/>
          <w:color w:val="auto"/>
          <w:spacing w:val="2"/>
          <w:sz w:val="24"/>
          <w:szCs w:val="24"/>
          <w:highlight w:val="none"/>
        </w:rPr>
        <w:t>约定期间内或者货物质量保证期内不予退还或者</w:t>
      </w:r>
      <w:r>
        <w:rPr>
          <w:rFonts w:ascii="宋体" w:hAnsi="宋体" w:eastAsia="宋体" w:cs="宋体"/>
          <w:color w:val="auto"/>
          <w:sz w:val="24"/>
          <w:szCs w:val="24"/>
          <w:highlight w:val="none"/>
        </w:rPr>
        <w:t>应完全有效，前述约定期间届满或者货物质量保证期届满之</w:t>
      </w:r>
      <w:r>
        <w:rPr>
          <w:rFonts w:ascii="宋体" w:hAnsi="宋体" w:eastAsia="宋体" w:cs="宋体"/>
          <w:color w:val="auto"/>
          <w:spacing w:val="-1"/>
          <w:sz w:val="24"/>
          <w:szCs w:val="24"/>
          <w:highlight w:val="none"/>
        </w:rPr>
        <w:t>日起个工作日内，甲方应将履</w:t>
      </w:r>
      <w:r>
        <w:rPr>
          <w:rFonts w:ascii="宋体" w:hAnsi="宋体" w:eastAsia="宋体" w:cs="宋体"/>
          <w:color w:val="auto"/>
          <w:spacing w:val="-2"/>
          <w:sz w:val="24"/>
          <w:szCs w:val="24"/>
          <w:highlight w:val="none"/>
        </w:rPr>
        <w:t>约保证金退还乙方；</w:t>
      </w:r>
    </w:p>
    <w:p w14:paraId="4D8FE935">
      <w:pPr>
        <w:keepNext w:val="0"/>
        <w:keepLines w:val="0"/>
        <w:pageBreakBefore w:val="0"/>
        <w:widowControl/>
        <w:kinsoku w:val="0"/>
        <w:wordWrap/>
        <w:overflowPunct/>
        <w:topLinePunct w:val="0"/>
        <w:autoSpaceDE w:val="0"/>
        <w:autoSpaceDN w:val="0"/>
        <w:bidi w:val="0"/>
        <w:adjustRightInd w:val="0"/>
        <w:snapToGrid w:val="0"/>
        <w:spacing w:line="360" w:lineRule="auto"/>
        <w:ind w:left="1" w:right="49" w:firstLine="481"/>
        <w:jc w:val="both"/>
        <w:textAlignment w:val="baseline"/>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2.21.3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4D838D9">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82"/>
        <w:jc w:val="both"/>
        <w:textAlignment w:val="baseline"/>
        <w:rPr>
          <w:rFonts w:ascii="宋体" w:hAnsi="宋体" w:eastAsia="宋体" w:cs="宋体"/>
          <w:color w:val="auto"/>
          <w:spacing w:val="2"/>
          <w:sz w:val="24"/>
          <w:szCs w:val="24"/>
          <w:highlight w:val="none"/>
        </w:rPr>
      </w:pPr>
      <w:bookmarkStart w:id="160" w:name="bookmark16"/>
      <w:bookmarkEnd w:id="160"/>
      <w:bookmarkStart w:id="161" w:name="_Toc5418"/>
      <w:bookmarkStart w:id="162" w:name="_Toc26803"/>
      <w:r>
        <w:rPr>
          <w:rFonts w:ascii="宋体" w:hAnsi="宋体" w:eastAsia="宋体" w:cs="宋体"/>
          <w:color w:val="auto"/>
          <w:spacing w:val="2"/>
          <w:sz w:val="24"/>
          <w:szCs w:val="24"/>
          <w:highlight w:val="none"/>
        </w:rPr>
        <w:t>2.22合同份数</w:t>
      </w:r>
      <w:bookmarkEnd w:id="161"/>
      <w:bookmarkEnd w:id="162"/>
    </w:p>
    <w:p w14:paraId="1E7A9CA4">
      <w:pPr>
        <w:keepNext w:val="0"/>
        <w:keepLines w:val="0"/>
        <w:pageBreakBefore w:val="0"/>
        <w:widowControl/>
        <w:kinsoku w:val="0"/>
        <w:wordWrap/>
        <w:overflowPunct/>
        <w:topLinePunct w:val="0"/>
        <w:autoSpaceDE w:val="0"/>
        <w:autoSpaceDN w:val="0"/>
        <w:bidi w:val="0"/>
        <w:adjustRightInd w:val="0"/>
        <w:snapToGrid w:val="0"/>
        <w:spacing w:line="360" w:lineRule="auto"/>
        <w:ind w:left="477"/>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合同份数按</w:t>
      </w:r>
      <w:r>
        <w:rPr>
          <w:rFonts w:ascii="宋体" w:hAnsi="宋体" w:eastAsia="宋体" w:cs="宋体"/>
          <w:i/>
          <w:iCs/>
          <w:color w:val="auto"/>
          <w:spacing w:val="-3"/>
          <w:sz w:val="25"/>
          <w:szCs w:val="25"/>
          <w:highlight w:val="none"/>
          <w:u w:val="single" w:color="auto"/>
        </w:rPr>
        <w:t>合同专用条款</w:t>
      </w:r>
      <w:r>
        <w:rPr>
          <w:rFonts w:ascii="宋体" w:hAnsi="宋体" w:eastAsia="宋体" w:cs="宋体"/>
          <w:color w:val="auto"/>
          <w:spacing w:val="-3"/>
          <w:sz w:val="24"/>
          <w:szCs w:val="24"/>
          <w:highlight w:val="none"/>
        </w:rPr>
        <w:t>规定，每份均具有同等法律效力。</w:t>
      </w:r>
    </w:p>
    <w:p w14:paraId="4935415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4"/>
          <w:szCs w:val="24"/>
          <w:highlight w:val="none"/>
        </w:rPr>
        <w:sectPr>
          <w:footerReference r:id="rId50" w:type="default"/>
          <w:pgSz w:w="11907" w:h="16840"/>
          <w:pgMar w:top="1431" w:right="1133" w:bottom="1262" w:left="1429" w:header="0" w:footer="1083" w:gutter="0"/>
          <w:pgBorders>
            <w:top w:val="none" w:sz="0" w:space="0"/>
            <w:left w:val="none" w:sz="0" w:space="0"/>
            <w:bottom w:val="none" w:sz="0" w:space="0"/>
            <w:right w:val="none" w:sz="0" w:space="0"/>
          </w:pgBorders>
          <w:pgNumType w:fmt="decimal"/>
          <w:cols w:space="720" w:num="1"/>
        </w:sectPr>
      </w:pPr>
    </w:p>
    <w:p w14:paraId="5B939F18">
      <w:pPr>
        <w:keepNext w:val="0"/>
        <w:keepLines w:val="0"/>
        <w:pageBreakBefore w:val="0"/>
        <w:widowControl/>
        <w:kinsoku w:val="0"/>
        <w:wordWrap/>
        <w:overflowPunct/>
        <w:topLinePunct w:val="0"/>
        <w:autoSpaceDE w:val="0"/>
        <w:autoSpaceDN w:val="0"/>
        <w:bidi w:val="0"/>
        <w:adjustRightInd w:val="0"/>
        <w:snapToGrid w:val="0"/>
        <w:spacing w:line="360" w:lineRule="auto"/>
        <w:ind w:left="3513"/>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14:textOutline w14:w="4358" w14:cap="sq" w14:cmpd="sng">
            <w14:solidFill>
              <w14:srgbClr w14:val="000000"/>
            </w14:solidFill>
            <w14:prstDash w14:val="solid"/>
            <w14:bevel/>
          </w14:textOutline>
        </w:rPr>
        <w:t>第三部分合同专用条款</w:t>
      </w:r>
    </w:p>
    <w:p w14:paraId="0B9124A9">
      <w:pPr>
        <w:keepNext w:val="0"/>
        <w:keepLines w:val="0"/>
        <w:pageBreakBefore w:val="0"/>
        <w:widowControl/>
        <w:kinsoku w:val="0"/>
        <w:wordWrap/>
        <w:overflowPunct/>
        <w:topLinePunct w:val="0"/>
        <w:autoSpaceDE w:val="0"/>
        <w:autoSpaceDN w:val="0"/>
        <w:bidi w:val="0"/>
        <w:adjustRightInd w:val="0"/>
        <w:snapToGrid w:val="0"/>
        <w:spacing w:line="360" w:lineRule="auto"/>
        <w:ind w:left="44" w:firstLine="478"/>
        <w:jc w:val="both"/>
        <w:textAlignment w:val="baseline"/>
        <w:rPr>
          <w:rFonts w:ascii="宋体" w:hAnsi="宋体" w:eastAsia="宋体" w:cs="宋体"/>
          <w:color w:val="auto"/>
          <w:sz w:val="24"/>
          <w:szCs w:val="24"/>
          <w:highlight w:val="none"/>
        </w:rPr>
      </w:pPr>
      <w:r>
        <w:rPr>
          <w:rFonts w:ascii="宋体" w:hAnsi="宋体" w:eastAsia="宋体" w:cs="宋体"/>
          <w:color w:val="auto"/>
          <w:sz w:val="24"/>
          <w:szCs w:val="24"/>
          <w:highlight w:val="none"/>
        </w:rPr>
        <w:t>本部分是对前两部分的补充和修改，如果前两部分和</w:t>
      </w:r>
      <w:r>
        <w:rPr>
          <w:rFonts w:ascii="宋体" w:hAnsi="宋体" w:eastAsia="宋体" w:cs="宋体"/>
          <w:color w:val="auto"/>
          <w:spacing w:val="-1"/>
          <w:sz w:val="24"/>
          <w:szCs w:val="24"/>
          <w:highlight w:val="none"/>
        </w:rPr>
        <w:t>本部分的约定不一致，应以本部</w:t>
      </w:r>
      <w:r>
        <w:rPr>
          <w:rFonts w:ascii="宋体" w:hAnsi="宋体" w:eastAsia="宋体" w:cs="宋体"/>
          <w:color w:val="auto"/>
          <w:sz w:val="24"/>
          <w:szCs w:val="24"/>
          <w:highlight w:val="none"/>
        </w:rPr>
        <w:t>分的约定为准。本部分的条款号应与前两部分的条款</w:t>
      </w:r>
      <w:r>
        <w:rPr>
          <w:rFonts w:ascii="宋体" w:hAnsi="宋体" w:eastAsia="宋体" w:cs="宋体"/>
          <w:color w:val="auto"/>
          <w:spacing w:val="-1"/>
          <w:sz w:val="24"/>
          <w:szCs w:val="24"/>
          <w:highlight w:val="none"/>
        </w:rPr>
        <w:t>号保持对应；与前两部分无对应关系</w:t>
      </w:r>
    </w:p>
    <w:p w14:paraId="08867C7F">
      <w:pPr>
        <w:keepNext w:val="0"/>
        <w:keepLines w:val="0"/>
        <w:pageBreakBefore w:val="0"/>
        <w:widowControl/>
        <w:kinsoku w:val="0"/>
        <w:wordWrap/>
        <w:overflowPunct/>
        <w:topLinePunct w:val="0"/>
        <w:autoSpaceDE w:val="0"/>
        <w:autoSpaceDN w:val="0"/>
        <w:bidi w:val="0"/>
        <w:adjustRightInd w:val="0"/>
        <w:snapToGrid w:val="0"/>
        <w:spacing w:line="360" w:lineRule="auto"/>
        <w:ind w:left="60"/>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的内容可另行编制条款号。</w:t>
      </w:r>
    </w:p>
    <w:p w14:paraId="7E2BCF6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color w:val="auto"/>
          <w:highlight w:val="none"/>
        </w:rPr>
      </w:pPr>
    </w:p>
    <w:tbl>
      <w:tblPr>
        <w:tblStyle w:val="22"/>
        <w:tblW w:w="93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8572"/>
      </w:tblGrid>
      <w:tr w14:paraId="7303D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805" w:type="dxa"/>
            <w:tcBorders>
              <w:left w:val="single" w:color="000000" w:sz="2" w:space="0"/>
            </w:tcBorders>
            <w:vAlign w:val="top"/>
          </w:tcPr>
          <w:p w14:paraId="4AFEDD7F">
            <w:pPr>
              <w:pStyle w:val="23"/>
              <w:keepNext w:val="0"/>
              <w:keepLines w:val="0"/>
              <w:pageBreakBefore w:val="0"/>
              <w:widowControl/>
              <w:kinsoku w:val="0"/>
              <w:wordWrap/>
              <w:overflowPunct/>
              <w:topLinePunct w:val="0"/>
              <w:autoSpaceDE w:val="0"/>
              <w:autoSpaceDN w:val="0"/>
              <w:bidi w:val="0"/>
              <w:adjustRightInd w:val="0"/>
              <w:snapToGrid w:val="0"/>
              <w:spacing w:line="360" w:lineRule="auto"/>
              <w:ind w:left="50"/>
              <w:textAlignment w:val="baseline"/>
              <w:rPr>
                <w:color w:val="auto"/>
                <w:sz w:val="24"/>
                <w:szCs w:val="24"/>
                <w:highlight w:val="none"/>
              </w:rPr>
            </w:pPr>
            <w:r>
              <w:rPr>
                <w:color w:val="auto"/>
                <w:spacing w:val="-3"/>
                <w:sz w:val="24"/>
                <w:szCs w:val="24"/>
                <w:highlight w:val="none"/>
                <w14:textOutline w14:w="4358" w14:cap="sq" w14:cmpd="sng">
                  <w14:solidFill>
                    <w14:srgbClr w14:val="000000"/>
                  </w14:solidFill>
                  <w14:prstDash w14:val="solid"/>
                  <w14:bevel/>
                </w14:textOutline>
              </w:rPr>
              <w:t>条款号</w:t>
            </w:r>
          </w:p>
        </w:tc>
        <w:tc>
          <w:tcPr>
            <w:tcW w:w="8572" w:type="dxa"/>
            <w:vAlign w:val="top"/>
          </w:tcPr>
          <w:p w14:paraId="431D1061">
            <w:pPr>
              <w:pStyle w:val="23"/>
              <w:keepNext w:val="0"/>
              <w:keepLines w:val="0"/>
              <w:pageBreakBefore w:val="0"/>
              <w:widowControl/>
              <w:kinsoku w:val="0"/>
              <w:wordWrap/>
              <w:overflowPunct/>
              <w:topLinePunct w:val="0"/>
              <w:autoSpaceDE w:val="0"/>
              <w:autoSpaceDN w:val="0"/>
              <w:bidi w:val="0"/>
              <w:adjustRightInd w:val="0"/>
              <w:snapToGrid w:val="0"/>
              <w:spacing w:line="360" w:lineRule="auto"/>
              <w:ind w:left="3811"/>
              <w:textAlignment w:val="baseline"/>
              <w:rPr>
                <w:color w:val="auto"/>
                <w:sz w:val="24"/>
                <w:szCs w:val="24"/>
                <w:highlight w:val="none"/>
              </w:rPr>
            </w:pPr>
            <w:r>
              <w:rPr>
                <w:color w:val="auto"/>
                <w:spacing w:val="-4"/>
                <w:sz w:val="24"/>
                <w:szCs w:val="24"/>
                <w:highlight w:val="none"/>
                <w14:textOutline w14:w="4358" w14:cap="sq" w14:cmpd="sng">
                  <w14:solidFill>
                    <w14:srgbClr w14:val="000000"/>
                  </w14:solidFill>
                  <w14:prstDash w14:val="solid"/>
                  <w14:bevel/>
                </w14:textOutline>
              </w:rPr>
              <w:t>约定内容</w:t>
            </w:r>
          </w:p>
        </w:tc>
      </w:tr>
      <w:tr w14:paraId="414E9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414BA54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48D243B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3B607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137FC39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1D18DE2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0100E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27A2CFB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23C75BD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7B39E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4F618FA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2FEDAF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72107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58627B6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63B910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090DC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1D63ABE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64C0464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573D1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7E3C3AF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18037BF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3B9FA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399DCB3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31AF974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7DBA5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56E5B0C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736CEBA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2E6A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05" w:type="dxa"/>
            <w:tcBorders>
              <w:left w:val="single" w:color="000000" w:sz="2" w:space="0"/>
            </w:tcBorders>
            <w:vAlign w:val="top"/>
          </w:tcPr>
          <w:p w14:paraId="6108A7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10305C4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48E59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805" w:type="dxa"/>
            <w:tcBorders>
              <w:left w:val="single" w:color="000000" w:sz="2" w:space="0"/>
            </w:tcBorders>
            <w:vAlign w:val="top"/>
          </w:tcPr>
          <w:p w14:paraId="5D1A0DC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770845E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r w14:paraId="65D4C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805" w:type="dxa"/>
            <w:tcBorders>
              <w:left w:val="single" w:color="000000" w:sz="2" w:space="0"/>
            </w:tcBorders>
            <w:vAlign w:val="top"/>
          </w:tcPr>
          <w:p w14:paraId="2DE171E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c>
          <w:tcPr>
            <w:tcW w:w="8572" w:type="dxa"/>
            <w:vAlign w:val="top"/>
          </w:tcPr>
          <w:p w14:paraId="1F8FB60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tc>
      </w:tr>
    </w:tbl>
    <w:p w14:paraId="2853101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color w:val="auto"/>
          <w:sz w:val="21"/>
          <w:highlight w:val="none"/>
        </w:rPr>
      </w:pPr>
    </w:p>
    <w:p w14:paraId="33DB3F7A">
      <w:pPr>
        <w:spacing w:before="59" w:line="184" w:lineRule="auto"/>
        <w:rPr>
          <w:rFonts w:ascii="宋体" w:hAnsi="宋体" w:eastAsia="宋体" w:cs="宋体"/>
          <w:color w:val="auto"/>
          <w:sz w:val="18"/>
          <w:szCs w:val="18"/>
          <w:highlight w:val="none"/>
        </w:rPr>
      </w:pPr>
    </w:p>
    <w:sectPr>
      <w:footerReference r:id="rId51" w:type="default"/>
      <w:pgSz w:w="11907" w:h="16840"/>
      <w:pgMar w:top="1440" w:right="1800" w:bottom="1440" w:left="1800" w:header="0" w:footer="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F3464E8-9FD8-4211-8857-88DC4C00EEE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9DF5F1A-3B89-438D-8467-048182F3E0B9}"/>
  </w:font>
  <w:font w:name="微软雅黑">
    <w:panose1 w:val="020B0503020204020204"/>
    <w:charset w:val="86"/>
    <w:family w:val="auto"/>
    <w:pitch w:val="default"/>
    <w:sig w:usb0="80000287" w:usb1="2ACF3C50" w:usb2="00000016" w:usb3="00000000" w:csb0="0004001F" w:csb1="00000000"/>
    <w:embedRegular r:id="rId3" w:fontKey="{E2EEF17A-3BE6-4C0F-A8EA-B5D06D35E145}"/>
  </w:font>
  <w:font w:name="仿宋">
    <w:panose1 w:val="02010609060101010101"/>
    <w:charset w:val="86"/>
    <w:family w:val="auto"/>
    <w:pitch w:val="default"/>
    <w:sig w:usb0="800002BF" w:usb1="38CF7CFA" w:usb2="00000016" w:usb3="00000000" w:csb0="00040001" w:csb1="00000000"/>
    <w:embedRegular r:id="rId4" w:fontKey="{D4CFE782-7B1A-4350-8CBE-375675E598F7}"/>
  </w:font>
  <w:font w:name="方正仿宋_GB18030">
    <w:altName w:val="仿宋"/>
    <w:panose1 w:val="02000000000000000000"/>
    <w:charset w:val="86"/>
    <w:family w:val="auto"/>
    <w:pitch w:val="default"/>
    <w:sig w:usb0="00000000" w:usb1="00000000" w:usb2="00000000" w:usb3="00000000" w:csb0="00040000" w:csb1="00000000"/>
    <w:embedRegular r:id="rId5" w:fontKey="{D2FD575C-CE42-4AAE-9428-E95AC93798A8}"/>
  </w:font>
  <w:font w:name="方正公文仿宋">
    <w:altName w:val="仿宋"/>
    <w:panose1 w:val="02000500000000000000"/>
    <w:charset w:val="86"/>
    <w:family w:val="auto"/>
    <w:pitch w:val="default"/>
    <w:sig w:usb0="00000000" w:usb1="00000000" w:usb2="00000016" w:usb3="00000000" w:csb0="00040001" w:csb1="00000000"/>
    <w:embedRegular r:id="rId6" w:fontKey="{1250E9AD-92F7-4838-8A87-76B24DD0F808}"/>
  </w:font>
  <w:font w:name="PingFang SC">
    <w:altName w:val="宋体"/>
    <w:panose1 w:val="020B0400000000000000"/>
    <w:charset w:val="86"/>
    <w:family w:val="auto"/>
    <w:pitch w:val="default"/>
    <w:sig w:usb0="00000000" w:usb1="00000000" w:usb2="00000017" w:usb3="00000000" w:csb0="00040001" w:csb1="00000000"/>
    <w:embedRegular r:id="rId7" w:fontKey="{9C102B86-ACFD-479B-BEC1-7FF60D92827B}"/>
  </w:font>
  <w:font w:name="KSOFE9FE2394">
    <w:panose1 w:val="02010609060101010101"/>
    <w:charset w:val="86"/>
    <w:family w:val="auto"/>
    <w:pitch w:val="default"/>
    <w:sig w:usb0="00000001" w:usb1="00000000" w:usb2="00000000" w:usb3="00000000" w:csb0="00040001" w:csb1="00000000"/>
  </w:font>
  <w:font w:name="KSOFE9FE97F3">
    <w:panose1 w:val="02010609060101010101"/>
    <w:charset w:val="86"/>
    <w:family w:val="auto"/>
    <w:pitch w:val="default"/>
    <w:sig w:usb0="00000001" w:usb1="00000000" w:usb2="00000000" w:usb3="00000000" w:csb0="00040001" w:csb1="00000000"/>
  </w:font>
  <w:font w:name="KSOFE11AC4C4">
    <w:panose1 w:val="02010609060101010101"/>
    <w:charset w:val="86"/>
    <w:family w:val="auto"/>
    <w:pitch w:val="default"/>
    <w:sig w:usb0="00000001" w:usb1="00000000" w:usb2="00000000" w:usb3="00000000" w:csb0="00040001" w:csb1="00000000"/>
  </w:font>
  <w:font w:name="KSOFE11A506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463E5">
    <w:pPr>
      <w:spacing w:line="173" w:lineRule="auto"/>
      <w:ind w:left="4446"/>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C58F9">
    <w:pPr>
      <w:spacing w:line="172" w:lineRule="auto"/>
      <w:ind w:left="466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6E2B">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5836E2B">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E82B9">
    <w:pPr>
      <w:spacing w:line="172" w:lineRule="auto"/>
      <w:ind w:left="4756"/>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F84E8">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09F84E8">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E1284">
    <w:pPr>
      <w:spacing w:line="173" w:lineRule="auto"/>
      <w:ind w:left="4785"/>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813ED">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DD813ED">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AC2D5">
    <w:pPr>
      <w:spacing w:line="172" w:lineRule="auto"/>
      <w:ind w:left="4222"/>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D488F">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25FD488F">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1F83A">
    <w:pPr>
      <w:spacing w:line="172" w:lineRule="auto"/>
      <w:ind w:left="4782"/>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99A62">
                          <w:pPr>
                            <w:pStyle w:val="1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CE99A62">
                    <w:pPr>
                      <w:pStyle w:val="1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29877">
    <w:pPr>
      <w:spacing w:line="172" w:lineRule="auto"/>
      <w:ind w:left="4782"/>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EBFE7">
                          <w:pPr>
                            <w:pStyle w:val="1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82EBFE7">
                    <w:pPr>
                      <w:pStyle w:val="1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15DA7">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4083A">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874083A">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3ED1A">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1146A">
                          <w:pPr>
                            <w:pStyle w:val="1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7F81146A">
                    <w:pPr>
                      <w:pStyle w:val="1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F6557">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3A0DA">
                          <w:pPr>
                            <w:pStyle w:val="1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F03A0DA">
                    <w:pPr>
                      <w:pStyle w:val="1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47772">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C7A9C">
                          <w:pPr>
                            <w:pStyle w:val="1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085C7A9C">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A8BF3">
    <w:pPr>
      <w:spacing w:line="173" w:lineRule="auto"/>
      <w:ind w:left="4785"/>
      <w:rPr>
        <w:rFonts w:ascii="宋体" w:hAnsi="宋体" w:eastAsia="宋体" w:cs="宋体"/>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A34CC">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61859">
                          <w:pPr>
                            <w:pStyle w:val="1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2961859">
                    <w:pPr>
                      <w:pStyle w:val="1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F9BDB">
    <w:pPr>
      <w:spacing w:line="172" w:lineRule="auto"/>
      <w:ind w:left="4083"/>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5002F">
                          <w:pPr>
                            <w:pStyle w:val="1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00C5002F">
                    <w:pPr>
                      <w:pStyle w:val="1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5A1EC">
    <w:pPr>
      <w:spacing w:line="173" w:lineRule="auto"/>
      <w:ind w:left="4083"/>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3F00E">
                          <w:pPr>
                            <w:pStyle w:val="1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7633F00E">
                    <w:pPr>
                      <w:pStyle w:val="1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1B603">
    <w:pPr>
      <w:spacing w:line="172" w:lineRule="auto"/>
      <w:ind w:left="4083"/>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2975D">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B02975D">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45C8">
    <w:pPr>
      <w:spacing w:line="172" w:lineRule="auto"/>
      <w:ind w:left="4083"/>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4CB05">
                          <w:pPr>
                            <w:pStyle w:val="12"/>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324CB05">
                    <w:pPr>
                      <w:pStyle w:val="12"/>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03C28">
    <w:pPr>
      <w:spacing w:line="172" w:lineRule="auto"/>
      <w:ind w:left="4778"/>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E1AF1">
                          <w:pPr>
                            <w:pStyle w:val="12"/>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36CE1AF1">
                    <w:pPr>
                      <w:pStyle w:val="12"/>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2FE29">
    <w:pPr>
      <w:spacing w:line="172" w:lineRule="auto"/>
      <w:ind w:left="6901"/>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82C9B">
                          <w:pPr>
                            <w:pStyle w:val="12"/>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3F82C9B">
                    <w:pPr>
                      <w:pStyle w:val="12"/>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E3EE">
    <w:pPr>
      <w:spacing w:line="172" w:lineRule="auto"/>
      <w:ind w:left="4185"/>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FEA08">
                          <w:pPr>
                            <w:pStyle w:val="12"/>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2BCFEA08">
                    <w:pPr>
                      <w:pStyle w:val="12"/>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29D0B">
    <w:pPr>
      <w:spacing w:line="172" w:lineRule="auto"/>
      <w:ind w:left="4253"/>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BE07A">
                          <w:pPr>
                            <w:pStyle w:val="12"/>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9EBE07A">
                    <w:pPr>
                      <w:pStyle w:val="12"/>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A06B">
    <w:pPr>
      <w:spacing w:line="172" w:lineRule="auto"/>
      <w:ind w:left="4083"/>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015DE">
                          <w:pPr>
                            <w:pStyle w:val="12"/>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7AF015DE">
                    <w:pPr>
                      <w:pStyle w:val="12"/>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FC8B4">
    <w:pPr>
      <w:spacing w:line="172" w:lineRule="auto"/>
      <w:ind w:left="4770"/>
      <w:rPr>
        <w:rFonts w:ascii="宋体" w:hAnsi="宋体" w:eastAsia="宋体" w:cs="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A6DB7">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18A6DB7">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D7E48">
    <w:pPr>
      <w:spacing w:line="172" w:lineRule="auto"/>
      <w:ind w:left="4083"/>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5C669">
                          <w:pPr>
                            <w:pStyle w:val="1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E65C669">
                    <w:pPr>
                      <w:pStyle w:val="1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8314A">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D2E55">
                          <w:pPr>
                            <w:pStyle w:val="1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DCD2E55">
                    <w:pPr>
                      <w:pStyle w:val="1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92E66">
    <w:pPr>
      <w:spacing w:line="173" w:lineRule="auto"/>
      <w:ind w:left="4087"/>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69342">
                          <w:pPr>
                            <w:pStyle w:val="1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66469342">
                    <w:pPr>
                      <w:pStyle w:val="1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5A27">
    <w:pPr>
      <w:spacing w:line="172" w:lineRule="auto"/>
      <w:ind w:left="4087"/>
      <w:rPr>
        <w:rFonts w:ascii="宋体" w:hAnsi="宋体" w:eastAsia="宋体" w:cs="宋体"/>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B8016">
                          <w:pPr>
                            <w:pStyle w:val="12"/>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D0B8016">
                    <w:pPr>
                      <w:pStyle w:val="1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0A294">
    <w:pPr>
      <w:spacing w:line="172" w:lineRule="auto"/>
      <w:ind w:left="4782"/>
      <w:rPr>
        <w:rFonts w:ascii="宋体" w:hAnsi="宋体" w:eastAsia="宋体" w:cs="宋体"/>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714A8">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0B7714A8">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DE666">
    <w:pPr>
      <w:spacing w:line="172" w:lineRule="auto"/>
      <w:ind w:left="4782"/>
      <w:rPr>
        <w:rFonts w:ascii="宋体" w:hAnsi="宋体" w:eastAsia="宋体" w:cs="宋体"/>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F8479D">
                          <w:pPr>
                            <w:pStyle w:val="1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51F8479D">
                    <w:pPr>
                      <w:pStyle w:val="1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6297">
    <w:pPr>
      <w:spacing w:line="171" w:lineRule="auto"/>
      <w:ind w:left="4179"/>
      <w:rPr>
        <w:rFonts w:ascii="宋体" w:hAnsi="宋体" w:eastAsia="宋体" w:cs="宋体"/>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B2FB1">
                          <w:pPr>
                            <w:pStyle w:val="1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81B2FB1">
                    <w:pPr>
                      <w:pStyle w:val="1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8908">
    <w:pPr>
      <w:pStyle w:val="12"/>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B6249">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DFB6249">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031B3">
    <w:pPr>
      <w:spacing w:line="173" w:lineRule="auto"/>
      <w:ind w:left="4732"/>
      <w:rPr>
        <w:rFonts w:ascii="宋体" w:hAnsi="宋体" w:eastAsia="宋体" w:cs="宋体"/>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EED49">
                          <w:pPr>
                            <w:pStyle w:val="12"/>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1AEED49">
                    <w:pPr>
                      <w:pStyle w:val="1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6E614">
    <w:pPr>
      <w:spacing w:line="172" w:lineRule="auto"/>
      <w:rPr>
        <w:rFonts w:ascii="宋体" w:hAnsi="宋体" w:eastAsia="宋体" w:cs="宋体"/>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C325">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62ABC325">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BE812">
    <w:pPr>
      <w:spacing w:line="171" w:lineRule="auto"/>
      <w:ind w:left="4768"/>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B0459">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EBB0459">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7E40A">
    <w:pPr>
      <w:spacing w:line="172" w:lineRule="auto"/>
      <w:ind w:left="4733"/>
      <w:rPr>
        <w:rFonts w:ascii="宋体" w:hAnsi="宋体" w:eastAsia="宋体" w:cs="宋体"/>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C82E4">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F7C82E4">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686E">
    <w:pPr>
      <w:spacing w:line="172" w:lineRule="auto"/>
      <w:ind w:left="4739"/>
      <w:rPr>
        <w:rFonts w:ascii="宋体" w:hAnsi="宋体" w:eastAsia="宋体" w:cs="宋体"/>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4CFFA">
                          <w:pPr>
                            <w:pStyle w:val="1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0EE4CFFA">
                    <w:pPr>
                      <w:pStyle w:val="1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F99BB">
    <w:pPr>
      <w:spacing w:line="171" w:lineRule="auto"/>
      <w:ind w:left="4739"/>
      <w:rPr>
        <w:rFonts w:ascii="宋体" w:hAnsi="宋体" w:eastAsia="宋体" w:cs="宋体"/>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2AB44">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5EA2AB44">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D22E">
    <w:pPr>
      <w:spacing w:line="172" w:lineRule="auto"/>
      <w:ind w:left="4180"/>
      <w:rPr>
        <w:rFonts w:ascii="宋体" w:hAnsi="宋体" w:eastAsia="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FC719">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5AAFC719">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E077">
    <w:pPr>
      <w:spacing w:line="172" w:lineRule="auto"/>
      <w:ind w:left="4088"/>
      <w:rPr>
        <w:rFonts w:ascii="宋体" w:hAnsi="宋体" w:eastAsia="宋体" w:cs="宋体"/>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2EF65">
                          <w:pPr>
                            <w:pStyle w:val="12"/>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5482EF65">
                    <w:pPr>
                      <w:pStyle w:val="1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5C40">
    <w:pPr>
      <w:spacing w:line="172" w:lineRule="auto"/>
      <w:ind w:left="4589"/>
      <w:rPr>
        <w:rFonts w:ascii="宋体" w:hAnsi="宋体" w:eastAsia="宋体" w:cs="宋体"/>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EE2A2">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702EE2A2">
                    <w:pPr>
                      <w:pStyle w:val="1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7042D">
    <w:pPr>
      <w:spacing w:line="172" w:lineRule="auto"/>
      <w:ind w:left="4583"/>
      <w:rPr>
        <w:rFonts w:ascii="宋体" w:hAnsi="宋体" w:eastAsia="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BDCFC">
                          <w:pPr>
                            <w:pStyle w:val="12"/>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2FABDCFC">
                    <w:pPr>
                      <w:pStyle w:val="12"/>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BD75F">
    <w:pPr>
      <w:keepNext w:val="0"/>
      <w:keepLines w:val="0"/>
      <w:pageBreakBefore w:val="0"/>
      <w:widowControl/>
      <w:kinsoku w:val="0"/>
      <w:wordWrap/>
      <w:overflowPunct/>
      <w:topLinePunct w:val="0"/>
      <w:bidi w:val="0"/>
      <w:adjustRightInd w:val="0"/>
      <w:snapToGrid w:val="0"/>
      <w:spacing w:line="240" w:lineRule="auto"/>
      <w:textAlignment w:val="baseline"/>
      <w:rPr>
        <w:rFonts w:ascii="Arial"/>
        <w:sz w:val="2"/>
      </w:rPr>
    </w:pPr>
    <w:r>
      <w:rPr>
        <w:sz w:val="2"/>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B6DD1">
                          <w:pPr>
                            <w:pStyle w:val="1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4CCB6DD1">
                    <w:pPr>
                      <w:pStyle w:val="1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3F234">
    <w:pPr>
      <w:spacing w:line="172" w:lineRule="auto"/>
      <w:ind w:left="4770"/>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55042">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E155042">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942EB">
    <w:pPr>
      <w:spacing w:line="172" w:lineRule="auto"/>
      <w:ind w:left="4732"/>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F695B">
                          <w:pPr>
                            <w:pStyle w:val="1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5FF695B">
                    <w:pPr>
                      <w:pStyle w:val="1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9B5C6">
    <w:pPr>
      <w:spacing w:line="172" w:lineRule="auto"/>
      <w:ind w:left="4741"/>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158CD">
                          <w:pPr>
                            <w:pStyle w:val="1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EE158CD">
                    <w:pPr>
                      <w:pStyle w:val="1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4318E">
    <w:pPr>
      <w:spacing w:line="172" w:lineRule="auto"/>
      <w:ind w:left="4729"/>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A3874">
                          <w:pPr>
                            <w:pStyle w:val="1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49A3874">
                    <w:pPr>
                      <w:pStyle w:val="1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1C967">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DF55B">
                          <w:pPr>
                            <w:pStyle w:val="1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6BDF55B">
                    <w:pPr>
                      <w:pStyle w:val="1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AB5879"/>
    <w:multiLevelType w:val="singleLevel"/>
    <w:tmpl w:val="B2AB5879"/>
    <w:lvl w:ilvl="0" w:tentative="0">
      <w:start w:val="2"/>
      <w:numFmt w:val="chineseCounting"/>
      <w:suff w:val="nothing"/>
      <w:lvlText w:val="（%1）"/>
      <w:lvlJc w:val="left"/>
      <w:rPr>
        <w:rFonts w:hint="eastAsia"/>
      </w:rPr>
    </w:lvl>
  </w:abstractNum>
  <w:abstractNum w:abstractNumId="1">
    <w:nsid w:val="BC970C19"/>
    <w:multiLevelType w:val="singleLevel"/>
    <w:tmpl w:val="BC970C19"/>
    <w:lvl w:ilvl="0" w:tentative="0">
      <w:start w:val="9"/>
      <w:numFmt w:val="decimal"/>
      <w:lvlText w:val="%1."/>
      <w:lvlJc w:val="left"/>
      <w:pPr>
        <w:tabs>
          <w:tab w:val="left" w:pos="312"/>
        </w:tabs>
      </w:pPr>
    </w:lvl>
  </w:abstractNum>
  <w:abstractNum w:abstractNumId="2">
    <w:nsid w:val="F3540159"/>
    <w:multiLevelType w:val="singleLevel"/>
    <w:tmpl w:val="F3540159"/>
    <w:lvl w:ilvl="0" w:tentative="0">
      <w:start w:val="8"/>
      <w:numFmt w:val="decimal"/>
      <w:suff w:val="nothing"/>
      <w:lvlText w:val="%1、"/>
      <w:lvlJc w:val="left"/>
    </w:lvl>
  </w:abstractNum>
  <w:abstractNum w:abstractNumId="3">
    <w:nsid w:val="F7DEA470"/>
    <w:multiLevelType w:val="singleLevel"/>
    <w:tmpl w:val="F7DEA470"/>
    <w:lvl w:ilvl="0" w:tentative="0">
      <w:start w:val="16"/>
      <w:numFmt w:val="decimal"/>
      <w:lvlText w:val="%1."/>
      <w:lvlJc w:val="left"/>
      <w:pPr>
        <w:tabs>
          <w:tab w:val="left" w:pos="312"/>
        </w:tabs>
      </w:pPr>
    </w:lvl>
  </w:abstractNum>
  <w:abstractNum w:abstractNumId="4">
    <w:nsid w:val="37A67CB9"/>
    <w:multiLevelType w:val="singleLevel"/>
    <w:tmpl w:val="37A67CB9"/>
    <w:lvl w:ilvl="0" w:tentative="0">
      <w:start w:val="4"/>
      <w:numFmt w:val="decimal"/>
      <w:suff w:val="nothing"/>
      <w:lvlText w:val="%1、"/>
      <w:lvlJc w:val="left"/>
    </w:lvl>
  </w:abstractNum>
  <w:abstractNum w:abstractNumId="5">
    <w:nsid w:val="5DEF6261"/>
    <w:multiLevelType w:val="singleLevel"/>
    <w:tmpl w:val="5DEF6261"/>
    <w:lvl w:ilvl="0" w:tentative="0">
      <w:start w:val="17"/>
      <w:numFmt w:val="decimal"/>
      <w:lvlText w:val="%1."/>
      <w:lvlJc w:val="left"/>
      <w:pPr>
        <w:tabs>
          <w:tab w:val="left" w:pos="312"/>
        </w:tabs>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MjRkNTM5ZTI5NzhlMzBkNDM3MDQzYjkxZTMyMzkyN2UifQ=="/>
  </w:docVars>
  <w:rsids>
    <w:rsidRoot w:val="00000000"/>
    <w:rsid w:val="00013654"/>
    <w:rsid w:val="000C3DA7"/>
    <w:rsid w:val="000D74B7"/>
    <w:rsid w:val="001D5FB4"/>
    <w:rsid w:val="00246D7E"/>
    <w:rsid w:val="002C4449"/>
    <w:rsid w:val="00364D87"/>
    <w:rsid w:val="00490B57"/>
    <w:rsid w:val="00494FFB"/>
    <w:rsid w:val="00AD558A"/>
    <w:rsid w:val="00B32474"/>
    <w:rsid w:val="010370DF"/>
    <w:rsid w:val="01050F22"/>
    <w:rsid w:val="010D427B"/>
    <w:rsid w:val="017C6D0A"/>
    <w:rsid w:val="01910A08"/>
    <w:rsid w:val="01A52705"/>
    <w:rsid w:val="01A95E0E"/>
    <w:rsid w:val="01AA3877"/>
    <w:rsid w:val="01AC3A93"/>
    <w:rsid w:val="01B446F6"/>
    <w:rsid w:val="01B72C32"/>
    <w:rsid w:val="01C810B9"/>
    <w:rsid w:val="01C8431F"/>
    <w:rsid w:val="01E7687A"/>
    <w:rsid w:val="01EC0334"/>
    <w:rsid w:val="01EF3980"/>
    <w:rsid w:val="01EF7CEA"/>
    <w:rsid w:val="01FA65AD"/>
    <w:rsid w:val="020411DA"/>
    <w:rsid w:val="0204567E"/>
    <w:rsid w:val="02142517"/>
    <w:rsid w:val="021A27AB"/>
    <w:rsid w:val="022C6982"/>
    <w:rsid w:val="02300221"/>
    <w:rsid w:val="0233386D"/>
    <w:rsid w:val="02750329"/>
    <w:rsid w:val="0275668A"/>
    <w:rsid w:val="02AB5AF9"/>
    <w:rsid w:val="02D11CB0"/>
    <w:rsid w:val="02D92666"/>
    <w:rsid w:val="02E3298A"/>
    <w:rsid w:val="02E903CF"/>
    <w:rsid w:val="02EB264D"/>
    <w:rsid w:val="02ED7DC3"/>
    <w:rsid w:val="030A56A2"/>
    <w:rsid w:val="03157C90"/>
    <w:rsid w:val="03200295"/>
    <w:rsid w:val="032969FC"/>
    <w:rsid w:val="036D7252"/>
    <w:rsid w:val="037313E0"/>
    <w:rsid w:val="03821430"/>
    <w:rsid w:val="03A66872"/>
    <w:rsid w:val="03AA4003"/>
    <w:rsid w:val="03C52BEB"/>
    <w:rsid w:val="03E56DE9"/>
    <w:rsid w:val="040000C7"/>
    <w:rsid w:val="04047295"/>
    <w:rsid w:val="04131BA8"/>
    <w:rsid w:val="043A5387"/>
    <w:rsid w:val="04451C17"/>
    <w:rsid w:val="0476611F"/>
    <w:rsid w:val="047C774D"/>
    <w:rsid w:val="04983E5B"/>
    <w:rsid w:val="04B24C31"/>
    <w:rsid w:val="04BF2C00"/>
    <w:rsid w:val="04C10E1A"/>
    <w:rsid w:val="04C3537C"/>
    <w:rsid w:val="04C70F47"/>
    <w:rsid w:val="04C86939"/>
    <w:rsid w:val="04CD61FB"/>
    <w:rsid w:val="04E4763D"/>
    <w:rsid w:val="04E86B91"/>
    <w:rsid w:val="04F00C7C"/>
    <w:rsid w:val="05173E06"/>
    <w:rsid w:val="051756C8"/>
    <w:rsid w:val="052039A3"/>
    <w:rsid w:val="054162A1"/>
    <w:rsid w:val="054E2915"/>
    <w:rsid w:val="055422D9"/>
    <w:rsid w:val="05856642"/>
    <w:rsid w:val="059A5C38"/>
    <w:rsid w:val="05AD1B88"/>
    <w:rsid w:val="05C55124"/>
    <w:rsid w:val="05E55808"/>
    <w:rsid w:val="05E80E12"/>
    <w:rsid w:val="05F67D64"/>
    <w:rsid w:val="05F772DE"/>
    <w:rsid w:val="061B5DC9"/>
    <w:rsid w:val="06367F4B"/>
    <w:rsid w:val="063E4C65"/>
    <w:rsid w:val="063F4ED6"/>
    <w:rsid w:val="064D4A14"/>
    <w:rsid w:val="065E0A20"/>
    <w:rsid w:val="066A7A79"/>
    <w:rsid w:val="066F1EC1"/>
    <w:rsid w:val="06732DD2"/>
    <w:rsid w:val="0673692E"/>
    <w:rsid w:val="068428E9"/>
    <w:rsid w:val="068E4A9B"/>
    <w:rsid w:val="069468A4"/>
    <w:rsid w:val="06A42F8B"/>
    <w:rsid w:val="06DC0977"/>
    <w:rsid w:val="07097292"/>
    <w:rsid w:val="070A2DF8"/>
    <w:rsid w:val="070E7622"/>
    <w:rsid w:val="072705C8"/>
    <w:rsid w:val="07402ACD"/>
    <w:rsid w:val="075229E7"/>
    <w:rsid w:val="075C73C2"/>
    <w:rsid w:val="07697D31"/>
    <w:rsid w:val="076A0B89"/>
    <w:rsid w:val="07944DAE"/>
    <w:rsid w:val="07A64AE1"/>
    <w:rsid w:val="07C531B9"/>
    <w:rsid w:val="07CD00C5"/>
    <w:rsid w:val="07D94EB6"/>
    <w:rsid w:val="07E35D35"/>
    <w:rsid w:val="07FC2953"/>
    <w:rsid w:val="08144141"/>
    <w:rsid w:val="08193505"/>
    <w:rsid w:val="08257CE9"/>
    <w:rsid w:val="08285910"/>
    <w:rsid w:val="082C148A"/>
    <w:rsid w:val="08386081"/>
    <w:rsid w:val="084F6F27"/>
    <w:rsid w:val="087C59DF"/>
    <w:rsid w:val="08830278"/>
    <w:rsid w:val="0888678D"/>
    <w:rsid w:val="089A2898"/>
    <w:rsid w:val="08A52FEB"/>
    <w:rsid w:val="08F85810"/>
    <w:rsid w:val="0913264A"/>
    <w:rsid w:val="091F2D9D"/>
    <w:rsid w:val="092D54BA"/>
    <w:rsid w:val="093B4BC3"/>
    <w:rsid w:val="095567BF"/>
    <w:rsid w:val="095A3210"/>
    <w:rsid w:val="095F763D"/>
    <w:rsid w:val="096609CC"/>
    <w:rsid w:val="09714591"/>
    <w:rsid w:val="099A0675"/>
    <w:rsid w:val="09AD03A9"/>
    <w:rsid w:val="09AF5ECF"/>
    <w:rsid w:val="09B5682C"/>
    <w:rsid w:val="09C35E1E"/>
    <w:rsid w:val="09C6525A"/>
    <w:rsid w:val="09CB082F"/>
    <w:rsid w:val="09E066E9"/>
    <w:rsid w:val="09F412B3"/>
    <w:rsid w:val="09FB7366"/>
    <w:rsid w:val="0A002BCE"/>
    <w:rsid w:val="0A067AB9"/>
    <w:rsid w:val="0A073F5D"/>
    <w:rsid w:val="0A157CFC"/>
    <w:rsid w:val="0A2A2395"/>
    <w:rsid w:val="0A393A34"/>
    <w:rsid w:val="0A530F50"/>
    <w:rsid w:val="0A590531"/>
    <w:rsid w:val="0A5922DF"/>
    <w:rsid w:val="0A7669ED"/>
    <w:rsid w:val="0A9B46A5"/>
    <w:rsid w:val="0AA95014"/>
    <w:rsid w:val="0AAE43D8"/>
    <w:rsid w:val="0AC0235E"/>
    <w:rsid w:val="0AEA2F37"/>
    <w:rsid w:val="0B097861"/>
    <w:rsid w:val="0B17651E"/>
    <w:rsid w:val="0B422D73"/>
    <w:rsid w:val="0B504487"/>
    <w:rsid w:val="0B941820"/>
    <w:rsid w:val="0BA80E28"/>
    <w:rsid w:val="0BA96AD9"/>
    <w:rsid w:val="0BAD7CA8"/>
    <w:rsid w:val="0BAE21B6"/>
    <w:rsid w:val="0BCE60F2"/>
    <w:rsid w:val="0BD43FCD"/>
    <w:rsid w:val="0BEF0928"/>
    <w:rsid w:val="0C0F616A"/>
    <w:rsid w:val="0C5F0DF2"/>
    <w:rsid w:val="0C625CD5"/>
    <w:rsid w:val="0C874EE1"/>
    <w:rsid w:val="0C8D313A"/>
    <w:rsid w:val="0C937D2A"/>
    <w:rsid w:val="0C985340"/>
    <w:rsid w:val="0CA073F2"/>
    <w:rsid w:val="0CAF0367"/>
    <w:rsid w:val="0CD36378"/>
    <w:rsid w:val="0CFB25DD"/>
    <w:rsid w:val="0D1129FD"/>
    <w:rsid w:val="0D272220"/>
    <w:rsid w:val="0D613984"/>
    <w:rsid w:val="0D690A8B"/>
    <w:rsid w:val="0D735465"/>
    <w:rsid w:val="0D953218"/>
    <w:rsid w:val="0D9A0C44"/>
    <w:rsid w:val="0D9C2C0E"/>
    <w:rsid w:val="0DB25F8E"/>
    <w:rsid w:val="0DBC0BBA"/>
    <w:rsid w:val="0DCE08EE"/>
    <w:rsid w:val="0E00605F"/>
    <w:rsid w:val="0E060087"/>
    <w:rsid w:val="0E0B1B42"/>
    <w:rsid w:val="0E1C78AB"/>
    <w:rsid w:val="0E236E8B"/>
    <w:rsid w:val="0E2D7D0A"/>
    <w:rsid w:val="0E320E7D"/>
    <w:rsid w:val="0E600955"/>
    <w:rsid w:val="0E6D6359"/>
    <w:rsid w:val="0E85203D"/>
    <w:rsid w:val="0EA74904"/>
    <w:rsid w:val="0EC87A33"/>
    <w:rsid w:val="0ED308B1"/>
    <w:rsid w:val="0ED87C76"/>
    <w:rsid w:val="0EF6634E"/>
    <w:rsid w:val="0F384BB8"/>
    <w:rsid w:val="0F492922"/>
    <w:rsid w:val="0F51201D"/>
    <w:rsid w:val="0F73284C"/>
    <w:rsid w:val="0FB00BF3"/>
    <w:rsid w:val="0FB02359"/>
    <w:rsid w:val="0FD04DF1"/>
    <w:rsid w:val="0FE066CC"/>
    <w:rsid w:val="101B6CAF"/>
    <w:rsid w:val="101C0036"/>
    <w:rsid w:val="101D34E9"/>
    <w:rsid w:val="101D790A"/>
    <w:rsid w:val="102B64CB"/>
    <w:rsid w:val="102E38C6"/>
    <w:rsid w:val="10394B3C"/>
    <w:rsid w:val="103B4960"/>
    <w:rsid w:val="103E61FE"/>
    <w:rsid w:val="10533463"/>
    <w:rsid w:val="105C0433"/>
    <w:rsid w:val="106A2B50"/>
    <w:rsid w:val="107C6D27"/>
    <w:rsid w:val="10801ADD"/>
    <w:rsid w:val="10802373"/>
    <w:rsid w:val="10845908"/>
    <w:rsid w:val="1088058E"/>
    <w:rsid w:val="109951E3"/>
    <w:rsid w:val="109A0F5B"/>
    <w:rsid w:val="10A62334"/>
    <w:rsid w:val="10B4201D"/>
    <w:rsid w:val="10B55BD2"/>
    <w:rsid w:val="10D92E19"/>
    <w:rsid w:val="10E072B6"/>
    <w:rsid w:val="10EF423A"/>
    <w:rsid w:val="11196324"/>
    <w:rsid w:val="111D5F0F"/>
    <w:rsid w:val="11267530"/>
    <w:rsid w:val="113D64B6"/>
    <w:rsid w:val="115225F0"/>
    <w:rsid w:val="11523871"/>
    <w:rsid w:val="11883E00"/>
    <w:rsid w:val="118E6D12"/>
    <w:rsid w:val="11B147AE"/>
    <w:rsid w:val="11B52FA0"/>
    <w:rsid w:val="11C62446"/>
    <w:rsid w:val="11CB1D14"/>
    <w:rsid w:val="11E82916"/>
    <w:rsid w:val="11EB0F5C"/>
    <w:rsid w:val="120174E4"/>
    <w:rsid w:val="12040D82"/>
    <w:rsid w:val="12215E3D"/>
    <w:rsid w:val="122D652B"/>
    <w:rsid w:val="12397F26"/>
    <w:rsid w:val="124D2729"/>
    <w:rsid w:val="125735A8"/>
    <w:rsid w:val="12644E6E"/>
    <w:rsid w:val="126F08F1"/>
    <w:rsid w:val="127E28E2"/>
    <w:rsid w:val="12865C3B"/>
    <w:rsid w:val="12906AB9"/>
    <w:rsid w:val="12957C2C"/>
    <w:rsid w:val="129640D0"/>
    <w:rsid w:val="12AF03CB"/>
    <w:rsid w:val="12B10F0A"/>
    <w:rsid w:val="12C0114D"/>
    <w:rsid w:val="12C43900"/>
    <w:rsid w:val="12CE3384"/>
    <w:rsid w:val="12D06EB6"/>
    <w:rsid w:val="12EC466C"/>
    <w:rsid w:val="12F62DC0"/>
    <w:rsid w:val="12F72695"/>
    <w:rsid w:val="130E20C5"/>
    <w:rsid w:val="13246E38"/>
    <w:rsid w:val="134117D9"/>
    <w:rsid w:val="136A67D5"/>
    <w:rsid w:val="137668AA"/>
    <w:rsid w:val="13781A27"/>
    <w:rsid w:val="13983E78"/>
    <w:rsid w:val="13A46379"/>
    <w:rsid w:val="13B902E9"/>
    <w:rsid w:val="13BD38DE"/>
    <w:rsid w:val="13C62793"/>
    <w:rsid w:val="13D44784"/>
    <w:rsid w:val="13F565A5"/>
    <w:rsid w:val="13F86B10"/>
    <w:rsid w:val="140825FF"/>
    <w:rsid w:val="14264A67"/>
    <w:rsid w:val="14447B5C"/>
    <w:rsid w:val="147046EF"/>
    <w:rsid w:val="14741566"/>
    <w:rsid w:val="147C10A3"/>
    <w:rsid w:val="148A6FAB"/>
    <w:rsid w:val="14B24AC5"/>
    <w:rsid w:val="150F1F18"/>
    <w:rsid w:val="15104696"/>
    <w:rsid w:val="1517701E"/>
    <w:rsid w:val="15193334"/>
    <w:rsid w:val="15196596"/>
    <w:rsid w:val="152A4FA3"/>
    <w:rsid w:val="156C736A"/>
    <w:rsid w:val="1573694A"/>
    <w:rsid w:val="158C2634"/>
    <w:rsid w:val="1598015F"/>
    <w:rsid w:val="15C34AB0"/>
    <w:rsid w:val="15FB70AD"/>
    <w:rsid w:val="160550C9"/>
    <w:rsid w:val="161D59F4"/>
    <w:rsid w:val="162A303D"/>
    <w:rsid w:val="166510B8"/>
    <w:rsid w:val="16692A7F"/>
    <w:rsid w:val="167209B0"/>
    <w:rsid w:val="168924CC"/>
    <w:rsid w:val="168C5417"/>
    <w:rsid w:val="16C240F4"/>
    <w:rsid w:val="16EA2C3C"/>
    <w:rsid w:val="17103D25"/>
    <w:rsid w:val="17393D38"/>
    <w:rsid w:val="17514A69"/>
    <w:rsid w:val="1758223C"/>
    <w:rsid w:val="17591B70"/>
    <w:rsid w:val="175C51BC"/>
    <w:rsid w:val="176D1177"/>
    <w:rsid w:val="17B8259C"/>
    <w:rsid w:val="17CA65CA"/>
    <w:rsid w:val="17D17F51"/>
    <w:rsid w:val="17F11DA8"/>
    <w:rsid w:val="180715CC"/>
    <w:rsid w:val="180C0518"/>
    <w:rsid w:val="18240C92"/>
    <w:rsid w:val="18291542"/>
    <w:rsid w:val="18A32063"/>
    <w:rsid w:val="18AF632D"/>
    <w:rsid w:val="18B84674"/>
    <w:rsid w:val="18BC5F12"/>
    <w:rsid w:val="18E00334"/>
    <w:rsid w:val="18E37896"/>
    <w:rsid w:val="18E611E1"/>
    <w:rsid w:val="18F25DD8"/>
    <w:rsid w:val="18F460C2"/>
    <w:rsid w:val="18F71640"/>
    <w:rsid w:val="18FF04F5"/>
    <w:rsid w:val="19053D5D"/>
    <w:rsid w:val="190D2C12"/>
    <w:rsid w:val="192B12EA"/>
    <w:rsid w:val="193208CA"/>
    <w:rsid w:val="19333C3D"/>
    <w:rsid w:val="193F08F1"/>
    <w:rsid w:val="194128BC"/>
    <w:rsid w:val="195B397D"/>
    <w:rsid w:val="195C76F5"/>
    <w:rsid w:val="19650358"/>
    <w:rsid w:val="19793E03"/>
    <w:rsid w:val="198033E4"/>
    <w:rsid w:val="1998697F"/>
    <w:rsid w:val="19E51499"/>
    <w:rsid w:val="19E93B70"/>
    <w:rsid w:val="19FD3D59"/>
    <w:rsid w:val="1A0E3952"/>
    <w:rsid w:val="1A1D083E"/>
    <w:rsid w:val="1A2E4BEE"/>
    <w:rsid w:val="1A3A42A8"/>
    <w:rsid w:val="1A4870D3"/>
    <w:rsid w:val="1A4E703E"/>
    <w:rsid w:val="1A7F18ED"/>
    <w:rsid w:val="1A815666"/>
    <w:rsid w:val="1A864E36"/>
    <w:rsid w:val="1AAB26E2"/>
    <w:rsid w:val="1AB2245D"/>
    <w:rsid w:val="1AB2774D"/>
    <w:rsid w:val="1AB621C1"/>
    <w:rsid w:val="1AC7309E"/>
    <w:rsid w:val="1AC922FF"/>
    <w:rsid w:val="1AE77ACD"/>
    <w:rsid w:val="1AF06347"/>
    <w:rsid w:val="1AF75928"/>
    <w:rsid w:val="1B252495"/>
    <w:rsid w:val="1B3A3A66"/>
    <w:rsid w:val="1B3C15F9"/>
    <w:rsid w:val="1B6C00C4"/>
    <w:rsid w:val="1B8B42C2"/>
    <w:rsid w:val="1BC3580A"/>
    <w:rsid w:val="1BD00D37"/>
    <w:rsid w:val="1BDE68A4"/>
    <w:rsid w:val="1BEC0C05"/>
    <w:rsid w:val="1BFF610C"/>
    <w:rsid w:val="1C1366CD"/>
    <w:rsid w:val="1C2718A1"/>
    <w:rsid w:val="1C362480"/>
    <w:rsid w:val="1C364C52"/>
    <w:rsid w:val="1C6074FD"/>
    <w:rsid w:val="1C8E406A"/>
    <w:rsid w:val="1C8F393E"/>
    <w:rsid w:val="1C913B5A"/>
    <w:rsid w:val="1CA12BC4"/>
    <w:rsid w:val="1CA23671"/>
    <w:rsid w:val="1CB47291"/>
    <w:rsid w:val="1CF368EC"/>
    <w:rsid w:val="1CFA525B"/>
    <w:rsid w:val="1D0B504C"/>
    <w:rsid w:val="1D4C6C96"/>
    <w:rsid w:val="1D6B6159"/>
    <w:rsid w:val="1D7768AC"/>
    <w:rsid w:val="1D8E280B"/>
    <w:rsid w:val="1D931001"/>
    <w:rsid w:val="1D9C4564"/>
    <w:rsid w:val="1D9F5E03"/>
    <w:rsid w:val="1DA8115B"/>
    <w:rsid w:val="1DB418AE"/>
    <w:rsid w:val="1DB96EC4"/>
    <w:rsid w:val="1DD84B76"/>
    <w:rsid w:val="1DDD4C3A"/>
    <w:rsid w:val="1DEC1927"/>
    <w:rsid w:val="1E293B80"/>
    <w:rsid w:val="1E3E386E"/>
    <w:rsid w:val="1E566E09"/>
    <w:rsid w:val="1E661B47"/>
    <w:rsid w:val="1E91399D"/>
    <w:rsid w:val="1E9B2A6E"/>
    <w:rsid w:val="1EA57449"/>
    <w:rsid w:val="1EA9518B"/>
    <w:rsid w:val="1EB3600A"/>
    <w:rsid w:val="1EC055BD"/>
    <w:rsid w:val="1EDA3596"/>
    <w:rsid w:val="1EF04D28"/>
    <w:rsid w:val="1F264A2D"/>
    <w:rsid w:val="1F4849A4"/>
    <w:rsid w:val="1F4B4494"/>
    <w:rsid w:val="1F63358C"/>
    <w:rsid w:val="1F697ACA"/>
    <w:rsid w:val="1F71738B"/>
    <w:rsid w:val="1F7B6F6A"/>
    <w:rsid w:val="1F877BDE"/>
    <w:rsid w:val="1FA856F9"/>
    <w:rsid w:val="1FBB33C8"/>
    <w:rsid w:val="1FE521F3"/>
    <w:rsid w:val="1FFB37C4"/>
    <w:rsid w:val="20052895"/>
    <w:rsid w:val="20174376"/>
    <w:rsid w:val="202B1BD0"/>
    <w:rsid w:val="203411C9"/>
    <w:rsid w:val="20381B67"/>
    <w:rsid w:val="20494490"/>
    <w:rsid w:val="20863AF3"/>
    <w:rsid w:val="208C34CE"/>
    <w:rsid w:val="209B4FA7"/>
    <w:rsid w:val="209E05F3"/>
    <w:rsid w:val="20A71A5A"/>
    <w:rsid w:val="20BE4D41"/>
    <w:rsid w:val="20C444FE"/>
    <w:rsid w:val="20C808AA"/>
    <w:rsid w:val="20D02EA3"/>
    <w:rsid w:val="20D86778"/>
    <w:rsid w:val="20DD55C0"/>
    <w:rsid w:val="20E57FD0"/>
    <w:rsid w:val="20EC213A"/>
    <w:rsid w:val="20F01F24"/>
    <w:rsid w:val="20F754EC"/>
    <w:rsid w:val="20F9026B"/>
    <w:rsid w:val="21141A65"/>
    <w:rsid w:val="21160797"/>
    <w:rsid w:val="211B7065"/>
    <w:rsid w:val="21260D15"/>
    <w:rsid w:val="2134416F"/>
    <w:rsid w:val="21352D06"/>
    <w:rsid w:val="213571AA"/>
    <w:rsid w:val="214C004F"/>
    <w:rsid w:val="21832FFC"/>
    <w:rsid w:val="21B77BBF"/>
    <w:rsid w:val="21B856E5"/>
    <w:rsid w:val="21C61BB0"/>
    <w:rsid w:val="21D95D87"/>
    <w:rsid w:val="21DA1AFF"/>
    <w:rsid w:val="21DC14E9"/>
    <w:rsid w:val="21EA7F94"/>
    <w:rsid w:val="21EB5ABA"/>
    <w:rsid w:val="21ED48B5"/>
    <w:rsid w:val="21F63DFD"/>
    <w:rsid w:val="22185DC7"/>
    <w:rsid w:val="223C6206"/>
    <w:rsid w:val="225E4C32"/>
    <w:rsid w:val="226A2E83"/>
    <w:rsid w:val="2277389B"/>
    <w:rsid w:val="228D26CE"/>
    <w:rsid w:val="229E2B2D"/>
    <w:rsid w:val="22B934C3"/>
    <w:rsid w:val="22BB3EB7"/>
    <w:rsid w:val="22BB6B16"/>
    <w:rsid w:val="22CF41DC"/>
    <w:rsid w:val="22EF3388"/>
    <w:rsid w:val="22F453DF"/>
    <w:rsid w:val="23244644"/>
    <w:rsid w:val="23272ECD"/>
    <w:rsid w:val="233C481F"/>
    <w:rsid w:val="235B5672"/>
    <w:rsid w:val="235C6C70"/>
    <w:rsid w:val="23822665"/>
    <w:rsid w:val="239F2BE0"/>
    <w:rsid w:val="23AA4980"/>
    <w:rsid w:val="23B5012E"/>
    <w:rsid w:val="23C30A56"/>
    <w:rsid w:val="23D30ED7"/>
    <w:rsid w:val="23E9602A"/>
    <w:rsid w:val="23F2091A"/>
    <w:rsid w:val="24044C11"/>
    <w:rsid w:val="240510B5"/>
    <w:rsid w:val="240E61DA"/>
    <w:rsid w:val="2414638C"/>
    <w:rsid w:val="24172B97"/>
    <w:rsid w:val="24184308"/>
    <w:rsid w:val="24213A15"/>
    <w:rsid w:val="242B219E"/>
    <w:rsid w:val="245034E6"/>
    <w:rsid w:val="24532A74"/>
    <w:rsid w:val="24554FC5"/>
    <w:rsid w:val="24653902"/>
    <w:rsid w:val="248A3369"/>
    <w:rsid w:val="248B01F1"/>
    <w:rsid w:val="249917FE"/>
    <w:rsid w:val="24B91CC2"/>
    <w:rsid w:val="24BC54EC"/>
    <w:rsid w:val="24C06D8A"/>
    <w:rsid w:val="24C820E3"/>
    <w:rsid w:val="24D64800"/>
    <w:rsid w:val="24DD5B8E"/>
    <w:rsid w:val="24E85B0E"/>
    <w:rsid w:val="250A44A9"/>
    <w:rsid w:val="25302162"/>
    <w:rsid w:val="253B28B5"/>
    <w:rsid w:val="253D662D"/>
    <w:rsid w:val="253F05F7"/>
    <w:rsid w:val="254C2D14"/>
    <w:rsid w:val="254E083A"/>
    <w:rsid w:val="25565CCE"/>
    <w:rsid w:val="257007B0"/>
    <w:rsid w:val="257225F5"/>
    <w:rsid w:val="257543EE"/>
    <w:rsid w:val="257B0F03"/>
    <w:rsid w:val="25826736"/>
    <w:rsid w:val="25826C83"/>
    <w:rsid w:val="259933C3"/>
    <w:rsid w:val="25A36DFE"/>
    <w:rsid w:val="25D86B2C"/>
    <w:rsid w:val="25DA099C"/>
    <w:rsid w:val="25F41D23"/>
    <w:rsid w:val="26154FB2"/>
    <w:rsid w:val="261E16F9"/>
    <w:rsid w:val="26280FB8"/>
    <w:rsid w:val="26397DA7"/>
    <w:rsid w:val="263A2B6C"/>
    <w:rsid w:val="264A1001"/>
    <w:rsid w:val="265321F6"/>
    <w:rsid w:val="267A766C"/>
    <w:rsid w:val="268838D8"/>
    <w:rsid w:val="26B61130"/>
    <w:rsid w:val="26B66697"/>
    <w:rsid w:val="26C07516"/>
    <w:rsid w:val="26C40D95"/>
    <w:rsid w:val="26CA0394"/>
    <w:rsid w:val="26D14BAB"/>
    <w:rsid w:val="27007912"/>
    <w:rsid w:val="27035654"/>
    <w:rsid w:val="27185B6B"/>
    <w:rsid w:val="271B299E"/>
    <w:rsid w:val="272950BB"/>
    <w:rsid w:val="273B2771"/>
    <w:rsid w:val="27455C6D"/>
    <w:rsid w:val="274719E5"/>
    <w:rsid w:val="27567236"/>
    <w:rsid w:val="278422F1"/>
    <w:rsid w:val="278E13C2"/>
    <w:rsid w:val="27952750"/>
    <w:rsid w:val="27AB1443"/>
    <w:rsid w:val="27B16E5E"/>
    <w:rsid w:val="27D838A4"/>
    <w:rsid w:val="27E47234"/>
    <w:rsid w:val="27F356C9"/>
    <w:rsid w:val="27FC27CF"/>
    <w:rsid w:val="280E2503"/>
    <w:rsid w:val="281F201A"/>
    <w:rsid w:val="283630CE"/>
    <w:rsid w:val="283F26BC"/>
    <w:rsid w:val="284321AC"/>
    <w:rsid w:val="284B0CE8"/>
    <w:rsid w:val="287C0C12"/>
    <w:rsid w:val="287F0D0A"/>
    <w:rsid w:val="28926DAE"/>
    <w:rsid w:val="289742A6"/>
    <w:rsid w:val="289B3D96"/>
    <w:rsid w:val="28A40771"/>
    <w:rsid w:val="28DB0637"/>
    <w:rsid w:val="28F46025"/>
    <w:rsid w:val="29086F52"/>
    <w:rsid w:val="290A5904"/>
    <w:rsid w:val="29283000"/>
    <w:rsid w:val="293E2974"/>
    <w:rsid w:val="294C32E2"/>
    <w:rsid w:val="294E705B"/>
    <w:rsid w:val="295757E3"/>
    <w:rsid w:val="298402DC"/>
    <w:rsid w:val="29842A7C"/>
    <w:rsid w:val="298E38FB"/>
    <w:rsid w:val="298F4C7F"/>
    <w:rsid w:val="29B33362"/>
    <w:rsid w:val="2A002376"/>
    <w:rsid w:val="2A0C585F"/>
    <w:rsid w:val="2A253653"/>
    <w:rsid w:val="2A351FC9"/>
    <w:rsid w:val="2A383867"/>
    <w:rsid w:val="2A6401B8"/>
    <w:rsid w:val="2A8E16D9"/>
    <w:rsid w:val="2A90644F"/>
    <w:rsid w:val="2AA66A22"/>
    <w:rsid w:val="2AB7478C"/>
    <w:rsid w:val="2ABC4498"/>
    <w:rsid w:val="2ACB46DB"/>
    <w:rsid w:val="2AE35581"/>
    <w:rsid w:val="2AEC6B2B"/>
    <w:rsid w:val="2B024B58"/>
    <w:rsid w:val="2B2F4C6A"/>
    <w:rsid w:val="2B4B6FB7"/>
    <w:rsid w:val="2B6304B8"/>
    <w:rsid w:val="2B685109"/>
    <w:rsid w:val="2B724B56"/>
    <w:rsid w:val="2B726905"/>
    <w:rsid w:val="2B770F5A"/>
    <w:rsid w:val="2B795EE5"/>
    <w:rsid w:val="2B8F23B5"/>
    <w:rsid w:val="2BA0741C"/>
    <w:rsid w:val="2BAA42F0"/>
    <w:rsid w:val="2BAC62BA"/>
    <w:rsid w:val="2BBB02AC"/>
    <w:rsid w:val="2BD97F52"/>
    <w:rsid w:val="2BE27F2E"/>
    <w:rsid w:val="2BEF4B91"/>
    <w:rsid w:val="2BF44F91"/>
    <w:rsid w:val="2BFF468C"/>
    <w:rsid w:val="2C0F23A5"/>
    <w:rsid w:val="2C1C3440"/>
    <w:rsid w:val="2C3B319A"/>
    <w:rsid w:val="2C444501"/>
    <w:rsid w:val="2C4464F3"/>
    <w:rsid w:val="2C5C383D"/>
    <w:rsid w:val="2C611150"/>
    <w:rsid w:val="2C697D08"/>
    <w:rsid w:val="2C723060"/>
    <w:rsid w:val="2C844B41"/>
    <w:rsid w:val="2C862667"/>
    <w:rsid w:val="2C931796"/>
    <w:rsid w:val="2C953C10"/>
    <w:rsid w:val="2C974875"/>
    <w:rsid w:val="2CC15D95"/>
    <w:rsid w:val="2CD535EF"/>
    <w:rsid w:val="2CD8416A"/>
    <w:rsid w:val="2CDA0C05"/>
    <w:rsid w:val="2CF47382"/>
    <w:rsid w:val="2D1F12BC"/>
    <w:rsid w:val="2D4542D1"/>
    <w:rsid w:val="2D4D13D7"/>
    <w:rsid w:val="2D574004"/>
    <w:rsid w:val="2DC45B3D"/>
    <w:rsid w:val="2DD45655"/>
    <w:rsid w:val="2DE55AB4"/>
    <w:rsid w:val="2DF919BD"/>
    <w:rsid w:val="2E0929AB"/>
    <w:rsid w:val="2E2C69E4"/>
    <w:rsid w:val="2E3D58F0"/>
    <w:rsid w:val="2E4B1DBB"/>
    <w:rsid w:val="2E5A0250"/>
    <w:rsid w:val="2E642E7C"/>
    <w:rsid w:val="2E6C3ADF"/>
    <w:rsid w:val="2E7330BF"/>
    <w:rsid w:val="2E89643F"/>
    <w:rsid w:val="2EBD62D2"/>
    <w:rsid w:val="2EC62017"/>
    <w:rsid w:val="2EE144CD"/>
    <w:rsid w:val="2EE16EB1"/>
    <w:rsid w:val="2EEA4D28"/>
    <w:rsid w:val="2EF37D5C"/>
    <w:rsid w:val="2F083808"/>
    <w:rsid w:val="2F0F2DE8"/>
    <w:rsid w:val="2F1C72B3"/>
    <w:rsid w:val="2F337322"/>
    <w:rsid w:val="2F3625C0"/>
    <w:rsid w:val="2F57478F"/>
    <w:rsid w:val="2F5C0CCC"/>
    <w:rsid w:val="2F633134"/>
    <w:rsid w:val="2F725125"/>
    <w:rsid w:val="2F792957"/>
    <w:rsid w:val="2F866E22"/>
    <w:rsid w:val="2FA774C5"/>
    <w:rsid w:val="2FAF45CB"/>
    <w:rsid w:val="2FD14541"/>
    <w:rsid w:val="2FEC137B"/>
    <w:rsid w:val="2FEE5271"/>
    <w:rsid w:val="2FEE6EA1"/>
    <w:rsid w:val="2FEF2C1A"/>
    <w:rsid w:val="2FF35785"/>
    <w:rsid w:val="301601A6"/>
    <w:rsid w:val="301A5EE8"/>
    <w:rsid w:val="304B42F4"/>
    <w:rsid w:val="30592334"/>
    <w:rsid w:val="30890978"/>
    <w:rsid w:val="309061AB"/>
    <w:rsid w:val="30A05CC2"/>
    <w:rsid w:val="30B17ECF"/>
    <w:rsid w:val="30B71989"/>
    <w:rsid w:val="30C23098"/>
    <w:rsid w:val="30D145D3"/>
    <w:rsid w:val="31200C8C"/>
    <w:rsid w:val="312D52CE"/>
    <w:rsid w:val="313703D4"/>
    <w:rsid w:val="31405F7E"/>
    <w:rsid w:val="31476261"/>
    <w:rsid w:val="31503B47"/>
    <w:rsid w:val="31550F5F"/>
    <w:rsid w:val="315C608D"/>
    <w:rsid w:val="318E3914"/>
    <w:rsid w:val="31C53C32"/>
    <w:rsid w:val="31E00A6C"/>
    <w:rsid w:val="31FE7144"/>
    <w:rsid w:val="32140715"/>
    <w:rsid w:val="32181796"/>
    <w:rsid w:val="32292413"/>
    <w:rsid w:val="32361638"/>
    <w:rsid w:val="323A4620"/>
    <w:rsid w:val="323D738C"/>
    <w:rsid w:val="32601AF5"/>
    <w:rsid w:val="32601BAD"/>
    <w:rsid w:val="3264344B"/>
    <w:rsid w:val="327855FD"/>
    <w:rsid w:val="327F0285"/>
    <w:rsid w:val="32805DAB"/>
    <w:rsid w:val="32841DC7"/>
    <w:rsid w:val="32843FFE"/>
    <w:rsid w:val="329A50BF"/>
    <w:rsid w:val="32A7320F"/>
    <w:rsid w:val="32AB482D"/>
    <w:rsid w:val="32B06690"/>
    <w:rsid w:val="32C43EEA"/>
    <w:rsid w:val="32FD564D"/>
    <w:rsid w:val="33010AFA"/>
    <w:rsid w:val="33134E71"/>
    <w:rsid w:val="331A1D5C"/>
    <w:rsid w:val="331A70CD"/>
    <w:rsid w:val="333746BC"/>
    <w:rsid w:val="334212B2"/>
    <w:rsid w:val="336E3E55"/>
    <w:rsid w:val="33AC4405"/>
    <w:rsid w:val="33BD5082"/>
    <w:rsid w:val="33CF0D98"/>
    <w:rsid w:val="33D62126"/>
    <w:rsid w:val="33D940BA"/>
    <w:rsid w:val="33E67E90"/>
    <w:rsid w:val="341C3E29"/>
    <w:rsid w:val="34285A89"/>
    <w:rsid w:val="343E1A7A"/>
    <w:rsid w:val="3442156A"/>
    <w:rsid w:val="346314E0"/>
    <w:rsid w:val="34640350"/>
    <w:rsid w:val="34763909"/>
    <w:rsid w:val="34871673"/>
    <w:rsid w:val="34AE2C51"/>
    <w:rsid w:val="34B1049E"/>
    <w:rsid w:val="34C333C6"/>
    <w:rsid w:val="34DA5C46"/>
    <w:rsid w:val="34DB19BE"/>
    <w:rsid w:val="34EE524E"/>
    <w:rsid w:val="34F565DC"/>
    <w:rsid w:val="350B013D"/>
    <w:rsid w:val="3511718E"/>
    <w:rsid w:val="352944D8"/>
    <w:rsid w:val="354A374C"/>
    <w:rsid w:val="354C01C6"/>
    <w:rsid w:val="35523A2F"/>
    <w:rsid w:val="358A6C10"/>
    <w:rsid w:val="358C39DC"/>
    <w:rsid w:val="359E6C74"/>
    <w:rsid w:val="359F479A"/>
    <w:rsid w:val="35B3528C"/>
    <w:rsid w:val="35B93AAE"/>
    <w:rsid w:val="36080591"/>
    <w:rsid w:val="360F1920"/>
    <w:rsid w:val="362353CB"/>
    <w:rsid w:val="36301896"/>
    <w:rsid w:val="36363350"/>
    <w:rsid w:val="363B1A26"/>
    <w:rsid w:val="36565BAC"/>
    <w:rsid w:val="36633A19"/>
    <w:rsid w:val="366854D4"/>
    <w:rsid w:val="366A2FFA"/>
    <w:rsid w:val="36883480"/>
    <w:rsid w:val="36922956"/>
    <w:rsid w:val="369D22B0"/>
    <w:rsid w:val="36A52284"/>
    <w:rsid w:val="36AE1139"/>
    <w:rsid w:val="36AE738B"/>
    <w:rsid w:val="36BA5D6D"/>
    <w:rsid w:val="36BF3346"/>
    <w:rsid w:val="36D668E1"/>
    <w:rsid w:val="36F666FD"/>
    <w:rsid w:val="36F823B4"/>
    <w:rsid w:val="37011057"/>
    <w:rsid w:val="373C4996"/>
    <w:rsid w:val="37503F9E"/>
    <w:rsid w:val="37622E11"/>
    <w:rsid w:val="37643EED"/>
    <w:rsid w:val="377C45CC"/>
    <w:rsid w:val="37875A17"/>
    <w:rsid w:val="37983B97"/>
    <w:rsid w:val="379B73A3"/>
    <w:rsid w:val="37C52BDE"/>
    <w:rsid w:val="37DF5322"/>
    <w:rsid w:val="37E172EC"/>
    <w:rsid w:val="38184D3B"/>
    <w:rsid w:val="381C20D2"/>
    <w:rsid w:val="382316B2"/>
    <w:rsid w:val="382D0783"/>
    <w:rsid w:val="38495AC2"/>
    <w:rsid w:val="384B0C09"/>
    <w:rsid w:val="38593326"/>
    <w:rsid w:val="385F23EF"/>
    <w:rsid w:val="3862667F"/>
    <w:rsid w:val="38653A79"/>
    <w:rsid w:val="38670CEA"/>
    <w:rsid w:val="387463B2"/>
    <w:rsid w:val="387F0416"/>
    <w:rsid w:val="389E342F"/>
    <w:rsid w:val="38A04AB1"/>
    <w:rsid w:val="38A26A7B"/>
    <w:rsid w:val="38C51FA1"/>
    <w:rsid w:val="38C74734"/>
    <w:rsid w:val="38D46FE6"/>
    <w:rsid w:val="38E075A3"/>
    <w:rsid w:val="38E2156D"/>
    <w:rsid w:val="38E363C3"/>
    <w:rsid w:val="38EB6C68"/>
    <w:rsid w:val="39002C48"/>
    <w:rsid w:val="390B0AC4"/>
    <w:rsid w:val="391D07F7"/>
    <w:rsid w:val="39557F91"/>
    <w:rsid w:val="3962620A"/>
    <w:rsid w:val="396D6ECE"/>
    <w:rsid w:val="3995213C"/>
    <w:rsid w:val="39A20CFD"/>
    <w:rsid w:val="39BB2F17"/>
    <w:rsid w:val="39BE602C"/>
    <w:rsid w:val="39C80C2C"/>
    <w:rsid w:val="39E47332"/>
    <w:rsid w:val="39E56B12"/>
    <w:rsid w:val="39E92488"/>
    <w:rsid w:val="3A035551"/>
    <w:rsid w:val="3A0B20C4"/>
    <w:rsid w:val="3A125E82"/>
    <w:rsid w:val="3A137505"/>
    <w:rsid w:val="3A145757"/>
    <w:rsid w:val="3A190FBF"/>
    <w:rsid w:val="3A1E149D"/>
    <w:rsid w:val="3A577D39"/>
    <w:rsid w:val="3A830B2E"/>
    <w:rsid w:val="3A836438"/>
    <w:rsid w:val="3AA37853"/>
    <w:rsid w:val="3AA65E47"/>
    <w:rsid w:val="3AA7481D"/>
    <w:rsid w:val="3AAA1C17"/>
    <w:rsid w:val="3AB02FA5"/>
    <w:rsid w:val="3AB335DE"/>
    <w:rsid w:val="3AB66B32"/>
    <w:rsid w:val="3AC91083"/>
    <w:rsid w:val="3AE8273F"/>
    <w:rsid w:val="3AF47336"/>
    <w:rsid w:val="3AF76313"/>
    <w:rsid w:val="3B051543"/>
    <w:rsid w:val="3B266200"/>
    <w:rsid w:val="3B3140E6"/>
    <w:rsid w:val="3B404329"/>
    <w:rsid w:val="3B491430"/>
    <w:rsid w:val="3B4C0F20"/>
    <w:rsid w:val="3B620744"/>
    <w:rsid w:val="3B6F0C4C"/>
    <w:rsid w:val="3BC82016"/>
    <w:rsid w:val="3BDC37B9"/>
    <w:rsid w:val="3BE13D5E"/>
    <w:rsid w:val="3C170B30"/>
    <w:rsid w:val="3C2854E9"/>
    <w:rsid w:val="3C6336FD"/>
    <w:rsid w:val="3C7F70D3"/>
    <w:rsid w:val="3C8F37BA"/>
    <w:rsid w:val="3C991F43"/>
    <w:rsid w:val="3CA32DC2"/>
    <w:rsid w:val="3CA52FDE"/>
    <w:rsid w:val="3CB21257"/>
    <w:rsid w:val="3CC01BC6"/>
    <w:rsid w:val="3CFF60B9"/>
    <w:rsid w:val="3D1837B0"/>
    <w:rsid w:val="3D26440A"/>
    <w:rsid w:val="3D2739F3"/>
    <w:rsid w:val="3D3B749E"/>
    <w:rsid w:val="3D406F54"/>
    <w:rsid w:val="3D4359D0"/>
    <w:rsid w:val="3D736C38"/>
    <w:rsid w:val="3D8E0053"/>
    <w:rsid w:val="3DE418E4"/>
    <w:rsid w:val="3DFA4C63"/>
    <w:rsid w:val="3E4E3201"/>
    <w:rsid w:val="3E5A63AB"/>
    <w:rsid w:val="3E703177"/>
    <w:rsid w:val="3E9E1A93"/>
    <w:rsid w:val="3EA6703C"/>
    <w:rsid w:val="3EAB322E"/>
    <w:rsid w:val="3EB92D70"/>
    <w:rsid w:val="3EC3599D"/>
    <w:rsid w:val="3EC82FB3"/>
    <w:rsid w:val="3EEF0540"/>
    <w:rsid w:val="3EF06066"/>
    <w:rsid w:val="3EF773F5"/>
    <w:rsid w:val="3F00274D"/>
    <w:rsid w:val="3F125AFE"/>
    <w:rsid w:val="3F1D32FF"/>
    <w:rsid w:val="3F1E7077"/>
    <w:rsid w:val="3F8A18E2"/>
    <w:rsid w:val="3F8C3FE1"/>
    <w:rsid w:val="3F9D1D4A"/>
    <w:rsid w:val="3FAF1A7E"/>
    <w:rsid w:val="3FC4377B"/>
    <w:rsid w:val="3FE200A5"/>
    <w:rsid w:val="3FFC231A"/>
    <w:rsid w:val="40104C12"/>
    <w:rsid w:val="40175FA1"/>
    <w:rsid w:val="401855E6"/>
    <w:rsid w:val="402507DC"/>
    <w:rsid w:val="403E2E27"/>
    <w:rsid w:val="404364B8"/>
    <w:rsid w:val="404D19C2"/>
    <w:rsid w:val="40526FD9"/>
    <w:rsid w:val="406867FC"/>
    <w:rsid w:val="40885F49"/>
    <w:rsid w:val="40A3579B"/>
    <w:rsid w:val="40A8309D"/>
    <w:rsid w:val="40BF3F42"/>
    <w:rsid w:val="40C15F0C"/>
    <w:rsid w:val="40C5331A"/>
    <w:rsid w:val="40DB3AF1"/>
    <w:rsid w:val="40ED6D01"/>
    <w:rsid w:val="40F55BB6"/>
    <w:rsid w:val="40FE4A6B"/>
    <w:rsid w:val="4105404B"/>
    <w:rsid w:val="4110479E"/>
    <w:rsid w:val="41171FD0"/>
    <w:rsid w:val="411F04C2"/>
    <w:rsid w:val="41200E85"/>
    <w:rsid w:val="412179FD"/>
    <w:rsid w:val="413C4BDD"/>
    <w:rsid w:val="4179273D"/>
    <w:rsid w:val="417E3DFD"/>
    <w:rsid w:val="418331C2"/>
    <w:rsid w:val="419D24D5"/>
    <w:rsid w:val="41AD5F5C"/>
    <w:rsid w:val="41AF2209"/>
    <w:rsid w:val="41CA7043"/>
    <w:rsid w:val="41D659E7"/>
    <w:rsid w:val="41DD0B24"/>
    <w:rsid w:val="41DF05F2"/>
    <w:rsid w:val="41E40104"/>
    <w:rsid w:val="42204EB5"/>
    <w:rsid w:val="42333557"/>
    <w:rsid w:val="423A41C8"/>
    <w:rsid w:val="423A7D24"/>
    <w:rsid w:val="42442951"/>
    <w:rsid w:val="425C32D7"/>
    <w:rsid w:val="426E79CE"/>
    <w:rsid w:val="42C85330"/>
    <w:rsid w:val="42D068DB"/>
    <w:rsid w:val="42D27F5D"/>
    <w:rsid w:val="42E970E7"/>
    <w:rsid w:val="42ED2FE9"/>
    <w:rsid w:val="42F025B9"/>
    <w:rsid w:val="42F1491A"/>
    <w:rsid w:val="42F22FBE"/>
    <w:rsid w:val="42F36B52"/>
    <w:rsid w:val="42FF4875"/>
    <w:rsid w:val="430A08FE"/>
    <w:rsid w:val="430D4751"/>
    <w:rsid w:val="43326C4D"/>
    <w:rsid w:val="434D1CD9"/>
    <w:rsid w:val="43535F38"/>
    <w:rsid w:val="43731204"/>
    <w:rsid w:val="43994F1E"/>
    <w:rsid w:val="43A85C57"/>
    <w:rsid w:val="43AD2778"/>
    <w:rsid w:val="43AF4742"/>
    <w:rsid w:val="43CE2E1A"/>
    <w:rsid w:val="441A605F"/>
    <w:rsid w:val="44246EDE"/>
    <w:rsid w:val="444366F0"/>
    <w:rsid w:val="44641089"/>
    <w:rsid w:val="447A08AC"/>
    <w:rsid w:val="449C4CC6"/>
    <w:rsid w:val="44A60EAD"/>
    <w:rsid w:val="44A92F3F"/>
    <w:rsid w:val="44B17B9B"/>
    <w:rsid w:val="44BA748E"/>
    <w:rsid w:val="44DC1D9A"/>
    <w:rsid w:val="450B7CFD"/>
    <w:rsid w:val="4513485D"/>
    <w:rsid w:val="452A192A"/>
    <w:rsid w:val="452A22D2"/>
    <w:rsid w:val="45464C32"/>
    <w:rsid w:val="454669E0"/>
    <w:rsid w:val="454A33F5"/>
    <w:rsid w:val="455E1F7C"/>
    <w:rsid w:val="456F4713"/>
    <w:rsid w:val="457B0D80"/>
    <w:rsid w:val="45800144"/>
    <w:rsid w:val="45A36286"/>
    <w:rsid w:val="45BA5216"/>
    <w:rsid w:val="45D25D77"/>
    <w:rsid w:val="45E00BE3"/>
    <w:rsid w:val="45E87A97"/>
    <w:rsid w:val="45EC4080"/>
    <w:rsid w:val="4609638B"/>
    <w:rsid w:val="461B7E6D"/>
    <w:rsid w:val="461E4551"/>
    <w:rsid w:val="46365EA0"/>
    <w:rsid w:val="468849B7"/>
    <w:rsid w:val="46B75DE7"/>
    <w:rsid w:val="46C87899"/>
    <w:rsid w:val="46C93597"/>
    <w:rsid w:val="46EE4E28"/>
    <w:rsid w:val="46FA593E"/>
    <w:rsid w:val="46FC37FA"/>
    <w:rsid w:val="47064679"/>
    <w:rsid w:val="47190850"/>
    <w:rsid w:val="471C7BBC"/>
    <w:rsid w:val="472E246B"/>
    <w:rsid w:val="47525B10"/>
    <w:rsid w:val="47540D97"/>
    <w:rsid w:val="475F1FDB"/>
    <w:rsid w:val="476B4E24"/>
    <w:rsid w:val="477C6B53"/>
    <w:rsid w:val="478C4920"/>
    <w:rsid w:val="47992182"/>
    <w:rsid w:val="47D827AB"/>
    <w:rsid w:val="47E36BF5"/>
    <w:rsid w:val="47F40975"/>
    <w:rsid w:val="47FF7530"/>
    <w:rsid w:val="48033876"/>
    <w:rsid w:val="4805792E"/>
    <w:rsid w:val="48233457"/>
    <w:rsid w:val="48343468"/>
    <w:rsid w:val="484F663C"/>
    <w:rsid w:val="48632F78"/>
    <w:rsid w:val="486C2C02"/>
    <w:rsid w:val="48BB1B96"/>
    <w:rsid w:val="48CC7F68"/>
    <w:rsid w:val="48E1372A"/>
    <w:rsid w:val="48EE7ABB"/>
    <w:rsid w:val="49033566"/>
    <w:rsid w:val="49105C83"/>
    <w:rsid w:val="492139EC"/>
    <w:rsid w:val="493347D2"/>
    <w:rsid w:val="49431BB4"/>
    <w:rsid w:val="495518E8"/>
    <w:rsid w:val="49584F34"/>
    <w:rsid w:val="49D767A1"/>
    <w:rsid w:val="49F27137"/>
    <w:rsid w:val="49F509D5"/>
    <w:rsid w:val="4A1672C9"/>
    <w:rsid w:val="4A2512BA"/>
    <w:rsid w:val="4A2D63C1"/>
    <w:rsid w:val="4A357A0A"/>
    <w:rsid w:val="4A5971B6"/>
    <w:rsid w:val="4A7321DD"/>
    <w:rsid w:val="4A7759A6"/>
    <w:rsid w:val="4A7E4BC2"/>
    <w:rsid w:val="4ABA1D88"/>
    <w:rsid w:val="4ABA6CC2"/>
    <w:rsid w:val="4AC94B13"/>
    <w:rsid w:val="4ACA3C0F"/>
    <w:rsid w:val="4ADD3943"/>
    <w:rsid w:val="4AE03433"/>
    <w:rsid w:val="4AF76666"/>
    <w:rsid w:val="4B0228F1"/>
    <w:rsid w:val="4B045373"/>
    <w:rsid w:val="4B0709C0"/>
    <w:rsid w:val="4B0B4954"/>
    <w:rsid w:val="4B0E61F2"/>
    <w:rsid w:val="4B335C59"/>
    <w:rsid w:val="4B3F3D7D"/>
    <w:rsid w:val="4B72052F"/>
    <w:rsid w:val="4B771FE9"/>
    <w:rsid w:val="4B78366B"/>
    <w:rsid w:val="4B9714CF"/>
    <w:rsid w:val="4BA24A06"/>
    <w:rsid w:val="4BA821A3"/>
    <w:rsid w:val="4BCA036B"/>
    <w:rsid w:val="4BE331DB"/>
    <w:rsid w:val="4BFD5EE7"/>
    <w:rsid w:val="4C26756B"/>
    <w:rsid w:val="4C883D82"/>
    <w:rsid w:val="4C96649F"/>
    <w:rsid w:val="4C9B1D07"/>
    <w:rsid w:val="4CBA5FC9"/>
    <w:rsid w:val="4CD46FC7"/>
    <w:rsid w:val="4CD80BAE"/>
    <w:rsid w:val="4CE0596C"/>
    <w:rsid w:val="4CF03E01"/>
    <w:rsid w:val="4CF85F6B"/>
    <w:rsid w:val="4D16313C"/>
    <w:rsid w:val="4D4144B0"/>
    <w:rsid w:val="4D453A21"/>
    <w:rsid w:val="4D461514"/>
    <w:rsid w:val="4D4759EB"/>
    <w:rsid w:val="4D477799"/>
    <w:rsid w:val="4D510618"/>
    <w:rsid w:val="4D5819A6"/>
    <w:rsid w:val="4D624EA5"/>
    <w:rsid w:val="4D645E9F"/>
    <w:rsid w:val="4D7F0D93"/>
    <w:rsid w:val="4D8D43E3"/>
    <w:rsid w:val="4DA67700"/>
    <w:rsid w:val="4DAF745E"/>
    <w:rsid w:val="4DBA7F6B"/>
    <w:rsid w:val="4DBB4542"/>
    <w:rsid w:val="4DCD5378"/>
    <w:rsid w:val="4DFE10C7"/>
    <w:rsid w:val="4E0202D7"/>
    <w:rsid w:val="4E231FB4"/>
    <w:rsid w:val="4E296E9F"/>
    <w:rsid w:val="4E2D2E33"/>
    <w:rsid w:val="4E2E44B5"/>
    <w:rsid w:val="4E351802"/>
    <w:rsid w:val="4E467A51"/>
    <w:rsid w:val="4E5531A0"/>
    <w:rsid w:val="4E573A0C"/>
    <w:rsid w:val="4E710F72"/>
    <w:rsid w:val="4E756D45"/>
    <w:rsid w:val="4E7A0566"/>
    <w:rsid w:val="4E810A89"/>
    <w:rsid w:val="4E956EC4"/>
    <w:rsid w:val="4E9D28BF"/>
    <w:rsid w:val="4EA84268"/>
    <w:rsid w:val="4EAF3848"/>
    <w:rsid w:val="4EBA5643"/>
    <w:rsid w:val="4EC56BC8"/>
    <w:rsid w:val="4ECE6429"/>
    <w:rsid w:val="4ED41501"/>
    <w:rsid w:val="4F0E4A13"/>
    <w:rsid w:val="4F11005F"/>
    <w:rsid w:val="4F1162B1"/>
    <w:rsid w:val="4F244236"/>
    <w:rsid w:val="4F2D6595"/>
    <w:rsid w:val="4F442786"/>
    <w:rsid w:val="4F4C553B"/>
    <w:rsid w:val="4F4C72E9"/>
    <w:rsid w:val="4F585C8E"/>
    <w:rsid w:val="4F616EB4"/>
    <w:rsid w:val="4F6A4986"/>
    <w:rsid w:val="4F6B3C13"/>
    <w:rsid w:val="4F7F2D57"/>
    <w:rsid w:val="4F820F5D"/>
    <w:rsid w:val="4FB01626"/>
    <w:rsid w:val="4FCB2904"/>
    <w:rsid w:val="4FCD667C"/>
    <w:rsid w:val="4FDF015D"/>
    <w:rsid w:val="4FF57980"/>
    <w:rsid w:val="501029C1"/>
    <w:rsid w:val="502E69EF"/>
    <w:rsid w:val="503B41B6"/>
    <w:rsid w:val="506348EA"/>
    <w:rsid w:val="50650662"/>
    <w:rsid w:val="5066602C"/>
    <w:rsid w:val="50812FC2"/>
    <w:rsid w:val="5086682B"/>
    <w:rsid w:val="509554B0"/>
    <w:rsid w:val="509C7DFC"/>
    <w:rsid w:val="50AF5E51"/>
    <w:rsid w:val="50CF5EEA"/>
    <w:rsid w:val="50D32A98"/>
    <w:rsid w:val="50EA77FA"/>
    <w:rsid w:val="50ED0658"/>
    <w:rsid w:val="50FE6543"/>
    <w:rsid w:val="51031C29"/>
    <w:rsid w:val="51256043"/>
    <w:rsid w:val="513E01D2"/>
    <w:rsid w:val="51516E38"/>
    <w:rsid w:val="516A618B"/>
    <w:rsid w:val="516C1C52"/>
    <w:rsid w:val="51890380"/>
    <w:rsid w:val="519821A9"/>
    <w:rsid w:val="519B00B4"/>
    <w:rsid w:val="519C5A25"/>
    <w:rsid w:val="51D3784E"/>
    <w:rsid w:val="520B6FE7"/>
    <w:rsid w:val="52100AA2"/>
    <w:rsid w:val="525547B9"/>
    <w:rsid w:val="5257047F"/>
    <w:rsid w:val="525E6B5F"/>
    <w:rsid w:val="528374C6"/>
    <w:rsid w:val="528F5E6A"/>
    <w:rsid w:val="52970A52"/>
    <w:rsid w:val="52AB07CA"/>
    <w:rsid w:val="52AD6B4F"/>
    <w:rsid w:val="52F67C97"/>
    <w:rsid w:val="53057EDB"/>
    <w:rsid w:val="530F48B5"/>
    <w:rsid w:val="533662E6"/>
    <w:rsid w:val="53422EDD"/>
    <w:rsid w:val="534D72F9"/>
    <w:rsid w:val="53514ECE"/>
    <w:rsid w:val="53542C10"/>
    <w:rsid w:val="538F59F6"/>
    <w:rsid w:val="53957B0C"/>
    <w:rsid w:val="53C438F2"/>
    <w:rsid w:val="53CF3741"/>
    <w:rsid w:val="53E2021C"/>
    <w:rsid w:val="541272B5"/>
    <w:rsid w:val="541859EC"/>
    <w:rsid w:val="541D74A6"/>
    <w:rsid w:val="54212AF2"/>
    <w:rsid w:val="54290655"/>
    <w:rsid w:val="5429409D"/>
    <w:rsid w:val="5440376B"/>
    <w:rsid w:val="545729B8"/>
    <w:rsid w:val="54684BC5"/>
    <w:rsid w:val="546D5D37"/>
    <w:rsid w:val="54815C87"/>
    <w:rsid w:val="5488491F"/>
    <w:rsid w:val="548914AD"/>
    <w:rsid w:val="5492579E"/>
    <w:rsid w:val="549362B3"/>
    <w:rsid w:val="549B7CA5"/>
    <w:rsid w:val="54A05E53"/>
    <w:rsid w:val="54A30979"/>
    <w:rsid w:val="54D9161F"/>
    <w:rsid w:val="54DC7176"/>
    <w:rsid w:val="54E66A4D"/>
    <w:rsid w:val="54F116B0"/>
    <w:rsid w:val="550F3292"/>
    <w:rsid w:val="55172147"/>
    <w:rsid w:val="55262802"/>
    <w:rsid w:val="552F3B91"/>
    <w:rsid w:val="55346855"/>
    <w:rsid w:val="5545762A"/>
    <w:rsid w:val="554747DA"/>
    <w:rsid w:val="554B7041"/>
    <w:rsid w:val="55570796"/>
    <w:rsid w:val="556C5FEF"/>
    <w:rsid w:val="557355CF"/>
    <w:rsid w:val="558B58AA"/>
    <w:rsid w:val="55A500BB"/>
    <w:rsid w:val="55C756C2"/>
    <w:rsid w:val="55E464CD"/>
    <w:rsid w:val="55EB785C"/>
    <w:rsid w:val="55F34962"/>
    <w:rsid w:val="55F45FE4"/>
    <w:rsid w:val="55FA2AB8"/>
    <w:rsid w:val="56212BDF"/>
    <w:rsid w:val="5621502B"/>
    <w:rsid w:val="565076BF"/>
    <w:rsid w:val="567C6706"/>
    <w:rsid w:val="567E247E"/>
    <w:rsid w:val="56845E34"/>
    <w:rsid w:val="568A5F56"/>
    <w:rsid w:val="568D446F"/>
    <w:rsid w:val="56CD6F61"/>
    <w:rsid w:val="56E46059"/>
    <w:rsid w:val="56ED13B1"/>
    <w:rsid w:val="56F37C7C"/>
    <w:rsid w:val="570C4C7D"/>
    <w:rsid w:val="571C1C97"/>
    <w:rsid w:val="571E156B"/>
    <w:rsid w:val="574D1E50"/>
    <w:rsid w:val="575F72A0"/>
    <w:rsid w:val="57667351"/>
    <w:rsid w:val="576866C7"/>
    <w:rsid w:val="576B1732"/>
    <w:rsid w:val="57740D88"/>
    <w:rsid w:val="577D2735"/>
    <w:rsid w:val="577D649F"/>
    <w:rsid w:val="57800D02"/>
    <w:rsid w:val="57802226"/>
    <w:rsid w:val="57CF249D"/>
    <w:rsid w:val="580E7831"/>
    <w:rsid w:val="58157509"/>
    <w:rsid w:val="584A43BC"/>
    <w:rsid w:val="587578B0"/>
    <w:rsid w:val="58847AF3"/>
    <w:rsid w:val="588C0756"/>
    <w:rsid w:val="58DC16DE"/>
    <w:rsid w:val="58DC348C"/>
    <w:rsid w:val="58E6430A"/>
    <w:rsid w:val="58E95545"/>
    <w:rsid w:val="59140E77"/>
    <w:rsid w:val="59253085"/>
    <w:rsid w:val="59464DA9"/>
    <w:rsid w:val="5947274D"/>
    <w:rsid w:val="595219A0"/>
    <w:rsid w:val="597C2F90"/>
    <w:rsid w:val="59875AED"/>
    <w:rsid w:val="59A12058"/>
    <w:rsid w:val="59B91A1F"/>
    <w:rsid w:val="59BD150F"/>
    <w:rsid w:val="59CB4C1B"/>
    <w:rsid w:val="59D2488F"/>
    <w:rsid w:val="59D93E6F"/>
    <w:rsid w:val="59E3160A"/>
    <w:rsid w:val="59F111B9"/>
    <w:rsid w:val="5A074722"/>
    <w:rsid w:val="5A181E02"/>
    <w:rsid w:val="5A252C10"/>
    <w:rsid w:val="5A354F93"/>
    <w:rsid w:val="5A590B71"/>
    <w:rsid w:val="5A647BDD"/>
    <w:rsid w:val="5A67147B"/>
    <w:rsid w:val="5A716294"/>
    <w:rsid w:val="5A771D26"/>
    <w:rsid w:val="5A81253D"/>
    <w:rsid w:val="5A88345E"/>
    <w:rsid w:val="5A983C64"/>
    <w:rsid w:val="5ABD553F"/>
    <w:rsid w:val="5AD7215D"/>
    <w:rsid w:val="5AEB20AC"/>
    <w:rsid w:val="5AFE2708"/>
    <w:rsid w:val="5B013F5E"/>
    <w:rsid w:val="5B070DD5"/>
    <w:rsid w:val="5B0B381E"/>
    <w:rsid w:val="5B136F0D"/>
    <w:rsid w:val="5B1A3F01"/>
    <w:rsid w:val="5B1B52F0"/>
    <w:rsid w:val="5B2B06FA"/>
    <w:rsid w:val="5B461090"/>
    <w:rsid w:val="5B7E226B"/>
    <w:rsid w:val="5B8A5421"/>
    <w:rsid w:val="5B8D3163"/>
    <w:rsid w:val="5B916049"/>
    <w:rsid w:val="5BAF6C35"/>
    <w:rsid w:val="5BD668B8"/>
    <w:rsid w:val="5BD963A8"/>
    <w:rsid w:val="5BE07737"/>
    <w:rsid w:val="5BE11BDE"/>
    <w:rsid w:val="5BEE334D"/>
    <w:rsid w:val="5BFE7BBD"/>
    <w:rsid w:val="5C0C4088"/>
    <w:rsid w:val="5C2869E8"/>
    <w:rsid w:val="5C401F83"/>
    <w:rsid w:val="5C4557EC"/>
    <w:rsid w:val="5C6739B4"/>
    <w:rsid w:val="5C743932"/>
    <w:rsid w:val="5C855BE8"/>
    <w:rsid w:val="5CBC206F"/>
    <w:rsid w:val="5CBD35D4"/>
    <w:rsid w:val="5CC35B3A"/>
    <w:rsid w:val="5CCA7D7F"/>
    <w:rsid w:val="5CEE378D"/>
    <w:rsid w:val="5CF214D0"/>
    <w:rsid w:val="5D0905C7"/>
    <w:rsid w:val="5D2D69AC"/>
    <w:rsid w:val="5D2E44D2"/>
    <w:rsid w:val="5D327B1E"/>
    <w:rsid w:val="5D3C274B"/>
    <w:rsid w:val="5D683540"/>
    <w:rsid w:val="5D6B23BD"/>
    <w:rsid w:val="5D891708"/>
    <w:rsid w:val="5D950196"/>
    <w:rsid w:val="5DBE13B2"/>
    <w:rsid w:val="5DD230AF"/>
    <w:rsid w:val="5DD9443E"/>
    <w:rsid w:val="5DE63630"/>
    <w:rsid w:val="5DF9063C"/>
    <w:rsid w:val="5E0F1C0D"/>
    <w:rsid w:val="5E27164D"/>
    <w:rsid w:val="5E4B16FA"/>
    <w:rsid w:val="5E547B43"/>
    <w:rsid w:val="5E5B7653"/>
    <w:rsid w:val="5EAB4A36"/>
    <w:rsid w:val="5EB13544"/>
    <w:rsid w:val="5EB56D43"/>
    <w:rsid w:val="5EB804F7"/>
    <w:rsid w:val="5EBF5DD9"/>
    <w:rsid w:val="5EC7698C"/>
    <w:rsid w:val="5ED3379D"/>
    <w:rsid w:val="5ED52742"/>
    <w:rsid w:val="5EE1310A"/>
    <w:rsid w:val="5F0E4AFA"/>
    <w:rsid w:val="5F105C3D"/>
    <w:rsid w:val="5F304531"/>
    <w:rsid w:val="5F4C0C3F"/>
    <w:rsid w:val="5F592A0A"/>
    <w:rsid w:val="5F675A73"/>
    <w:rsid w:val="5F6B37BB"/>
    <w:rsid w:val="5F9A7BFD"/>
    <w:rsid w:val="5FA95C57"/>
    <w:rsid w:val="5FAD7930"/>
    <w:rsid w:val="5FBD4096"/>
    <w:rsid w:val="5FBF2E48"/>
    <w:rsid w:val="5FD21144"/>
    <w:rsid w:val="5FD32EC7"/>
    <w:rsid w:val="5FD96977"/>
    <w:rsid w:val="5FDC6467"/>
    <w:rsid w:val="5FDE21DF"/>
    <w:rsid w:val="5FF247B9"/>
    <w:rsid w:val="5FFF52B0"/>
    <w:rsid w:val="600339F4"/>
    <w:rsid w:val="6007093C"/>
    <w:rsid w:val="601C6864"/>
    <w:rsid w:val="602A2D2E"/>
    <w:rsid w:val="602A7EDE"/>
    <w:rsid w:val="602D281F"/>
    <w:rsid w:val="6038228F"/>
    <w:rsid w:val="604007A4"/>
    <w:rsid w:val="605E0C2A"/>
    <w:rsid w:val="605E69BD"/>
    <w:rsid w:val="606A6400"/>
    <w:rsid w:val="607466A0"/>
    <w:rsid w:val="60844B35"/>
    <w:rsid w:val="60911000"/>
    <w:rsid w:val="609617B4"/>
    <w:rsid w:val="60A84A92"/>
    <w:rsid w:val="60B74F3F"/>
    <w:rsid w:val="60C82547"/>
    <w:rsid w:val="60E76E71"/>
    <w:rsid w:val="611D1C60"/>
    <w:rsid w:val="614B5652"/>
    <w:rsid w:val="61572FDD"/>
    <w:rsid w:val="61581B1D"/>
    <w:rsid w:val="61587D6F"/>
    <w:rsid w:val="618131B6"/>
    <w:rsid w:val="618648DC"/>
    <w:rsid w:val="61902398"/>
    <w:rsid w:val="61970898"/>
    <w:rsid w:val="61AD1E69"/>
    <w:rsid w:val="61B56F70"/>
    <w:rsid w:val="61BD35D1"/>
    <w:rsid w:val="61C84EF5"/>
    <w:rsid w:val="61C96577"/>
    <w:rsid w:val="61D90AAC"/>
    <w:rsid w:val="62035F2D"/>
    <w:rsid w:val="620B6B90"/>
    <w:rsid w:val="62361C83"/>
    <w:rsid w:val="62375F27"/>
    <w:rsid w:val="623C273A"/>
    <w:rsid w:val="627D641C"/>
    <w:rsid w:val="62854B94"/>
    <w:rsid w:val="62A0377C"/>
    <w:rsid w:val="62B66AFB"/>
    <w:rsid w:val="62BD432E"/>
    <w:rsid w:val="62CC631F"/>
    <w:rsid w:val="62E0626E"/>
    <w:rsid w:val="6300421A"/>
    <w:rsid w:val="63220635"/>
    <w:rsid w:val="633B16F7"/>
    <w:rsid w:val="63533494"/>
    <w:rsid w:val="63554566"/>
    <w:rsid w:val="63640C4D"/>
    <w:rsid w:val="636C365E"/>
    <w:rsid w:val="63807109"/>
    <w:rsid w:val="63836F3A"/>
    <w:rsid w:val="639130C5"/>
    <w:rsid w:val="63A23982"/>
    <w:rsid w:val="63A74829"/>
    <w:rsid w:val="63B84AF5"/>
    <w:rsid w:val="63BA086D"/>
    <w:rsid w:val="63DE3B53"/>
    <w:rsid w:val="63F15798"/>
    <w:rsid w:val="642A1A86"/>
    <w:rsid w:val="644B4006"/>
    <w:rsid w:val="64524F4A"/>
    <w:rsid w:val="645F735A"/>
    <w:rsid w:val="647B7FFD"/>
    <w:rsid w:val="64970BAF"/>
    <w:rsid w:val="64A84B6A"/>
    <w:rsid w:val="64C37BF6"/>
    <w:rsid w:val="64DD4813"/>
    <w:rsid w:val="64E30A29"/>
    <w:rsid w:val="64E57B6C"/>
    <w:rsid w:val="64EE6A20"/>
    <w:rsid w:val="64F8789F"/>
    <w:rsid w:val="64FA1046"/>
    <w:rsid w:val="65070679"/>
    <w:rsid w:val="651741AC"/>
    <w:rsid w:val="65230F4E"/>
    <w:rsid w:val="653B778C"/>
    <w:rsid w:val="655D3BA6"/>
    <w:rsid w:val="655F4C96"/>
    <w:rsid w:val="656C5B97"/>
    <w:rsid w:val="658663D8"/>
    <w:rsid w:val="65883F22"/>
    <w:rsid w:val="65A11CE5"/>
    <w:rsid w:val="65B23EF2"/>
    <w:rsid w:val="65C77271"/>
    <w:rsid w:val="65C94D98"/>
    <w:rsid w:val="65DD6A95"/>
    <w:rsid w:val="65E755DC"/>
    <w:rsid w:val="65EB2F60"/>
    <w:rsid w:val="660051BA"/>
    <w:rsid w:val="662326FA"/>
    <w:rsid w:val="662F6938"/>
    <w:rsid w:val="663C1A0D"/>
    <w:rsid w:val="664663E8"/>
    <w:rsid w:val="66521231"/>
    <w:rsid w:val="66541F53"/>
    <w:rsid w:val="66573DF2"/>
    <w:rsid w:val="66576847"/>
    <w:rsid w:val="665E78AF"/>
    <w:rsid w:val="665E7BD6"/>
    <w:rsid w:val="66815672"/>
    <w:rsid w:val="66967370"/>
    <w:rsid w:val="66B27F22"/>
    <w:rsid w:val="66C93DB8"/>
    <w:rsid w:val="66F443A6"/>
    <w:rsid w:val="66F51F72"/>
    <w:rsid w:val="66F75934"/>
    <w:rsid w:val="67335085"/>
    <w:rsid w:val="673D77EB"/>
    <w:rsid w:val="67401089"/>
    <w:rsid w:val="675D1C3B"/>
    <w:rsid w:val="67621A85"/>
    <w:rsid w:val="67787CAA"/>
    <w:rsid w:val="67792320"/>
    <w:rsid w:val="678418BE"/>
    <w:rsid w:val="678809D3"/>
    <w:rsid w:val="679272FE"/>
    <w:rsid w:val="679338AF"/>
    <w:rsid w:val="67A31064"/>
    <w:rsid w:val="67AE2497"/>
    <w:rsid w:val="67D14378"/>
    <w:rsid w:val="67D77C40"/>
    <w:rsid w:val="67EB5499"/>
    <w:rsid w:val="68060525"/>
    <w:rsid w:val="681349F0"/>
    <w:rsid w:val="681707D7"/>
    <w:rsid w:val="68202CE4"/>
    <w:rsid w:val="682D65E8"/>
    <w:rsid w:val="683D33E3"/>
    <w:rsid w:val="68483440"/>
    <w:rsid w:val="684C37A9"/>
    <w:rsid w:val="68556DB7"/>
    <w:rsid w:val="68882CE8"/>
    <w:rsid w:val="689E0B09"/>
    <w:rsid w:val="68B22234"/>
    <w:rsid w:val="68B910F3"/>
    <w:rsid w:val="68E72104"/>
    <w:rsid w:val="68E819D9"/>
    <w:rsid w:val="69036813"/>
    <w:rsid w:val="690A5DF3"/>
    <w:rsid w:val="690F3409"/>
    <w:rsid w:val="69146C72"/>
    <w:rsid w:val="691D5B26"/>
    <w:rsid w:val="692622A5"/>
    <w:rsid w:val="69282DE8"/>
    <w:rsid w:val="696F3EA8"/>
    <w:rsid w:val="698F00A6"/>
    <w:rsid w:val="69B61AD7"/>
    <w:rsid w:val="69CE6E20"/>
    <w:rsid w:val="69F10D61"/>
    <w:rsid w:val="69F80B43"/>
    <w:rsid w:val="6A266C5C"/>
    <w:rsid w:val="6A3A2708"/>
    <w:rsid w:val="6A3D3FA6"/>
    <w:rsid w:val="6A4E1D0F"/>
    <w:rsid w:val="6A5C442C"/>
    <w:rsid w:val="6A690733"/>
    <w:rsid w:val="6A694D9B"/>
    <w:rsid w:val="6A7F45BF"/>
    <w:rsid w:val="6A885221"/>
    <w:rsid w:val="6AD71D05"/>
    <w:rsid w:val="6AD83AD4"/>
    <w:rsid w:val="6AE461D0"/>
    <w:rsid w:val="6AE54422"/>
    <w:rsid w:val="6B376C47"/>
    <w:rsid w:val="6B482C03"/>
    <w:rsid w:val="6B60619E"/>
    <w:rsid w:val="6B6932A5"/>
    <w:rsid w:val="6B7E4876"/>
    <w:rsid w:val="6B8B3D0D"/>
    <w:rsid w:val="6B9B0431"/>
    <w:rsid w:val="6BA02A3F"/>
    <w:rsid w:val="6BB169FA"/>
    <w:rsid w:val="6BC90D7C"/>
    <w:rsid w:val="6BCA79DB"/>
    <w:rsid w:val="6BE14564"/>
    <w:rsid w:val="6BF568E6"/>
    <w:rsid w:val="6BFF530D"/>
    <w:rsid w:val="6C040838"/>
    <w:rsid w:val="6C134FBF"/>
    <w:rsid w:val="6C1D7BEB"/>
    <w:rsid w:val="6C2471CC"/>
    <w:rsid w:val="6C423AF6"/>
    <w:rsid w:val="6C467142"/>
    <w:rsid w:val="6C4C04D0"/>
    <w:rsid w:val="6C8975E2"/>
    <w:rsid w:val="6C953C26"/>
    <w:rsid w:val="6C9E6F7E"/>
    <w:rsid w:val="6CB467A2"/>
    <w:rsid w:val="6CC4450B"/>
    <w:rsid w:val="6CC50FC6"/>
    <w:rsid w:val="6CE60925"/>
    <w:rsid w:val="6CEB1A97"/>
    <w:rsid w:val="6D056FFD"/>
    <w:rsid w:val="6D08581B"/>
    <w:rsid w:val="6D227F6B"/>
    <w:rsid w:val="6D30394E"/>
    <w:rsid w:val="6D3A657B"/>
    <w:rsid w:val="6D54763D"/>
    <w:rsid w:val="6D601360"/>
    <w:rsid w:val="6D711AC2"/>
    <w:rsid w:val="6D8D1723"/>
    <w:rsid w:val="6D934609"/>
    <w:rsid w:val="6D981C1F"/>
    <w:rsid w:val="6DA06D26"/>
    <w:rsid w:val="6DD62748"/>
    <w:rsid w:val="6DD8026E"/>
    <w:rsid w:val="6DF549AF"/>
    <w:rsid w:val="6DF606F4"/>
    <w:rsid w:val="6E001573"/>
    <w:rsid w:val="6E357253"/>
    <w:rsid w:val="6E3A2CD6"/>
    <w:rsid w:val="6E5974AE"/>
    <w:rsid w:val="6E751F61"/>
    <w:rsid w:val="6E905607"/>
    <w:rsid w:val="6E9323E7"/>
    <w:rsid w:val="6EAF6C69"/>
    <w:rsid w:val="6ED331BE"/>
    <w:rsid w:val="6EE5644A"/>
    <w:rsid w:val="6EE90259"/>
    <w:rsid w:val="6F060E0B"/>
    <w:rsid w:val="6F1654F2"/>
    <w:rsid w:val="6F1C418A"/>
    <w:rsid w:val="6F32346A"/>
    <w:rsid w:val="6F490CF7"/>
    <w:rsid w:val="6F4D07E7"/>
    <w:rsid w:val="6F4D4C8B"/>
    <w:rsid w:val="6F743FC6"/>
    <w:rsid w:val="6F80296B"/>
    <w:rsid w:val="6F997ED1"/>
    <w:rsid w:val="6FB70357"/>
    <w:rsid w:val="6FDE3B35"/>
    <w:rsid w:val="70115CB9"/>
    <w:rsid w:val="70360052"/>
    <w:rsid w:val="704936A5"/>
    <w:rsid w:val="70D10B12"/>
    <w:rsid w:val="70D171F6"/>
    <w:rsid w:val="70D311C0"/>
    <w:rsid w:val="70DF7B65"/>
    <w:rsid w:val="70F058CE"/>
    <w:rsid w:val="71123A97"/>
    <w:rsid w:val="71287A1C"/>
    <w:rsid w:val="712D5E35"/>
    <w:rsid w:val="714720A7"/>
    <w:rsid w:val="715B3690"/>
    <w:rsid w:val="71755DD4"/>
    <w:rsid w:val="717E2EDA"/>
    <w:rsid w:val="71AB7A47"/>
    <w:rsid w:val="71B0548A"/>
    <w:rsid w:val="71B306C4"/>
    <w:rsid w:val="71CC3404"/>
    <w:rsid w:val="71CD3E62"/>
    <w:rsid w:val="71CD5C10"/>
    <w:rsid w:val="71D21478"/>
    <w:rsid w:val="71FB09CF"/>
    <w:rsid w:val="72263F71"/>
    <w:rsid w:val="722A3309"/>
    <w:rsid w:val="72603598"/>
    <w:rsid w:val="726A345E"/>
    <w:rsid w:val="726E6921"/>
    <w:rsid w:val="72A06176"/>
    <w:rsid w:val="72A06240"/>
    <w:rsid w:val="72BB757F"/>
    <w:rsid w:val="72D57472"/>
    <w:rsid w:val="72D57CF3"/>
    <w:rsid w:val="72DF147F"/>
    <w:rsid w:val="72E2393D"/>
    <w:rsid w:val="72F21DD2"/>
    <w:rsid w:val="72F316A6"/>
    <w:rsid w:val="72FA36DC"/>
    <w:rsid w:val="73066A42"/>
    <w:rsid w:val="73102258"/>
    <w:rsid w:val="731C6E4F"/>
    <w:rsid w:val="732D105C"/>
    <w:rsid w:val="73335F46"/>
    <w:rsid w:val="73593BFF"/>
    <w:rsid w:val="735954E5"/>
    <w:rsid w:val="73903399"/>
    <w:rsid w:val="73B057E9"/>
    <w:rsid w:val="73BB0416"/>
    <w:rsid w:val="73C44DF0"/>
    <w:rsid w:val="73E84D22"/>
    <w:rsid w:val="73F13E37"/>
    <w:rsid w:val="740718AD"/>
    <w:rsid w:val="741A35F5"/>
    <w:rsid w:val="742A10F7"/>
    <w:rsid w:val="743401C8"/>
    <w:rsid w:val="743B1556"/>
    <w:rsid w:val="744964ED"/>
    <w:rsid w:val="74806BAC"/>
    <w:rsid w:val="74821A87"/>
    <w:rsid w:val="748527D2"/>
    <w:rsid w:val="7485543B"/>
    <w:rsid w:val="7487479C"/>
    <w:rsid w:val="74D37E07"/>
    <w:rsid w:val="74D478E6"/>
    <w:rsid w:val="74EC2851"/>
    <w:rsid w:val="74F90479"/>
    <w:rsid w:val="74FE6C9A"/>
    <w:rsid w:val="753F6E24"/>
    <w:rsid w:val="756643B1"/>
    <w:rsid w:val="75750A98"/>
    <w:rsid w:val="758E3908"/>
    <w:rsid w:val="7592164A"/>
    <w:rsid w:val="759727BC"/>
    <w:rsid w:val="75B82733"/>
    <w:rsid w:val="75C81609"/>
    <w:rsid w:val="75CF63FA"/>
    <w:rsid w:val="75EC0BAC"/>
    <w:rsid w:val="75F93477"/>
    <w:rsid w:val="7610431D"/>
    <w:rsid w:val="761A29D5"/>
    <w:rsid w:val="761A53C5"/>
    <w:rsid w:val="76215A7B"/>
    <w:rsid w:val="762A1C08"/>
    <w:rsid w:val="762E16DC"/>
    <w:rsid w:val="76306C97"/>
    <w:rsid w:val="763D77BA"/>
    <w:rsid w:val="76564426"/>
    <w:rsid w:val="765860B4"/>
    <w:rsid w:val="766034F6"/>
    <w:rsid w:val="768A6FF9"/>
    <w:rsid w:val="76944F4E"/>
    <w:rsid w:val="76A31809"/>
    <w:rsid w:val="76A72ED3"/>
    <w:rsid w:val="76AE24B4"/>
    <w:rsid w:val="76C70E7F"/>
    <w:rsid w:val="76DA32A9"/>
    <w:rsid w:val="76DF3B1A"/>
    <w:rsid w:val="76EE0B02"/>
    <w:rsid w:val="76F0487A"/>
    <w:rsid w:val="76FD0D45"/>
    <w:rsid w:val="770025E3"/>
    <w:rsid w:val="77161E07"/>
    <w:rsid w:val="77884AB3"/>
    <w:rsid w:val="778D031B"/>
    <w:rsid w:val="77997B2C"/>
    <w:rsid w:val="77A80CB1"/>
    <w:rsid w:val="77AF2BAE"/>
    <w:rsid w:val="77BC475C"/>
    <w:rsid w:val="77C74EAF"/>
    <w:rsid w:val="77CB0E43"/>
    <w:rsid w:val="77CE623E"/>
    <w:rsid w:val="77D575CC"/>
    <w:rsid w:val="77DA1086"/>
    <w:rsid w:val="780E0011"/>
    <w:rsid w:val="781C0323"/>
    <w:rsid w:val="781E0F73"/>
    <w:rsid w:val="783C3AEF"/>
    <w:rsid w:val="78570929"/>
    <w:rsid w:val="786C7F30"/>
    <w:rsid w:val="78782D79"/>
    <w:rsid w:val="78797D0E"/>
    <w:rsid w:val="788A2AAC"/>
    <w:rsid w:val="788A485A"/>
    <w:rsid w:val="78A27DF6"/>
    <w:rsid w:val="78AA0A59"/>
    <w:rsid w:val="78AE7E54"/>
    <w:rsid w:val="78D73FB1"/>
    <w:rsid w:val="78E76DFB"/>
    <w:rsid w:val="79074B53"/>
    <w:rsid w:val="790A14F7"/>
    <w:rsid w:val="791671DB"/>
    <w:rsid w:val="7936053E"/>
    <w:rsid w:val="79426EE3"/>
    <w:rsid w:val="794B3FEA"/>
    <w:rsid w:val="795F1851"/>
    <w:rsid w:val="79766B8D"/>
    <w:rsid w:val="797F1EE5"/>
    <w:rsid w:val="79B55907"/>
    <w:rsid w:val="79B871A5"/>
    <w:rsid w:val="79BC6C95"/>
    <w:rsid w:val="79C63670"/>
    <w:rsid w:val="79CD2C51"/>
    <w:rsid w:val="7A0B3779"/>
    <w:rsid w:val="7A1D5FA5"/>
    <w:rsid w:val="7A376925"/>
    <w:rsid w:val="7A925C48"/>
    <w:rsid w:val="7AA8546C"/>
    <w:rsid w:val="7AC57DCC"/>
    <w:rsid w:val="7AEF6BF7"/>
    <w:rsid w:val="7B42141C"/>
    <w:rsid w:val="7B466A5C"/>
    <w:rsid w:val="7B5D5641"/>
    <w:rsid w:val="7B613568"/>
    <w:rsid w:val="7B6B0973"/>
    <w:rsid w:val="7B811F45"/>
    <w:rsid w:val="7B9B0B2D"/>
    <w:rsid w:val="7B9D6653"/>
    <w:rsid w:val="7BDD639C"/>
    <w:rsid w:val="7BE20509"/>
    <w:rsid w:val="7BEE1D66"/>
    <w:rsid w:val="7BF87D2D"/>
    <w:rsid w:val="7C084414"/>
    <w:rsid w:val="7C224C44"/>
    <w:rsid w:val="7C38055A"/>
    <w:rsid w:val="7C482A62"/>
    <w:rsid w:val="7C4D62CB"/>
    <w:rsid w:val="7C551BF0"/>
    <w:rsid w:val="7C586FEC"/>
    <w:rsid w:val="7C605FFE"/>
    <w:rsid w:val="7C790E6E"/>
    <w:rsid w:val="7C8A4E29"/>
    <w:rsid w:val="7C8B1F44"/>
    <w:rsid w:val="7CA30566"/>
    <w:rsid w:val="7CBA4FE2"/>
    <w:rsid w:val="7CBB76D8"/>
    <w:rsid w:val="7CC56D97"/>
    <w:rsid w:val="7CD04B69"/>
    <w:rsid w:val="7CE24C65"/>
    <w:rsid w:val="7CF14EA8"/>
    <w:rsid w:val="7D1943FF"/>
    <w:rsid w:val="7D2863F0"/>
    <w:rsid w:val="7D337C8D"/>
    <w:rsid w:val="7D456FA2"/>
    <w:rsid w:val="7D4C0E2D"/>
    <w:rsid w:val="7D593BE7"/>
    <w:rsid w:val="7D5B67C5"/>
    <w:rsid w:val="7D603DDC"/>
    <w:rsid w:val="7D625DE5"/>
    <w:rsid w:val="7D747887"/>
    <w:rsid w:val="7D9121E7"/>
    <w:rsid w:val="7D937D0D"/>
    <w:rsid w:val="7DB06B11"/>
    <w:rsid w:val="7DCD34A9"/>
    <w:rsid w:val="7DD56578"/>
    <w:rsid w:val="7DD8381F"/>
    <w:rsid w:val="7DDB186C"/>
    <w:rsid w:val="7DE467BB"/>
    <w:rsid w:val="7DFA5FDE"/>
    <w:rsid w:val="7E21356B"/>
    <w:rsid w:val="7E235535"/>
    <w:rsid w:val="7E282B4B"/>
    <w:rsid w:val="7E33329E"/>
    <w:rsid w:val="7E513524"/>
    <w:rsid w:val="7E527BC8"/>
    <w:rsid w:val="7E631DD5"/>
    <w:rsid w:val="7E6E42D6"/>
    <w:rsid w:val="7E891110"/>
    <w:rsid w:val="7EBB59D9"/>
    <w:rsid w:val="7ED625A7"/>
    <w:rsid w:val="7ED82642"/>
    <w:rsid w:val="7EE9730C"/>
    <w:rsid w:val="7EEA1BAF"/>
    <w:rsid w:val="7EEF7017"/>
    <w:rsid w:val="7EF0118F"/>
    <w:rsid w:val="7EF971F9"/>
    <w:rsid w:val="7EFC5D86"/>
    <w:rsid w:val="7F054953"/>
    <w:rsid w:val="7F0D1FD5"/>
    <w:rsid w:val="7F1278A7"/>
    <w:rsid w:val="7F372393"/>
    <w:rsid w:val="7F385010"/>
    <w:rsid w:val="7F391F66"/>
    <w:rsid w:val="7F595260"/>
    <w:rsid w:val="7F89586C"/>
    <w:rsid w:val="7F8A15E4"/>
    <w:rsid w:val="7F8F6BFA"/>
    <w:rsid w:val="7FB56661"/>
    <w:rsid w:val="7FB92E0C"/>
    <w:rsid w:val="7FC066BC"/>
    <w:rsid w:val="7FCC7507"/>
    <w:rsid w:val="7FD12D6F"/>
    <w:rsid w:val="7FE24F7C"/>
    <w:rsid w:val="D95CF4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8">
    <w:name w:val="Default Paragraph Font"/>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5">
    <w:name w:val="Body Text"/>
    <w:basedOn w:val="1"/>
    <w:next w:val="6"/>
    <w:link w:val="31"/>
    <w:semiHidden/>
    <w:qFormat/>
    <w:uiPriority w:val="0"/>
    <w:rPr>
      <w:rFonts w:ascii="微软雅黑" w:hAnsi="微软雅黑" w:eastAsia="微软雅黑" w:cs="微软雅黑"/>
      <w:sz w:val="28"/>
      <w:szCs w:val="28"/>
      <w:lang w:val="en-US" w:eastAsia="en-US" w:bidi="ar-SA"/>
    </w:rPr>
  </w:style>
  <w:style w:type="paragraph" w:styleId="6">
    <w:name w:val="Body Text First Indent"/>
    <w:basedOn w:val="5"/>
    <w:next w:val="1"/>
    <w:qFormat/>
    <w:uiPriority w:val="0"/>
    <w:pPr>
      <w:tabs>
        <w:tab w:val="left" w:pos="567"/>
      </w:tabs>
      <w:spacing w:line="312" w:lineRule="auto"/>
      <w:ind w:firstLine="420" w:firstLineChars="100"/>
    </w:pPr>
    <w:rPr>
      <w:rFonts w:hint="eastAsia" w:ascii="微软雅黑" w:hAnsi="微软雅黑" w:eastAsia="微软雅黑" w:cs="微软雅黑"/>
      <w:szCs w:val="21"/>
    </w:rPr>
  </w:style>
  <w:style w:type="paragraph" w:styleId="7">
    <w:name w:val="Body Text Indent"/>
    <w:basedOn w:val="1"/>
    <w:next w:val="8"/>
    <w:qFormat/>
    <w:uiPriority w:val="0"/>
    <w:pPr>
      <w:spacing w:after="120"/>
      <w:ind w:left="420" w:leftChars="200"/>
    </w:pPr>
  </w:style>
  <w:style w:type="paragraph" w:styleId="8">
    <w:name w:val="Body Text First Indent 2"/>
    <w:basedOn w:val="7"/>
    <w:qFormat/>
    <w:uiPriority w:val="0"/>
    <w:pPr>
      <w:ind w:firstLine="420"/>
    </w:pPr>
  </w:style>
  <w:style w:type="paragraph" w:styleId="9">
    <w:name w:val="Plain Text"/>
    <w:basedOn w:val="1"/>
    <w:next w:val="10"/>
    <w:qFormat/>
    <w:uiPriority w:val="0"/>
    <w:rPr>
      <w:rFonts w:ascii="宋体" w:hAnsi="Courier New"/>
      <w:szCs w:val="20"/>
    </w:rPr>
  </w:style>
  <w:style w:type="paragraph" w:styleId="10">
    <w:name w:val="Subtitle"/>
    <w:next w:val="1"/>
    <w:qFormat/>
    <w:uiPriority w:val="0"/>
    <w:pPr>
      <w:wordWrap w:val="0"/>
      <w:spacing w:after="60"/>
      <w:jc w:val="center"/>
    </w:pPr>
    <w:rPr>
      <w:rFonts w:ascii="Calibri" w:hAnsi="Calibri" w:eastAsia="宋体" w:cs="Times New Roman"/>
      <w:sz w:val="24"/>
      <w:lang w:val="en-US" w:eastAsia="zh-CN" w:bidi="ar-SA"/>
    </w:rPr>
  </w:style>
  <w:style w:type="paragraph" w:styleId="11">
    <w:name w:val="Body Text Indent 2"/>
    <w:basedOn w:val="1"/>
    <w:qFormat/>
    <w:uiPriority w:val="0"/>
    <w:pPr>
      <w:spacing w:line="360" w:lineRule="auto"/>
      <w:ind w:left="-61" w:leftChars="-29" w:firstLine="458" w:firstLineChars="218"/>
    </w:pPr>
    <w:rPr>
      <w:rFonts w:ascii="宋体" w:hAnsi="宋体"/>
    </w:rPr>
  </w:style>
  <w:style w:type="paragraph" w:styleId="12">
    <w:name w:val="footer"/>
    <w:basedOn w:val="1"/>
    <w:link w:val="32"/>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link w:val="33"/>
    <w:qFormat/>
    <w:uiPriority w:val="0"/>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styleId="21">
    <w:name w:val="HTML Sample"/>
    <w:basedOn w:val="18"/>
    <w:qFormat/>
    <w:uiPriority w:val="0"/>
    <w:rPr>
      <w:rFonts w:ascii="Courier New" w:hAnsi="Courier New"/>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able Text"/>
    <w:basedOn w:val="1"/>
    <w:semiHidden/>
    <w:qFormat/>
    <w:uiPriority w:val="0"/>
    <w:rPr>
      <w:rFonts w:ascii="宋体" w:hAnsi="宋体" w:eastAsia="宋体" w:cs="宋体"/>
      <w:sz w:val="28"/>
      <w:szCs w:val="28"/>
      <w:lang w:val="en-US" w:eastAsia="en-US" w:bidi="ar-SA"/>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NormalCharacter"/>
    <w:semiHidden/>
    <w:qFormat/>
    <w:uiPriority w:val="0"/>
  </w:style>
  <w:style w:type="character" w:customStyle="1" w:styleId="26">
    <w:name w:val="font51"/>
    <w:basedOn w:val="18"/>
    <w:qFormat/>
    <w:uiPriority w:val="0"/>
    <w:rPr>
      <w:rFonts w:hint="eastAsia" w:ascii="宋体" w:hAnsi="宋体" w:eastAsia="宋体" w:cs="宋体"/>
      <w:color w:val="000000"/>
      <w:sz w:val="24"/>
      <w:szCs w:val="24"/>
      <w:u w:val="none"/>
    </w:rPr>
  </w:style>
  <w:style w:type="character" w:customStyle="1" w:styleId="27">
    <w:name w:val="font41"/>
    <w:basedOn w:val="18"/>
    <w:qFormat/>
    <w:uiPriority w:val="0"/>
    <w:rPr>
      <w:rFonts w:hint="eastAsia" w:ascii="宋体" w:hAnsi="宋体" w:eastAsia="宋体" w:cs="宋体"/>
      <w:color w:val="000000"/>
      <w:sz w:val="24"/>
      <w:szCs w:val="24"/>
      <w:u w:val="none"/>
    </w:rPr>
  </w:style>
  <w:style w:type="character" w:customStyle="1" w:styleId="28">
    <w:name w:val="font71"/>
    <w:basedOn w:val="18"/>
    <w:qFormat/>
    <w:uiPriority w:val="0"/>
    <w:rPr>
      <w:rFonts w:hint="eastAsia" w:ascii="宋体" w:hAnsi="宋体" w:eastAsia="宋体" w:cs="宋体"/>
      <w:color w:val="000000"/>
      <w:sz w:val="24"/>
      <w:szCs w:val="24"/>
      <w:u w:val="none"/>
    </w:rPr>
  </w:style>
  <w:style w:type="character" w:customStyle="1" w:styleId="29">
    <w:name w:val="font101"/>
    <w:basedOn w:val="18"/>
    <w:qFormat/>
    <w:uiPriority w:val="0"/>
    <w:rPr>
      <w:rFonts w:hint="eastAsia" w:ascii="宋体" w:hAnsi="宋体" w:eastAsia="宋体" w:cs="宋体"/>
      <w:b/>
      <w:bCs/>
      <w:color w:val="FF0000"/>
      <w:sz w:val="24"/>
      <w:szCs w:val="24"/>
      <w:u w:val="none"/>
    </w:rPr>
  </w:style>
  <w:style w:type="character" w:customStyle="1" w:styleId="30">
    <w:name w:val="font01"/>
    <w:basedOn w:val="18"/>
    <w:qFormat/>
    <w:uiPriority w:val="0"/>
    <w:rPr>
      <w:rFonts w:hint="eastAsia" w:ascii="宋体" w:hAnsi="宋体" w:eastAsia="宋体" w:cs="宋体"/>
      <w:color w:val="000000"/>
      <w:sz w:val="24"/>
      <w:szCs w:val="24"/>
      <w:u w:val="none"/>
    </w:rPr>
  </w:style>
  <w:style w:type="character" w:customStyle="1" w:styleId="31">
    <w:name w:val="正文文本 Char"/>
    <w:link w:val="5"/>
    <w:qFormat/>
    <w:uiPriority w:val="0"/>
    <w:rPr>
      <w:rFonts w:ascii="微软雅黑" w:hAnsi="微软雅黑" w:eastAsia="微软雅黑" w:cs="微软雅黑"/>
      <w:sz w:val="28"/>
      <w:szCs w:val="28"/>
      <w:lang w:val="en-US" w:eastAsia="en-US" w:bidi="ar-SA"/>
    </w:rPr>
  </w:style>
  <w:style w:type="character" w:customStyle="1" w:styleId="32">
    <w:name w:val="页脚 Char"/>
    <w:link w:val="12"/>
    <w:qFormat/>
    <w:uiPriority w:val="0"/>
    <w:rPr>
      <w:sz w:val="18"/>
    </w:rPr>
  </w:style>
  <w:style w:type="character" w:customStyle="1" w:styleId="33">
    <w:name w:val="目录 1 Char"/>
    <w:link w:val="14"/>
    <w:qFormat/>
    <w:uiPriority w:val="0"/>
  </w:style>
  <w:style w:type="character" w:customStyle="1" w:styleId="34">
    <w:name w:val="font111"/>
    <w:basedOn w:val="18"/>
    <w:qFormat/>
    <w:uiPriority w:val="0"/>
    <w:rPr>
      <w:rFonts w:ascii="宋体" w:hAnsi="宋体" w:eastAsia="宋体" w:cs="宋体"/>
      <w:b/>
      <w:bCs/>
      <w:color w:val="000000"/>
      <w:sz w:val="24"/>
      <w:szCs w:val="24"/>
      <w:u w:val="none"/>
    </w:rPr>
  </w:style>
  <w:style w:type="character" w:customStyle="1" w:styleId="35">
    <w:name w:val="font122"/>
    <w:basedOn w:val="18"/>
    <w:qFormat/>
    <w:uiPriority w:val="0"/>
    <w:rPr>
      <w:rFonts w:ascii="宋体" w:hAnsi="宋体" w:eastAsia="宋体" w:cs="宋体"/>
      <w:color w:val="000000"/>
      <w:sz w:val="20"/>
      <w:szCs w:val="20"/>
      <w:u w:val="none"/>
    </w:rPr>
  </w:style>
  <w:style w:type="character" w:customStyle="1" w:styleId="36">
    <w:name w:val="font131"/>
    <w:basedOn w:val="18"/>
    <w:qFormat/>
    <w:uiPriority w:val="0"/>
    <w:rPr>
      <w:rFonts w:hint="default" w:ascii="Arial" w:hAnsi="Arial" w:cs="Arial"/>
      <w:color w:val="000000"/>
      <w:sz w:val="21"/>
      <w:szCs w:val="21"/>
      <w:u w:val="none"/>
    </w:rPr>
  </w:style>
  <w:style w:type="character" w:customStyle="1" w:styleId="37">
    <w:name w:val="font141"/>
    <w:basedOn w:val="18"/>
    <w:qFormat/>
    <w:uiPriority w:val="0"/>
    <w:rPr>
      <w:rFonts w:hint="default" w:ascii="Calibri" w:hAnsi="Calibri" w:cs="Calibri"/>
      <w:color w:val="000000"/>
      <w:sz w:val="20"/>
      <w:szCs w:val="20"/>
      <w:u w:val="none"/>
    </w:rPr>
  </w:style>
  <w:style w:type="character" w:customStyle="1" w:styleId="38">
    <w:name w:val="font151"/>
    <w:basedOn w:val="18"/>
    <w:qFormat/>
    <w:uiPriority w:val="0"/>
    <w:rPr>
      <w:rFonts w:hint="default" w:ascii="Arial" w:hAnsi="Arial" w:cs="Arial"/>
      <w:color w:val="000000"/>
      <w:sz w:val="22"/>
      <w:szCs w:val="22"/>
      <w:u w:val="none"/>
    </w:rPr>
  </w:style>
  <w:style w:type="character" w:customStyle="1" w:styleId="39">
    <w:name w:val="font161"/>
    <w:basedOn w:val="18"/>
    <w:qFormat/>
    <w:uiPriority w:val="0"/>
    <w:rPr>
      <w:rFonts w:ascii="宋体" w:hAnsi="宋体" w:eastAsia="宋体" w:cs="宋体"/>
      <w:color w:val="000000"/>
      <w:sz w:val="18"/>
      <w:szCs w:val="18"/>
      <w:u w:val="none"/>
    </w:rPr>
  </w:style>
  <w:style w:type="character" w:customStyle="1" w:styleId="40">
    <w:name w:val="font171"/>
    <w:basedOn w:val="18"/>
    <w:qFormat/>
    <w:uiPriority w:val="0"/>
    <w:rPr>
      <w:rFonts w:hint="default" w:ascii="Arial" w:hAnsi="Arial" w:cs="Arial"/>
      <w:color w:val="000000"/>
      <w:sz w:val="12"/>
      <w:szCs w:val="12"/>
      <w:u w:val="none"/>
    </w:rPr>
  </w:style>
  <w:style w:type="character" w:customStyle="1" w:styleId="41">
    <w:name w:val="font181"/>
    <w:basedOn w:val="18"/>
    <w:qFormat/>
    <w:uiPriority w:val="0"/>
    <w:rPr>
      <w:rFonts w:hint="default" w:ascii="Calibri" w:hAnsi="Calibri" w:cs="Calibri"/>
      <w:color w:val="000000"/>
      <w:sz w:val="18"/>
      <w:szCs w:val="18"/>
      <w:u w:val="none"/>
    </w:rPr>
  </w:style>
  <w:style w:type="character" w:customStyle="1" w:styleId="42">
    <w:name w:val="font191"/>
    <w:basedOn w:val="18"/>
    <w:qFormat/>
    <w:uiPriority w:val="0"/>
    <w:rPr>
      <w:rFonts w:hint="default" w:ascii="Arial" w:hAnsi="Arial" w:cs="Arial"/>
      <w:color w:val="000000"/>
      <w:sz w:val="24"/>
      <w:szCs w:val="24"/>
      <w:u w:val="none"/>
    </w:rPr>
  </w:style>
  <w:style w:type="character" w:customStyle="1" w:styleId="43">
    <w:name w:val="font201"/>
    <w:basedOn w:val="18"/>
    <w:qFormat/>
    <w:uiPriority w:val="0"/>
    <w:rPr>
      <w:rFonts w:hint="default" w:ascii="Arial" w:hAnsi="Arial" w:cs="Arial"/>
      <w:color w:val="000000"/>
      <w:sz w:val="18"/>
      <w:szCs w:val="18"/>
      <w:u w:val="none"/>
    </w:rPr>
  </w:style>
  <w:style w:type="character" w:customStyle="1" w:styleId="44">
    <w:name w:val="font212"/>
    <w:basedOn w:val="18"/>
    <w:qFormat/>
    <w:uiPriority w:val="0"/>
    <w:rPr>
      <w:rFonts w:ascii="宋体" w:hAnsi="宋体" w:eastAsia="宋体" w:cs="宋体"/>
      <w:color w:val="002060"/>
      <w:sz w:val="20"/>
      <w:szCs w:val="20"/>
      <w:u w:val="none"/>
    </w:rPr>
  </w:style>
  <w:style w:type="character" w:customStyle="1" w:styleId="45">
    <w:name w:val="font221"/>
    <w:basedOn w:val="18"/>
    <w:qFormat/>
    <w:uiPriority w:val="0"/>
    <w:rPr>
      <w:rFonts w:ascii="宋体" w:hAnsi="宋体" w:eastAsia="宋体" w:cs="宋体"/>
      <w:b/>
      <w:bCs/>
      <w:color w:val="000000"/>
      <w:sz w:val="30"/>
      <w:szCs w:val="30"/>
      <w:u w:val="none"/>
    </w:rPr>
  </w:style>
  <w:style w:type="character" w:customStyle="1" w:styleId="46">
    <w:name w:val="font231"/>
    <w:basedOn w:val="18"/>
    <w:qFormat/>
    <w:uiPriority w:val="0"/>
    <w:rPr>
      <w:rFonts w:ascii="宋体" w:hAnsi="宋体" w:eastAsia="宋体" w:cs="宋体"/>
      <w:color w:val="FF0000"/>
      <w:sz w:val="20"/>
      <w:szCs w:val="20"/>
      <w:u w:val="none"/>
    </w:rPr>
  </w:style>
  <w:style w:type="character" w:customStyle="1" w:styleId="47">
    <w:name w:val="font241"/>
    <w:basedOn w:val="18"/>
    <w:qFormat/>
    <w:uiPriority w:val="0"/>
    <w:rPr>
      <w:rFonts w:ascii="宋体" w:hAnsi="宋体" w:eastAsia="宋体" w:cs="宋体"/>
      <w:color w:val="000000"/>
      <w:sz w:val="24"/>
      <w:szCs w:val="24"/>
      <w:u w:val="none"/>
    </w:rPr>
  </w:style>
  <w:style w:type="character" w:customStyle="1" w:styleId="48">
    <w:name w:val="font251"/>
    <w:basedOn w:val="18"/>
    <w:qFormat/>
    <w:uiPriority w:val="0"/>
    <w:rPr>
      <w:rFonts w:hint="default" w:ascii="Calibri" w:hAnsi="Calibri" w:cs="Calibri"/>
      <w:color w:val="000000"/>
      <w:sz w:val="24"/>
      <w:szCs w:val="24"/>
      <w:u w:val="none"/>
    </w:rPr>
  </w:style>
  <w:style w:type="character" w:customStyle="1" w:styleId="49">
    <w:name w:val="font31"/>
    <w:basedOn w:val="18"/>
    <w:qFormat/>
    <w:uiPriority w:val="0"/>
    <w:rPr>
      <w:rFonts w:ascii="宋体" w:hAnsi="宋体" w:eastAsia="宋体" w:cs="宋体"/>
      <w:color w:val="000000"/>
      <w:sz w:val="22"/>
      <w:szCs w:val="22"/>
      <w:u w:val="none"/>
    </w:rPr>
  </w:style>
  <w:style w:type="character" w:customStyle="1" w:styleId="50">
    <w:name w:val="font91"/>
    <w:basedOn w:val="18"/>
    <w:qFormat/>
    <w:uiPriority w:val="0"/>
    <w:rPr>
      <w:rFonts w:ascii="宋体" w:hAnsi="宋体" w:eastAsia="宋体" w:cs="宋体"/>
      <w:color w:val="000000"/>
      <w:sz w:val="18"/>
      <w:szCs w:val="18"/>
      <w:u w:val="none"/>
    </w:rPr>
  </w:style>
  <w:style w:type="character" w:customStyle="1" w:styleId="51">
    <w:name w:val="font261"/>
    <w:basedOn w:val="18"/>
    <w:qFormat/>
    <w:uiPriority w:val="0"/>
    <w:rPr>
      <w:rFonts w:ascii="宋体" w:hAnsi="宋体" w:eastAsia="宋体" w:cs="宋体"/>
      <w:color w:val="000000"/>
      <w:sz w:val="20"/>
      <w:szCs w:val="20"/>
      <w:u w:val="none"/>
    </w:rPr>
  </w:style>
  <w:style w:type="character" w:customStyle="1" w:styleId="52">
    <w:name w:val="font271"/>
    <w:basedOn w:val="18"/>
    <w:qFormat/>
    <w:uiPriority w:val="0"/>
    <w:rPr>
      <w:rFonts w:ascii="宋体" w:hAnsi="宋体" w:eastAsia="宋体" w:cs="宋体"/>
      <w:color w:val="000000"/>
      <w:sz w:val="24"/>
      <w:szCs w:val="24"/>
      <w:u w:val="none"/>
    </w:rPr>
  </w:style>
  <w:style w:type="character" w:customStyle="1" w:styleId="53">
    <w:name w:val="font281"/>
    <w:basedOn w:val="18"/>
    <w:qFormat/>
    <w:uiPriority w:val="0"/>
    <w:rPr>
      <w:rFonts w:hint="default" w:ascii="Calibri" w:hAnsi="Calibri" w:cs="Calibri"/>
      <w:color w:val="000000"/>
      <w:sz w:val="24"/>
      <w:szCs w:val="24"/>
      <w:u w:val="none"/>
    </w:rPr>
  </w:style>
  <w:style w:type="character" w:customStyle="1" w:styleId="54">
    <w:name w:val="font291"/>
    <w:basedOn w:val="18"/>
    <w:qFormat/>
    <w:uiPriority w:val="0"/>
    <w:rPr>
      <w:rFonts w:hint="default" w:ascii="Calibri" w:hAnsi="Calibri" w:cs="Calibri"/>
      <w:color w:val="FF0000"/>
      <w:sz w:val="18"/>
      <w:szCs w:val="18"/>
      <w:u w:val="none"/>
    </w:rPr>
  </w:style>
  <w:style w:type="character" w:customStyle="1" w:styleId="55">
    <w:name w:val="font112"/>
    <w:basedOn w:val="18"/>
    <w:qFormat/>
    <w:uiPriority w:val="0"/>
    <w:rPr>
      <w:rFonts w:ascii="宋体" w:hAnsi="宋体" w:eastAsia="宋体" w:cs="宋体"/>
      <w:color w:val="000000"/>
      <w:sz w:val="18"/>
      <w:szCs w:val="18"/>
      <w:u w:val="none"/>
    </w:rPr>
  </w:style>
  <w:style w:type="character" w:customStyle="1" w:styleId="56">
    <w:name w:val="font21"/>
    <w:basedOn w:val="18"/>
    <w:qFormat/>
    <w:uiPriority w:val="0"/>
    <w:rPr>
      <w:rFonts w:hint="default" w:ascii="Arial" w:hAnsi="Arial" w:cs="Arial"/>
      <w:color w:val="000000"/>
      <w:sz w:val="12"/>
      <w:szCs w:val="12"/>
      <w:u w:val="none"/>
    </w:rPr>
  </w:style>
  <w:style w:type="character" w:customStyle="1" w:styleId="57">
    <w:name w:val="font11"/>
    <w:basedOn w:val="18"/>
    <w:qFormat/>
    <w:uiPriority w:val="0"/>
    <w:rPr>
      <w:rFonts w:ascii="宋体" w:hAnsi="宋体" w:eastAsia="宋体" w:cs="宋体"/>
      <w:color w:val="000000"/>
      <w:sz w:val="24"/>
      <w:szCs w:val="24"/>
      <w:u w:val="none"/>
    </w:rPr>
  </w:style>
  <w:style w:type="character" w:customStyle="1" w:styleId="58">
    <w:name w:val="font61"/>
    <w:basedOn w:val="18"/>
    <w:qFormat/>
    <w:uiPriority w:val="0"/>
    <w:rPr>
      <w:rFonts w:hint="default" w:ascii="Arial" w:hAnsi="Arial" w:cs="Arial"/>
      <w:color w:val="000000"/>
      <w:sz w:val="22"/>
      <w:szCs w:val="22"/>
      <w:u w:val="none"/>
    </w:rPr>
  </w:style>
  <w:style w:type="character" w:customStyle="1" w:styleId="59">
    <w:name w:val="font81"/>
    <w:basedOn w:val="18"/>
    <w:qFormat/>
    <w:uiPriority w:val="0"/>
    <w:rPr>
      <w:rFonts w:ascii="宋体" w:hAnsi="宋体" w:eastAsia="宋体" w:cs="宋体"/>
      <w:color w:val="000000"/>
      <w:sz w:val="18"/>
      <w:szCs w:val="18"/>
      <w:u w:val="none"/>
    </w:rPr>
  </w:style>
  <w:style w:type="character" w:customStyle="1" w:styleId="60">
    <w:name w:val="font211"/>
    <w:basedOn w:val="18"/>
    <w:qFormat/>
    <w:uiPriority w:val="0"/>
    <w:rPr>
      <w:rFonts w:hint="eastAsia" w:ascii="宋体" w:hAnsi="宋体" w:eastAsia="宋体" w:cs="宋体"/>
      <w:color w:val="000000"/>
      <w:sz w:val="20"/>
      <w:szCs w:val="20"/>
      <w:u w:val="none"/>
    </w:rPr>
  </w:style>
  <w:style w:type="character" w:customStyle="1" w:styleId="61">
    <w:name w:val="font222"/>
    <w:basedOn w:val="18"/>
    <w:qFormat/>
    <w:uiPriority w:val="0"/>
    <w:rPr>
      <w:rFonts w:hint="default" w:ascii="Arial" w:hAnsi="Arial" w:cs="Arial"/>
      <w:color w:val="000000"/>
      <w:sz w:val="18"/>
      <w:szCs w:val="18"/>
      <w:u w:val="none"/>
    </w:rPr>
  </w:style>
  <w:style w:type="paragraph" w:customStyle="1" w:styleId="62">
    <w:name w:val="样式 样式 样式 左侧:  2 字符1 + 首行缩进:  2 字符1 + 首行缩进:  2 字符"/>
    <w:basedOn w:val="1"/>
    <w:qFormat/>
    <w:uiPriority w:val="0"/>
    <w:pPr>
      <w:widowControl/>
      <w:adjustRightInd w:val="0"/>
      <w:spacing w:before="60" w:beforeLines="0" w:after="120" w:afterLines="0" w:line="440" w:lineRule="atLeast"/>
      <w:ind w:firstLine="48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theme" Target="theme/theme1.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110</Pages>
  <Words>17507</Words>
  <Characters>18412</Characters>
  <TotalTime>0</TotalTime>
  <ScaleCrop>false</ScaleCrop>
  <LinksUpToDate>false</LinksUpToDate>
  <CharactersWithSpaces>18473</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2023-08-03T17:57:00Z</dcterms:created>
  <dc:creator>USER-</dc:creator>
  <cp:lastModifiedBy>笑哈哈的孝</cp:lastModifiedBy>
  <cp:lastPrinted>2026-05-08T10:09:00Z</cp:lastPrinted>
  <dcterms:modified xsi:type="dcterms:W3CDTF">2026-06-12T13:18:51Z</dcterms:modified>
  <dc:title>02年杜范本稿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2023-08-08T16:53:45Z</vt:filetime>
  </property>
  <property fmtid="{D5CDD505-2E9C-101B-9397-08002B2CF9AE}" pid="4" name="KSOProductBuildVer">
    <vt:lpwstr>2052-12.1.0.26895</vt:lpwstr>
  </property>
  <property fmtid="{D5CDD505-2E9C-101B-9397-08002B2CF9AE}" pid="5" name="ICV">
    <vt:lpwstr>A1735E2126F14D5E9CD526DE1D411178_13</vt:lpwstr>
  </property>
  <property fmtid="{D5CDD505-2E9C-101B-9397-08002B2CF9AE}" pid="6" name="KSOTemplateDocerSaveRecord">
    <vt:lpwstr>eyJoZGlkIjoiNTRiNGU3OWE4Zjc3Y2YzMWJkMGE5ZjgzM2NkMjA0ZmEiLCJ1c2VySWQiOiIzMzkxNzI0MTEifQ==</vt:lpwstr>
  </property>
</Properties>
</file>