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莎车县中小学基础设施提升改造（中小学教育设施设备购置）项目（四次）</w:t>
      </w:r>
    </w:p>
    <w:p>
      <w:pPr>
        <w:jc w:val="center"/>
        <w:rPr>
          <w:rFonts w:hint="eastAsia" w:ascii="仿宋" w:hAnsi="仿宋" w:eastAsia="仿宋" w:cs="仿宋"/>
          <w:b/>
          <w:bCs/>
          <w:snapToGrid w:val="0"/>
          <w:color w:val="000000"/>
          <w:spacing w:val="5"/>
          <w:kern w:val="0"/>
          <w:sz w:val="48"/>
          <w:szCs w:val="48"/>
          <w:lang w:val="en-US" w:eastAsia="zh-CN" w:bidi="ar-SA"/>
        </w:rPr>
      </w:pPr>
    </w:p>
    <w:p>
      <w:pPr>
        <w:rPr>
          <w:rFonts w:hint="eastAsia"/>
          <w:lang w:val="en-US"/>
        </w:rPr>
      </w:pPr>
    </w:p>
    <w:p>
      <w:pPr>
        <w:pStyle w:val="10"/>
        <w:spacing w:before="57" w:line="224" w:lineRule="auto"/>
        <w:jc w:val="center"/>
        <w:outlineLvl w:val="0"/>
        <w:rPr>
          <w:rFonts w:hint="eastAsia" w:ascii="仿宋" w:hAnsi="仿宋" w:eastAsia="仿宋" w:cs="仿宋"/>
          <w:sz w:val="40"/>
          <w:szCs w:val="40"/>
        </w:rPr>
      </w:pPr>
      <w:bookmarkStart w:id="0" w:name="_Toc23167"/>
      <w:bookmarkStart w:id="1" w:name="_Toc25314"/>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10"/>
        <w:rPr>
          <w:rFonts w:hint="eastAsia" w:ascii="仿宋" w:hAnsi="仿宋" w:eastAsia="仿宋" w:cs="仿宋"/>
          <w:sz w:val="21"/>
        </w:rPr>
      </w:pPr>
    </w:p>
    <w:p>
      <w:pPr>
        <w:pStyle w:val="38"/>
        <w:rPr>
          <w:rFonts w:hint="eastAsia" w:ascii="仿宋" w:hAnsi="仿宋" w:eastAsia="仿宋" w:cs="仿宋"/>
          <w:sz w:val="21"/>
        </w:rPr>
      </w:pPr>
    </w:p>
    <w:p>
      <w:pPr>
        <w:spacing w:line="360" w:lineRule="auto"/>
        <w:rPr>
          <w:rFonts w:hint="eastAsia" w:ascii="仿宋" w:hAnsi="仿宋" w:eastAsia="仿宋" w:cs="仿宋"/>
        </w:rPr>
      </w:pPr>
    </w:p>
    <w:p>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KSSCX(GK)2026-008-03号            </w:t>
      </w:r>
      <w:r>
        <w:rPr>
          <w:rFonts w:hint="eastAsia" w:ascii="仿宋" w:hAnsi="仿宋" w:eastAsia="仿宋" w:cs="仿宋"/>
          <w:u w:val="single" w:color="auto"/>
          <w:lang w:val="en-US" w:eastAsia="zh-CN"/>
        </w:rPr>
        <w:t xml:space="preserve">        </w:t>
      </w:r>
    </w:p>
    <w:p>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29937"/>
      <w:bookmarkStart w:id="3" w:name="_Toc17952"/>
      <w:bookmarkStart w:id="4" w:name="_Toc18375"/>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b/>
          <w:bCs/>
          <w:spacing w:val="-3"/>
          <w:u w:val="single" w:color="auto"/>
          <w:lang w:val="en-US" w:eastAsia="zh-CN"/>
        </w:rPr>
        <w:t xml:space="preserve">  </w:t>
      </w:r>
      <w:bookmarkEnd w:id="2"/>
      <w:bookmarkEnd w:id="3"/>
      <w:bookmarkEnd w:id="4"/>
      <w:r>
        <w:rPr>
          <w:rFonts w:hint="eastAsia" w:ascii="仿宋" w:hAnsi="仿宋" w:eastAsia="仿宋" w:cs="仿宋"/>
          <w:b/>
          <w:bCs/>
          <w:spacing w:val="-3"/>
          <w:u w:val="single" w:color="auto"/>
          <w:lang w:val="en-US" w:eastAsia="zh-CN"/>
        </w:rPr>
        <w:t xml:space="preserve"> 莎车县教育局                      </w:t>
      </w:r>
    </w:p>
    <w:p>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13379740986               </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widowControl/>
        <w:spacing w:line="336" w:lineRule="auto"/>
        <w:ind w:firstLine="1385" w:firstLineChars="500"/>
        <w:textAlignment w:val="baseline"/>
        <w:rPr>
          <w:rFonts w:hint="default" w:ascii="仿宋" w:hAnsi="仿宋" w:eastAsia="仿宋" w:cs="仿宋"/>
          <w:b/>
          <w:bCs/>
          <w:u w:val="single" w:color="auto"/>
          <w:lang w:val="en-US" w:eastAsia="zh-CN"/>
        </w:rPr>
      </w:pPr>
      <w:bookmarkStart w:id="5" w:name="_Toc21117"/>
      <w:bookmarkStart w:id="6" w:name="_Toc31245"/>
      <w:bookmarkStart w:id="7" w:name="_Toc14561"/>
      <w:r>
        <w:rPr>
          <w:rFonts w:hint="eastAsia" w:ascii="仿宋" w:hAnsi="仿宋" w:eastAsia="仿宋" w:cs="仿宋"/>
          <w:b/>
          <w:bCs/>
          <w:snapToGrid w:val="0"/>
          <w:color w:val="000000"/>
          <w:spacing w:val="-2"/>
          <w:kern w:val="0"/>
          <w:sz w:val="28"/>
          <w:szCs w:val="28"/>
          <w:lang w:val="en-US" w:eastAsia="en-US" w:bidi="ar-SA"/>
        </w:rPr>
        <w:t>代理机构：</w:t>
      </w:r>
      <w:r>
        <w:rPr>
          <w:rFonts w:hint="eastAsia" w:ascii="仿宋" w:hAnsi="仿宋" w:eastAsia="仿宋" w:cs="仿宋"/>
          <w:b/>
          <w:bCs/>
          <w:snapToGrid w:val="0"/>
          <w:color w:val="000000"/>
          <w:spacing w:val="-2"/>
          <w:kern w:val="0"/>
          <w:sz w:val="28"/>
          <w:szCs w:val="28"/>
          <w:lang w:val="en-US" w:eastAsia="zh-CN" w:bidi="ar-SA"/>
        </w:rPr>
        <w:t xml:space="preserve"> </w:t>
      </w:r>
      <w:r>
        <w:rPr>
          <w:rFonts w:hint="eastAsia" w:ascii="仿宋" w:hAnsi="仿宋" w:eastAsia="仿宋" w:cs="仿宋"/>
          <w:b/>
          <w:bCs/>
          <w:snapToGrid w:val="0"/>
          <w:color w:val="000000"/>
          <w:spacing w:val="-2"/>
          <w:kern w:val="0"/>
          <w:sz w:val="28"/>
          <w:szCs w:val="28"/>
          <w:u w:val="single"/>
          <w:lang w:val="en-US" w:eastAsia="zh-CN" w:bidi="ar-SA"/>
        </w:rPr>
        <w:t xml:space="preserve">  </w:t>
      </w:r>
      <w:bookmarkEnd w:id="5"/>
      <w:bookmarkEnd w:id="6"/>
      <w:bookmarkEnd w:id="7"/>
      <w:r>
        <w:rPr>
          <w:rFonts w:hint="eastAsia" w:ascii="仿宋" w:hAnsi="仿宋" w:eastAsia="仿宋" w:cs="仿宋"/>
          <w:b/>
          <w:bCs/>
          <w:snapToGrid w:val="0"/>
          <w:color w:val="000000"/>
          <w:spacing w:val="-2"/>
          <w:kern w:val="0"/>
          <w:sz w:val="28"/>
          <w:szCs w:val="28"/>
          <w:u w:val="single"/>
          <w:lang w:val="en-US" w:eastAsia="zh-CN" w:bidi="ar-SA"/>
        </w:rPr>
        <w:t xml:space="preserve"> 莎车县政府采购中心  </w:t>
      </w:r>
      <w:r>
        <w:rPr>
          <w:rFonts w:hint="eastAsia" w:ascii="仿宋" w:hAnsi="仿宋" w:eastAsia="仿宋" w:cs="仿宋"/>
          <w:b/>
          <w:bCs/>
          <w:spacing w:val="-3"/>
          <w:u w:val="single"/>
          <w:lang w:val="en-US" w:eastAsia="zh-CN"/>
        </w:rPr>
        <w:t xml:space="preserve">                       </w:t>
      </w:r>
      <w:r>
        <w:rPr>
          <w:rFonts w:hint="eastAsia" w:ascii="仿宋" w:hAnsi="仿宋" w:eastAsia="仿宋" w:cs="仿宋"/>
          <w:b/>
          <w:bCs/>
          <w:spacing w:val="-3"/>
          <w:u w:val="single" w:color="auto"/>
          <w:lang w:eastAsia="zh-CN"/>
        </w:rPr>
        <w:t xml:space="preserve">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b/>
          <w:bCs/>
          <w:u w:val="single" w:color="auto"/>
          <w:lang w:val="en-US" w:eastAsia="zh-CN"/>
        </w:rPr>
        <w:t xml:space="preserve"> </w:t>
      </w:r>
    </w:p>
    <w:p>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0998-8512672     </w:t>
      </w:r>
      <w:r>
        <w:rPr>
          <w:rFonts w:hint="eastAsia" w:ascii="仿宋" w:hAnsi="仿宋" w:eastAsia="仿宋" w:cs="仿宋"/>
          <w:b/>
          <w:bCs/>
          <w:spacing w:val="5"/>
          <w:u w:val="single" w:color="auto"/>
          <w:lang w:val="en-US" w:eastAsia="zh-CN"/>
        </w:rPr>
        <w:t xml:space="preserve">  </w:t>
      </w:r>
      <w:r>
        <w:rPr>
          <w:rFonts w:hint="eastAsia" w:ascii="仿宋" w:hAnsi="仿宋" w:eastAsia="仿宋" w:cs="仿宋"/>
          <w:spacing w:val="5"/>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2"/>
        <w:rPr>
          <w:rFonts w:hint="eastAsia" w:ascii="仿宋" w:hAnsi="仿宋" w:eastAsia="仿宋" w:cs="仿宋"/>
          <w:sz w:val="21"/>
        </w:rPr>
      </w:pPr>
    </w:p>
    <w:p>
      <w:pPr>
        <w:rPr>
          <w:rFonts w:hint="eastAsia"/>
        </w:rPr>
      </w:pPr>
    </w:p>
    <w:p>
      <w:pPr>
        <w:pStyle w:val="2"/>
        <w:rPr>
          <w:rFonts w:hint="eastAsia"/>
        </w:rPr>
      </w:pPr>
    </w:p>
    <w:p>
      <w:pPr>
        <w:pStyle w:val="10"/>
        <w:spacing w:before="101" w:line="225" w:lineRule="auto"/>
        <w:ind w:left="2959"/>
        <w:outlineLvl w:val="0"/>
        <w:rPr>
          <w:rFonts w:hint="eastAsia" w:ascii="仿宋" w:hAnsi="仿宋" w:eastAsia="仿宋" w:cs="仿宋"/>
          <w:sz w:val="31"/>
          <w:szCs w:val="31"/>
          <w:lang w:eastAsia="zh-CN"/>
        </w:rPr>
      </w:pPr>
      <w:bookmarkStart w:id="8" w:name="_Toc6353"/>
      <w:bookmarkStart w:id="9" w:name="_Toc16410"/>
      <w:bookmarkStart w:id="10" w:name="_Toc13728"/>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月</w:t>
      </w:r>
      <w:bookmarkEnd w:id="8"/>
      <w:bookmarkEnd w:id="9"/>
      <w:bookmarkEnd w:id="10"/>
    </w:p>
    <w:p>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_Toc29982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6-1   投标人企业（单位）类型声明函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_Toc13319 \h </w:instrText>
          </w:r>
          <w:r>
            <w:rPr>
              <w:rFonts w:hint="eastAsia" w:ascii="仿宋" w:hAnsi="仿宋" w:eastAsia="仿宋" w:cs="仿宋"/>
            </w:rPr>
            <w:fldChar w:fldCharType="separate"/>
          </w:r>
          <w:r>
            <w:rPr>
              <w:rFonts w:hint="eastAsia" w:ascii="仿宋" w:hAnsi="仿宋" w:eastAsia="仿宋" w:cs="仿宋"/>
            </w:rPr>
            <w:t>44</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lang w:val="en-US" w:eastAsia="zh-CN"/>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_Toc9725 </w:instrText>
          </w:r>
          <w:r>
            <w:rPr>
              <w:rFonts w:hint="eastAsia" w:ascii="仿宋" w:hAnsi="仿宋" w:eastAsia="仿宋" w:cs="仿宋"/>
              <w:szCs w:val="20"/>
            </w:rPr>
            <w:fldChar w:fldCharType="separate"/>
          </w:r>
          <w:r>
            <w:rPr>
              <w:rFonts w:hint="eastAsia" w:ascii="仿宋" w:hAnsi="仿宋" w:eastAsia="仿宋" w:cs="仿宋"/>
            </w:rPr>
            <w:t>6-2     制造商企业（单位）类型声明函</w:t>
          </w:r>
          <w:r>
            <w:rPr>
              <w:rFonts w:hint="eastAsia" w:ascii="仿宋" w:hAnsi="仿宋" w:eastAsia="仿宋" w:cs="仿宋"/>
            </w:rPr>
            <w:tab/>
          </w:r>
          <w:r>
            <w:rPr>
              <w:rFonts w:hint="eastAsia" w:ascii="仿宋" w:hAnsi="仿宋" w:eastAsia="仿宋" w:cs="仿宋"/>
              <w:lang w:val="en-US" w:eastAsia="zh-CN"/>
            </w:rPr>
            <w:t>4</w:t>
          </w:r>
          <w:r>
            <w:rPr>
              <w:rFonts w:hint="eastAsia" w:ascii="仿宋" w:hAnsi="仿宋" w:eastAsia="仿宋" w:cs="仿宋"/>
              <w:szCs w:val="20"/>
            </w:rPr>
            <w:fldChar w:fldCharType="end"/>
          </w:r>
          <w:r>
            <w:rPr>
              <w:rFonts w:hint="eastAsia" w:ascii="仿宋" w:hAnsi="仿宋" w:eastAsia="仿宋" w:cs="仿宋"/>
              <w:szCs w:val="20"/>
              <w:lang w:val="en-US" w:eastAsia="zh-CN"/>
            </w:rPr>
            <w:t>4</w:t>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_Toc21931 </w:instrText>
          </w:r>
          <w:r>
            <w:rPr>
              <w:rFonts w:hint="eastAsia" w:ascii="仿宋" w:hAnsi="仿宋" w:eastAsia="仿宋" w:cs="仿宋"/>
              <w:szCs w:val="20"/>
            </w:rPr>
            <w:fldChar w:fldCharType="separate"/>
          </w:r>
          <w:r>
            <w:rPr>
              <w:rFonts w:hint="eastAsia" w:ascii="仿宋" w:hAnsi="仿宋" w:eastAsia="仿宋" w:cs="仿宋"/>
              <w:bCs/>
              <w:spacing w:val="-1"/>
              <w:szCs w:val="24"/>
            </w:rPr>
            <w:t>6-</w:t>
          </w:r>
          <w:r>
            <w:rPr>
              <w:rFonts w:hint="eastAsia" w:ascii="仿宋" w:hAnsi="仿宋" w:eastAsia="仿宋" w:cs="仿宋"/>
              <w:bCs/>
              <w:spacing w:val="-1"/>
              <w:szCs w:val="24"/>
              <w:lang w:val="en-US" w:eastAsia="zh-CN"/>
            </w:rPr>
            <w:t>3</w:t>
          </w:r>
          <w:r>
            <w:rPr>
              <w:rFonts w:hint="eastAsia" w:ascii="仿宋" w:hAnsi="仿宋" w:eastAsia="仿宋" w:cs="仿宋"/>
              <w:bCs/>
              <w:spacing w:val="-1"/>
              <w:szCs w:val="24"/>
            </w:rPr>
            <w:t xml:space="preserve">    残疾人福利性单位声明函（本项目不适用）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_Toc21931 \h </w:instrText>
          </w:r>
          <w:r>
            <w:rPr>
              <w:rFonts w:hint="eastAsia" w:ascii="仿宋" w:hAnsi="仿宋" w:eastAsia="仿宋" w:cs="仿宋"/>
            </w:rPr>
            <w:fldChar w:fldCharType="separate"/>
          </w:r>
          <w:r>
            <w:rPr>
              <w:rFonts w:hint="eastAsia" w:ascii="仿宋" w:hAnsi="仿宋" w:eastAsia="仿宋" w:cs="仿宋"/>
            </w:rPr>
            <w:t>45</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zCs w:val="24"/>
            </w:rPr>
            <w:t>6-</w:t>
          </w:r>
          <w:r>
            <w:rPr>
              <w:rFonts w:hint="eastAsia" w:ascii="仿宋" w:hAnsi="仿宋" w:eastAsia="仿宋" w:cs="仿宋"/>
              <w:bCs/>
              <w:szCs w:val="24"/>
              <w:lang w:val="en-US" w:eastAsia="zh-CN"/>
            </w:rPr>
            <w:t>4</w:t>
          </w:r>
          <w:r>
            <w:rPr>
              <w:rFonts w:hint="eastAsia" w:ascii="仿宋" w:hAnsi="仿宋" w:eastAsia="仿宋" w:cs="仿宋"/>
              <w:bCs/>
              <w:spacing w:val="-1"/>
              <w:szCs w:val="24"/>
            </w:rPr>
            <w:t>《中小企业声明函》（</w:t>
          </w:r>
          <w:r>
            <w:rPr>
              <w:rFonts w:hint="eastAsia" w:ascii="仿宋" w:hAnsi="仿宋" w:eastAsia="仿宋" w:cs="仿宋"/>
              <w:bCs/>
              <w:spacing w:val="-1"/>
              <w:szCs w:val="24"/>
              <w:lang w:val="en-US" w:eastAsia="zh-CN"/>
            </w:rPr>
            <w:t>货物</w:t>
          </w:r>
          <w:r>
            <w:rPr>
              <w:rFonts w:hint="eastAsia" w:ascii="仿宋" w:hAnsi="仿宋" w:eastAsia="仿宋" w:cs="仿宋"/>
              <w:bCs/>
              <w:spacing w:val="-1"/>
              <w:szCs w:val="24"/>
            </w:rPr>
            <w:t>）</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rFonts w:hint="eastAsia" w:ascii="仿宋" w:hAnsi="仿宋" w:eastAsia="仿宋" w:cs="仿宋"/>
            </w:rPr>
            <w:t>122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rFonts w:hint="eastAsia" w:ascii="仿宋" w:hAnsi="仿宋" w:eastAsia="仿宋" w:cs="仿宋"/>
            </w:rPr>
            <w:t>140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rFonts w:hint="eastAsia" w:ascii="仿宋" w:hAnsi="仿宋" w:eastAsia="仿宋" w:cs="仿宋"/>
            </w:rPr>
            <w:t>141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166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宋体" w:hAnsi="宋体" w:cs="宋体"/>
              <w:bCs/>
              <w:spacing w:val="-20"/>
              <w:kern w:val="44"/>
              <w:szCs w:val="48"/>
            </w:rPr>
            <w:t>政府采购</w:t>
          </w:r>
          <w:r>
            <w:rPr>
              <w:rFonts w:hint="eastAsia" w:ascii="宋体" w:hAnsi="宋体" w:cs="宋体"/>
              <w:bCs/>
              <w:spacing w:val="-20"/>
              <w:kern w:val="44"/>
              <w:szCs w:val="48"/>
              <w:lang w:eastAsia="zh-CN"/>
            </w:rPr>
            <w:t>货物买卖</w:t>
          </w:r>
          <w:r>
            <w:rPr>
              <w:rFonts w:hint="eastAsia" w:ascii="宋体" w:hAnsi="宋体" w:cs="宋体"/>
              <w:bCs/>
              <w:spacing w:val="-20"/>
              <w:kern w:val="44"/>
              <w:szCs w:val="48"/>
            </w:rPr>
            <w:t>合同</w:t>
          </w:r>
          <w:r>
            <w:tab/>
          </w:r>
          <w:r>
            <w:fldChar w:fldCharType="begin"/>
          </w:r>
          <w:r>
            <w:instrText xml:space="preserve"> PAGEREF _Toc30620 \h </w:instrText>
          </w:r>
          <w:r>
            <w:fldChar w:fldCharType="separate"/>
          </w:r>
          <w:r>
            <w:t>166</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黑体" w:hAnsi="黑体" w:eastAsia="黑体"/>
              <w:bCs w:val="0"/>
              <w:szCs w:val="28"/>
            </w:rPr>
            <w:t xml:space="preserve">第一节 </w:t>
          </w:r>
          <w:r>
            <w:rPr>
              <w:rFonts w:hint="eastAsia" w:ascii="黑体" w:hAnsi="华文中宋" w:eastAsia="黑体"/>
              <w:bCs w:val="0"/>
              <w:szCs w:val="28"/>
            </w:rPr>
            <w:t>政府采购合同协议书</w:t>
          </w:r>
          <w:r>
            <w:tab/>
          </w:r>
          <w:r>
            <w:fldChar w:fldCharType="begin"/>
          </w:r>
          <w:r>
            <w:instrText xml:space="preserve"> PAGEREF _Toc26826 \h </w:instrText>
          </w:r>
          <w:r>
            <w:fldChar w:fldCharType="separate"/>
          </w:r>
          <w:r>
            <w:t>168</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黑体" w:hAnsi="黑体" w:eastAsia="黑体"/>
              <w:bCs w:val="0"/>
              <w:szCs w:val="28"/>
            </w:rPr>
            <w:t>第二节 政府采购合同通用条款</w:t>
          </w:r>
          <w:r>
            <w:tab/>
          </w:r>
          <w:r>
            <w:fldChar w:fldCharType="begin"/>
          </w:r>
          <w:r>
            <w:instrText xml:space="preserve"> PAGEREF _Toc31032 \h </w:instrText>
          </w:r>
          <w:r>
            <w:fldChar w:fldCharType="separate"/>
          </w:r>
          <w:r>
            <w:t>173</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黑体" w:hAnsi="华文中宋" w:eastAsia="黑体"/>
              <w:bCs w:val="0"/>
              <w:szCs w:val="28"/>
            </w:rPr>
            <w:t>第三节 政府采购合同专用条款</w:t>
          </w:r>
          <w:r>
            <w:tab/>
          </w:r>
          <w:r>
            <w:fldChar w:fldCharType="begin"/>
          </w:r>
          <w:r>
            <w:instrText xml:space="preserve"> PAGEREF _Toc19319 \h </w:instrText>
          </w:r>
          <w:r>
            <w:fldChar w:fldCharType="separate"/>
          </w:r>
          <w:r>
            <w:t>180</w:t>
          </w:r>
          <w:r>
            <w:fldChar w:fldCharType="end"/>
          </w:r>
          <w:r>
            <w:rPr>
              <w:rFonts w:hint="eastAsia" w:ascii="仿宋" w:hAnsi="仿宋" w:eastAsia="仿宋" w:cs="仿宋"/>
              <w:szCs w:val="20"/>
            </w:rPr>
            <w:fldChar w:fldCharType="end"/>
          </w:r>
        </w:p>
        <w:p>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pPr>
        <w:spacing w:line="308" w:lineRule="auto"/>
        <w:rPr>
          <w:rFonts w:hint="eastAsia" w:ascii="仿宋" w:hAnsi="仿宋" w:eastAsia="仿宋" w:cs="仿宋"/>
          <w:sz w:val="21"/>
        </w:rPr>
      </w:pPr>
    </w:p>
    <w:p>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pPr>
        <w:pStyle w:val="2"/>
        <w:rPr>
          <w:rFonts w:hint="eastAsia"/>
        </w:rPr>
      </w:pPr>
    </w:p>
    <w:p>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pPr>
        <w:spacing w:before="180" w:line="360" w:lineRule="auto"/>
        <w:ind w:left="930" w:right="83" w:hanging="891"/>
        <w:outlineLvl w:val="2"/>
        <w:rPr>
          <w:rFonts w:hint="eastAsia" w:ascii="仿宋" w:hAnsi="仿宋" w:eastAsia="仿宋" w:cs="仿宋"/>
          <w:sz w:val="24"/>
          <w:szCs w:val="24"/>
        </w:rPr>
      </w:pPr>
      <w:bookmarkStart w:id="13" w:name="_Toc29759"/>
      <w:bookmarkStart w:id="14" w:name="_Toc15271"/>
      <w:bookmarkStart w:id="15" w:name="_Toc4135"/>
      <w:r>
        <w:rPr>
          <w:rFonts w:hint="eastAsia" w:ascii="仿宋" w:hAnsi="仿宋" w:eastAsia="仿宋" w:cs="仿宋"/>
          <w:sz w:val="24"/>
          <w:szCs w:val="24"/>
        </w:rPr>
        <w:t>1.3.1  在中华人民共和国境内注册，能够独立承担民事责任，有生产或供应能</w:t>
      </w:r>
      <w:bookmarkEnd w:id="13"/>
      <w:bookmarkEnd w:id="14"/>
      <w:bookmarkEnd w:id="15"/>
    </w:p>
    <w:p>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pPr>
        <w:spacing w:before="180" w:line="360" w:lineRule="auto"/>
        <w:ind w:left="39"/>
        <w:outlineLvl w:val="2"/>
        <w:rPr>
          <w:rFonts w:hint="eastAsia" w:ascii="仿宋" w:hAnsi="仿宋" w:eastAsia="仿宋" w:cs="仿宋"/>
          <w:sz w:val="24"/>
          <w:szCs w:val="24"/>
        </w:rPr>
      </w:pPr>
      <w:bookmarkStart w:id="16" w:name="_Toc7436"/>
      <w:bookmarkStart w:id="17" w:name="_Toc8499"/>
      <w:bookmarkStart w:id="18" w:name="_Toc28662"/>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pPr>
        <w:spacing w:before="179" w:line="360" w:lineRule="auto"/>
        <w:ind w:left="39"/>
        <w:outlineLvl w:val="2"/>
        <w:rPr>
          <w:rFonts w:hint="eastAsia" w:ascii="仿宋" w:hAnsi="仿宋" w:eastAsia="仿宋" w:cs="仿宋"/>
          <w:sz w:val="24"/>
          <w:szCs w:val="24"/>
        </w:rPr>
      </w:pPr>
      <w:bookmarkStart w:id="19" w:name="_Toc27603"/>
      <w:bookmarkStart w:id="20" w:name="_Toc1893"/>
      <w:bookmarkStart w:id="21" w:name="_Toc10851"/>
      <w:r>
        <w:rPr>
          <w:rFonts w:hint="eastAsia" w:ascii="仿宋" w:hAnsi="仿宋" w:eastAsia="仿宋" w:cs="仿宋"/>
          <w:sz w:val="24"/>
          <w:szCs w:val="24"/>
        </w:rPr>
        <w:t>1.4.3  采购人根据采购项目对投标人的特殊要求，联合体中至少应当有一方符</w:t>
      </w:r>
      <w:bookmarkEnd w:id="19"/>
      <w:bookmarkEnd w:id="20"/>
      <w:bookmarkEnd w:id="21"/>
    </w:p>
    <w:p>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pPr>
        <w:spacing w:before="180" w:line="360" w:lineRule="auto"/>
        <w:ind w:left="39"/>
        <w:outlineLvl w:val="2"/>
        <w:rPr>
          <w:rFonts w:hint="eastAsia" w:ascii="仿宋" w:hAnsi="仿宋" w:eastAsia="仿宋" w:cs="仿宋"/>
          <w:sz w:val="24"/>
          <w:szCs w:val="24"/>
        </w:rPr>
      </w:pPr>
      <w:bookmarkStart w:id="22" w:name="_Toc20688"/>
      <w:bookmarkStart w:id="23" w:name="_Toc22736"/>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r>
        <w:rPr>
          <w:rFonts w:hint="default" w:ascii="Times New Roman" w:hAnsi="Times New Roman" w:eastAsia="方正仿宋_GBK" w:cs="Times New Roman"/>
          <w:b/>
          <w:bCs/>
          <w:color w:val="auto"/>
          <w:spacing w:val="6"/>
          <w:sz w:val="28"/>
          <w:szCs w:val="28"/>
          <w:highlight w:val="none"/>
          <w:u w:val="single"/>
          <w:lang w:eastAsia="zh-CN"/>
        </w:rPr>
        <w:t>（本项目资金来源为</w:t>
      </w:r>
      <w:r>
        <w:rPr>
          <w:rFonts w:hint="eastAsia" w:ascii="Times New Roman" w:hAnsi="Times New Roman" w:eastAsia="方正仿宋_GBK" w:cs="Times New Roman"/>
          <w:b/>
          <w:bCs/>
          <w:color w:val="auto"/>
          <w:spacing w:val="6"/>
          <w:sz w:val="28"/>
          <w:szCs w:val="28"/>
          <w:highlight w:val="none"/>
          <w:u w:val="single"/>
          <w:lang w:val="en-US" w:eastAsia="zh-CN"/>
        </w:rPr>
        <w:t>援疆资金</w:t>
      </w:r>
      <w:r>
        <w:rPr>
          <w:rFonts w:hint="default" w:ascii="Times New Roman" w:hAnsi="Times New Roman" w:eastAsia="方正仿宋_GBK" w:cs="Times New Roman"/>
          <w:b/>
          <w:bCs/>
          <w:color w:val="auto"/>
          <w:spacing w:val="6"/>
          <w:sz w:val="28"/>
          <w:szCs w:val="28"/>
          <w:highlight w:val="none"/>
          <w:u w:val="single"/>
          <w:lang w:eastAsia="zh-CN"/>
        </w:rPr>
        <w:t>）</w:t>
      </w:r>
      <w:r>
        <w:rPr>
          <w:rFonts w:hint="eastAsia" w:ascii="仿宋" w:hAnsi="仿宋" w:eastAsia="仿宋" w:cs="仿宋"/>
          <w:spacing w:val="-6"/>
          <w:sz w:val="24"/>
          <w:szCs w:val="24"/>
        </w:rPr>
        <w:t>。</w:t>
      </w:r>
    </w:p>
    <w:p>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30596"/>
      <w:bookmarkStart w:id="28" w:name="_Toc24989"/>
      <w:bookmarkStart w:id="29" w:name="_Toc4580"/>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pPr>
        <w:spacing w:line="176" w:lineRule="exact"/>
        <w:rPr>
          <w:rFonts w:hint="eastAsia" w:ascii="仿宋" w:hAnsi="仿宋" w:eastAsia="仿宋" w:cs="仿宋"/>
        </w:rPr>
      </w:pPr>
    </w:p>
    <w:tbl>
      <w:tblPr>
        <w:tblStyle w:val="41"/>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pPr>
              <w:pStyle w:val="40"/>
              <w:spacing w:line="240" w:lineRule="auto"/>
              <w:rPr>
                <w:rFonts w:hint="eastAsia" w:ascii="仿宋" w:hAnsi="仿宋" w:eastAsia="仿宋" w:cs="仿宋"/>
                <w:spacing w:val="-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pPr>
              <w:pStyle w:val="40"/>
              <w:spacing w:line="240" w:lineRule="auto"/>
              <w:rPr>
                <w:rFonts w:hint="eastAsia" w:ascii="仿宋" w:hAnsi="仿宋" w:eastAsia="仿宋" w:cs="仿宋"/>
              </w:rPr>
            </w:pPr>
            <w:r>
              <w:rPr>
                <w:rFonts w:hint="eastAsia" w:ascii="仿宋" w:hAnsi="仿宋" w:eastAsia="仿宋" w:cs="仿宋"/>
                <w:spacing w:val="-4"/>
              </w:rPr>
              <w:t>投标人须知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pPr>
              <w:pStyle w:val="40"/>
              <w:spacing w:before="112" w:line="240" w:lineRule="auto"/>
              <w:rPr>
                <w:rFonts w:hint="eastAsia" w:ascii="仿宋" w:hAnsi="仿宋" w:eastAsia="仿宋" w:cs="仿宋"/>
              </w:rPr>
            </w:pPr>
            <w:r>
              <w:rPr>
                <w:rFonts w:hint="eastAsia" w:ascii="仿宋" w:hAnsi="仿宋" w:eastAsia="仿宋" w:cs="仿宋"/>
                <w:spacing w:val="-3"/>
              </w:rPr>
              <w:t>投标文件格式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pPr>
              <w:spacing w:line="240" w:lineRule="auto"/>
              <w:rPr>
                <w:rFonts w:hint="eastAsia" w:ascii="仿宋" w:hAnsi="仿宋" w:eastAsia="仿宋" w:cs="仿宋"/>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1" w:line="240" w:lineRule="auto"/>
              <w:rPr>
                <w:rFonts w:hint="eastAsia" w:ascii="仿宋" w:hAnsi="仿宋" w:eastAsia="仿宋" w:cs="仿宋"/>
              </w:rPr>
            </w:pPr>
            <w:r>
              <w:rPr>
                <w:rFonts w:hint="eastAsia" w:ascii="仿宋" w:hAnsi="仿宋" w:eastAsia="仿宋" w:cs="仿宋"/>
                <w:spacing w:val="-4"/>
              </w:rPr>
              <w:t>投标邀请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pPr>
              <w:pStyle w:val="40"/>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pPr>
              <w:pStyle w:val="40"/>
              <w:spacing w:before="110" w:line="240" w:lineRule="auto"/>
              <w:jc w:val="both"/>
              <w:rPr>
                <w:rFonts w:hint="eastAsia" w:ascii="仿宋" w:hAnsi="仿宋" w:eastAsia="仿宋" w:cs="仿宋"/>
                <w:spacing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pPr>
        <w:spacing w:line="264" w:lineRule="auto"/>
        <w:rPr>
          <w:rFonts w:hint="eastAsia" w:ascii="仿宋" w:hAnsi="仿宋" w:eastAsia="仿宋" w:cs="仿宋"/>
          <w:sz w:val="21"/>
        </w:rPr>
      </w:pPr>
    </w:p>
    <w:p>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pPr>
        <w:spacing w:line="267" w:lineRule="auto"/>
        <w:rPr>
          <w:rFonts w:hint="eastAsia" w:ascii="仿宋" w:hAnsi="仿宋" w:eastAsia="仿宋" w:cs="仿宋"/>
          <w:sz w:val="21"/>
        </w:rPr>
      </w:pPr>
    </w:p>
    <w:p>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pPr>
        <w:spacing w:before="181" w:line="360" w:lineRule="auto"/>
        <w:ind w:left="39"/>
        <w:outlineLvl w:val="2"/>
        <w:rPr>
          <w:rFonts w:hint="eastAsia" w:ascii="仿宋" w:hAnsi="仿宋" w:eastAsia="仿宋" w:cs="仿宋"/>
          <w:sz w:val="24"/>
          <w:szCs w:val="24"/>
        </w:rPr>
      </w:pPr>
      <w:bookmarkStart w:id="39" w:name="_Toc17138"/>
      <w:bookmarkStart w:id="40" w:name="_Toc17008"/>
      <w:bookmarkStart w:id="41" w:name="_Toc23251"/>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pPr>
        <w:spacing w:before="180" w:line="360" w:lineRule="auto"/>
        <w:ind w:left="39"/>
        <w:outlineLvl w:val="2"/>
        <w:rPr>
          <w:rFonts w:hint="eastAsia" w:ascii="仿宋" w:hAnsi="仿宋" w:eastAsia="仿宋" w:cs="仿宋"/>
          <w:sz w:val="24"/>
          <w:szCs w:val="24"/>
        </w:rPr>
      </w:pPr>
      <w:bookmarkStart w:id="43" w:name="_Toc18971"/>
      <w:bookmarkStart w:id="44" w:name="_Toc15953"/>
      <w:bookmarkStart w:id="45" w:name="_Toc31348"/>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pPr>
        <w:spacing w:before="178" w:line="360" w:lineRule="auto"/>
        <w:ind w:left="39"/>
        <w:outlineLvl w:val="2"/>
        <w:rPr>
          <w:rFonts w:hint="eastAsia" w:ascii="仿宋" w:hAnsi="仿宋" w:eastAsia="仿宋" w:cs="仿宋"/>
          <w:sz w:val="24"/>
          <w:szCs w:val="24"/>
        </w:rPr>
      </w:pPr>
      <w:bookmarkStart w:id="47" w:name="_Toc23002"/>
      <w:bookmarkStart w:id="48" w:name="_Toc3778"/>
      <w:bookmarkStart w:id="49" w:name="_Toc18268"/>
      <w:r>
        <w:rPr>
          <w:rFonts w:hint="eastAsia" w:ascii="仿宋" w:hAnsi="仿宋" w:eastAsia="仿宋" w:cs="仿宋"/>
          <w:spacing w:val="-1"/>
          <w:sz w:val="24"/>
          <w:szCs w:val="24"/>
        </w:rPr>
        <w:t>12.2   投标人存在下列情形的，投标保证金不予退还：</w:t>
      </w:r>
      <w:bookmarkEnd w:id="47"/>
      <w:bookmarkEnd w:id="48"/>
      <w:bookmarkEnd w:id="49"/>
    </w:p>
    <w:p>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pPr>
        <w:spacing w:before="183" w:line="360" w:lineRule="auto"/>
        <w:ind w:left="39"/>
        <w:outlineLvl w:val="2"/>
        <w:rPr>
          <w:rFonts w:hint="eastAsia" w:ascii="仿宋" w:hAnsi="仿宋" w:eastAsia="仿宋" w:cs="仿宋"/>
          <w:sz w:val="24"/>
          <w:szCs w:val="24"/>
        </w:rPr>
      </w:pPr>
      <w:bookmarkStart w:id="50" w:name="_Toc13680"/>
      <w:bookmarkStart w:id="51" w:name="_Toc19062"/>
      <w:bookmarkStart w:id="52" w:name="_Toc8072"/>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pPr>
        <w:spacing w:before="179" w:line="360" w:lineRule="auto"/>
        <w:jc w:val="right"/>
        <w:outlineLvl w:val="2"/>
        <w:rPr>
          <w:rFonts w:hint="eastAsia" w:ascii="仿宋" w:hAnsi="仿宋" w:eastAsia="仿宋" w:cs="仿宋"/>
          <w:sz w:val="24"/>
          <w:szCs w:val="24"/>
        </w:rPr>
      </w:pPr>
      <w:bookmarkStart w:id="53" w:name="_Toc11627"/>
      <w:bookmarkStart w:id="54" w:name="_Toc13200"/>
      <w:bookmarkStart w:id="55" w:name="_Toc20942"/>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pPr>
        <w:spacing w:before="182" w:line="360" w:lineRule="auto"/>
        <w:ind w:left="39"/>
        <w:outlineLvl w:val="2"/>
        <w:rPr>
          <w:rFonts w:hint="eastAsia" w:ascii="仿宋" w:hAnsi="仿宋" w:eastAsia="仿宋" w:cs="仿宋"/>
          <w:sz w:val="24"/>
          <w:szCs w:val="24"/>
        </w:rPr>
      </w:pPr>
      <w:bookmarkStart w:id="56" w:name="_Toc11599"/>
      <w:bookmarkStart w:id="57" w:name="_Toc28855"/>
      <w:bookmarkStart w:id="58" w:name="_Toc27661"/>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pPr>
        <w:spacing w:before="180" w:line="360" w:lineRule="auto"/>
        <w:ind w:left="39"/>
        <w:outlineLvl w:val="2"/>
        <w:rPr>
          <w:rFonts w:hint="eastAsia" w:ascii="仿宋" w:hAnsi="仿宋" w:eastAsia="仿宋" w:cs="仿宋"/>
          <w:sz w:val="24"/>
          <w:szCs w:val="24"/>
        </w:rPr>
      </w:pPr>
      <w:bookmarkStart w:id="59" w:name="_Toc17373"/>
      <w:bookmarkStart w:id="60" w:name="_Toc9672"/>
      <w:bookmarkStart w:id="61" w:name="_Toc718"/>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pPr>
        <w:spacing w:before="178" w:line="360" w:lineRule="auto"/>
        <w:ind w:left="39"/>
        <w:outlineLvl w:val="2"/>
        <w:rPr>
          <w:rFonts w:hint="eastAsia" w:ascii="仿宋" w:hAnsi="仿宋" w:eastAsia="仿宋" w:cs="仿宋"/>
          <w:sz w:val="24"/>
          <w:szCs w:val="24"/>
        </w:rPr>
      </w:pPr>
      <w:bookmarkStart w:id="63" w:name="_Toc22431"/>
      <w:bookmarkStart w:id="64" w:name="_Toc2722"/>
      <w:bookmarkStart w:id="65" w:name="_Toc23470"/>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pPr>
        <w:spacing w:before="177" w:line="360" w:lineRule="auto"/>
        <w:ind w:left="39"/>
        <w:outlineLvl w:val="2"/>
        <w:rPr>
          <w:rFonts w:hint="eastAsia" w:ascii="仿宋" w:hAnsi="仿宋" w:eastAsia="仿宋" w:cs="仿宋"/>
          <w:sz w:val="24"/>
          <w:szCs w:val="24"/>
        </w:rPr>
      </w:pPr>
      <w:bookmarkStart w:id="67" w:name="_Toc22182"/>
      <w:bookmarkStart w:id="68" w:name="_Toc8996"/>
      <w:bookmarkStart w:id="69" w:name="_Toc9027"/>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pPr>
        <w:spacing w:before="180" w:line="360" w:lineRule="auto"/>
        <w:outlineLvl w:val="2"/>
        <w:rPr>
          <w:rFonts w:hint="eastAsia" w:ascii="仿宋" w:hAnsi="仿宋" w:eastAsia="仿宋" w:cs="仿宋"/>
          <w:sz w:val="24"/>
          <w:szCs w:val="24"/>
        </w:rPr>
      </w:pPr>
      <w:bookmarkStart w:id="70" w:name="_Toc13025"/>
      <w:bookmarkStart w:id="71" w:name="_Toc13774"/>
      <w:bookmarkStart w:id="72" w:name="_Toc11873"/>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pPr>
        <w:spacing w:before="78" w:line="360" w:lineRule="auto"/>
        <w:ind w:left="3336"/>
        <w:outlineLvl w:val="9"/>
        <w:rPr>
          <w:rFonts w:hint="eastAsia" w:ascii="仿宋" w:hAnsi="仿宋" w:eastAsia="仿宋" w:cs="仿宋"/>
          <w:b/>
          <w:bCs/>
          <w:spacing w:val="-10"/>
          <w:sz w:val="24"/>
          <w:szCs w:val="24"/>
        </w:rPr>
      </w:pPr>
    </w:p>
    <w:p>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pPr>
        <w:spacing w:before="178" w:line="360" w:lineRule="auto"/>
        <w:ind w:left="39"/>
        <w:outlineLvl w:val="2"/>
        <w:rPr>
          <w:rFonts w:hint="eastAsia" w:ascii="仿宋" w:hAnsi="仿宋" w:eastAsia="仿宋" w:cs="仿宋"/>
          <w:sz w:val="24"/>
          <w:szCs w:val="24"/>
        </w:rPr>
      </w:pPr>
      <w:bookmarkStart w:id="75" w:name="_Toc30971"/>
      <w:bookmarkStart w:id="76" w:name="_Toc9535"/>
      <w:bookmarkStart w:id="77" w:name="_Toc5237"/>
      <w:r>
        <w:rPr>
          <w:rFonts w:hint="eastAsia" w:ascii="仿宋" w:hAnsi="仿宋" w:eastAsia="仿宋" w:cs="仿宋"/>
          <w:spacing w:val="-2"/>
          <w:sz w:val="24"/>
          <w:szCs w:val="24"/>
        </w:rPr>
        <w:t>15.2    所有电子投标文件封皮应：</w:t>
      </w:r>
      <w:bookmarkEnd w:id="75"/>
      <w:bookmarkEnd w:id="76"/>
      <w:bookmarkEnd w:id="77"/>
    </w:p>
    <w:p>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pPr>
        <w:spacing w:before="180" w:line="360" w:lineRule="auto"/>
        <w:ind w:left="39"/>
        <w:outlineLvl w:val="2"/>
        <w:rPr>
          <w:rFonts w:hint="eastAsia" w:ascii="仿宋" w:hAnsi="仿宋" w:eastAsia="仿宋" w:cs="仿宋"/>
          <w:sz w:val="24"/>
          <w:szCs w:val="24"/>
        </w:rPr>
      </w:pPr>
      <w:bookmarkStart w:id="80" w:name="_Toc25791"/>
      <w:bookmarkStart w:id="81" w:name="_Toc10292"/>
      <w:bookmarkStart w:id="82" w:name="_Toc8359"/>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pPr>
        <w:spacing w:before="180" w:line="360" w:lineRule="auto"/>
        <w:ind w:left="39"/>
        <w:outlineLvl w:val="2"/>
        <w:rPr>
          <w:rFonts w:hint="eastAsia" w:ascii="仿宋" w:hAnsi="仿宋" w:eastAsia="仿宋" w:cs="仿宋"/>
          <w:sz w:val="24"/>
          <w:szCs w:val="24"/>
        </w:rPr>
      </w:pPr>
      <w:bookmarkStart w:id="83" w:name="_Toc26350"/>
      <w:bookmarkStart w:id="84" w:name="_Toc19353"/>
      <w:bookmarkStart w:id="85" w:name="_Toc23312"/>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pPr>
        <w:spacing w:before="78" w:line="360" w:lineRule="auto"/>
        <w:ind w:left="3283"/>
        <w:outlineLvl w:val="9"/>
        <w:rPr>
          <w:rFonts w:hint="eastAsia" w:ascii="仿宋" w:hAnsi="仿宋" w:eastAsia="仿宋" w:cs="仿宋"/>
          <w:b/>
          <w:bCs/>
          <w:spacing w:val="-8"/>
          <w:sz w:val="24"/>
          <w:szCs w:val="24"/>
        </w:rPr>
      </w:pPr>
    </w:p>
    <w:p>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pPr>
        <w:spacing w:before="181" w:line="360" w:lineRule="auto"/>
        <w:ind w:left="39"/>
        <w:outlineLvl w:val="2"/>
        <w:rPr>
          <w:rFonts w:hint="eastAsia" w:ascii="仿宋" w:hAnsi="仿宋" w:eastAsia="仿宋" w:cs="仿宋"/>
          <w:sz w:val="24"/>
          <w:szCs w:val="24"/>
        </w:rPr>
      </w:pPr>
      <w:bookmarkStart w:id="88" w:name="_Toc23228"/>
      <w:bookmarkStart w:id="89" w:name="_Toc26186"/>
      <w:bookmarkStart w:id="90" w:name="_Toc24835"/>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pPr>
        <w:spacing w:before="180" w:line="360" w:lineRule="auto"/>
        <w:ind w:left="39"/>
        <w:outlineLvl w:val="2"/>
        <w:rPr>
          <w:rFonts w:hint="eastAsia" w:ascii="仿宋" w:hAnsi="仿宋" w:eastAsia="仿宋" w:cs="仿宋"/>
          <w:sz w:val="24"/>
          <w:szCs w:val="24"/>
        </w:rPr>
      </w:pPr>
      <w:bookmarkStart w:id="91" w:name="_Toc14998"/>
      <w:bookmarkStart w:id="92" w:name="_Toc28941"/>
      <w:bookmarkStart w:id="93" w:name="_Toc26429"/>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pPr>
        <w:spacing w:before="177" w:line="360" w:lineRule="auto"/>
        <w:ind w:left="508"/>
        <w:jc w:val="both"/>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4、提供2025年的财务审计报告（新成立公司不足一年的提供近三个月内有效的银行资信证明）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自公告发布之日起至投标截止日内税收征管信息系统查询的无欠税证明（零申报的企业需提供税务局的零申报证明及自公告发布之日起至投标截止日内税收征管信息系统查询的无欠税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10、本项目不接受联合体；</w:t>
      </w:r>
    </w:p>
    <w:p>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pPr>
        <w:spacing w:before="194" w:line="360" w:lineRule="auto"/>
        <w:ind w:left="944" w:right="83" w:hanging="944" w:hangingChars="400"/>
        <w:jc w:val="both"/>
        <w:rPr>
          <w:rFonts w:hint="eastAsia" w:ascii="仿宋" w:hAnsi="仿宋" w:eastAsia="仿宋" w:cs="仿宋"/>
          <w:sz w:val="24"/>
          <w:szCs w:val="24"/>
          <w:lang w:eastAsia="zh-CN"/>
        </w:rPr>
      </w:pPr>
      <w:r>
        <w:rPr>
          <w:rFonts w:hint="eastAsia" w:ascii="仿宋" w:hAnsi="仿宋" w:eastAsia="仿宋" w:cs="仿宋"/>
          <w:spacing w:val="-2"/>
          <w:sz w:val="24"/>
          <w:szCs w:val="24"/>
        </w:rPr>
        <w:t>19.2.1 不良信用记录指：</w:t>
      </w:r>
      <w:r>
        <w:rPr>
          <w:rFonts w:hint="eastAsia" w:ascii="仿宋" w:hAnsi="仿宋" w:eastAsia="仿宋" w:cs="仿宋"/>
          <w:spacing w:val="-3"/>
          <w:sz w:val="24"/>
          <w:szCs w:val="24"/>
          <w:lang w:val="en-US" w:eastAsia="zh-CN"/>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r>
        <w:rPr>
          <w:rFonts w:hint="eastAsia" w:ascii="仿宋" w:hAnsi="仿宋" w:eastAsia="仿宋" w:cs="仿宋"/>
          <w:spacing w:val="-3"/>
          <w:sz w:val="24"/>
          <w:szCs w:val="24"/>
        </w:rPr>
        <w:t>。</w:t>
      </w: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r>
        <w:rPr>
          <w:rFonts w:hint="eastAsia" w:ascii="仿宋" w:hAnsi="仿宋" w:eastAsia="仿宋" w:cs="仿宋"/>
          <w:spacing w:val="-2"/>
          <w:position w:val="17"/>
          <w:sz w:val="24"/>
          <w:szCs w:val="24"/>
          <w:lang w:eastAsia="zh-CN"/>
        </w:rPr>
        <w:t>，联合体投标将被认定为投标无效。</w:t>
      </w:r>
    </w:p>
    <w:p>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pPr>
        <w:topLinePunct/>
        <w:spacing w:line="560" w:lineRule="exact"/>
        <w:ind w:left="1136" w:hanging="960" w:hangingChars="400"/>
        <w:jc w:val="both"/>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default" w:ascii="Times New Roman" w:hAnsi="Times New Roman" w:eastAsia="方正仿宋_GBK" w:cs="Times New Roman"/>
          <w:b/>
          <w:bCs/>
          <w:color w:val="auto"/>
          <w:spacing w:val="2"/>
          <w:sz w:val="24"/>
          <w:szCs w:val="24"/>
          <w:highlight w:val="none"/>
          <w:u w:val="single"/>
          <w:lang w:eastAsia="zh-CN"/>
        </w:rPr>
        <w:t>本项目评标委员会由</w:t>
      </w:r>
      <w:r>
        <w:rPr>
          <w:rFonts w:hint="eastAsia" w:ascii="Times New Roman" w:hAnsi="Times New Roman" w:eastAsia="方正仿宋_GBK" w:cs="Times New Roman"/>
          <w:b/>
          <w:bCs/>
          <w:color w:val="auto"/>
          <w:spacing w:val="2"/>
          <w:sz w:val="24"/>
          <w:szCs w:val="24"/>
          <w:highlight w:val="none"/>
          <w:u w:val="single"/>
          <w:lang w:val="en-US" w:eastAsia="zh-CN"/>
        </w:rPr>
        <w:t>5</w:t>
      </w:r>
      <w:r>
        <w:rPr>
          <w:rFonts w:hint="default" w:ascii="Times New Roman" w:hAnsi="Times New Roman" w:eastAsia="方正仿宋_GBK" w:cs="Times New Roman"/>
          <w:b/>
          <w:bCs/>
          <w:color w:val="auto"/>
          <w:spacing w:val="2"/>
          <w:sz w:val="24"/>
          <w:szCs w:val="24"/>
          <w:highlight w:val="none"/>
          <w:u w:val="single"/>
          <w:lang w:eastAsia="zh-CN"/>
        </w:rPr>
        <w:t>人组成，随机抽取专家</w:t>
      </w:r>
      <w:r>
        <w:rPr>
          <w:rFonts w:hint="eastAsia" w:ascii="Times New Roman" w:hAnsi="Times New Roman" w:eastAsia="方正仿宋_GBK" w:cs="Times New Roman"/>
          <w:b/>
          <w:bCs/>
          <w:color w:val="auto"/>
          <w:spacing w:val="2"/>
          <w:sz w:val="24"/>
          <w:szCs w:val="24"/>
          <w:highlight w:val="none"/>
          <w:u w:val="single"/>
          <w:lang w:val="en-US" w:eastAsia="zh-CN"/>
        </w:rPr>
        <w:t>4</w:t>
      </w:r>
      <w:r>
        <w:rPr>
          <w:rFonts w:hint="default" w:ascii="Times New Roman" w:hAnsi="Times New Roman" w:eastAsia="方正仿宋_GBK" w:cs="Times New Roman"/>
          <w:b/>
          <w:bCs/>
          <w:color w:val="auto"/>
          <w:spacing w:val="2"/>
          <w:sz w:val="24"/>
          <w:szCs w:val="24"/>
          <w:highlight w:val="none"/>
          <w:u w:val="single"/>
          <w:lang w:eastAsia="zh-CN"/>
        </w:rPr>
        <w:t>名，采购人代表</w:t>
      </w:r>
      <w:r>
        <w:rPr>
          <w:rFonts w:hint="eastAsia" w:ascii="Times New Roman" w:hAnsi="Times New Roman" w:eastAsia="方正仿宋_GBK" w:cs="Times New Roman"/>
          <w:b/>
          <w:bCs/>
          <w:color w:val="auto"/>
          <w:spacing w:val="2"/>
          <w:sz w:val="24"/>
          <w:szCs w:val="24"/>
          <w:highlight w:val="none"/>
          <w:u w:val="single"/>
          <w:lang w:val="en-US" w:eastAsia="zh-CN"/>
        </w:rPr>
        <w:t>1</w:t>
      </w:r>
      <w:r>
        <w:rPr>
          <w:rFonts w:hint="default" w:ascii="Times New Roman" w:hAnsi="Times New Roman" w:eastAsia="方正仿宋_GBK" w:cs="Times New Roman"/>
          <w:b/>
          <w:bCs/>
          <w:color w:val="auto"/>
          <w:spacing w:val="2"/>
          <w:sz w:val="24"/>
          <w:szCs w:val="24"/>
          <w:highlight w:val="none"/>
          <w:u w:val="single"/>
          <w:lang w:eastAsia="zh-CN"/>
        </w:rPr>
        <w:t>名。</w:t>
      </w:r>
    </w:p>
    <w:p>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pPr>
        <w:spacing w:before="182" w:line="360" w:lineRule="auto"/>
        <w:ind w:left="16"/>
        <w:outlineLvl w:val="2"/>
        <w:rPr>
          <w:rFonts w:hint="eastAsia" w:ascii="仿宋" w:hAnsi="仿宋" w:eastAsia="仿宋" w:cs="仿宋"/>
          <w:sz w:val="24"/>
          <w:szCs w:val="24"/>
        </w:rPr>
      </w:pPr>
      <w:bookmarkStart w:id="96" w:name="_Toc14415"/>
      <w:bookmarkStart w:id="97" w:name="_Toc22656"/>
      <w:bookmarkStart w:id="98" w:name="_Toc25387"/>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pPr>
        <w:spacing w:before="176" w:line="360" w:lineRule="auto"/>
        <w:ind w:left="16"/>
        <w:outlineLvl w:val="2"/>
        <w:rPr>
          <w:rFonts w:hint="eastAsia" w:ascii="仿宋" w:hAnsi="仿宋" w:eastAsia="仿宋" w:cs="仿宋"/>
          <w:sz w:val="24"/>
          <w:szCs w:val="24"/>
        </w:rPr>
      </w:pPr>
      <w:bookmarkStart w:id="99" w:name="_Toc25886"/>
      <w:bookmarkStart w:id="100" w:name="_Toc27139"/>
      <w:bookmarkStart w:id="101" w:name="_Toc7242"/>
      <w:r>
        <w:rPr>
          <w:rFonts w:hint="eastAsia" w:ascii="仿宋" w:hAnsi="仿宋" w:eastAsia="仿宋" w:cs="仿宋"/>
          <w:spacing w:val="-1"/>
          <w:sz w:val="24"/>
          <w:szCs w:val="24"/>
        </w:rPr>
        <w:t>20.2    投标文件的澄清</w:t>
      </w:r>
      <w:bookmarkEnd w:id="99"/>
      <w:bookmarkEnd w:id="100"/>
      <w:bookmarkEnd w:id="101"/>
    </w:p>
    <w:p>
      <w:pPr>
        <w:spacing w:before="180" w:line="360" w:lineRule="auto"/>
        <w:ind w:left="968" w:right="51" w:hanging="968" w:hangingChars="400"/>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pPr>
        <w:spacing w:before="179" w:line="360" w:lineRule="auto"/>
        <w:outlineLvl w:val="2"/>
        <w:rPr>
          <w:rFonts w:hint="eastAsia" w:ascii="仿宋" w:hAnsi="仿宋" w:eastAsia="仿宋" w:cs="仿宋"/>
          <w:sz w:val="24"/>
          <w:szCs w:val="24"/>
        </w:rPr>
      </w:pPr>
      <w:bookmarkStart w:id="104" w:name="_Toc30555"/>
      <w:bookmarkStart w:id="105" w:name="_Toc22198"/>
      <w:bookmarkStart w:id="106" w:name="_Toc21006"/>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pPr>
        <w:spacing w:before="182" w:line="360" w:lineRule="auto"/>
        <w:ind w:left="48"/>
        <w:outlineLvl w:val="2"/>
        <w:rPr>
          <w:rFonts w:hint="eastAsia" w:ascii="仿宋" w:hAnsi="仿宋" w:eastAsia="仿宋" w:cs="仿宋"/>
          <w:sz w:val="24"/>
          <w:szCs w:val="24"/>
        </w:rPr>
      </w:pPr>
      <w:bookmarkStart w:id="107" w:name="_Toc1407"/>
      <w:bookmarkStart w:id="108" w:name="_Toc1834"/>
      <w:bookmarkStart w:id="109" w:name="_Toc18207"/>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pPr>
        <w:spacing w:before="1" w:line="360" w:lineRule="auto"/>
        <w:ind w:left="960"/>
        <w:outlineLvl w:val="1"/>
        <w:rPr>
          <w:rFonts w:hint="eastAsia" w:ascii="仿宋" w:hAnsi="仿宋" w:eastAsia="仿宋" w:cs="仿宋"/>
          <w:sz w:val="24"/>
          <w:szCs w:val="24"/>
        </w:rPr>
      </w:pPr>
      <w:bookmarkStart w:id="110" w:name="_Toc25203"/>
      <w:bookmarkStart w:id="111" w:name="_Toc3259"/>
      <w:bookmarkStart w:id="112" w:name="_Toc3819"/>
      <w:r>
        <w:rPr>
          <w:rFonts w:hint="eastAsia" w:ascii="仿宋" w:hAnsi="仿宋" w:eastAsia="仿宋" w:cs="仿宋"/>
          <w:spacing w:val="-1"/>
          <w:sz w:val="24"/>
          <w:szCs w:val="24"/>
        </w:rPr>
        <w:t>在招标文件中规定，并以醒目的方式标明）</w:t>
      </w:r>
      <w:bookmarkEnd w:id="110"/>
      <w:bookmarkEnd w:id="111"/>
      <w:bookmarkEnd w:id="112"/>
    </w:p>
    <w:p>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pPr>
        <w:spacing w:before="177" w:line="360" w:lineRule="auto"/>
        <w:ind w:left="48"/>
        <w:outlineLvl w:val="2"/>
        <w:rPr>
          <w:rFonts w:hint="eastAsia" w:ascii="仿宋" w:hAnsi="仿宋" w:eastAsia="仿宋" w:cs="仿宋"/>
          <w:sz w:val="24"/>
          <w:szCs w:val="24"/>
        </w:rPr>
      </w:pPr>
      <w:bookmarkStart w:id="114" w:name="_Toc9041"/>
      <w:bookmarkStart w:id="115" w:name="_Toc14890"/>
      <w:bookmarkStart w:id="116" w:name="_Toc5026"/>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pPr>
        <w:spacing w:before="260" w:line="360" w:lineRule="auto"/>
        <w:ind w:left="959" w:leftChars="7" w:hanging="944" w:hangingChars="400"/>
        <w:outlineLvl w:val="0"/>
        <w:rPr>
          <w:rFonts w:hint="eastAsia" w:ascii="仿宋" w:hAnsi="仿宋" w:eastAsia="仿宋" w:cs="仿宋"/>
          <w:sz w:val="24"/>
          <w:szCs w:val="24"/>
        </w:rPr>
      </w:pPr>
      <w:bookmarkStart w:id="117" w:name="_Toc31065"/>
      <w:bookmarkStart w:id="118" w:name="_Toc25790"/>
      <w:bookmarkStart w:id="119" w:name="_Toc29044"/>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pPr>
        <w:spacing w:before="180" w:line="360" w:lineRule="auto"/>
        <w:ind w:right="63"/>
        <w:jc w:val="right"/>
        <w:outlineLvl w:val="2"/>
        <w:rPr>
          <w:rFonts w:hint="eastAsia" w:ascii="仿宋" w:hAnsi="仿宋" w:eastAsia="仿宋" w:cs="仿宋"/>
          <w:sz w:val="24"/>
          <w:szCs w:val="24"/>
        </w:rPr>
      </w:pPr>
      <w:bookmarkStart w:id="121" w:name="_Toc32140"/>
      <w:bookmarkStart w:id="122" w:name="_Toc23665"/>
      <w:bookmarkStart w:id="123" w:name="_Toc18399"/>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pPr>
        <w:spacing w:line="254" w:lineRule="auto"/>
        <w:rPr>
          <w:rFonts w:hint="eastAsia" w:ascii="仿宋" w:hAnsi="仿宋" w:eastAsia="仿宋" w:cs="仿宋"/>
          <w:sz w:val="21"/>
        </w:rPr>
      </w:pPr>
    </w:p>
    <w:p>
      <w:pPr>
        <w:spacing w:before="79" w:line="222" w:lineRule="auto"/>
        <w:ind w:left="3401"/>
        <w:outlineLvl w:val="2"/>
        <w:rPr>
          <w:rFonts w:hint="eastAsia" w:ascii="仿宋" w:hAnsi="仿宋" w:eastAsia="仿宋" w:cs="仿宋"/>
          <w:b/>
          <w:bCs/>
          <w:spacing w:val="-9"/>
          <w:sz w:val="24"/>
          <w:szCs w:val="24"/>
        </w:rPr>
      </w:pPr>
      <w:bookmarkStart w:id="125" w:name="_Toc18935"/>
    </w:p>
    <w:p>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pPr>
        <w:spacing w:line="256" w:lineRule="auto"/>
        <w:rPr>
          <w:rFonts w:hint="eastAsia" w:ascii="仿宋" w:hAnsi="仿宋" w:eastAsia="仿宋" w:cs="仿宋"/>
          <w:sz w:val="21"/>
        </w:rPr>
      </w:pPr>
    </w:p>
    <w:p>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pPr>
        <w:spacing w:before="178" w:line="360" w:lineRule="auto"/>
        <w:ind w:right="65"/>
        <w:jc w:val="right"/>
        <w:outlineLvl w:val="2"/>
        <w:rPr>
          <w:rFonts w:hint="eastAsia" w:ascii="仿宋" w:hAnsi="仿宋" w:eastAsia="仿宋" w:cs="仿宋"/>
          <w:sz w:val="24"/>
          <w:szCs w:val="24"/>
        </w:rPr>
      </w:pPr>
      <w:bookmarkStart w:id="127" w:name="_Toc25916"/>
      <w:bookmarkStart w:id="128" w:name="_Toc28651"/>
      <w:bookmarkStart w:id="129" w:name="_Toc31122"/>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pPr>
        <w:spacing w:before="179" w:line="360" w:lineRule="auto"/>
        <w:ind w:left="16"/>
        <w:outlineLvl w:val="2"/>
        <w:rPr>
          <w:rFonts w:hint="eastAsia" w:ascii="仿宋" w:hAnsi="仿宋" w:eastAsia="仿宋" w:cs="仿宋"/>
          <w:sz w:val="24"/>
          <w:szCs w:val="24"/>
        </w:rPr>
      </w:pPr>
      <w:bookmarkStart w:id="133" w:name="_Toc6536"/>
      <w:bookmarkStart w:id="134" w:name="_Toc1549"/>
      <w:bookmarkStart w:id="135" w:name="_Toc4690"/>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pPr>
        <w:spacing w:before="179" w:line="360" w:lineRule="auto"/>
        <w:ind w:left="15"/>
        <w:outlineLvl w:val="1"/>
        <w:rPr>
          <w:rFonts w:hint="default" w:ascii="仿宋" w:hAnsi="仿宋" w:eastAsia="仿宋" w:cs="仿宋"/>
          <w:sz w:val="24"/>
          <w:szCs w:val="24"/>
          <w:lang w:val="en-US" w:eastAsia="zh-CN"/>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r>
        <w:rPr>
          <w:rFonts w:hint="eastAsia" w:ascii="仿宋" w:hAnsi="仿宋" w:eastAsia="仿宋" w:cs="仿宋"/>
          <w:b/>
          <w:bCs/>
          <w:spacing w:val="-8"/>
          <w:sz w:val="24"/>
          <w:szCs w:val="24"/>
          <w:lang w:eastAsia="zh-CN"/>
        </w:rPr>
        <w:t>：</w:t>
      </w:r>
      <w:r>
        <w:rPr>
          <w:rFonts w:hint="eastAsia" w:ascii="仿宋" w:hAnsi="仿宋" w:eastAsia="仿宋" w:cs="仿宋"/>
          <w:b/>
          <w:bCs/>
          <w:spacing w:val="-8"/>
          <w:sz w:val="24"/>
          <w:szCs w:val="24"/>
          <w:lang w:val="en-US" w:eastAsia="zh-CN"/>
        </w:rPr>
        <w:t>/</w:t>
      </w:r>
    </w:p>
    <w:p>
      <w:pPr>
        <w:spacing w:before="176" w:line="360" w:lineRule="auto"/>
        <w:ind w:left="15"/>
        <w:outlineLvl w:val="1"/>
        <w:rPr>
          <w:rFonts w:hint="eastAsia" w:ascii="仿宋" w:hAnsi="仿宋" w:eastAsia="仿宋" w:cs="仿宋"/>
          <w:sz w:val="24"/>
          <w:szCs w:val="24"/>
        </w:rPr>
      </w:pPr>
      <w:bookmarkStart w:id="139" w:name="_Toc1078"/>
      <w:r>
        <w:rPr>
          <w:rFonts w:hint="eastAsia" w:ascii="仿宋" w:hAnsi="仿宋" w:eastAsia="仿宋" w:cs="仿宋"/>
          <w:b/>
          <w:bCs/>
          <w:spacing w:val="-2"/>
          <w:sz w:val="24"/>
          <w:szCs w:val="24"/>
        </w:rPr>
        <w:t>33.政府采购信用担保</w:t>
      </w:r>
      <w:bookmarkEnd w:id="139"/>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0" w:line="360" w:lineRule="auto"/>
        <w:ind w:left="15"/>
        <w:outlineLvl w:val="1"/>
        <w:rPr>
          <w:rFonts w:hint="eastAsia" w:ascii="仿宋" w:hAnsi="仿宋" w:eastAsia="仿宋" w:cs="仿宋"/>
          <w:sz w:val="24"/>
          <w:szCs w:val="24"/>
        </w:rPr>
      </w:pPr>
      <w:bookmarkStart w:id="140" w:name="_Toc18114"/>
      <w:r>
        <w:rPr>
          <w:rFonts w:hint="eastAsia" w:ascii="仿宋" w:hAnsi="仿宋" w:eastAsia="仿宋" w:cs="仿宋"/>
          <w:b/>
          <w:bCs/>
          <w:spacing w:val="-2"/>
          <w:sz w:val="24"/>
          <w:szCs w:val="24"/>
        </w:rPr>
        <w:t>34.廉洁自律规定</w:t>
      </w:r>
      <w:bookmarkEnd w:id="140"/>
    </w:p>
    <w:p>
      <w:pPr>
        <w:spacing w:before="179" w:line="360" w:lineRule="auto"/>
        <w:ind w:left="21"/>
        <w:outlineLvl w:val="2"/>
        <w:rPr>
          <w:rFonts w:hint="eastAsia" w:ascii="仿宋" w:hAnsi="仿宋" w:eastAsia="仿宋" w:cs="仿宋"/>
          <w:sz w:val="24"/>
          <w:szCs w:val="24"/>
        </w:rPr>
      </w:pPr>
      <w:bookmarkStart w:id="141" w:name="_Toc26796"/>
      <w:bookmarkStart w:id="142" w:name="_Toc7601"/>
      <w:bookmarkStart w:id="143" w:name="_Toc9911"/>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1"/>
      <w:bookmarkEnd w:id="142"/>
      <w:bookmarkEnd w:id="143"/>
    </w:p>
    <w:p>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pPr>
        <w:spacing w:before="179" w:line="360" w:lineRule="auto"/>
        <w:ind w:left="15"/>
        <w:outlineLvl w:val="1"/>
        <w:rPr>
          <w:rFonts w:hint="eastAsia" w:ascii="仿宋" w:hAnsi="仿宋" w:eastAsia="仿宋" w:cs="仿宋"/>
          <w:sz w:val="24"/>
          <w:szCs w:val="24"/>
        </w:rPr>
      </w:pPr>
      <w:bookmarkStart w:id="144" w:name="_Toc8637"/>
      <w:r>
        <w:rPr>
          <w:rFonts w:hint="eastAsia" w:ascii="仿宋" w:hAnsi="仿宋" w:eastAsia="仿宋" w:cs="仿宋"/>
          <w:b/>
          <w:bCs/>
          <w:spacing w:val="-2"/>
          <w:sz w:val="24"/>
          <w:szCs w:val="24"/>
        </w:rPr>
        <w:t>35.人员回避</w:t>
      </w:r>
      <w:bookmarkEnd w:id="144"/>
    </w:p>
    <w:p>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pPr>
        <w:spacing w:before="182" w:line="360" w:lineRule="auto"/>
        <w:ind w:left="15"/>
        <w:outlineLvl w:val="1"/>
        <w:rPr>
          <w:rFonts w:hint="eastAsia" w:ascii="仿宋" w:hAnsi="仿宋" w:eastAsia="仿宋" w:cs="仿宋"/>
          <w:sz w:val="24"/>
          <w:szCs w:val="24"/>
        </w:rPr>
      </w:pPr>
      <w:bookmarkStart w:id="145" w:name="_Toc27368"/>
      <w:r>
        <w:rPr>
          <w:rFonts w:hint="eastAsia" w:ascii="仿宋" w:hAnsi="仿宋" w:eastAsia="仿宋" w:cs="仿宋"/>
          <w:b/>
          <w:bCs/>
          <w:spacing w:val="-2"/>
          <w:sz w:val="24"/>
          <w:szCs w:val="24"/>
        </w:rPr>
        <w:t>36.质疑与接收</w:t>
      </w:r>
      <w:bookmarkEnd w:id="145"/>
    </w:p>
    <w:p>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pPr>
        <w:spacing w:before="178" w:line="360" w:lineRule="auto"/>
        <w:outlineLvl w:val="2"/>
        <w:rPr>
          <w:rFonts w:hint="eastAsia" w:ascii="仿宋" w:hAnsi="仿宋" w:eastAsia="仿宋" w:cs="仿宋"/>
          <w:sz w:val="24"/>
          <w:szCs w:val="24"/>
        </w:rPr>
      </w:pPr>
      <w:bookmarkStart w:id="146" w:name="_Toc32734"/>
      <w:bookmarkStart w:id="147" w:name="_Toc5800"/>
      <w:bookmarkStart w:id="148" w:name="_Toc2720"/>
      <w:r>
        <w:rPr>
          <w:rFonts w:hint="eastAsia" w:ascii="仿宋" w:hAnsi="仿宋" w:eastAsia="仿宋" w:cs="仿宋"/>
          <w:spacing w:val="1"/>
          <w:sz w:val="24"/>
          <w:szCs w:val="24"/>
        </w:rPr>
        <w:t>36.2  质疑供应商应按照财政部制定的《政府采购质疑函范本》格式（可从财</w:t>
      </w:r>
      <w:bookmarkEnd w:id="146"/>
      <w:bookmarkEnd w:id="147"/>
      <w:bookmarkEnd w:id="148"/>
    </w:p>
    <w:p>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pPr>
        <w:spacing w:before="178" w:line="360" w:lineRule="auto"/>
        <w:outlineLvl w:val="2"/>
        <w:rPr>
          <w:rFonts w:hint="eastAsia" w:ascii="仿宋" w:hAnsi="仿宋" w:eastAsia="仿宋" w:cs="仿宋"/>
          <w:sz w:val="24"/>
          <w:szCs w:val="24"/>
        </w:rPr>
      </w:pPr>
      <w:bookmarkStart w:id="149" w:name="_Toc1417"/>
      <w:bookmarkStart w:id="150" w:name="_Toc21002"/>
      <w:bookmarkStart w:id="151" w:name="_Toc7049"/>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49"/>
      <w:bookmarkEnd w:id="150"/>
      <w:bookmarkEnd w:id="151"/>
    </w:p>
    <w:p>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pPr>
        <w:spacing w:before="176" w:line="360" w:lineRule="auto"/>
        <w:outlineLvl w:val="2"/>
        <w:rPr>
          <w:rFonts w:hint="eastAsia" w:ascii="仿宋" w:hAnsi="仿宋" w:eastAsia="仿宋" w:cs="仿宋"/>
          <w:sz w:val="24"/>
          <w:szCs w:val="24"/>
        </w:rPr>
      </w:pPr>
      <w:bookmarkStart w:id="152" w:name="_Toc29051"/>
      <w:bookmarkStart w:id="153" w:name="_Toc11828"/>
      <w:bookmarkStart w:id="154" w:name="_Toc16651"/>
      <w:r>
        <w:rPr>
          <w:rFonts w:hint="eastAsia" w:ascii="仿宋" w:hAnsi="仿宋" w:eastAsia="仿宋" w:cs="仿宋"/>
          <w:spacing w:val="-1"/>
          <w:sz w:val="24"/>
          <w:szCs w:val="24"/>
        </w:rPr>
        <w:t>36.4  质疑的提出：一次提出全部质疑</w:t>
      </w:r>
      <w:bookmarkEnd w:id="152"/>
      <w:bookmarkEnd w:id="153"/>
      <w:bookmarkEnd w:id="154"/>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pPr>
        <w:spacing w:before="180" w:line="360" w:lineRule="auto"/>
        <w:outlineLvl w:val="2"/>
        <w:rPr>
          <w:rFonts w:hint="eastAsia" w:ascii="仿宋" w:hAnsi="仿宋" w:eastAsia="仿宋" w:cs="仿宋"/>
          <w:sz w:val="24"/>
          <w:szCs w:val="24"/>
        </w:rPr>
      </w:pPr>
      <w:bookmarkStart w:id="155" w:name="_Toc24018"/>
      <w:bookmarkStart w:id="156" w:name="_Toc14697"/>
      <w:bookmarkStart w:id="157" w:name="_Toc4660"/>
      <w:r>
        <w:rPr>
          <w:rFonts w:hint="eastAsia" w:ascii="仿宋" w:hAnsi="仿宋" w:eastAsia="仿宋" w:cs="仿宋"/>
          <w:spacing w:val="-1"/>
          <w:position w:val="17"/>
          <w:sz w:val="24"/>
          <w:szCs w:val="24"/>
        </w:rPr>
        <w:t>36.9   提出质疑应当符合下列条件：</w:t>
      </w:r>
      <w:bookmarkEnd w:id="155"/>
      <w:bookmarkEnd w:id="156"/>
      <w:bookmarkEnd w:id="157"/>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pPr>
        <w:spacing w:before="179" w:line="360" w:lineRule="auto"/>
        <w:ind w:left="696" w:right="11" w:hanging="726" w:hangingChars="300"/>
        <w:jc w:val="both"/>
        <w:outlineLvl w:val="2"/>
        <w:rPr>
          <w:rFonts w:hint="eastAsia" w:ascii="仿宋" w:hAnsi="仿宋" w:eastAsia="仿宋" w:cs="仿宋"/>
          <w:spacing w:val="1"/>
          <w:sz w:val="24"/>
          <w:szCs w:val="24"/>
        </w:rPr>
      </w:pPr>
      <w:bookmarkStart w:id="158"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58"/>
    </w:p>
    <w:p>
      <w:pPr>
        <w:spacing w:before="179" w:line="360" w:lineRule="auto"/>
        <w:ind w:left="696" w:right="11" w:hanging="732" w:hangingChars="300"/>
        <w:jc w:val="both"/>
        <w:outlineLvl w:val="2"/>
        <w:rPr>
          <w:rFonts w:hint="eastAsia" w:ascii="仿宋" w:hAnsi="仿宋" w:eastAsia="仿宋" w:cs="仿宋"/>
          <w:sz w:val="24"/>
          <w:szCs w:val="24"/>
        </w:rPr>
      </w:pPr>
      <w:bookmarkStart w:id="159" w:name="_Toc8400"/>
      <w:bookmarkStart w:id="160" w:name="_Toc27348"/>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59"/>
      <w:bookmarkEnd w:id="160"/>
    </w:p>
    <w:p>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pPr>
        <w:spacing w:before="182" w:line="360" w:lineRule="auto"/>
        <w:ind w:right="11"/>
        <w:jc w:val="center"/>
        <w:outlineLvl w:val="2"/>
        <w:rPr>
          <w:rFonts w:hint="eastAsia" w:ascii="仿宋" w:hAnsi="仿宋" w:eastAsia="仿宋" w:cs="仿宋"/>
          <w:sz w:val="24"/>
          <w:szCs w:val="24"/>
        </w:rPr>
      </w:pPr>
      <w:bookmarkStart w:id="161" w:name="_Toc9180"/>
      <w:bookmarkStart w:id="162" w:name="_Toc9001"/>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1"/>
      <w:bookmarkEnd w:id="162"/>
    </w:p>
    <w:p>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pPr>
        <w:spacing w:line="360" w:lineRule="auto"/>
        <w:outlineLvl w:val="2"/>
        <w:rPr>
          <w:rFonts w:hint="eastAsia" w:ascii="仿宋" w:hAnsi="仿宋" w:eastAsia="仿宋" w:cs="仿宋"/>
          <w:sz w:val="24"/>
          <w:szCs w:val="24"/>
        </w:rPr>
      </w:pPr>
      <w:bookmarkStart w:id="163" w:name="_Toc12765"/>
      <w:bookmarkStart w:id="164"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3"/>
      <w:bookmarkEnd w:id="164"/>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pPr>
        <w:numPr>
          <w:ilvl w:val="0"/>
          <w:numId w:val="0"/>
        </w:numPr>
        <w:spacing w:before="179" w:line="360" w:lineRule="auto"/>
        <w:outlineLvl w:val="2"/>
        <w:rPr>
          <w:rFonts w:hint="eastAsia" w:ascii="仿宋" w:hAnsi="仿宋" w:eastAsia="仿宋" w:cs="仿宋"/>
          <w:sz w:val="24"/>
          <w:szCs w:val="24"/>
        </w:rPr>
      </w:pPr>
      <w:bookmarkStart w:id="165" w:name="_Toc14919"/>
      <w:bookmarkStart w:id="166" w:name="_Toc11226"/>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5"/>
      <w:bookmarkEnd w:id="166"/>
    </w:p>
    <w:p>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pPr>
        <w:spacing w:before="161" w:line="360" w:lineRule="auto"/>
        <w:outlineLvl w:val="2"/>
        <w:rPr>
          <w:rFonts w:hint="eastAsia" w:ascii="仿宋" w:hAnsi="仿宋" w:eastAsia="仿宋" w:cs="仿宋"/>
          <w:sz w:val="24"/>
          <w:szCs w:val="24"/>
        </w:rPr>
      </w:pPr>
      <w:bookmarkStart w:id="167" w:name="_Toc9217"/>
      <w:bookmarkStart w:id="168" w:name="_Toc2072"/>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67"/>
      <w:bookmarkEnd w:id="168"/>
    </w:p>
    <w:p>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pPr>
        <w:spacing w:before="179" w:line="360" w:lineRule="auto"/>
        <w:outlineLvl w:val="2"/>
        <w:rPr>
          <w:rFonts w:hint="eastAsia" w:ascii="仿宋" w:hAnsi="仿宋" w:eastAsia="仿宋" w:cs="仿宋"/>
          <w:spacing w:val="2"/>
          <w:sz w:val="24"/>
          <w:szCs w:val="24"/>
        </w:rPr>
      </w:pPr>
      <w:bookmarkStart w:id="169" w:name="_Toc16356"/>
      <w:r>
        <w:rPr>
          <w:rFonts w:hint="eastAsia" w:ascii="仿宋" w:hAnsi="仿宋" w:eastAsia="仿宋" w:cs="仿宋"/>
          <w:spacing w:val="2"/>
          <w:sz w:val="24"/>
          <w:szCs w:val="24"/>
        </w:rPr>
        <w:t>38.   质疑处理过程中，质疑人书面申请撤回质疑的，将终止质疑处理程序。</w:t>
      </w:r>
      <w:bookmarkEnd w:id="169"/>
    </w:p>
    <w:p>
      <w:pPr>
        <w:spacing w:before="179" w:line="360" w:lineRule="auto"/>
        <w:outlineLvl w:val="2"/>
        <w:rPr>
          <w:rFonts w:hint="eastAsia" w:ascii="仿宋" w:hAnsi="仿宋" w:eastAsia="仿宋" w:cs="仿宋"/>
          <w:sz w:val="24"/>
          <w:szCs w:val="24"/>
        </w:rPr>
      </w:pPr>
      <w:bookmarkStart w:id="170" w:name="_Toc17432"/>
      <w:bookmarkStart w:id="171" w:name="_Toc31527"/>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0"/>
      <w:bookmarkEnd w:id="171"/>
    </w:p>
    <w:p>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pPr>
        <w:spacing w:before="180" w:line="360" w:lineRule="auto"/>
        <w:outlineLvl w:val="2"/>
        <w:rPr>
          <w:rFonts w:hint="eastAsia" w:ascii="仿宋" w:hAnsi="仿宋" w:eastAsia="仿宋" w:cs="仿宋"/>
          <w:sz w:val="24"/>
          <w:szCs w:val="24"/>
        </w:rPr>
      </w:pPr>
      <w:bookmarkStart w:id="172" w:name="_Toc2246"/>
      <w:bookmarkStart w:id="173" w:name="_Toc105"/>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2"/>
      <w:bookmarkEnd w:id="173"/>
    </w:p>
    <w:p>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pPr>
        <w:spacing w:before="177" w:line="360" w:lineRule="auto"/>
        <w:ind w:right="76"/>
        <w:outlineLvl w:val="2"/>
        <w:rPr>
          <w:rFonts w:hint="eastAsia" w:ascii="仿宋" w:hAnsi="仿宋" w:eastAsia="仿宋" w:cs="仿宋"/>
          <w:sz w:val="24"/>
          <w:szCs w:val="24"/>
        </w:rPr>
      </w:pPr>
      <w:bookmarkStart w:id="174" w:name="_Toc7458"/>
      <w:bookmarkStart w:id="175" w:name="_Toc19853"/>
      <w:r>
        <w:rPr>
          <w:rFonts w:hint="eastAsia" w:ascii="仿宋" w:hAnsi="仿宋" w:eastAsia="仿宋" w:cs="仿宋"/>
          <w:spacing w:val="-1"/>
          <w:position w:val="17"/>
          <w:sz w:val="24"/>
          <w:szCs w:val="24"/>
        </w:rPr>
        <w:t>38.4  采购方将书面答复质疑，质疑答复包括下列内容：</w:t>
      </w:r>
      <w:bookmarkEnd w:id="174"/>
      <w:bookmarkEnd w:id="175"/>
    </w:p>
    <w:p>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pPr>
        <w:spacing w:before="176" w:line="360" w:lineRule="auto"/>
        <w:ind w:right="11"/>
        <w:jc w:val="right"/>
        <w:outlineLvl w:val="2"/>
        <w:rPr>
          <w:rFonts w:hint="eastAsia" w:ascii="仿宋" w:hAnsi="仿宋" w:eastAsia="仿宋" w:cs="仿宋"/>
          <w:sz w:val="24"/>
          <w:szCs w:val="24"/>
        </w:rPr>
      </w:pPr>
      <w:bookmarkStart w:id="176" w:name="_Toc13001"/>
      <w:bookmarkStart w:id="177" w:name="_Toc30232"/>
      <w:r>
        <w:rPr>
          <w:rFonts w:hint="eastAsia" w:ascii="仿宋" w:hAnsi="仿宋" w:eastAsia="仿宋" w:cs="仿宋"/>
          <w:spacing w:val="-2"/>
          <w:position w:val="17"/>
          <w:sz w:val="24"/>
          <w:szCs w:val="24"/>
        </w:rPr>
        <w:t>38.5  质疑人有下列行为之一的，属于虚假、恶意质疑，将由采购方建议财政部</w:t>
      </w:r>
      <w:bookmarkEnd w:id="176"/>
      <w:bookmarkEnd w:id="177"/>
    </w:p>
    <w:p>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（四）法律法规规定的其他违法情形。</w:t>
      </w:r>
    </w:p>
    <w:p>
      <w:pPr>
        <w:spacing w:before="1" w:line="360" w:lineRule="auto"/>
        <w:ind w:left="174" w:firstLine="472" w:firstLineChars="200"/>
        <w:rPr>
          <w:rFonts w:hint="eastAsia" w:ascii="仿宋" w:hAnsi="仿宋" w:eastAsia="仿宋" w:cs="仿宋"/>
          <w:spacing w:val="-2"/>
          <w:sz w:val="24"/>
          <w:szCs w:val="24"/>
        </w:rPr>
      </w:pPr>
    </w:p>
    <w:p>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pPr>
        <w:spacing w:line="360" w:lineRule="auto"/>
        <w:rPr>
          <w:rFonts w:hint="eastAsia" w:ascii="仿宋" w:hAnsi="仿宋" w:eastAsia="仿宋" w:cs="仿宋"/>
          <w:sz w:val="21"/>
        </w:rPr>
      </w:pPr>
    </w:p>
    <w:p>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pPr>
        <w:spacing w:before="26" w:line="360" w:lineRule="auto"/>
        <w:outlineLvl w:val="1"/>
        <w:rPr>
          <w:rFonts w:hint="eastAsia" w:ascii="仿宋" w:hAnsi="仿宋" w:eastAsia="仿宋" w:cs="仿宋"/>
          <w:sz w:val="24"/>
          <w:szCs w:val="24"/>
        </w:rPr>
      </w:pPr>
      <w:bookmarkStart w:id="178" w:name="_Toc10"/>
      <w:bookmarkStart w:id="179" w:name="_Toc25677"/>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78"/>
      <w:bookmarkEnd w:id="179"/>
    </w:p>
    <w:p>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pPr>
        <w:spacing w:before="25" w:line="360" w:lineRule="auto"/>
        <w:ind w:left="165" w:right="777" w:hanging="5"/>
        <w:outlineLvl w:val="1"/>
        <w:rPr>
          <w:rFonts w:hint="eastAsia" w:ascii="仿宋" w:hAnsi="仿宋" w:eastAsia="仿宋" w:cs="仿宋"/>
          <w:spacing w:val="-1"/>
          <w:sz w:val="24"/>
          <w:szCs w:val="24"/>
        </w:rPr>
      </w:pPr>
      <w:bookmarkStart w:id="180" w:name="_Toc24292"/>
      <w:bookmarkStart w:id="181" w:name="_Toc5769"/>
      <w:r>
        <w:rPr>
          <w:rFonts w:hint="eastAsia" w:ascii="仿宋" w:hAnsi="仿宋" w:eastAsia="仿宋" w:cs="仿宋"/>
          <w:spacing w:val="-1"/>
          <w:sz w:val="24"/>
          <w:szCs w:val="24"/>
        </w:rPr>
        <w:t>5.质疑函的质疑请求应与质疑事项相关。</w:t>
      </w:r>
      <w:bookmarkEnd w:id="180"/>
      <w:bookmarkEnd w:id="181"/>
    </w:p>
    <w:p>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pPr>
        <w:spacing w:before="25" w:line="360" w:lineRule="auto"/>
        <w:ind w:left="165" w:right="777" w:hanging="5"/>
        <w:rPr>
          <w:rFonts w:hint="eastAsia"/>
          <w:b/>
          <w:bCs/>
          <w:color w:val="auto"/>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auto"/>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pPr>
        <w:spacing w:before="220" w:line="360" w:lineRule="auto"/>
        <w:outlineLvl w:val="2"/>
        <w:rPr>
          <w:rFonts w:hint="eastAsia" w:ascii="仿宋" w:hAnsi="仿宋" w:eastAsia="仿宋" w:cs="仿宋"/>
          <w:sz w:val="30"/>
          <w:szCs w:val="30"/>
        </w:rPr>
      </w:pPr>
      <w:bookmarkStart w:id="182" w:name="_Toc23220"/>
      <w:r>
        <w:rPr>
          <w:rFonts w:hint="eastAsia" w:ascii="仿宋" w:hAnsi="仿宋" w:eastAsia="仿宋" w:cs="仿宋"/>
          <w:b/>
          <w:bCs/>
          <w:spacing w:val="-5"/>
          <w:sz w:val="30"/>
          <w:szCs w:val="30"/>
        </w:rPr>
        <w:t>附件1：履约保证金保函（格式）</w:t>
      </w:r>
      <w:bookmarkEnd w:id="182"/>
    </w:p>
    <w:p>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pPr>
        <w:spacing w:before="109" w:line="360" w:lineRule="auto"/>
        <w:ind w:left="555"/>
        <w:outlineLvl w:val="1"/>
        <w:rPr>
          <w:rFonts w:hint="eastAsia" w:ascii="仿宋" w:hAnsi="仿宋" w:eastAsia="仿宋" w:cs="仿宋"/>
          <w:sz w:val="20"/>
          <w:szCs w:val="20"/>
        </w:rPr>
      </w:pPr>
      <w:bookmarkStart w:id="183" w:name="_Toc13019"/>
      <w:bookmarkStart w:id="184" w:name="_Toc9259"/>
      <w:r>
        <w:rPr>
          <w:rFonts w:hint="eastAsia" w:ascii="仿宋" w:hAnsi="仿宋" w:eastAsia="仿宋" w:cs="仿宋"/>
          <w:spacing w:val="-1"/>
          <w:sz w:val="22"/>
          <w:szCs w:val="22"/>
        </w:rPr>
        <w:t>4.本保函在本合同规定的保证期期满前完全有效。</w:t>
      </w:r>
      <w:bookmarkEnd w:id="183"/>
      <w:bookmarkEnd w:id="184"/>
    </w:p>
    <w:p>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pPr>
        <w:spacing w:before="107" w:line="360" w:lineRule="auto"/>
        <w:ind w:left="572"/>
        <w:outlineLvl w:val="1"/>
        <w:rPr>
          <w:rFonts w:hint="eastAsia" w:ascii="仿宋" w:hAnsi="仿宋" w:eastAsia="仿宋" w:cs="仿宋"/>
          <w:sz w:val="22"/>
          <w:szCs w:val="22"/>
        </w:rPr>
      </w:pPr>
      <w:bookmarkStart w:id="185" w:name="_Toc6047"/>
      <w:bookmarkStart w:id="186" w:name="_Toc18830"/>
      <w:r>
        <w:rPr>
          <w:rFonts w:hint="eastAsia" w:ascii="仿宋" w:hAnsi="仿宋" w:eastAsia="仿宋" w:cs="仿宋"/>
          <w:spacing w:val="-8"/>
          <w:sz w:val="22"/>
          <w:szCs w:val="22"/>
        </w:rPr>
        <w:t>公章：</w:t>
      </w:r>
      <w:bookmarkEnd w:id="185"/>
      <w:bookmarkEnd w:id="186"/>
      <w:r>
        <w:rPr>
          <w:rFonts w:hint="eastAsia" w:ascii="仿宋" w:hAnsi="仿宋" w:eastAsia="仿宋" w:cs="仿宋"/>
          <w:sz w:val="22"/>
          <w:szCs w:val="22"/>
          <w:u w:val="single" w:color="auto"/>
        </w:rPr>
        <w:t xml:space="preserve">                                         </w:t>
      </w:r>
    </w:p>
    <w:p>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pPr>
        <w:spacing w:before="220" w:line="360" w:lineRule="auto"/>
        <w:ind w:left="2888"/>
        <w:outlineLvl w:val="2"/>
        <w:rPr>
          <w:rFonts w:hint="eastAsia" w:ascii="仿宋" w:hAnsi="仿宋" w:eastAsia="仿宋" w:cs="仿宋"/>
          <w:sz w:val="30"/>
          <w:szCs w:val="30"/>
        </w:rPr>
      </w:pPr>
      <w:bookmarkStart w:id="187" w:name="_Toc25131"/>
      <w:r>
        <w:rPr>
          <w:rFonts w:hint="eastAsia" w:ascii="仿宋" w:hAnsi="仿宋" w:eastAsia="仿宋" w:cs="仿宋"/>
          <w:b/>
          <w:bCs/>
          <w:spacing w:val="-6"/>
          <w:sz w:val="30"/>
          <w:szCs w:val="30"/>
        </w:rPr>
        <w:t>附件2：履约担保函格式</w:t>
      </w:r>
      <w:bookmarkEnd w:id="187"/>
    </w:p>
    <w:p>
      <w:pPr>
        <w:spacing w:before="29" w:line="360" w:lineRule="auto"/>
        <w:ind w:left="1901"/>
        <w:outlineLvl w:val="1"/>
        <w:rPr>
          <w:rFonts w:hint="eastAsia" w:ascii="仿宋" w:hAnsi="仿宋" w:eastAsia="仿宋" w:cs="仿宋"/>
          <w:sz w:val="30"/>
          <w:szCs w:val="30"/>
        </w:rPr>
      </w:pPr>
      <w:bookmarkStart w:id="188" w:name="_Toc5029"/>
      <w:r>
        <w:rPr>
          <w:rFonts w:hint="eastAsia" w:ascii="仿宋" w:hAnsi="仿宋" w:eastAsia="仿宋" w:cs="仿宋"/>
          <w:b/>
          <w:bCs/>
          <w:spacing w:val="-4"/>
          <w:sz w:val="30"/>
          <w:szCs w:val="30"/>
        </w:rPr>
        <w:t>（采用政府采购信用担保形式时使用）</w:t>
      </w:r>
      <w:bookmarkEnd w:id="188"/>
    </w:p>
    <w:p>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pPr>
        <w:spacing w:before="24" w:line="360" w:lineRule="auto"/>
        <w:ind w:left="511"/>
        <w:outlineLvl w:val="2"/>
        <w:rPr>
          <w:rFonts w:hint="eastAsia" w:ascii="仿宋" w:hAnsi="仿宋" w:eastAsia="仿宋" w:cs="仿宋"/>
          <w:sz w:val="22"/>
          <w:szCs w:val="22"/>
        </w:rPr>
      </w:pPr>
      <w:bookmarkStart w:id="189" w:name="_Toc6393"/>
      <w:bookmarkStart w:id="190" w:name="_Toc30511"/>
      <w:r>
        <w:rPr>
          <w:rFonts w:hint="eastAsia" w:ascii="仿宋" w:hAnsi="仿宋" w:eastAsia="仿宋" w:cs="仿宋"/>
          <w:spacing w:val="-2"/>
          <w:sz w:val="22"/>
          <w:szCs w:val="22"/>
        </w:rPr>
        <w:t>一、保证责任的情形及保证金额</w:t>
      </w:r>
      <w:bookmarkEnd w:id="189"/>
      <w:bookmarkEnd w:id="190"/>
    </w:p>
    <w:p>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pPr>
        <w:spacing w:before="22" w:line="360" w:lineRule="auto"/>
        <w:ind w:left="496"/>
        <w:outlineLvl w:val="1"/>
        <w:rPr>
          <w:rFonts w:hint="eastAsia" w:ascii="仿宋" w:hAnsi="仿宋" w:eastAsia="仿宋" w:cs="仿宋"/>
          <w:sz w:val="22"/>
          <w:szCs w:val="22"/>
        </w:rPr>
      </w:pPr>
      <w:bookmarkStart w:id="191" w:name="_Toc22694"/>
      <w:bookmarkStart w:id="192"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1"/>
      <w:bookmarkEnd w:id="192"/>
    </w:p>
    <w:p>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pPr>
        <w:spacing w:before="25" w:line="360" w:lineRule="auto"/>
        <w:ind w:left="515"/>
        <w:outlineLvl w:val="2"/>
        <w:rPr>
          <w:rFonts w:hint="eastAsia" w:ascii="仿宋" w:hAnsi="仿宋" w:eastAsia="仿宋" w:cs="仿宋"/>
          <w:sz w:val="22"/>
          <w:szCs w:val="22"/>
        </w:rPr>
      </w:pPr>
      <w:bookmarkStart w:id="193" w:name="_Toc28380"/>
      <w:bookmarkStart w:id="194" w:name="_Toc5077"/>
      <w:r>
        <w:rPr>
          <w:rFonts w:hint="eastAsia" w:ascii="仿宋" w:hAnsi="仿宋" w:eastAsia="仿宋" w:cs="仿宋"/>
          <w:spacing w:val="-2"/>
          <w:sz w:val="22"/>
          <w:szCs w:val="22"/>
        </w:rPr>
        <w:t>二、保证的方式及保证期间</w:t>
      </w:r>
      <w:bookmarkEnd w:id="193"/>
      <w:bookmarkEnd w:id="194"/>
    </w:p>
    <w:p>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pPr>
        <w:spacing w:before="27" w:line="360" w:lineRule="auto"/>
        <w:ind w:left="514"/>
        <w:outlineLvl w:val="2"/>
        <w:rPr>
          <w:rFonts w:hint="eastAsia" w:ascii="仿宋" w:hAnsi="仿宋" w:eastAsia="仿宋" w:cs="仿宋"/>
          <w:sz w:val="22"/>
          <w:szCs w:val="22"/>
        </w:rPr>
      </w:pPr>
      <w:bookmarkStart w:id="195" w:name="_Toc30740"/>
      <w:bookmarkStart w:id="196" w:name="_Toc19425"/>
      <w:r>
        <w:rPr>
          <w:rFonts w:hint="eastAsia" w:ascii="仿宋" w:hAnsi="仿宋" w:eastAsia="仿宋" w:cs="仿宋"/>
          <w:spacing w:val="-3"/>
          <w:sz w:val="22"/>
          <w:szCs w:val="22"/>
        </w:rPr>
        <w:t>三、承担保证责任的程序</w:t>
      </w:r>
      <w:bookmarkEnd w:id="195"/>
      <w:bookmarkEnd w:id="196"/>
    </w:p>
    <w:p>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pPr>
        <w:spacing w:before="25" w:line="360" w:lineRule="auto"/>
        <w:ind w:left="535"/>
        <w:outlineLvl w:val="2"/>
        <w:rPr>
          <w:rFonts w:hint="eastAsia" w:ascii="仿宋" w:hAnsi="仿宋" w:eastAsia="仿宋" w:cs="仿宋"/>
          <w:sz w:val="22"/>
          <w:szCs w:val="22"/>
        </w:rPr>
      </w:pPr>
      <w:bookmarkStart w:id="197" w:name="_Toc10119"/>
      <w:bookmarkStart w:id="198" w:name="_Toc15521"/>
      <w:r>
        <w:rPr>
          <w:rFonts w:hint="eastAsia" w:ascii="仿宋" w:hAnsi="仿宋" w:eastAsia="仿宋" w:cs="仿宋"/>
          <w:spacing w:val="-5"/>
          <w:sz w:val="22"/>
          <w:szCs w:val="22"/>
        </w:rPr>
        <w:t>四、保证责任的终止</w:t>
      </w:r>
      <w:bookmarkEnd w:id="197"/>
      <w:bookmarkEnd w:id="198"/>
    </w:p>
    <w:p>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pPr>
        <w:spacing w:before="19" w:line="360" w:lineRule="auto"/>
        <w:ind w:left="511"/>
        <w:outlineLvl w:val="2"/>
        <w:rPr>
          <w:rFonts w:hint="eastAsia" w:ascii="仿宋" w:hAnsi="仿宋" w:eastAsia="仿宋" w:cs="仿宋"/>
          <w:sz w:val="22"/>
          <w:szCs w:val="22"/>
        </w:rPr>
      </w:pPr>
      <w:bookmarkStart w:id="199" w:name="_Toc17167"/>
      <w:bookmarkStart w:id="200" w:name="_Toc20640"/>
      <w:r>
        <w:rPr>
          <w:rFonts w:hint="eastAsia" w:ascii="仿宋" w:hAnsi="仿宋" w:eastAsia="仿宋" w:cs="仿宋"/>
          <w:spacing w:val="-4"/>
          <w:sz w:val="22"/>
          <w:szCs w:val="22"/>
        </w:rPr>
        <w:t>五、免责条款</w:t>
      </w:r>
      <w:bookmarkEnd w:id="199"/>
      <w:bookmarkEnd w:id="200"/>
    </w:p>
    <w:p>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pPr>
        <w:spacing w:before="23" w:line="360" w:lineRule="auto"/>
        <w:ind w:left="509"/>
        <w:outlineLvl w:val="2"/>
        <w:rPr>
          <w:rFonts w:hint="eastAsia" w:ascii="仿宋" w:hAnsi="仿宋" w:eastAsia="仿宋" w:cs="仿宋"/>
          <w:sz w:val="22"/>
          <w:szCs w:val="22"/>
        </w:rPr>
      </w:pPr>
      <w:bookmarkStart w:id="201" w:name="_Toc31670"/>
      <w:bookmarkStart w:id="202" w:name="_Toc9384"/>
      <w:r>
        <w:rPr>
          <w:rFonts w:hint="eastAsia" w:ascii="仿宋" w:hAnsi="仿宋" w:eastAsia="仿宋" w:cs="仿宋"/>
          <w:spacing w:val="-3"/>
          <w:sz w:val="22"/>
          <w:szCs w:val="22"/>
        </w:rPr>
        <w:t>六、争议的解决</w:t>
      </w:r>
      <w:bookmarkEnd w:id="201"/>
      <w:bookmarkEnd w:id="202"/>
    </w:p>
    <w:p>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pPr>
        <w:spacing w:before="25" w:line="360" w:lineRule="auto"/>
        <w:ind w:left="512"/>
        <w:outlineLvl w:val="2"/>
        <w:rPr>
          <w:rFonts w:hint="eastAsia" w:ascii="仿宋" w:hAnsi="仿宋" w:eastAsia="仿宋" w:cs="仿宋"/>
          <w:sz w:val="22"/>
          <w:szCs w:val="22"/>
        </w:rPr>
      </w:pPr>
      <w:bookmarkStart w:id="203" w:name="_Toc21849"/>
      <w:bookmarkStart w:id="204" w:name="_Toc28746"/>
      <w:r>
        <w:rPr>
          <w:rFonts w:hint="eastAsia" w:ascii="仿宋" w:hAnsi="仿宋" w:eastAsia="仿宋" w:cs="仿宋"/>
          <w:spacing w:val="-3"/>
          <w:sz w:val="22"/>
          <w:szCs w:val="22"/>
        </w:rPr>
        <w:t>七、保函的生效</w:t>
      </w:r>
      <w:bookmarkEnd w:id="203"/>
      <w:bookmarkEnd w:id="204"/>
    </w:p>
    <w:p>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月       日</w:t>
      </w:r>
    </w:p>
    <w:p>
      <w:pPr>
        <w:spacing w:line="261" w:lineRule="auto"/>
        <w:rPr>
          <w:rFonts w:hint="eastAsia" w:ascii="仿宋" w:hAnsi="仿宋" w:eastAsia="仿宋" w:cs="仿宋"/>
          <w:sz w:val="21"/>
        </w:rPr>
      </w:pPr>
    </w:p>
    <w:p>
      <w:pPr>
        <w:spacing w:before="101" w:line="228" w:lineRule="auto"/>
        <w:ind w:left="2676"/>
        <w:outlineLvl w:val="0"/>
        <w:rPr>
          <w:rFonts w:hint="eastAsia" w:ascii="仿宋" w:hAnsi="仿宋" w:eastAsia="仿宋" w:cs="仿宋"/>
          <w:sz w:val="31"/>
          <w:szCs w:val="31"/>
        </w:rPr>
      </w:pPr>
      <w:bookmarkStart w:id="205"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5"/>
    </w:p>
    <w:p>
      <w:pPr>
        <w:spacing w:before="228" w:line="360" w:lineRule="auto"/>
        <w:ind w:left="2205"/>
        <w:outlineLvl w:val="1"/>
        <w:rPr>
          <w:rFonts w:hint="eastAsia" w:ascii="仿宋" w:hAnsi="仿宋" w:eastAsia="仿宋" w:cs="仿宋"/>
          <w:sz w:val="24"/>
          <w:szCs w:val="24"/>
        </w:rPr>
      </w:pPr>
      <w:bookmarkStart w:id="206"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6"/>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1、开标一览表；</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2、企业三证合一的法人营业执照或含二维码的营业执照；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3、授权人参与投标提供法定代表人授权书及被授权人身份证；法人本人参与投标提供法人身份证及法人资格证明；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4、提供近半年任意一个月的投标单位社保缴费凭证和法人或授权人个人缴纳的社保明细；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5、提供2025年的财务审计报告（新成立公司不足一年的提供近三个月内有效的银行资信证明）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numPr>
          <w:ilvl w:val="0"/>
          <w:numId w:val="5"/>
        </w:num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在参加政府采购活动中前三年内无重大违法记录的承诺书；</w:t>
      </w:r>
    </w:p>
    <w:p>
      <w:pPr>
        <w:numPr>
          <w:ilvl w:val="0"/>
          <w:numId w:val="5"/>
        </w:numPr>
        <w:adjustRightInd w:val="0"/>
        <w:spacing w:line="360" w:lineRule="auto"/>
        <w:ind w:left="0" w:leftChars="0" w:firstLine="0" w:firstLineChars="0"/>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10、具有履行该项目合同所必需的设备和专业技术能力的证明材料；</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11、本项目不接受联合体；</w:t>
      </w: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numPr>
          <w:ilvl w:val="0"/>
          <w:numId w:val="0"/>
        </w:numPr>
        <w:topLinePunct/>
        <w:jc w:val="center"/>
        <w:rPr>
          <w:rFonts w:hint="default" w:ascii="Times New Roman" w:hAnsi="Times New Roman" w:eastAsia="方正仿宋_GBK" w:cs="Times New Roman"/>
          <w:b/>
          <w:bCs/>
          <w:color w:val="auto"/>
          <w:spacing w:val="-4"/>
          <w:sz w:val="24"/>
          <w:szCs w:val="24"/>
          <w:lang w:eastAsia="zh-CN"/>
        </w:rPr>
      </w:pPr>
      <w:r>
        <w:rPr>
          <w:rFonts w:hint="default" w:ascii="Times New Roman" w:hAnsi="Times New Roman" w:eastAsia="方正仿宋_GBK" w:cs="Times New Roman"/>
          <w:b/>
          <w:bCs/>
          <w:color w:val="auto"/>
          <w:spacing w:val="-4"/>
          <w:sz w:val="24"/>
          <w:szCs w:val="24"/>
          <w:lang w:val="en-US" w:eastAsia="zh-CN"/>
        </w:rPr>
        <w:t>1、</w:t>
      </w:r>
      <w:r>
        <w:rPr>
          <w:rFonts w:hint="default" w:ascii="Times New Roman" w:hAnsi="Times New Roman" w:eastAsia="方正仿宋_GBK" w:cs="Times New Roman"/>
          <w:b/>
          <w:bCs/>
          <w:color w:val="auto"/>
          <w:spacing w:val="-4"/>
          <w:sz w:val="24"/>
          <w:szCs w:val="24"/>
          <w:lang w:eastAsia="zh-CN"/>
        </w:rPr>
        <w:t>开标一览表（投标文件格式一）</w:t>
      </w:r>
    </w:p>
    <w:p>
      <w:pPr>
        <w:pStyle w:val="26"/>
        <w:topLinePunct/>
        <w:spacing w:line="240" w:lineRule="atLeast"/>
        <w:ind w:firstLine="0" w:firstLineChars="0"/>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项目名称：                    招标编号：</w:t>
      </w:r>
      <w:r>
        <w:rPr>
          <w:rFonts w:hint="default" w:ascii="Times New Roman" w:hAnsi="Times New Roman" w:eastAsia="方正仿宋_GBK" w:cs="Times New Roman"/>
          <w:color w:val="auto"/>
          <w:spacing w:val="1"/>
          <w:sz w:val="24"/>
          <w:szCs w:val="24"/>
          <w:lang w:eastAsia="zh-CN"/>
        </w:rPr>
        <w:t xml:space="preserve">                 </w:t>
      </w:r>
      <w:r>
        <w:rPr>
          <w:rFonts w:hint="default" w:ascii="Times New Roman" w:hAnsi="Times New Roman" w:eastAsia="方正仿宋_GBK" w:cs="Times New Roman"/>
          <w:color w:val="auto"/>
          <w:spacing w:val="-1"/>
          <w:sz w:val="24"/>
          <w:szCs w:val="24"/>
          <w:lang w:eastAsia="zh-CN"/>
        </w:rPr>
        <w:t>分</w:t>
      </w:r>
      <w:r>
        <w:rPr>
          <w:rFonts w:hint="default" w:ascii="Times New Roman" w:hAnsi="Times New Roman" w:eastAsia="方正仿宋_GBK" w:cs="Times New Roman"/>
          <w:color w:val="auto"/>
          <w:spacing w:val="-2"/>
          <w:sz w:val="24"/>
          <w:szCs w:val="24"/>
          <w:lang w:eastAsia="zh-CN"/>
        </w:rPr>
        <w:t>包号：</w:t>
      </w:r>
    </w:p>
    <w:p>
      <w:pPr>
        <w:topLinePunct/>
        <w:spacing w:line="240" w:lineRule="atLeas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3"/>
          <w:sz w:val="24"/>
          <w:szCs w:val="24"/>
        </w:rPr>
        <w:t>报价单位：人民币</w:t>
      </w:r>
      <w:r>
        <w:rPr>
          <w:rFonts w:hint="default" w:ascii="Times New Roman" w:hAnsi="Times New Roman" w:eastAsia="方正仿宋_GBK" w:cs="Times New Roman"/>
          <w:b/>
          <w:bCs/>
          <w:color w:val="auto"/>
          <w:spacing w:val="-3"/>
          <w:sz w:val="24"/>
          <w:szCs w:val="24"/>
        </w:rPr>
        <w:t>元</w:t>
      </w:r>
    </w:p>
    <w:tbl>
      <w:tblPr>
        <w:tblStyle w:val="41"/>
        <w:tblpPr w:leftFromText="180" w:rightFromText="180" w:vertAnchor="text" w:horzAnchor="page" w:tblpX="1151" w:tblpY="354"/>
        <w:tblOverlap w:val="never"/>
        <w:tblW w:w="91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254"/>
        <w:gridCol w:w="1714"/>
        <w:gridCol w:w="1479"/>
        <w:gridCol w:w="1239"/>
        <w:gridCol w:w="1239"/>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9" w:hRule="atLeast"/>
        </w:trPr>
        <w:tc>
          <w:tcPr>
            <w:tcW w:w="1425"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lang w:eastAsia="zh-CN"/>
              </w:rPr>
              <w:t>项目</w:t>
            </w:r>
            <w:r>
              <w:rPr>
                <w:rFonts w:hint="default" w:ascii="Times New Roman" w:hAnsi="Times New Roman" w:eastAsia="方正仿宋_GBK" w:cs="Times New Roman"/>
                <w:color w:val="auto"/>
                <w:spacing w:val="-6"/>
                <w:sz w:val="24"/>
                <w:szCs w:val="24"/>
              </w:rPr>
              <w:t>名称</w:t>
            </w:r>
          </w:p>
        </w:tc>
        <w:tc>
          <w:tcPr>
            <w:tcW w:w="1254"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4"/>
                <w:sz w:val="24"/>
                <w:szCs w:val="24"/>
              </w:rPr>
              <w:t>投标总价</w:t>
            </w:r>
          </w:p>
        </w:tc>
        <w:tc>
          <w:tcPr>
            <w:tcW w:w="1714"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投标保证金</w:t>
            </w:r>
          </w:p>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缴纳方式及金额</w:t>
            </w:r>
          </w:p>
        </w:tc>
        <w:tc>
          <w:tcPr>
            <w:tcW w:w="147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rPr>
            </w:pPr>
            <w:bookmarkStart w:id="207" w:name="OLE_LINK5"/>
            <w:r>
              <w:rPr>
                <w:rFonts w:hint="default" w:ascii="Times New Roman" w:hAnsi="Times New Roman" w:eastAsia="方正仿宋_GBK" w:cs="Times New Roman"/>
                <w:color w:val="auto"/>
                <w:spacing w:val="-4"/>
                <w:sz w:val="24"/>
                <w:szCs w:val="24"/>
              </w:rPr>
              <w:t>供货期限及供货地点</w:t>
            </w:r>
            <w:bookmarkEnd w:id="207"/>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eastAsia" w:ascii="Times New Roman" w:hAnsi="Times New Roman" w:eastAsia="方正仿宋_GBK" w:cs="Times New Roman"/>
                <w:color w:val="auto"/>
                <w:spacing w:val="-4"/>
                <w:sz w:val="24"/>
                <w:szCs w:val="24"/>
                <w:lang w:val="en-US" w:eastAsia="zh-CN"/>
              </w:rPr>
              <w:t>质保期</w:t>
            </w:r>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项目负责人及联系电话</w:t>
            </w:r>
          </w:p>
        </w:tc>
        <w:tc>
          <w:tcPr>
            <w:tcW w:w="847"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9"/>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425" w:type="dxa"/>
            <w:vAlign w:val="center"/>
          </w:tcPr>
          <w:p>
            <w:pPr>
              <w:topLinePunct/>
              <w:spacing w:line="240" w:lineRule="atLeast"/>
              <w:jc w:val="center"/>
              <w:rPr>
                <w:rFonts w:hint="default" w:ascii="Times New Roman" w:hAnsi="Times New Roman" w:eastAsia="方正仿宋_GBK" w:cs="Times New Roman"/>
                <w:color w:val="auto"/>
                <w:sz w:val="24"/>
                <w:szCs w:val="24"/>
              </w:rPr>
            </w:pPr>
          </w:p>
        </w:tc>
        <w:tc>
          <w:tcPr>
            <w:tcW w:w="125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71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479"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lang w:eastAsia="zh-CN"/>
              </w:rPr>
            </w:pPr>
            <w:r>
              <w:rPr>
                <w:rFonts w:hint="default" w:ascii="Times New Roman" w:hAnsi="Times New Roman" w:eastAsia="方正仿宋_GBK" w:cs="Times New Roman"/>
                <w:color w:val="auto"/>
                <w:spacing w:val="-6"/>
                <w:sz w:val="24"/>
                <w:szCs w:val="24"/>
                <w:lang w:eastAsia="zh-CN"/>
              </w:rPr>
              <w:t>供货期限：</w:t>
            </w:r>
          </w:p>
          <w:p>
            <w:pPr>
              <w:pStyle w:val="40"/>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6"/>
                <w:sz w:val="24"/>
                <w:szCs w:val="24"/>
                <w:lang w:eastAsia="zh-CN"/>
              </w:rPr>
              <w:t>供货地点：</w:t>
            </w: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847" w:type="dxa"/>
          </w:tcPr>
          <w:p>
            <w:pPr>
              <w:topLinePunct/>
              <w:spacing w:line="240" w:lineRule="atLeast"/>
              <w:rPr>
                <w:rFonts w:hint="default" w:ascii="Times New Roman" w:hAnsi="Times New Roman" w:eastAsia="方正仿宋_GBK" w:cs="Times New Roman"/>
                <w:color w:val="auto"/>
                <w:sz w:val="24"/>
                <w:szCs w:val="24"/>
                <w:lang w:eastAsia="zh-CN"/>
              </w:rPr>
            </w:pPr>
          </w:p>
        </w:tc>
      </w:tr>
    </w:tbl>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投标人名称（</w:t>
      </w:r>
      <w:r>
        <w:rPr>
          <w:rFonts w:hint="default" w:ascii="Times New Roman" w:hAnsi="Times New Roman" w:eastAsia="方正仿宋_GBK" w:cs="Times New Roman"/>
          <w:color w:val="auto"/>
          <w:sz w:val="24"/>
          <w:szCs w:val="24"/>
          <w:lang w:eastAsia="zh-CN"/>
        </w:rPr>
        <w:t>电子签章）：</w:t>
      </w:r>
      <w:r>
        <w:rPr>
          <w:rFonts w:hint="default" w:ascii="Times New Roman" w:hAnsi="Times New Roman" w:eastAsia="方正仿宋_GBK" w:cs="Times New Roman"/>
          <w:color w:val="auto"/>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法定代表人或其委托代理人(</w:t>
      </w:r>
      <w:r>
        <w:rPr>
          <w:rFonts w:hint="default" w:ascii="Times New Roman" w:hAnsi="Times New Roman" w:eastAsia="方正仿宋_GBK" w:cs="Times New Roman"/>
          <w:color w:val="auto"/>
          <w:sz w:val="24"/>
          <w:szCs w:val="24"/>
          <w:lang w:eastAsia="zh-CN"/>
        </w:rPr>
        <w:t>CA签字</w:t>
      </w:r>
      <w:r>
        <w:rPr>
          <w:rFonts w:hint="default" w:ascii="Times New Roman" w:hAnsi="Times New Roman" w:eastAsia="方正仿宋_GBK" w:cs="Times New Roman"/>
          <w:color w:val="auto"/>
          <w:spacing w:val="-2"/>
          <w:sz w:val="24"/>
          <w:szCs w:val="24"/>
          <w:lang w:eastAsia="zh-CN"/>
        </w:rPr>
        <w:t>):</w:t>
      </w:r>
      <w:r>
        <w:rPr>
          <w:rFonts w:hint="default" w:ascii="Times New Roman" w:hAnsi="Times New Roman" w:eastAsia="方正仿宋_GBK" w:cs="Times New Roman"/>
          <w:color w:val="auto"/>
          <w:spacing w:val="-2"/>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注:此表应按招标文件的规定填写。</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position w:val="16"/>
          <w:sz w:val="24"/>
          <w:szCs w:val="24"/>
          <w:lang w:eastAsia="zh-CN"/>
        </w:rPr>
        <w:t>①此表中，投标总价应和投标分项报价表的总价相一致。</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②投标商报价时包含税费等一切与本次项目相关的费用。</w:t>
      </w:r>
    </w:p>
    <w:p>
      <w:pPr>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③如评标委员会认为投标人的报价明显低于其他通过符合性检查投标人的</w:t>
      </w:r>
      <w:r>
        <w:rPr>
          <w:rFonts w:hint="default" w:ascii="Times New Roman" w:hAnsi="Times New Roman" w:eastAsia="方正仿宋_GBK" w:cs="Times New Roman"/>
          <w:color w:val="auto"/>
          <w:spacing w:val="-1"/>
          <w:sz w:val="24"/>
          <w:szCs w:val="24"/>
          <w:lang w:eastAsia="zh-CN"/>
        </w:rPr>
        <w:t>报价，有可能影响履约的，且投标人未按照规</w:t>
      </w:r>
      <w:r>
        <w:rPr>
          <w:rFonts w:hint="default" w:ascii="Times New Roman" w:hAnsi="Times New Roman" w:eastAsia="方正仿宋_GBK" w:cs="Times New Roman"/>
          <w:color w:val="auto"/>
          <w:spacing w:val="-2"/>
          <w:sz w:val="24"/>
          <w:szCs w:val="24"/>
          <w:lang w:eastAsia="zh-CN"/>
        </w:rPr>
        <w:t>定证明其报价合理性的；必须</w:t>
      </w:r>
      <w:r>
        <w:rPr>
          <w:rFonts w:hint="default" w:ascii="Times New Roman" w:hAnsi="Times New Roman" w:eastAsia="方正仿宋_GBK" w:cs="Times New Roman"/>
          <w:color w:val="auto"/>
          <w:spacing w:val="-1"/>
          <w:sz w:val="24"/>
          <w:szCs w:val="24"/>
          <w:lang w:eastAsia="zh-CN"/>
        </w:rPr>
        <w:t>提供报价成本及合理利润分析说明，否则投标无效。</w:t>
      </w:r>
    </w:p>
    <w:p>
      <w:pPr>
        <w:topLinePunct/>
        <w:spacing w:line="240" w:lineRule="atLeast"/>
        <w:rPr>
          <w:rFonts w:hint="default" w:ascii="Times New Roman" w:hAnsi="Times New Roman" w:eastAsia="方正仿宋_GBK" w:cs="Times New Roman"/>
          <w:b/>
          <w:bCs/>
          <w:color w:val="auto"/>
          <w:spacing w:val="-6"/>
          <w:position w:val="16"/>
          <w:sz w:val="24"/>
          <w:szCs w:val="24"/>
          <w:lang w:eastAsia="zh-CN"/>
        </w:rPr>
      </w:pPr>
      <w:r>
        <w:rPr>
          <w:rFonts w:hint="default" w:ascii="Times New Roman" w:hAnsi="Times New Roman" w:eastAsia="方正仿宋_GBK" w:cs="Times New Roman"/>
          <w:color w:val="auto"/>
          <w:sz w:val="24"/>
          <w:szCs w:val="24"/>
          <w:lang w:eastAsia="zh-CN"/>
        </w:rPr>
        <w:t>④开标一览表可自行调整增加行列。</w:t>
      </w: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pPr>
        <w:spacing w:before="79" w:line="465" w:lineRule="exact"/>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rPr>
      </w:pPr>
    </w:p>
    <w:p>
      <w:pPr>
        <w:pStyle w:val="4"/>
        <w:topLinePunct/>
        <w:spacing w:before="0"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  法人或者非法人组织的营业执照等证明文件或自然人的身份证明</w:t>
      </w:r>
    </w:p>
    <w:p>
      <w:pPr>
        <w:pStyle w:val="14"/>
        <w:tabs>
          <w:tab w:val="left" w:pos="5580"/>
        </w:tabs>
        <w:topLinePunct/>
        <w:spacing w:line="240" w:lineRule="atLeast"/>
        <w:ind w:left="1079" w:leftChars="257" w:hanging="539"/>
        <w:jc w:val="center"/>
        <w:rPr>
          <w:rFonts w:hint="default" w:ascii="Times New Roman" w:hAnsi="Times New Roman" w:eastAsia="方正仿宋_GBK" w:cs="Times New Roman"/>
          <w:b/>
          <w:color w:val="auto"/>
          <w:sz w:val="24"/>
          <w:szCs w:val="24"/>
          <w:lang w:eastAsia="zh-CN"/>
        </w:rPr>
      </w:pPr>
    </w:p>
    <w:p>
      <w:pPr>
        <w:pStyle w:val="14"/>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14"/>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21"/>
        <w:kinsoku/>
        <w:autoSpaceDE/>
        <w:autoSpaceDN/>
        <w:adjustRightInd/>
        <w:ind w:left="1438" w:leftChars="342" w:hanging="720" w:hangingChars="3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说明：1.提供企业三证合一的法人营业执照或含二维码的营业执照原件扫描件加盖公章。</w:t>
      </w:r>
    </w:p>
    <w:p>
      <w:pPr>
        <w:pStyle w:val="14"/>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2.投标人为自然人的，应提供身份证明的复印件。</w:t>
      </w:r>
    </w:p>
    <w:p>
      <w:pPr>
        <w:pStyle w:val="14"/>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3.联合体投标应提供联合体各方满足以上要求的证明文件。</w:t>
      </w:r>
    </w:p>
    <w:p>
      <w:pPr>
        <w:pStyle w:val="14"/>
        <w:tabs>
          <w:tab w:val="left" w:pos="5580"/>
        </w:tabs>
        <w:topLinePunct/>
        <w:spacing w:line="240" w:lineRule="atLeast"/>
        <w:ind w:left="1079" w:leftChars="257" w:hanging="539"/>
        <w:jc w:val="center"/>
        <w:rPr>
          <w:rFonts w:hint="eastAsia"/>
          <w:lang w:val="en-US" w:eastAsia="zh-CN"/>
        </w:rPr>
      </w:pPr>
      <w:r>
        <w:rPr>
          <w:rFonts w:hint="default" w:ascii="Times New Roman" w:hAnsi="Times New Roman" w:eastAsia="方正仿宋_GBK" w:cs="Times New Roman"/>
          <w:color w:val="auto"/>
          <w:sz w:val="24"/>
          <w:szCs w:val="24"/>
          <w:lang w:eastAsia="zh-CN"/>
        </w:rPr>
        <w:br w:type="page"/>
      </w:r>
    </w:p>
    <w:p>
      <w:pPr>
        <w:spacing w:line="222" w:lineRule="auto"/>
        <w:rPr>
          <w:rFonts w:hint="eastAsia" w:ascii="仿宋" w:hAnsi="仿宋" w:eastAsia="仿宋" w:cs="仿宋"/>
          <w:b/>
          <w:bCs/>
          <w:spacing w:val="-6"/>
          <w:position w:val="16"/>
          <w:sz w:val="24"/>
          <w:szCs w:val="24"/>
          <w:lang w:val="en-US" w:eastAsia="zh-CN"/>
        </w:rPr>
      </w:pPr>
    </w:p>
    <w:p>
      <w:pPr>
        <w:numPr>
          <w:ilvl w:val="0"/>
          <w:numId w:val="6"/>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pPr>
        <w:spacing w:line="360" w:lineRule="auto"/>
        <w:rPr>
          <w:rFonts w:hint="eastAsia" w:ascii="仿宋" w:hAnsi="仿宋" w:eastAsia="仿宋" w:cs="仿宋"/>
          <w:sz w:val="21"/>
        </w:rPr>
      </w:pPr>
    </w:p>
    <w:p>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pPr>
        <w:spacing w:line="360" w:lineRule="auto"/>
        <w:rPr>
          <w:rFonts w:hint="eastAsia" w:ascii="仿宋" w:hAnsi="仿宋" w:eastAsia="仿宋" w:cs="仿宋"/>
        </w:rPr>
      </w:pPr>
    </w:p>
    <w:p>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pPr>
        <w:spacing w:before="181" w:line="360" w:lineRule="auto"/>
        <w:ind w:left="24"/>
        <w:rPr>
          <w:rFonts w:hint="eastAsia" w:ascii="仿宋" w:hAnsi="仿宋" w:eastAsia="仿宋" w:cs="仿宋"/>
          <w:sz w:val="24"/>
          <w:szCs w:val="24"/>
        </w:rPr>
      </w:pPr>
    </w:p>
    <w:p>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5"/>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5"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5"/>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5"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pPr>
        <w:spacing w:line="254" w:lineRule="auto"/>
        <w:rPr>
          <w:rFonts w:hint="eastAsia" w:ascii="仿宋" w:hAnsi="仿宋" w:eastAsia="仿宋" w:cs="仿宋"/>
          <w:sz w:val="21"/>
        </w:rPr>
      </w:pPr>
    </w:p>
    <w:p>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pPr>
                        <w:rPr>
                          <w:rFonts w:ascii="Arial"/>
                          <w:sz w:val="21"/>
                        </w:rPr>
                      </w:pPr>
                    </w:p>
                  </w:txbxContent>
                </v:textbox>
              </v:shape>
            </w:pict>
          </mc:Fallback>
        </mc:AlternateContent>
      </w:r>
    </w:p>
    <w:p>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6"/>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6"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pPr>
        <w:spacing w:before="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v:textbox>
              </v:roundrect>
            </w:pict>
          </mc:Fallback>
        </mc:AlternateContent>
      </w: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pPr>
        <w:spacing w:line="294" w:lineRule="auto"/>
        <w:rPr>
          <w:rFonts w:hint="eastAsia" w:ascii="仿宋" w:hAnsi="仿宋" w:eastAsia="仿宋" w:cs="仿宋"/>
          <w:sz w:val="21"/>
        </w:rPr>
      </w:pPr>
    </w:p>
    <w:p>
      <w:pPr>
        <w:topLinePunct/>
        <w:spacing w:before="1" w:line="240" w:lineRule="atLeast"/>
        <w:jc w:val="center"/>
        <w:rPr>
          <w:rFonts w:hint="default" w:ascii="Times New Roman" w:hAnsi="Times New Roman" w:eastAsia="方正仿宋_GBK" w:cs="Times New Roman"/>
          <w:b/>
          <w:bCs/>
          <w:color w:val="auto"/>
          <w:sz w:val="24"/>
          <w:szCs w:val="24"/>
          <w:lang w:eastAsia="zh-CN"/>
        </w:rPr>
      </w:pPr>
      <w:bookmarkStart w:id="208" w:name="_Toc21321"/>
      <w:r>
        <w:rPr>
          <w:rFonts w:hint="default" w:ascii="Times New Roman" w:hAnsi="Times New Roman" w:eastAsia="方正仿宋_GBK" w:cs="Times New Roman"/>
          <w:b/>
          <w:bCs/>
          <w:color w:val="auto"/>
          <w:sz w:val="24"/>
          <w:szCs w:val="24"/>
          <w:lang w:eastAsia="zh-CN"/>
        </w:rPr>
        <w:t>4  社会保障资金的缴纳记录及依法缴纳税收良好记录证明</w:t>
      </w:r>
      <w:bookmarkEnd w:id="208"/>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ind w:firstLine="460" w:firstLineChars="200"/>
        <w:rPr>
          <w:rFonts w:hint="default" w:ascii="Times New Roman" w:hAnsi="Times New Roman" w:eastAsia="方正仿宋_GBK" w:cs="Times New Roman"/>
          <w:color w:val="auto"/>
          <w:spacing w:val="-5"/>
          <w:sz w:val="24"/>
          <w:szCs w:val="24"/>
          <w:lang w:val="zh-CN" w:eastAsia="zh-CN"/>
        </w:rPr>
      </w:pPr>
      <w:r>
        <w:rPr>
          <w:rFonts w:hint="default" w:ascii="Times New Roman" w:hAnsi="Times New Roman" w:eastAsia="方正仿宋_GBK" w:cs="Times New Roman"/>
          <w:color w:val="auto"/>
          <w:spacing w:val="-5"/>
          <w:sz w:val="24"/>
          <w:szCs w:val="24"/>
          <w:lang w:val="zh-CN" w:eastAsia="zh-CN"/>
        </w:rPr>
        <w:t>由社保部门或税务局出具的投标单位缴纳的社保证明和个人缴纳的社保明细表（近半年任意</w:t>
      </w:r>
      <w:r>
        <w:rPr>
          <w:rFonts w:hint="default" w:ascii="Times New Roman" w:hAnsi="Times New Roman" w:eastAsia="方正仿宋_GBK" w:cs="Times New Roman"/>
          <w:color w:val="auto"/>
          <w:spacing w:val="-5"/>
          <w:sz w:val="24"/>
          <w:szCs w:val="24"/>
          <w:lang w:val="en-US" w:eastAsia="zh-CN"/>
        </w:rPr>
        <w:t>1</w:t>
      </w:r>
      <w:r>
        <w:rPr>
          <w:rFonts w:hint="default" w:ascii="Times New Roman" w:hAnsi="Times New Roman" w:eastAsia="方正仿宋_GBK" w:cs="Times New Roman"/>
          <w:color w:val="auto"/>
          <w:spacing w:val="-5"/>
          <w:sz w:val="24"/>
          <w:szCs w:val="24"/>
          <w:lang w:val="zh-CN" w:eastAsia="zh-CN"/>
        </w:rPr>
        <w:t>个月的社保缴费凭证及个人缴费明细），被委托人必须是投标单位正式员工；（新成立公司提供自成立之日起至今的相关证明文件）；</w:t>
      </w:r>
    </w:p>
    <w:p>
      <w:pPr>
        <w:pStyle w:val="14"/>
        <w:tabs>
          <w:tab w:val="left" w:pos="5580"/>
        </w:tabs>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说明：1.按照</w:t>
      </w:r>
      <w:r>
        <w:rPr>
          <w:rFonts w:hint="default" w:ascii="Times New Roman" w:hAnsi="Times New Roman" w:eastAsia="方正仿宋_GBK" w:cs="Times New Roman"/>
          <w:color w:val="auto"/>
          <w:sz w:val="24"/>
          <w:szCs w:val="24"/>
          <w:u w:val="single"/>
          <w:lang w:eastAsia="zh-CN"/>
        </w:rPr>
        <w:t>投标人须知资料表</w:t>
      </w:r>
      <w:r>
        <w:rPr>
          <w:rFonts w:hint="default" w:ascii="Times New Roman" w:hAnsi="Times New Roman" w:eastAsia="方正仿宋_GBK" w:cs="Times New Roman"/>
          <w:color w:val="auto"/>
          <w:sz w:val="24"/>
          <w:szCs w:val="24"/>
          <w:lang w:eastAsia="zh-CN"/>
        </w:rPr>
        <w:t>中的规定提供复印件。</w:t>
      </w:r>
    </w:p>
    <w:p>
      <w:pPr>
        <w:pStyle w:val="14"/>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2.复印件上应加盖本单位章。</w:t>
      </w:r>
    </w:p>
    <w:p>
      <w:pPr>
        <w:pStyle w:val="14"/>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3.如果是联合体投标，联合体各方均需提供上述证明。</w:t>
      </w: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rPr>
          <w:rFonts w:hint="default" w:ascii="Times New Roman" w:hAnsi="Times New Roman" w:eastAsia="方正仿宋_GBK" w:cs="Times New Roman"/>
          <w:color w:val="auto"/>
          <w:spacing w:val="-5"/>
          <w:sz w:val="24"/>
          <w:szCs w:val="24"/>
          <w:lang w:eastAsia="zh-CN"/>
        </w:rPr>
      </w:pPr>
    </w:p>
    <w:p>
      <w:pPr>
        <w:topLinePunct/>
        <w:spacing w:before="1" w:line="240" w:lineRule="atLeast"/>
        <w:ind w:left="35" w:firstLine="460" w:firstLineChars="200"/>
        <w:rPr>
          <w:rFonts w:hint="default" w:ascii="Times New Roman" w:hAnsi="Times New Roman" w:eastAsia="方正仿宋_GBK" w:cs="Times New Roman"/>
          <w:color w:val="auto"/>
          <w:spacing w:val="-5"/>
          <w:sz w:val="24"/>
          <w:szCs w:val="24"/>
          <w:lang w:eastAsia="zh-CN"/>
        </w:rPr>
      </w:pPr>
    </w:p>
    <w:p>
      <w:pPr>
        <w:tabs>
          <w:tab w:val="left" w:pos="5580"/>
        </w:tabs>
        <w:topLinePunct/>
        <w:spacing w:line="240" w:lineRule="atLeast"/>
        <w:ind w:left="1149" w:leftChars="485" w:hanging="131" w:hangingChars="57"/>
        <w:rPr>
          <w:rFonts w:hint="default"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pacing w:val="-5"/>
          <w:sz w:val="24"/>
          <w:szCs w:val="24"/>
          <w:lang w:val="en-US" w:eastAsia="zh-CN"/>
        </w:rPr>
        <w:t xml:space="preserve">5   </w:t>
      </w:r>
      <w:r>
        <w:rPr>
          <w:rFonts w:hint="eastAsia" w:ascii="Times New Roman" w:hAnsi="Times New Roman" w:eastAsia="方正仿宋_GBK" w:cs="Times New Roman"/>
          <w:color w:val="auto"/>
          <w:sz w:val="24"/>
          <w:szCs w:val="24"/>
          <w:lang w:val="en-US" w:eastAsia="zh-CN"/>
        </w:rPr>
        <w:t xml:space="preserve"> 提供2025年的财务审计报告（新成立公司不足一年的提供近三个月内有效的银行资信证明）</w:t>
      </w:r>
      <w:r>
        <w:rPr>
          <w:rFonts w:hint="default" w:ascii="Times New Roman" w:hAnsi="Times New Roman" w:eastAsia="方正仿宋_GBK" w:cs="Times New Roman"/>
          <w:color w:val="auto"/>
          <w:sz w:val="24"/>
          <w:szCs w:val="24"/>
          <w:lang w:eastAsia="zh-CN"/>
        </w:rPr>
        <w:t>；</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w:t>
      </w:r>
    </w:p>
    <w:p>
      <w:pPr>
        <w:tabs>
          <w:tab w:val="left" w:pos="5580"/>
        </w:tabs>
        <w:topLinePunct/>
        <w:spacing w:line="240" w:lineRule="atLeast"/>
        <w:ind w:left="540" w:firstLine="480" w:firstLineChars="200"/>
        <w:rPr>
          <w:rFonts w:hint="default" w:ascii="Times New Roman" w:hAnsi="Times New Roman" w:eastAsia="方正仿宋_GBK" w:cs="Times New Roman"/>
          <w:bCs/>
          <w:color w:val="auto"/>
          <w:sz w:val="24"/>
          <w:szCs w:val="24"/>
          <w:lang w:eastAsia="zh-CN"/>
        </w:rPr>
      </w:pPr>
      <w:r>
        <w:rPr>
          <w:rFonts w:hint="default" w:ascii="Times New Roman" w:hAnsi="Times New Roman" w:eastAsia="方正仿宋_GBK" w:cs="Times New Roman"/>
          <w:color w:val="auto"/>
          <w:sz w:val="24"/>
          <w:szCs w:val="24"/>
          <w:lang w:eastAsia="zh-CN"/>
        </w:rPr>
        <w:t>1、如提供本单位年度经会计师事务所出具的审计报告复印件须加盖</w:t>
      </w:r>
      <w:r>
        <w:rPr>
          <w:rFonts w:hint="default" w:ascii="Times New Roman" w:hAnsi="Times New Roman" w:eastAsia="方正仿宋_GBK" w:cs="Times New Roman"/>
          <w:bCs/>
          <w:color w:val="auto"/>
          <w:sz w:val="24"/>
          <w:szCs w:val="24"/>
          <w:lang w:eastAsia="zh-CN"/>
        </w:rPr>
        <w:t>本单位章。</w:t>
      </w:r>
    </w:p>
    <w:p>
      <w:pPr>
        <w:tabs>
          <w:tab w:val="left" w:pos="5580"/>
        </w:tabs>
        <w:topLinePunct/>
        <w:spacing w:line="240" w:lineRule="atLeast"/>
        <w:ind w:left="540" w:firstLine="480" w:firstLineChars="2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3、如果是联合体投标，联合体各方均需提供上述证明。</w:t>
      </w: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pPr>
        <w:pStyle w:val="23"/>
        <w:rPr>
          <w:rFonts w:hint="eastAsia"/>
          <w:lang w:val="en-US" w:eastAsia="zh-CN"/>
        </w:rPr>
      </w:pPr>
    </w:p>
    <w:p>
      <w:pPr>
        <w:pStyle w:val="25"/>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pPr>
        <w:pStyle w:val="25"/>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pPr>
        <w:pStyle w:val="25"/>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pPr>
        <w:spacing w:line="360" w:lineRule="auto"/>
        <w:rPr>
          <w:rFonts w:hint="eastAsia" w:ascii="仿宋" w:hAnsi="仿宋" w:eastAsia="仿宋" w:cs="仿宋"/>
          <w:sz w:val="21"/>
        </w:rPr>
      </w:pPr>
    </w:p>
    <w:p>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pPr>
        <w:pStyle w:val="36"/>
        <w:ind w:left="0" w:leftChars="0" w:firstLine="0" w:firstLineChars="0"/>
        <w:rPr>
          <w:rFonts w:hint="eastAsia" w:ascii="仿宋" w:hAnsi="仿宋" w:eastAsia="仿宋" w:cs="仿宋"/>
          <w:spacing w:val="1"/>
          <w:sz w:val="22"/>
          <w:szCs w:val="22"/>
        </w:rPr>
      </w:pPr>
    </w:p>
    <w:p>
      <w:pPr>
        <w:pStyle w:val="36"/>
        <w:ind w:left="0" w:leftChars="0" w:firstLine="0" w:firstLineChars="0"/>
        <w:rPr>
          <w:rFonts w:hint="eastAsia" w:ascii="仿宋" w:hAnsi="仿宋" w:eastAsia="仿宋" w:cs="仿宋"/>
          <w:spacing w:val="1"/>
          <w:sz w:val="22"/>
          <w:szCs w:val="22"/>
          <w:lang w:val="en-US" w:eastAsia="zh-CN"/>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default"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11、本项目不接受联合体；</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9"/>
        <w:rPr>
          <w:rFonts w:hint="eastAsia" w:ascii="仿宋" w:hAnsi="仿宋" w:eastAsia="仿宋" w:cs="仿宋"/>
          <w:b/>
          <w:bCs/>
          <w:spacing w:val="-5"/>
          <w:sz w:val="24"/>
          <w:szCs w:val="24"/>
        </w:rPr>
      </w:pPr>
    </w:p>
    <w:p>
      <w:pPr>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9"/>
        <w:rPr>
          <w:rFonts w:hint="eastAsia"/>
        </w:rPr>
      </w:pPr>
    </w:p>
    <w:p>
      <w:pPr>
        <w:pStyle w:val="4"/>
        <w:topLinePunct/>
        <w:spacing w:before="0" w:line="240" w:lineRule="atLeast"/>
        <w:ind w:left="1080" w:leftChars="257" w:hanging="540"/>
        <w:jc w:val="both"/>
        <w:rPr>
          <w:rFonts w:hint="default" w:ascii="Times New Roman" w:hAnsi="Times New Roman" w:eastAsia="仿宋" w:cs="Times New Roman"/>
          <w:b/>
          <w:bCs/>
          <w:color w:val="auto"/>
          <w:sz w:val="24"/>
          <w:lang w:eastAsia="zh-CN"/>
        </w:rPr>
      </w:pPr>
      <w:r>
        <w:rPr>
          <w:rFonts w:hint="eastAsia" w:ascii="Times New Roman" w:hAnsi="Times New Roman" w:eastAsia="仿宋" w:cs="Times New Roman"/>
          <w:color w:val="auto"/>
          <w:sz w:val="24"/>
          <w:lang w:val="en-US" w:eastAsia="zh-CN"/>
        </w:rPr>
        <w:t>12、</w:t>
      </w:r>
      <w:r>
        <w:rPr>
          <w:rFonts w:hint="default" w:ascii="Times New Roman" w:hAnsi="Times New Roman" w:eastAsia="仿宋" w:cs="Times New Roman"/>
          <w:color w:val="auto"/>
          <w:sz w:val="24"/>
          <w:lang w:eastAsia="zh-CN"/>
        </w:rPr>
        <w:t>投标人须知资料表要求的其他资格证明文件</w:t>
      </w:r>
    </w:p>
    <w:p>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pPr>
        <w:pStyle w:val="14"/>
        <w:tabs>
          <w:tab w:val="left" w:pos="5580"/>
        </w:tabs>
        <w:topLinePunct/>
        <w:spacing w:line="240" w:lineRule="atLeast"/>
        <w:ind w:left="1080" w:leftChars="257" w:hanging="54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说明：1.应提供</w:t>
      </w:r>
      <w:r>
        <w:rPr>
          <w:rFonts w:hint="default" w:ascii="Times New Roman" w:hAnsi="Times New Roman" w:eastAsia="仿宋" w:cs="Times New Roman"/>
          <w:b/>
          <w:bCs/>
          <w:color w:val="auto"/>
          <w:sz w:val="24"/>
          <w:u w:val="single"/>
          <w:lang w:eastAsia="zh-CN"/>
        </w:rPr>
        <w:t>投标人须知资料表</w:t>
      </w:r>
      <w:r>
        <w:rPr>
          <w:rFonts w:hint="default" w:ascii="Times New Roman" w:hAnsi="Times New Roman" w:eastAsia="仿宋" w:cs="Times New Roman"/>
          <w:color w:val="auto"/>
          <w:sz w:val="24"/>
          <w:lang w:eastAsia="zh-CN"/>
        </w:rPr>
        <w:t>要求的其他资格证明文件。</w:t>
      </w:r>
    </w:p>
    <w:p>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2.复印件上应加盖本单位章（自然人投标的无需盖章，需要签字）。</w:t>
      </w:r>
    </w:p>
    <w:p>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3.如果是联合体投标，联合体各方需提供的满足招标文件要求的其他资格证明文件。</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bookmarkStart w:id="209" w:name="_Toc6215"/>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09"/>
    </w:p>
    <w:p>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pPr>
        <w:spacing w:before="39" w:line="360" w:lineRule="auto"/>
        <w:ind w:left="1094" w:right="11" w:hanging="529"/>
        <w:jc w:val="left"/>
        <w:rPr>
          <w:rFonts w:hint="eastAsia" w:ascii="仿宋" w:hAnsi="仿宋" w:eastAsia="仿宋" w:cs="仿宋"/>
          <w:sz w:val="24"/>
          <w:szCs w:val="24"/>
        </w:rPr>
      </w:pPr>
      <w:r>
        <w:rPr>
          <w:rFonts w:hint="eastAsia" w:ascii="仿宋" w:hAnsi="仿宋" w:eastAsia="仿宋" w:cs="仿宋"/>
          <w:spacing w:val="-1"/>
          <w:sz w:val="24"/>
          <w:szCs w:val="24"/>
        </w:rPr>
        <w:t>6-1《投标人企业（单位）类型声明函》</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rPr>
        <w:t>《残疾人福利性单位声明函》</w:t>
      </w:r>
    </w:p>
    <w:p>
      <w:pPr>
        <w:spacing w:before="11" w:line="360" w:lineRule="auto"/>
        <w:ind w:left="563"/>
        <w:rPr>
          <w:rFonts w:hint="eastAsia" w:ascii="仿宋" w:hAnsi="仿宋" w:eastAsia="仿宋" w:cs="仿宋"/>
          <w:spacing w:val="-2"/>
          <w:sz w:val="24"/>
          <w:szCs w:val="24"/>
        </w:rPr>
      </w:pPr>
      <w:r>
        <w:rPr>
          <w:rFonts w:hint="eastAsia" w:ascii="仿宋" w:hAnsi="仿宋" w:eastAsia="仿宋" w:cs="仿宋"/>
          <w:spacing w:val="-2"/>
          <w:sz w:val="24"/>
          <w:szCs w:val="24"/>
        </w:rPr>
        <w:t>6-</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《中小企业声明函》</w:t>
      </w:r>
    </w:p>
    <w:p>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6-4、</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pPr>
        <w:pStyle w:val="3"/>
        <w:bidi w:val="0"/>
        <w:rPr>
          <w:rFonts w:hint="eastAsia" w:ascii="仿宋" w:hAnsi="仿宋" w:eastAsia="仿宋" w:cs="仿宋"/>
          <w:sz w:val="32"/>
          <w:szCs w:val="32"/>
        </w:rPr>
      </w:pPr>
      <w:bookmarkStart w:id="210"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0"/>
    </w:p>
    <w:p>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pPr>
        <w:spacing w:line="360" w:lineRule="auto"/>
        <w:rPr>
          <w:rFonts w:hint="eastAsia" w:ascii="仿宋" w:hAnsi="仿宋" w:eastAsia="仿宋" w:cs="仿宋"/>
          <w:sz w:val="21"/>
        </w:rPr>
      </w:pPr>
    </w:p>
    <w:p>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pPr>
        <w:spacing w:before="21" w:line="360" w:lineRule="auto"/>
        <w:ind w:right="11"/>
        <w:jc w:val="right"/>
        <w:outlineLvl w:val="2"/>
        <w:rPr>
          <w:rFonts w:hint="eastAsia" w:ascii="仿宋" w:hAnsi="仿宋" w:eastAsia="仿宋" w:cs="仿宋"/>
          <w:sz w:val="24"/>
          <w:szCs w:val="24"/>
        </w:rPr>
      </w:pPr>
      <w:bookmarkStart w:id="211" w:name="_Toc25113"/>
      <w:bookmarkStart w:id="212" w:name="_Toc16242"/>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1"/>
      <w:bookmarkEnd w:id="212"/>
    </w:p>
    <w:p>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pPr>
        <w:spacing w:before="40" w:line="360" w:lineRule="auto"/>
        <w:ind w:left="593"/>
        <w:outlineLvl w:val="2"/>
        <w:rPr>
          <w:rFonts w:hint="eastAsia" w:ascii="仿宋" w:hAnsi="仿宋" w:eastAsia="仿宋" w:cs="仿宋"/>
          <w:sz w:val="24"/>
          <w:szCs w:val="24"/>
        </w:rPr>
      </w:pPr>
      <w:bookmarkStart w:id="213" w:name="_Toc1706"/>
      <w:bookmarkStart w:id="214" w:name="_Toc24212"/>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3"/>
      <w:bookmarkEnd w:id="214"/>
    </w:p>
    <w:p>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pPr>
        <w:spacing w:before="42" w:line="360" w:lineRule="auto"/>
        <w:ind w:left="593"/>
        <w:outlineLvl w:val="2"/>
        <w:rPr>
          <w:rFonts w:hint="eastAsia" w:ascii="仿宋" w:hAnsi="仿宋" w:eastAsia="仿宋" w:cs="仿宋"/>
          <w:sz w:val="24"/>
          <w:szCs w:val="24"/>
        </w:rPr>
      </w:pPr>
      <w:bookmarkStart w:id="215" w:name="_Toc32226"/>
      <w:bookmarkStart w:id="216" w:name="_Toc13435"/>
      <w:r>
        <w:rPr>
          <w:rFonts w:hint="eastAsia" w:ascii="仿宋" w:hAnsi="仿宋" w:eastAsia="仿宋" w:cs="仿宋"/>
          <w:spacing w:val="-2"/>
          <w:position w:val="12"/>
          <w:sz w:val="24"/>
          <w:szCs w:val="24"/>
        </w:rPr>
        <w:t>（9）按照招标文件的规定履行合同责任和义务。</w:t>
      </w:r>
      <w:bookmarkEnd w:id="215"/>
      <w:bookmarkEnd w:id="216"/>
    </w:p>
    <w:p>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pPr>
        <w:topLinePunct/>
        <w:spacing w:before="103" w:line="183" w:lineRule="auto"/>
        <w:jc w:val="center"/>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b/>
          <w:bCs/>
          <w:color w:val="auto"/>
          <w:spacing w:val="12"/>
          <w:sz w:val="24"/>
          <w:szCs w:val="24"/>
          <w:lang w:val="en-US" w:eastAsia="zh-CN"/>
        </w:rPr>
        <w:t>2</w:t>
      </w:r>
      <w:r>
        <w:rPr>
          <w:rFonts w:hint="default" w:ascii="Times New Roman" w:hAnsi="Times New Roman" w:eastAsia="仿宋" w:cs="Times New Roman"/>
          <w:b/>
          <w:bCs/>
          <w:color w:val="auto"/>
          <w:spacing w:val="12"/>
          <w:sz w:val="24"/>
          <w:szCs w:val="24"/>
          <w:lang w:eastAsia="zh-CN"/>
        </w:rPr>
        <w:t xml:space="preserve">  </w:t>
      </w:r>
      <w:r>
        <w:rPr>
          <w:rFonts w:hint="default" w:ascii="Times New Roman" w:hAnsi="Times New Roman" w:eastAsia="仿宋" w:cs="Times New Roman"/>
          <w:b/>
          <w:bCs/>
          <w:color w:val="auto"/>
          <w:spacing w:val="-3"/>
          <w:sz w:val="24"/>
          <w:szCs w:val="24"/>
          <w:lang w:eastAsia="zh-CN"/>
        </w:rPr>
        <w:t>投标分项报价表</w:t>
      </w:r>
    </w:p>
    <w:p>
      <w:pPr>
        <w:topLinePunct/>
        <w:spacing w:line="379" w:lineRule="auto"/>
        <w:rPr>
          <w:rFonts w:hint="default" w:ascii="Times New Roman" w:hAnsi="Times New Roman" w:eastAsia="仿宋" w:cs="Times New Roman"/>
          <w:color w:val="auto"/>
          <w:lang w:eastAsia="zh-CN"/>
        </w:rPr>
      </w:pPr>
    </w:p>
    <w:p>
      <w:pPr>
        <w:topLinePunct/>
        <w:spacing w:before="103" w:line="183"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项目名称:                                 招标编号:</w:t>
      </w:r>
    </w:p>
    <w:p>
      <w:pPr>
        <w:topLinePunct/>
        <w:spacing w:before="86" w:line="165"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包号:                                      报价单位：                   人民币   元</w:t>
      </w:r>
    </w:p>
    <w:tbl>
      <w:tblPr>
        <w:tblStyle w:val="41"/>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387"/>
        <w:gridCol w:w="892"/>
        <w:gridCol w:w="1693"/>
        <w:gridCol w:w="2316"/>
        <w:gridCol w:w="986"/>
        <w:gridCol w:w="942"/>
        <w:gridCol w:w="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9" w:hRule="atLeast"/>
        </w:trPr>
        <w:tc>
          <w:tcPr>
            <w:tcW w:w="886" w:type="dxa"/>
          </w:tcPr>
          <w:p>
            <w:pPr>
              <w:topLinePunct/>
              <w:spacing w:line="318" w:lineRule="auto"/>
              <w:rPr>
                <w:rFonts w:hint="default" w:ascii="Times New Roman" w:hAnsi="Times New Roman" w:eastAsia="仿宋" w:cs="Times New Roman"/>
                <w:color w:val="auto"/>
                <w:lang w:eastAsia="zh-CN"/>
              </w:rPr>
            </w:pPr>
          </w:p>
          <w:p>
            <w:pPr>
              <w:topLinePunct/>
              <w:spacing w:before="103" w:line="184"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562"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426"/>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名称</w:t>
            </w:r>
          </w:p>
        </w:tc>
        <w:tc>
          <w:tcPr>
            <w:tcW w:w="1070"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169"/>
              <w:rPr>
                <w:rFonts w:hint="default" w:ascii="Times New Roman" w:hAnsi="Times New Roman" w:eastAsia="方正仿宋_GBK" w:cs="Times New Roman"/>
                <w:color w:val="auto"/>
                <w:sz w:val="24"/>
                <w:szCs w:val="24"/>
                <w:lang w:eastAsia="zh-CN"/>
              </w:rPr>
            </w:pPr>
            <w:bookmarkStart w:id="217" w:name="OLE_LINK15"/>
            <w:r>
              <w:rPr>
                <w:rFonts w:hint="default" w:ascii="Times New Roman" w:hAnsi="Times New Roman" w:eastAsia="方正仿宋_GBK" w:cs="Times New Roman"/>
                <w:color w:val="auto"/>
                <w:spacing w:val="-2"/>
                <w:sz w:val="24"/>
                <w:szCs w:val="24"/>
                <w:lang w:eastAsia="zh-CN"/>
              </w:rPr>
              <w:t>单位</w:t>
            </w:r>
            <w:bookmarkEnd w:id="217"/>
          </w:p>
        </w:tc>
        <w:tc>
          <w:tcPr>
            <w:tcW w:w="1317" w:type="dxa"/>
          </w:tcPr>
          <w:p>
            <w:pPr>
              <w:topLinePunct/>
              <w:spacing w:line="321" w:lineRule="auto"/>
              <w:rPr>
                <w:rFonts w:hint="default" w:ascii="Times New Roman" w:hAnsi="Times New Roman" w:eastAsia="方正仿宋_GBK" w:cs="Times New Roman"/>
                <w:color w:val="auto"/>
                <w:sz w:val="24"/>
                <w:szCs w:val="24"/>
              </w:rPr>
            </w:pPr>
          </w:p>
          <w:p>
            <w:pPr>
              <w:topLinePunct/>
              <w:spacing w:before="103" w:line="182" w:lineRule="auto"/>
              <w:ind w:firstLine="236" w:firstLineChars="1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数量</w:t>
            </w:r>
          </w:p>
        </w:tc>
        <w:tc>
          <w:tcPr>
            <w:tcW w:w="1387" w:type="dxa"/>
            <w:vAlign w:val="center"/>
          </w:tcPr>
          <w:p>
            <w:pPr>
              <w:topLinePunct/>
              <w:spacing w:line="319" w:lineRule="auto"/>
              <w:rPr>
                <w:rFonts w:hint="default" w:ascii="Times New Roman" w:hAnsi="Times New Roman" w:eastAsia="方正仿宋_GBK" w:cs="Times New Roman"/>
                <w:color w:val="auto"/>
                <w:sz w:val="24"/>
                <w:szCs w:val="24"/>
              </w:rPr>
            </w:pPr>
            <w:bookmarkStart w:id="218" w:name="OLE_LINK18"/>
          </w:p>
          <w:p>
            <w:pPr>
              <w:topLinePunct/>
              <w:spacing w:line="319" w:lineRule="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型号和规格</w:t>
            </w:r>
            <w:bookmarkEnd w:id="218"/>
          </w:p>
        </w:tc>
        <w:tc>
          <w:tcPr>
            <w:tcW w:w="892" w:type="dxa"/>
          </w:tcPr>
          <w:p>
            <w:pPr>
              <w:topLinePunct/>
              <w:spacing w:line="319" w:lineRule="auto"/>
              <w:rPr>
                <w:rFonts w:hint="default" w:ascii="Times New Roman" w:hAnsi="Times New Roman" w:eastAsia="方正仿宋_GBK" w:cs="Times New Roman"/>
                <w:color w:val="auto"/>
                <w:sz w:val="24"/>
                <w:szCs w:val="24"/>
                <w:lang w:eastAsia="zh-CN"/>
              </w:rPr>
            </w:pPr>
          </w:p>
          <w:p>
            <w:pPr>
              <w:topLinePunct/>
              <w:spacing w:line="319" w:lineRule="auto"/>
              <w:ind w:firstLine="240"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品牌</w:t>
            </w:r>
          </w:p>
        </w:tc>
        <w:tc>
          <w:tcPr>
            <w:tcW w:w="1693" w:type="dxa"/>
          </w:tcPr>
          <w:p>
            <w:pPr>
              <w:topLinePunct/>
              <w:spacing w:line="321" w:lineRule="auto"/>
              <w:rPr>
                <w:rFonts w:hint="default" w:ascii="Times New Roman" w:hAnsi="Times New Roman" w:eastAsia="方正仿宋_GBK" w:cs="Times New Roman"/>
                <w:color w:val="auto"/>
                <w:sz w:val="24"/>
                <w:szCs w:val="24"/>
              </w:rPr>
            </w:pPr>
          </w:p>
          <w:p>
            <w:pPr>
              <w:topLinePunct/>
              <w:spacing w:line="321" w:lineRule="auto"/>
              <w:ind w:firstLine="480" w:firstLineChars="200"/>
              <w:rPr>
                <w:rFonts w:hint="default" w:ascii="Times New Roman" w:hAnsi="Times New Roman" w:eastAsia="方正仿宋_GBK" w:cs="Times New Roman"/>
                <w:color w:val="auto"/>
                <w:sz w:val="24"/>
                <w:szCs w:val="24"/>
              </w:rPr>
            </w:pPr>
            <w:bookmarkStart w:id="219" w:name="OLE_LINK16"/>
            <w:r>
              <w:rPr>
                <w:rFonts w:hint="default" w:ascii="Times New Roman" w:hAnsi="Times New Roman" w:eastAsia="方正仿宋_GBK" w:cs="Times New Roman"/>
                <w:color w:val="auto"/>
                <w:sz w:val="24"/>
                <w:szCs w:val="24"/>
              </w:rPr>
              <w:t>原产地</w:t>
            </w:r>
            <w:bookmarkEnd w:id="219"/>
          </w:p>
        </w:tc>
        <w:tc>
          <w:tcPr>
            <w:tcW w:w="2316" w:type="dxa"/>
          </w:tcPr>
          <w:p>
            <w:pPr>
              <w:topLinePunct/>
              <w:spacing w:line="321" w:lineRule="auto"/>
              <w:rPr>
                <w:rFonts w:hint="default" w:ascii="Times New Roman" w:hAnsi="Times New Roman" w:eastAsia="方正仿宋_GBK" w:cs="Times New Roman"/>
                <w:color w:val="auto"/>
                <w:sz w:val="24"/>
                <w:szCs w:val="24"/>
                <w:lang w:eastAsia="zh-CN"/>
              </w:rPr>
            </w:pPr>
          </w:p>
          <w:p>
            <w:pPr>
              <w:topLinePunct/>
              <w:spacing w:line="321" w:lineRule="auto"/>
              <w:ind w:firstLine="720" w:firstLineChars="300"/>
              <w:rPr>
                <w:rFonts w:hint="default" w:ascii="Times New Roman" w:hAnsi="Times New Roman" w:eastAsia="方正仿宋_GBK" w:cs="Times New Roman"/>
                <w:color w:val="auto"/>
                <w:sz w:val="24"/>
                <w:szCs w:val="24"/>
                <w:lang w:eastAsia="zh-CN"/>
              </w:rPr>
            </w:pPr>
            <w:bookmarkStart w:id="220" w:name="OLE_LINK17"/>
            <w:r>
              <w:rPr>
                <w:rFonts w:hint="default" w:ascii="Times New Roman" w:hAnsi="Times New Roman" w:eastAsia="方正仿宋_GBK" w:cs="Times New Roman"/>
                <w:color w:val="auto"/>
                <w:sz w:val="24"/>
                <w:szCs w:val="24"/>
              </w:rPr>
              <w:t>制造商名称</w:t>
            </w:r>
            <w:bookmarkEnd w:id="220"/>
          </w:p>
        </w:tc>
        <w:tc>
          <w:tcPr>
            <w:tcW w:w="986" w:type="dxa"/>
          </w:tcPr>
          <w:p>
            <w:pPr>
              <w:topLinePunct/>
              <w:spacing w:before="103" w:line="183" w:lineRule="auto"/>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z w:val="24"/>
                <w:szCs w:val="24"/>
                <w:lang w:eastAsia="zh-CN"/>
              </w:rPr>
            </w:pPr>
            <w:bookmarkStart w:id="324" w:name="_GoBack"/>
            <w:r>
              <w:rPr>
                <w:rFonts w:hint="default" w:ascii="Times New Roman" w:hAnsi="Times New Roman" w:eastAsia="方正仿宋_GBK" w:cs="Times New Roman"/>
                <w:color w:val="auto"/>
                <w:spacing w:val="-2"/>
                <w:sz w:val="24"/>
                <w:szCs w:val="24"/>
                <w:lang w:eastAsia="zh-CN"/>
              </w:rPr>
              <w:t>单价</w:t>
            </w:r>
            <w:bookmarkEnd w:id="324"/>
          </w:p>
        </w:tc>
        <w:tc>
          <w:tcPr>
            <w:tcW w:w="942" w:type="dxa"/>
          </w:tcPr>
          <w:p>
            <w:pPr>
              <w:topLinePunct/>
              <w:spacing w:before="103" w:line="183" w:lineRule="auto"/>
              <w:ind w:left="183" w:firstLine="236" w:firstLineChars="100"/>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pacing w:val="-2"/>
                <w:sz w:val="24"/>
                <w:szCs w:val="24"/>
                <w:lang w:eastAsia="zh-CN"/>
              </w:rPr>
            </w:pPr>
            <w:r>
              <w:rPr>
                <w:rFonts w:hint="default" w:ascii="Times New Roman" w:hAnsi="Times New Roman" w:eastAsia="方正仿宋_GBK" w:cs="Times New Roman"/>
                <w:color w:val="auto"/>
                <w:spacing w:val="-2"/>
                <w:sz w:val="24"/>
                <w:szCs w:val="24"/>
                <w:lang w:eastAsia="zh-CN"/>
              </w:rPr>
              <w:t>总价</w:t>
            </w:r>
          </w:p>
        </w:tc>
        <w:tc>
          <w:tcPr>
            <w:tcW w:w="942" w:type="dxa"/>
          </w:tcPr>
          <w:p>
            <w:pPr>
              <w:topLinePunct/>
              <w:spacing w:line="318" w:lineRule="auto"/>
              <w:rPr>
                <w:rFonts w:hint="default" w:ascii="Times New Roman" w:hAnsi="Times New Roman" w:eastAsia="方正仿宋_GBK" w:cs="Times New Roman"/>
                <w:color w:val="auto"/>
                <w:sz w:val="24"/>
                <w:szCs w:val="24"/>
              </w:rPr>
            </w:pPr>
          </w:p>
          <w:p>
            <w:pPr>
              <w:topLinePunct/>
              <w:spacing w:before="103" w:line="184" w:lineRule="auto"/>
              <w:ind w:left="159"/>
              <w:rPr>
                <w:rFonts w:hint="default" w:ascii="Times New Roman" w:hAnsi="Times New Roman" w:eastAsia="方正仿宋_GBK" w:cs="Times New Roman"/>
                <w:color w:val="auto"/>
                <w:sz w:val="24"/>
                <w:szCs w:val="24"/>
              </w:rPr>
            </w:pPr>
            <w:bookmarkStart w:id="221" w:name="OLE_LINK6"/>
            <w:r>
              <w:rPr>
                <w:rFonts w:hint="default" w:ascii="Times New Roman" w:hAnsi="Times New Roman" w:eastAsia="方正仿宋_GBK" w:cs="Times New Roman"/>
                <w:color w:val="auto"/>
                <w:spacing w:val="-1"/>
                <w:sz w:val="24"/>
                <w:szCs w:val="24"/>
              </w:rPr>
              <w:t>备注</w:t>
            </w:r>
            <w:bookmarkEnd w:id="221"/>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pPr>
              <w:topLinePunct/>
              <w:spacing w:before="227" w:line="174" w:lineRule="auto"/>
              <w:ind w:left="13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3"/>
                <w:sz w:val="24"/>
                <w:szCs w:val="24"/>
              </w:rPr>
              <w:t>1.</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lang w:eastAsia="zh-CN"/>
              </w:rPr>
              <w:t>货物名称</w:t>
            </w: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pPr>
              <w:topLinePunct/>
              <w:spacing w:before="272" w:line="173" w:lineRule="auto"/>
              <w:ind w:left="121"/>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7"/>
                <w:sz w:val="24"/>
                <w:szCs w:val="24"/>
              </w:rPr>
              <w:t>2.</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lang w:eastAsia="zh-CN"/>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pPr>
              <w:topLinePunct/>
              <w:spacing w:line="252" w:lineRule="auto"/>
              <w:rPr>
                <w:rFonts w:hint="default" w:ascii="Times New Roman" w:hAnsi="Times New Roman" w:eastAsia="仿宋" w:cs="Times New Roman"/>
                <w:color w:val="auto"/>
              </w:rPr>
            </w:pPr>
          </w:p>
          <w:p>
            <w:pPr>
              <w:topLinePunct/>
              <w:spacing w:before="103" w:line="173" w:lineRule="auto"/>
              <w:ind w:left="124"/>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3.</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pPr>
              <w:topLinePunct/>
              <w:spacing w:before="278" w:line="171"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4.</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bl>
    <w:p>
      <w:pPr>
        <w:topLinePunct/>
        <w:spacing w:before="103" w:line="360" w:lineRule="auto"/>
        <w:rPr>
          <w:rFonts w:hint="default" w:ascii="Times New Roman" w:hAnsi="Times New Roman" w:eastAsia="仿宋" w:cs="Times New Roman"/>
          <w:color w:val="auto"/>
          <w:spacing w:val="-3"/>
          <w:sz w:val="24"/>
          <w:szCs w:val="24"/>
        </w:rPr>
      </w:pPr>
    </w:p>
    <w:p>
      <w:pPr>
        <w:pStyle w:val="14"/>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222"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4"/>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5"/>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pPr>
        <w:ind w:firstLine="482" w:firstLineChars="2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eastAsia="zh-CN"/>
        </w:rPr>
        <w:t>注：</w:t>
      </w:r>
      <w:r>
        <w:rPr>
          <w:rFonts w:hint="default" w:ascii="Times New Roman" w:hAnsi="Times New Roman" w:eastAsia="方正仿宋_GBK" w:cs="Times New Roman"/>
          <w:b/>
          <w:color w:val="auto"/>
          <w:sz w:val="24"/>
        </w:rPr>
        <w:t>1.本表可按同样格式扩展。</w:t>
      </w:r>
    </w:p>
    <w:p>
      <w:pPr>
        <w:pStyle w:val="21"/>
        <w:ind w:firstLine="964" w:firstLineChars="40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b/>
          <w:color w:val="auto"/>
          <w:sz w:val="24"/>
          <w:lang w:val="en-US" w:eastAsia="zh-CN"/>
        </w:rPr>
        <w:t xml:space="preserve">2. </w:t>
      </w:r>
      <w:r>
        <w:rPr>
          <w:rFonts w:hint="default" w:ascii="Times New Roman" w:hAnsi="Times New Roman" w:eastAsia="方正仿宋_GBK" w:cs="Times New Roman"/>
          <w:b/>
          <w:snapToGrid w:val="0"/>
          <w:color w:val="auto"/>
          <w:kern w:val="0"/>
          <w:sz w:val="24"/>
          <w:szCs w:val="21"/>
          <w:lang w:val="en-US" w:eastAsia="en-US" w:bidi="ar-SA"/>
        </w:rPr>
        <w:t>“原产地”是指该产品的实际生产加工地，而非品牌总公司所在地。</w:t>
      </w:r>
    </w:p>
    <w:p>
      <w:pPr>
        <w:ind w:firstLine="954" w:firstLineChars="396"/>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3</w:t>
      </w:r>
      <w:r>
        <w:rPr>
          <w:rFonts w:hint="default" w:ascii="Times New Roman" w:hAnsi="Times New Roman" w:eastAsia="方正仿宋_GBK" w:cs="Times New Roman"/>
          <w:b/>
          <w:color w:val="auto"/>
          <w:sz w:val="24"/>
        </w:rPr>
        <w:t>.“品牌”可以与商标一致，也可以填写便于区分其他公司商品的制造商简称或者制造商认可的品牌名称。</w:t>
      </w:r>
    </w:p>
    <w:p>
      <w:pPr>
        <w:ind w:firstLine="964" w:firstLineChars="400"/>
        <w:rPr>
          <w:rFonts w:hint="default" w:ascii="Times New Roman" w:hAnsi="Times New Roman" w:eastAsia="方正仿宋_GBK" w:cs="Times New Roman"/>
          <w:color w:val="auto"/>
        </w:rPr>
      </w:pPr>
      <w:r>
        <w:rPr>
          <w:rFonts w:hint="default" w:ascii="Times New Roman" w:hAnsi="Times New Roman" w:eastAsia="方正仿宋_GBK" w:cs="Times New Roman"/>
          <w:b/>
          <w:color w:val="auto"/>
          <w:sz w:val="24"/>
          <w:lang w:val="en-US" w:eastAsia="zh-CN"/>
        </w:rPr>
        <w:t>4</w:t>
      </w:r>
      <w:r>
        <w:rPr>
          <w:rFonts w:hint="default" w:ascii="Times New Roman" w:hAnsi="Times New Roman" w:eastAsia="方正仿宋_GBK" w:cs="Times New Roman"/>
          <w:b/>
          <w:color w:val="auto"/>
          <w:sz w:val="24"/>
        </w:rPr>
        <w:t>.</w:t>
      </w:r>
      <w:r>
        <w:rPr>
          <w:rFonts w:hint="default" w:ascii="Times New Roman" w:hAnsi="Times New Roman" w:eastAsia="方正仿宋_GBK" w:cs="Times New Roman"/>
          <w:b/>
          <w:color w:val="auto"/>
        </w:rPr>
        <w:t>“规格及型号、品牌”属于“按招标定制”产品，可依招标要求响应填报；属于有明确品牌型号的产品报出具体品牌型号。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5..</w:t>
      </w:r>
      <w:r>
        <w:rPr>
          <w:rFonts w:hint="default" w:ascii="Times New Roman" w:hAnsi="Times New Roman" w:eastAsia="方正仿宋_GBK" w:cs="Times New Roman"/>
          <w:b/>
          <w:color w:val="auto"/>
          <w:sz w:val="24"/>
        </w:rPr>
        <w:t>如果按单价计算的结果与总价不一致,以单价为准修正总价。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6</w:t>
      </w:r>
      <w:r>
        <w:rPr>
          <w:rFonts w:hint="default" w:ascii="Times New Roman" w:hAnsi="Times New Roman" w:eastAsia="方正仿宋_GBK" w:cs="Times New Roman"/>
          <w:b/>
          <w:color w:val="auto"/>
          <w:sz w:val="24"/>
        </w:rPr>
        <w:t>.如果不提供详细分项报价将视为没有实质性响应招标文件。</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7</w:t>
      </w:r>
      <w:r>
        <w:rPr>
          <w:rFonts w:hint="default" w:ascii="Times New Roman" w:hAnsi="Times New Roman" w:eastAsia="方正仿宋_GBK" w:cs="Times New Roman"/>
          <w:b/>
          <w:color w:val="auto"/>
          <w:sz w:val="24"/>
        </w:rPr>
        <w:t>.如果开标一览表（报价表）内容与</w:t>
      </w:r>
      <w:r>
        <w:rPr>
          <w:rFonts w:hint="default" w:ascii="Times New Roman" w:hAnsi="Times New Roman" w:eastAsia="方正仿宋_GBK" w:cs="Times New Roman"/>
          <w:b/>
          <w:color w:val="auto"/>
          <w:sz w:val="24"/>
          <w:lang w:eastAsia="zh-CN"/>
        </w:rPr>
        <w:t>响应文件</w:t>
      </w:r>
      <w:r>
        <w:rPr>
          <w:rFonts w:hint="default" w:ascii="Times New Roman" w:hAnsi="Times New Roman" w:eastAsia="方正仿宋_GBK" w:cs="Times New Roman"/>
          <w:b/>
          <w:color w:val="auto"/>
          <w:sz w:val="24"/>
        </w:rPr>
        <w:t>中明细表内容不一致的，以开标一览表（报价表）内容为准。</w:t>
      </w:r>
    </w:p>
    <w:bookmarkEnd w:id="222"/>
    <w:p>
      <w:pPr>
        <w:topLinePunct/>
        <w:spacing w:line="360" w:lineRule="auto"/>
        <w:rPr>
          <w:rFonts w:hint="default" w:ascii="Times New Roman" w:hAnsi="Times New Roman" w:eastAsia="方正仿宋_GBK" w:cs="Times New Roman"/>
          <w:color w:val="auto"/>
          <w:sz w:val="24"/>
          <w:szCs w:val="24"/>
          <w:lang w:eastAsia="zh-CN"/>
        </w:rPr>
        <w:sectPr>
          <w:headerReference r:id="rId20" w:type="default"/>
          <w:footerReference r:id="rId21" w:type="default"/>
          <w:pgSz w:w="16839" w:h="11906" w:orient="landscape"/>
          <w:pgMar w:top="1531" w:right="1984" w:bottom="1531" w:left="1701" w:header="852" w:footer="992" w:gutter="0"/>
          <w:pgNumType w:fmt="decimal"/>
          <w:cols w:equalWidth="0" w:num="1">
            <w:col w:w="8870"/>
          </w:cols>
        </w:sectPr>
      </w:pPr>
    </w:p>
    <w:p>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0"/>
        <w:spacing w:before="55" w:line="209" w:lineRule="auto"/>
        <w:outlineLvl w:val="1"/>
        <w:rPr>
          <w:rFonts w:hint="eastAsia" w:ascii="仿宋" w:hAnsi="仿宋" w:eastAsia="仿宋" w:cs="仿宋"/>
        </w:rPr>
      </w:pPr>
      <w:r>
        <w:rPr>
          <w:rFonts w:hint="eastAsia" w:ascii="仿宋" w:hAnsi="仿宋" w:eastAsia="仿宋" w:cs="仿宋"/>
          <w:b/>
          <w:bCs/>
          <w:spacing w:val="-4"/>
          <w:lang w:val="en-US" w:eastAsia="zh-CN"/>
        </w:rPr>
        <w:t>3、货物</w:t>
      </w:r>
      <w:r>
        <w:rPr>
          <w:rFonts w:hint="eastAsia" w:ascii="仿宋" w:hAnsi="仿宋" w:eastAsia="仿宋" w:cs="仿宋"/>
          <w:b/>
          <w:bCs/>
          <w:spacing w:val="-4"/>
        </w:rPr>
        <w:t>说明一览表</w:t>
      </w:r>
    </w:p>
    <w:p>
      <w:pPr>
        <w:spacing w:line="276" w:lineRule="auto"/>
        <w:rPr>
          <w:rFonts w:hint="eastAsia" w:ascii="仿宋" w:hAnsi="仿宋" w:eastAsia="仿宋" w:cs="仿宋"/>
          <w:sz w:val="21"/>
        </w:rPr>
      </w:pPr>
    </w:p>
    <w:p>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r>
        <w:rPr>
          <w:rFonts w:hint="eastAsia" w:ascii="仿宋" w:hAnsi="仿宋" w:eastAsia="仿宋" w:cs="仿宋"/>
          <w:spacing w:val="-1"/>
          <w:sz w:val="24"/>
          <w:szCs w:val="24"/>
          <w:lang w:eastAsia="zh-CN"/>
        </w:rPr>
        <w:t>：</w:t>
      </w:r>
    </w:p>
    <w:p>
      <w:pPr>
        <w:spacing w:before="211"/>
        <w:rPr>
          <w:rFonts w:hint="eastAsia" w:ascii="仿宋" w:hAnsi="仿宋" w:eastAsia="仿宋" w:cs="仿宋"/>
        </w:rPr>
      </w:pPr>
    </w:p>
    <w:tbl>
      <w:tblPr>
        <w:tblStyle w:val="41"/>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bl>
    <w:p>
      <w:pPr>
        <w:spacing w:line="366" w:lineRule="auto"/>
        <w:rPr>
          <w:rFonts w:hint="eastAsia" w:ascii="仿宋" w:hAnsi="仿宋" w:eastAsia="仿宋" w:cs="仿宋"/>
          <w:sz w:val="21"/>
        </w:rPr>
      </w:pPr>
    </w:p>
    <w:p>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65" w:line="360" w:lineRule="auto"/>
        <w:ind w:left="656"/>
        <w:rPr>
          <w:rFonts w:hint="eastAsia" w:ascii="仿宋" w:hAnsi="仿宋" w:eastAsia="仿宋" w:cs="仿宋"/>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pPr>
        <w:spacing w:line="360" w:lineRule="auto"/>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sz w:val="24"/>
          <w:szCs w:val="24"/>
        </w:rPr>
      </w:pPr>
      <w:r>
        <w:rPr>
          <w:rFonts w:hint="eastAsia" w:ascii="仿宋" w:hAnsi="仿宋" w:eastAsia="仿宋" w:cs="仿宋"/>
          <w:color w:val="404040"/>
          <w:spacing w:val="-1"/>
          <w:position w:val="-1"/>
          <w:sz w:val="24"/>
          <w:szCs w:val="24"/>
        </w:rPr>
        <w:t>项目名称:</w:t>
      </w:r>
    </w:p>
    <w:p>
      <w:pPr>
        <w:spacing w:line="14" w:lineRule="auto"/>
        <w:rPr>
          <w:rFonts w:hint="eastAsia" w:ascii="仿宋" w:hAnsi="仿宋" w:eastAsia="仿宋" w:cs="仿宋"/>
          <w:b/>
          <w:bCs/>
          <w:spacing w:val="-1"/>
          <w:sz w:val="24"/>
          <w:szCs w:val="24"/>
        </w:rPr>
      </w:pPr>
      <w:r>
        <w:rPr>
          <w:rFonts w:hint="eastAsia" w:ascii="仿宋" w:hAnsi="仿宋" w:eastAsia="仿宋" w:cs="仿宋"/>
          <w:sz w:val="2"/>
          <w:szCs w:val="2"/>
        </w:rPr>
        <w:br w:type="column"/>
      </w:r>
      <w:bookmarkStart w:id="223" w:name="_Toc29982"/>
    </w:p>
    <w:p>
      <w:pPr>
        <w:pStyle w:val="3"/>
        <w:bidi w:val="0"/>
        <w:jc w:val="both"/>
        <w:rPr>
          <w:rFonts w:hint="default"/>
          <w:lang w:val="en-US" w:eastAsia="zh-CN"/>
        </w:rPr>
      </w:pPr>
      <w:r>
        <w:rPr>
          <w:rFonts w:hint="eastAsia" w:ascii="仿宋" w:hAnsi="仿宋" w:eastAsia="仿宋" w:cs="仿宋"/>
          <w:b/>
          <w:bCs/>
          <w:spacing w:val="-1"/>
          <w:sz w:val="24"/>
          <w:szCs w:val="24"/>
        </w:rPr>
        <w:t>备品备件分项报价表</w:t>
      </w:r>
      <w:bookmarkEnd w:id="223"/>
    </w:p>
    <w:p>
      <w:pPr>
        <w:spacing w:before="86" w:line="239" w:lineRule="exact"/>
        <w:ind w:left="436"/>
        <w:rPr>
          <w:rFonts w:hint="eastAsia" w:ascii="仿宋" w:hAnsi="仿宋" w:eastAsia="仿宋" w:cs="仿宋"/>
          <w:color w:val="404040"/>
          <w:spacing w:val="-1"/>
          <w:position w:val="-1"/>
          <w:sz w:val="24"/>
          <w:szCs w:val="24"/>
        </w:rPr>
      </w:pPr>
    </w:p>
    <w:p>
      <w:pPr>
        <w:spacing w:before="86" w:line="239" w:lineRule="exact"/>
        <w:ind w:left="436"/>
        <w:rPr>
          <w:rFonts w:hint="eastAsia" w:ascii="仿宋" w:hAnsi="仿宋" w:eastAsia="仿宋" w:cs="仿宋"/>
          <w:sz w:val="24"/>
          <w:szCs w:val="24"/>
        </w:rPr>
      </w:pPr>
      <w:r>
        <w:rPr>
          <w:rFonts w:hint="eastAsia" w:ascii="仿宋" w:hAnsi="仿宋" w:eastAsia="仿宋" w:cs="仿宋"/>
          <w:color w:val="404040"/>
          <w:spacing w:val="-1"/>
          <w:position w:val="-1"/>
          <w:sz w:val="24"/>
          <w:szCs w:val="24"/>
        </w:rPr>
        <w:t>招标编号: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line="342" w:lineRule="auto"/>
        <w:rPr>
          <w:rFonts w:hint="eastAsia" w:ascii="仿宋" w:hAnsi="仿宋" w:eastAsia="仿宋" w:cs="仿宋"/>
          <w:sz w:val="21"/>
        </w:rPr>
      </w:pPr>
    </w:p>
    <w:p>
      <w:pPr>
        <w:spacing w:before="103" w:line="237" w:lineRule="exact"/>
        <w:rPr>
          <w:rFonts w:hint="eastAsia" w:ascii="仿宋" w:hAnsi="仿宋" w:eastAsia="仿宋" w:cs="仿宋"/>
          <w:sz w:val="24"/>
          <w:szCs w:val="24"/>
        </w:rPr>
        <w:sectPr>
          <w:type w:val="continuous"/>
          <w:pgSz w:w="11906" w:h="16839"/>
          <w:pgMar w:top="1274" w:right="1682" w:bottom="1171" w:left="1686" w:header="852" w:footer="992" w:gutter="0"/>
          <w:pgNumType w:fmt="decimal"/>
          <w:cols w:equalWidth="0" w:num="3">
            <w:col w:w="3054" w:space="100"/>
            <w:col w:w="4116" w:space="100"/>
            <w:col w:w="1169"/>
          </w:cols>
        </w:sectPr>
      </w:pPr>
    </w:p>
    <w:p>
      <w:pPr>
        <w:spacing w:line="44" w:lineRule="exact"/>
        <w:rPr>
          <w:rFonts w:hint="eastAsia" w:ascii="仿宋" w:hAnsi="仿宋" w:eastAsia="仿宋" w:cs="仿宋"/>
        </w:rPr>
      </w:pPr>
    </w:p>
    <w:tbl>
      <w:tblPr>
        <w:tblStyle w:val="41"/>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740"/>
        <w:gridCol w:w="858"/>
        <w:gridCol w:w="590"/>
        <w:gridCol w:w="859"/>
        <w:gridCol w:w="1128"/>
        <w:gridCol w:w="590"/>
        <w:gridCol w:w="590"/>
        <w:gridCol w:w="590"/>
        <w:gridCol w:w="590"/>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02" w:type="dxa"/>
            <w:vAlign w:val="top"/>
          </w:tcPr>
          <w:p>
            <w:pPr>
              <w:rPr>
                <w:rFonts w:hint="eastAsia" w:ascii="仿宋" w:hAnsi="仿宋" w:eastAsia="仿宋" w:cs="仿宋"/>
                <w:sz w:val="21"/>
              </w:rPr>
            </w:pPr>
          </w:p>
        </w:tc>
        <w:tc>
          <w:tcPr>
            <w:tcW w:w="740" w:type="dxa"/>
            <w:vAlign w:val="top"/>
          </w:tcPr>
          <w:p>
            <w:pPr>
              <w:spacing w:before="321" w:line="183" w:lineRule="auto"/>
              <w:ind w:left="128"/>
              <w:rPr>
                <w:rFonts w:hint="eastAsia" w:ascii="仿宋" w:hAnsi="仿宋" w:eastAsia="仿宋" w:cs="仿宋"/>
                <w:sz w:val="24"/>
                <w:szCs w:val="24"/>
              </w:rPr>
            </w:pPr>
            <w:r>
              <w:rPr>
                <w:rFonts w:hint="eastAsia" w:ascii="仿宋" w:hAnsi="仿宋" w:eastAsia="仿宋" w:cs="仿宋"/>
                <w:spacing w:val="-2"/>
                <w:sz w:val="24"/>
                <w:szCs w:val="24"/>
              </w:rPr>
              <w:t>编号</w:t>
            </w:r>
          </w:p>
        </w:tc>
        <w:tc>
          <w:tcPr>
            <w:tcW w:w="858" w:type="dxa"/>
            <w:vAlign w:val="top"/>
          </w:tcPr>
          <w:p>
            <w:pPr>
              <w:spacing w:before="321" w:line="183" w:lineRule="auto"/>
              <w:ind w:left="189"/>
              <w:rPr>
                <w:rFonts w:hint="eastAsia" w:ascii="仿宋" w:hAnsi="仿宋" w:eastAsia="仿宋" w:cs="仿宋"/>
                <w:sz w:val="24"/>
                <w:szCs w:val="24"/>
              </w:rPr>
            </w:pPr>
            <w:r>
              <w:rPr>
                <w:rFonts w:hint="eastAsia" w:ascii="仿宋" w:hAnsi="仿宋" w:eastAsia="仿宋" w:cs="仿宋"/>
                <w:spacing w:val="-2"/>
                <w:sz w:val="24"/>
                <w:szCs w:val="24"/>
              </w:rPr>
              <w:t>名称</w:t>
            </w:r>
          </w:p>
        </w:tc>
        <w:tc>
          <w:tcPr>
            <w:tcW w:w="590" w:type="dxa"/>
            <w:textDirection w:val="tbRlV"/>
            <w:vAlign w:val="top"/>
          </w:tcPr>
          <w:p>
            <w:pPr>
              <w:spacing w:before="172" w:line="179" w:lineRule="auto"/>
              <w:ind w:left="131"/>
              <w:rPr>
                <w:rFonts w:hint="eastAsia" w:ascii="仿宋" w:hAnsi="仿宋" w:eastAsia="仿宋" w:cs="仿宋"/>
                <w:spacing w:val="-9"/>
                <w:sz w:val="24"/>
                <w:szCs w:val="24"/>
                <w:lang w:eastAsia="zh-CN"/>
              </w:rPr>
            </w:pPr>
            <w:r>
              <w:rPr>
                <w:rFonts w:hint="eastAsia" w:ascii="仿宋" w:hAnsi="仿宋" w:eastAsia="仿宋" w:cs="仿宋"/>
                <w:spacing w:val="-9"/>
                <w:sz w:val="24"/>
                <w:szCs w:val="24"/>
              </w:rPr>
              <w:t>品</w:t>
            </w:r>
            <w:r>
              <w:rPr>
                <w:rFonts w:hint="eastAsia" w:ascii="仿宋" w:hAnsi="仿宋" w:eastAsia="仿宋" w:cs="仿宋"/>
                <w:spacing w:val="-9"/>
                <w:sz w:val="24"/>
                <w:szCs w:val="24"/>
                <w:lang w:eastAsia="zh-CN"/>
              </w:rPr>
              <w:t>牌</w:t>
            </w:r>
          </w:p>
          <w:p>
            <w:pPr>
              <w:spacing w:before="172" w:line="179" w:lineRule="auto"/>
              <w:ind w:left="131"/>
              <w:rPr>
                <w:rFonts w:hint="eastAsia" w:ascii="仿宋" w:hAnsi="仿宋" w:eastAsia="仿宋" w:cs="仿宋"/>
                <w:sz w:val="24"/>
                <w:szCs w:val="24"/>
              </w:rPr>
            </w:pP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859" w:type="dxa"/>
            <w:vAlign w:val="top"/>
          </w:tcPr>
          <w:p>
            <w:pPr>
              <w:spacing w:before="119" w:line="237" w:lineRule="auto"/>
              <w:ind w:left="191"/>
              <w:rPr>
                <w:rFonts w:hint="eastAsia" w:ascii="仿宋" w:hAnsi="仿宋" w:eastAsia="仿宋" w:cs="仿宋"/>
                <w:sz w:val="24"/>
                <w:szCs w:val="24"/>
              </w:rPr>
            </w:pPr>
            <w:r>
              <w:rPr>
                <w:rFonts w:hint="eastAsia" w:ascii="仿宋" w:hAnsi="仿宋" w:eastAsia="仿宋" w:cs="仿宋"/>
                <w:spacing w:val="-2"/>
                <w:sz w:val="24"/>
                <w:szCs w:val="24"/>
              </w:rPr>
              <w:t>规格</w:t>
            </w:r>
          </w:p>
          <w:p>
            <w:pPr>
              <w:spacing w:before="1" w:line="158" w:lineRule="auto"/>
              <w:ind w:left="193"/>
              <w:rPr>
                <w:rFonts w:hint="eastAsia" w:ascii="仿宋" w:hAnsi="仿宋" w:eastAsia="仿宋" w:cs="仿宋"/>
                <w:sz w:val="24"/>
                <w:szCs w:val="24"/>
              </w:rPr>
            </w:pPr>
            <w:r>
              <w:rPr>
                <w:rFonts w:hint="eastAsia" w:ascii="仿宋" w:hAnsi="仿宋" w:eastAsia="仿宋" w:cs="仿宋"/>
                <w:spacing w:val="-3"/>
                <w:sz w:val="24"/>
                <w:szCs w:val="24"/>
              </w:rPr>
              <w:t>型号</w:t>
            </w:r>
          </w:p>
        </w:tc>
        <w:tc>
          <w:tcPr>
            <w:tcW w:w="1128" w:type="dxa"/>
            <w:vAlign w:val="top"/>
          </w:tcPr>
          <w:p>
            <w:pPr>
              <w:spacing w:before="119" w:line="234" w:lineRule="auto"/>
              <w:ind w:left="203"/>
              <w:rPr>
                <w:rFonts w:hint="eastAsia" w:ascii="仿宋" w:hAnsi="仿宋" w:eastAsia="仿宋" w:cs="仿宋"/>
                <w:sz w:val="24"/>
                <w:szCs w:val="24"/>
              </w:rPr>
            </w:pPr>
            <w:r>
              <w:rPr>
                <w:rFonts w:hint="eastAsia" w:ascii="仿宋" w:hAnsi="仿宋" w:eastAsia="仿宋" w:cs="仿宋"/>
                <w:spacing w:val="-1"/>
                <w:sz w:val="24"/>
                <w:szCs w:val="24"/>
              </w:rPr>
              <w:t>供货厂</w:t>
            </w:r>
          </w:p>
          <w:p>
            <w:pPr>
              <w:spacing w:line="162" w:lineRule="auto"/>
              <w:ind w:left="208"/>
              <w:rPr>
                <w:rFonts w:hint="eastAsia" w:ascii="仿宋" w:hAnsi="仿宋" w:eastAsia="仿宋" w:cs="仿宋"/>
                <w:sz w:val="24"/>
                <w:szCs w:val="24"/>
              </w:rPr>
            </w:pPr>
            <w:r>
              <w:rPr>
                <w:rFonts w:hint="eastAsia" w:ascii="仿宋" w:hAnsi="仿宋" w:eastAsia="仿宋" w:cs="仿宋"/>
                <w:spacing w:val="-2"/>
                <w:sz w:val="24"/>
                <w:szCs w:val="24"/>
              </w:rPr>
              <w:t>商名称</w:t>
            </w:r>
          </w:p>
        </w:tc>
        <w:tc>
          <w:tcPr>
            <w:tcW w:w="590" w:type="dxa"/>
            <w:textDirection w:val="tbRlV"/>
            <w:vAlign w:val="top"/>
          </w:tcPr>
          <w:p>
            <w:pPr>
              <w:spacing w:before="171" w:line="181" w:lineRule="auto"/>
              <w:ind w:left="120"/>
              <w:rPr>
                <w:rFonts w:hint="eastAsia" w:ascii="仿宋" w:hAnsi="仿宋" w:eastAsia="仿宋" w:cs="仿宋"/>
                <w:sz w:val="24"/>
                <w:szCs w:val="24"/>
              </w:rPr>
            </w:pPr>
            <w:r>
              <w:rPr>
                <w:rFonts w:hint="eastAsia" w:ascii="仿宋" w:hAnsi="仿宋" w:eastAsia="仿宋" w:cs="仿宋"/>
                <w:spacing w:val="-3"/>
                <w:sz w:val="24"/>
                <w:szCs w:val="24"/>
              </w:rPr>
              <w:t>产</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地</w:t>
            </w:r>
          </w:p>
        </w:tc>
        <w:tc>
          <w:tcPr>
            <w:tcW w:w="590" w:type="dxa"/>
            <w:textDirection w:val="tbRlV"/>
            <w:vAlign w:val="top"/>
          </w:tcPr>
          <w:p>
            <w:pPr>
              <w:spacing w:before="170" w:line="179" w:lineRule="auto"/>
              <w:ind w:left="122"/>
              <w:rPr>
                <w:rFonts w:hint="eastAsia" w:ascii="仿宋" w:hAnsi="仿宋" w:eastAsia="仿宋" w:cs="仿宋"/>
                <w:sz w:val="24"/>
                <w:szCs w:val="24"/>
              </w:rPr>
            </w:pPr>
            <w:r>
              <w:rPr>
                <w:rFonts w:hint="eastAsia" w:ascii="仿宋" w:hAnsi="仿宋" w:eastAsia="仿宋" w:cs="仿宋"/>
                <w:spacing w:val="-2"/>
                <w:sz w:val="24"/>
                <w:szCs w:val="24"/>
              </w:rPr>
              <w:t>数</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量</w:t>
            </w:r>
          </w:p>
        </w:tc>
        <w:tc>
          <w:tcPr>
            <w:tcW w:w="590" w:type="dxa"/>
            <w:textDirection w:val="tbRlV"/>
            <w:vAlign w:val="top"/>
          </w:tcPr>
          <w:p>
            <w:pPr>
              <w:spacing w:before="169" w:line="180" w:lineRule="auto"/>
              <w:ind w:left="119"/>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590" w:type="dxa"/>
            <w:textDirection w:val="tbRlV"/>
            <w:vAlign w:val="top"/>
          </w:tcPr>
          <w:p>
            <w:pPr>
              <w:spacing w:before="169" w:line="180" w:lineRule="auto"/>
              <w:ind w:left="124"/>
              <w:rPr>
                <w:rFonts w:hint="eastAsia" w:ascii="仿宋" w:hAnsi="仿宋" w:eastAsia="仿宋" w:cs="仿宋"/>
                <w:sz w:val="24"/>
                <w:szCs w:val="24"/>
              </w:rPr>
            </w:pPr>
            <w:r>
              <w:rPr>
                <w:rFonts w:hint="eastAsia" w:ascii="仿宋" w:hAnsi="仿宋" w:eastAsia="仿宋" w:cs="仿宋"/>
                <w:spacing w:val="-5"/>
                <w:sz w:val="24"/>
                <w:szCs w:val="24"/>
              </w:rPr>
              <w:t>合</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lang w:eastAsia="zh-CN"/>
              </w:rPr>
              <w:t>价</w:t>
            </w:r>
            <w:r>
              <w:rPr>
                <w:rFonts w:hint="eastAsia" w:ascii="仿宋" w:hAnsi="仿宋" w:eastAsia="仿宋" w:cs="仿宋"/>
                <w:spacing w:val="13"/>
                <w:sz w:val="24"/>
                <w:szCs w:val="24"/>
              </w:rPr>
              <w:t xml:space="preserve"> </w:t>
            </w:r>
          </w:p>
        </w:tc>
        <w:tc>
          <w:tcPr>
            <w:tcW w:w="595" w:type="dxa"/>
            <w:textDirection w:val="tbRlV"/>
            <w:vAlign w:val="top"/>
          </w:tcPr>
          <w:p>
            <w:pPr>
              <w:spacing w:before="175" w:line="182" w:lineRule="auto"/>
              <w:ind w:left="118"/>
              <w:rPr>
                <w:rFonts w:hint="eastAsia" w:ascii="仿宋" w:hAnsi="仿宋" w:eastAsia="仿宋" w:cs="仿宋"/>
                <w:sz w:val="24"/>
                <w:szCs w:val="24"/>
                <w:lang w:eastAsia="zh-CN"/>
              </w:rPr>
            </w:pPr>
            <w:r>
              <w:rPr>
                <w:rFonts w:hint="eastAsia" w:ascii="仿宋" w:hAnsi="仿宋" w:eastAsia="仿宋" w:cs="仿宋"/>
                <w:spacing w:val="12"/>
                <w:sz w:val="24"/>
                <w:szCs w:val="24"/>
                <w:lang w:eastAsia="zh-CN"/>
              </w:rPr>
              <w:t>备注</w:t>
            </w:r>
            <w:r>
              <w:rPr>
                <w:rFonts w:hint="eastAsia" w:ascii="仿宋" w:hAnsi="仿宋" w:eastAsia="仿宋" w:cs="仿宋"/>
                <w:spacing w:val="12"/>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402" w:type="dxa"/>
            <w:vMerge w:val="restart"/>
            <w:tcBorders>
              <w:bottom w:val="nil"/>
            </w:tcBorders>
            <w:vAlign w:val="top"/>
          </w:tcPr>
          <w:p>
            <w:pPr>
              <w:spacing w:line="269" w:lineRule="auto"/>
              <w:rPr>
                <w:rFonts w:hint="eastAsia" w:ascii="仿宋" w:hAnsi="仿宋" w:eastAsia="仿宋" w:cs="仿宋"/>
                <w:sz w:val="21"/>
              </w:rPr>
            </w:pPr>
          </w:p>
          <w:p>
            <w:pPr>
              <w:spacing w:before="103" w:line="207" w:lineRule="auto"/>
              <w:ind w:left="221" w:right="217" w:hanging="1"/>
              <w:rPr>
                <w:rFonts w:hint="eastAsia" w:ascii="仿宋" w:hAnsi="仿宋" w:eastAsia="仿宋" w:cs="仿宋"/>
                <w:sz w:val="24"/>
                <w:szCs w:val="24"/>
              </w:rPr>
            </w:pPr>
            <w:r>
              <w:rPr>
                <w:rFonts w:hint="eastAsia" w:ascii="仿宋" w:hAnsi="仿宋" w:eastAsia="仿宋" w:cs="仿宋"/>
                <w:spacing w:val="-1"/>
                <w:sz w:val="24"/>
                <w:szCs w:val="24"/>
              </w:rPr>
              <w:t>质保期内</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免费设备</w:t>
            </w:r>
          </w:p>
        </w:tc>
        <w:tc>
          <w:tcPr>
            <w:tcW w:w="740" w:type="dxa"/>
            <w:vAlign w:val="top"/>
          </w:tcPr>
          <w:p>
            <w:pPr>
              <w:spacing w:before="176" w:line="174" w:lineRule="auto"/>
              <w:ind w:left="320"/>
              <w:rPr>
                <w:rFonts w:hint="eastAsia" w:ascii="仿宋" w:hAnsi="仿宋" w:eastAsia="仿宋" w:cs="仿宋"/>
                <w:sz w:val="24"/>
                <w:szCs w:val="24"/>
              </w:rPr>
            </w:pPr>
            <w:r>
              <w:rPr>
                <w:rFonts w:hint="eastAsia" w:ascii="仿宋" w:hAnsi="仿宋" w:eastAsia="仿宋" w:cs="仿宋"/>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4" w:line="260"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6" w:line="258"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02" w:type="dxa"/>
            <w:vAlign w:val="top"/>
          </w:tcPr>
          <w:p>
            <w:pPr>
              <w:rPr>
                <w:rFonts w:hint="eastAsia" w:ascii="仿宋" w:hAnsi="仿宋" w:eastAsia="仿宋" w:cs="仿宋"/>
                <w:sz w:val="21"/>
              </w:rPr>
            </w:pPr>
          </w:p>
        </w:tc>
        <w:tc>
          <w:tcPr>
            <w:tcW w:w="7130" w:type="dxa"/>
            <w:gridSpan w:val="10"/>
            <w:vAlign w:val="top"/>
          </w:tcPr>
          <w:p>
            <w:pPr>
              <w:spacing w:before="102" w:line="202" w:lineRule="auto"/>
              <w:ind w:left="106"/>
              <w:rPr>
                <w:rFonts w:hint="eastAsia" w:ascii="仿宋" w:hAnsi="仿宋" w:eastAsia="仿宋" w:cs="仿宋"/>
                <w:sz w:val="24"/>
                <w:szCs w:val="24"/>
                <w:lang w:val="en-US" w:eastAsia="zh-CN"/>
              </w:rPr>
            </w:pPr>
            <w:r>
              <w:rPr>
                <w:rFonts w:hint="eastAsia" w:ascii="仿宋" w:hAnsi="仿宋" w:eastAsia="仿宋" w:cs="仿宋"/>
                <w:spacing w:val="1"/>
                <w:sz w:val="24"/>
                <w:szCs w:val="24"/>
              </w:rPr>
              <w:t>合计总价</w:t>
            </w:r>
            <w:r>
              <w:rPr>
                <w:rFonts w:hint="eastAsia" w:ascii="仿宋" w:hAnsi="仿宋" w:eastAsia="仿宋" w:cs="仿宋"/>
                <w:spacing w:val="-69"/>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此价格仅供参考</w:t>
            </w:r>
            <w:r>
              <w:rPr>
                <w:rFonts w:hint="eastAsia" w:ascii="仿宋" w:hAnsi="仿宋" w:eastAsia="仿宋" w:cs="仿宋"/>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restart"/>
            <w:tcBorders>
              <w:bottom w:val="nil"/>
            </w:tcBorders>
            <w:vAlign w:val="top"/>
          </w:tcPr>
          <w:p>
            <w:pPr>
              <w:spacing w:before="333" w:line="207" w:lineRule="auto"/>
              <w:ind w:left="223" w:right="217" w:hanging="3"/>
              <w:rPr>
                <w:rFonts w:hint="eastAsia" w:ascii="仿宋" w:hAnsi="仿宋" w:eastAsia="仿宋" w:cs="仿宋"/>
                <w:sz w:val="24"/>
                <w:szCs w:val="24"/>
              </w:rPr>
            </w:pPr>
            <w:r>
              <w:rPr>
                <w:rFonts w:hint="eastAsia" w:ascii="仿宋" w:hAnsi="仿宋" w:eastAsia="仿宋" w:cs="仿宋"/>
                <w:spacing w:val="-1"/>
                <w:sz w:val="24"/>
                <w:szCs w:val="24"/>
              </w:rPr>
              <w:t>质保期外</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设备报价</w:t>
            </w:r>
          </w:p>
        </w:tc>
        <w:tc>
          <w:tcPr>
            <w:tcW w:w="740" w:type="dxa"/>
            <w:vAlign w:val="top"/>
          </w:tcPr>
          <w:p>
            <w:pPr>
              <w:spacing w:before="135" w:line="260" w:lineRule="exact"/>
              <w:ind w:left="320"/>
              <w:rPr>
                <w:rFonts w:hint="eastAsia" w:ascii="仿宋" w:hAnsi="仿宋" w:eastAsia="仿宋" w:cs="仿宋"/>
                <w:sz w:val="24"/>
                <w:szCs w:val="24"/>
              </w:rPr>
            </w:pPr>
            <w:r>
              <w:rPr>
                <w:rFonts w:hint="eastAsia" w:ascii="仿宋" w:hAnsi="仿宋" w:eastAsia="仿宋" w:cs="仿宋"/>
                <w:position w:val="-1"/>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7" w:line="257"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7" w:line="257"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532" w:type="dxa"/>
            <w:gridSpan w:val="11"/>
            <w:vAlign w:val="top"/>
          </w:tcPr>
          <w:p>
            <w:pPr>
              <w:spacing w:before="126" w:line="223" w:lineRule="auto"/>
              <w:ind w:left="111"/>
              <w:rPr>
                <w:rFonts w:hint="eastAsia" w:ascii="仿宋" w:hAnsi="仿宋" w:eastAsia="仿宋" w:cs="仿宋"/>
                <w:sz w:val="24"/>
                <w:szCs w:val="24"/>
              </w:rPr>
            </w:pPr>
            <w:r>
              <w:rPr>
                <w:rFonts w:hint="eastAsia" w:ascii="仿宋" w:hAnsi="仿宋" w:eastAsia="仿宋" w:cs="仿宋"/>
                <w:spacing w:val="1"/>
                <w:sz w:val="24"/>
                <w:szCs w:val="24"/>
              </w:rPr>
              <w:t>总</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价（元</w:t>
            </w:r>
            <w:r>
              <w:rPr>
                <w:rFonts w:hint="eastAsia" w:ascii="仿宋" w:hAnsi="仿宋" w:eastAsia="仿宋" w:cs="仿宋"/>
                <w:spacing w:val="-46"/>
                <w:sz w:val="24"/>
                <w:szCs w:val="24"/>
              </w:rPr>
              <w:t>）：</w:t>
            </w:r>
            <w:r>
              <w:rPr>
                <w:rFonts w:hint="eastAsia" w:ascii="仿宋" w:hAnsi="仿宋" w:eastAsia="仿宋" w:cs="仿宋"/>
                <w:spacing w:val="51"/>
                <w:w w:val="101"/>
                <w:sz w:val="24"/>
                <w:szCs w:val="24"/>
              </w:rPr>
              <w:t xml:space="preserve"> </w:t>
            </w:r>
            <w:r>
              <w:rPr>
                <w:rFonts w:hint="eastAsia" w:ascii="仿宋" w:hAnsi="仿宋" w:eastAsia="仿宋" w:cs="仿宋"/>
                <w:spacing w:val="-46"/>
                <w:sz w:val="24"/>
                <w:szCs w:val="24"/>
              </w:rPr>
              <w:t>（</w:t>
            </w:r>
            <w:r>
              <w:rPr>
                <w:rFonts w:hint="eastAsia" w:ascii="仿宋" w:hAnsi="仿宋" w:eastAsia="仿宋" w:cs="仿宋"/>
                <w:b/>
                <w:bCs/>
                <w:spacing w:val="1"/>
                <w:sz w:val="24"/>
                <w:szCs w:val="24"/>
              </w:rPr>
              <w:t>质保期外报价）</w:t>
            </w:r>
          </w:p>
        </w:tc>
      </w:tr>
    </w:tbl>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default" w:ascii="仿宋" w:hAnsi="仿宋" w:eastAsia="仿宋" w:cs="仿宋"/>
          <w:sz w:val="24"/>
          <w:szCs w:val="24"/>
          <w:u w:val="single"/>
          <w:lang w:val="en-US" w:eastAsia="zh-CN"/>
        </w:rPr>
      </w:pPr>
      <w:r>
        <w:rPr>
          <w:rFonts w:hint="eastAsia" w:ascii="仿宋" w:hAnsi="仿宋" w:eastAsia="仿宋" w:cs="仿宋"/>
          <w:color w:val="404040"/>
          <w:spacing w:val="-1"/>
          <w:sz w:val="24"/>
          <w:szCs w:val="24"/>
        </w:rPr>
        <w:t>投标人名称（公章</w:t>
      </w:r>
      <w:r>
        <w:rPr>
          <w:rFonts w:hint="eastAsia" w:ascii="仿宋" w:hAnsi="仿宋" w:eastAsia="仿宋" w:cs="仿宋"/>
          <w:color w:val="404040"/>
          <w:spacing w:val="-24"/>
          <w:sz w:val="24"/>
          <w:szCs w:val="24"/>
        </w:rPr>
        <w:t>）：</w:t>
      </w:r>
      <w:r>
        <w:rPr>
          <w:rFonts w:hint="eastAsia" w:ascii="仿宋" w:hAnsi="仿宋" w:eastAsia="仿宋" w:cs="仿宋"/>
          <w:color w:val="404040"/>
          <w:spacing w:val="-24"/>
          <w:sz w:val="24"/>
          <w:szCs w:val="24"/>
          <w:u w:val="single"/>
          <w:lang w:val="en-US" w:eastAsia="zh-CN"/>
        </w:rPr>
        <w:t xml:space="preserve">                                                 </w:t>
      </w:r>
    </w:p>
    <w:p>
      <w:pPr>
        <w:spacing w:before="21" w:line="360" w:lineRule="auto"/>
        <w:ind w:left="655"/>
        <w:rPr>
          <w:rFonts w:hint="default" w:ascii="仿宋" w:hAnsi="仿宋" w:eastAsia="仿宋" w:cs="仿宋"/>
          <w:sz w:val="21"/>
          <w:u w:val="single"/>
          <w:lang w:val="en-US" w:eastAsia="zh-CN"/>
        </w:rPr>
      </w:pPr>
      <w:r>
        <w:rPr>
          <w:rFonts w:hint="eastAsia" w:ascii="仿宋" w:hAnsi="仿宋" w:eastAsia="仿宋" w:cs="仿宋"/>
          <w:color w:val="404040"/>
          <w:spacing w:val="-1"/>
          <w:sz w:val="24"/>
          <w:szCs w:val="24"/>
        </w:rPr>
        <w:t>投标人法人或授权代表（签/章</w:t>
      </w:r>
      <w:r>
        <w:rPr>
          <w:rFonts w:hint="eastAsia" w:ascii="仿宋" w:hAnsi="仿宋" w:eastAsia="仿宋" w:cs="仿宋"/>
          <w:color w:val="404040"/>
          <w:spacing w:val="-21"/>
          <w:sz w:val="24"/>
          <w:szCs w:val="24"/>
        </w:rPr>
        <w:t>）：</w:t>
      </w:r>
      <w:r>
        <w:rPr>
          <w:rFonts w:hint="eastAsia" w:ascii="仿宋" w:hAnsi="仿宋" w:eastAsia="仿宋" w:cs="仿宋"/>
          <w:color w:val="404040"/>
          <w:spacing w:val="-21"/>
          <w:sz w:val="24"/>
          <w:szCs w:val="24"/>
          <w:u w:val="single"/>
          <w:lang w:val="en-US" w:eastAsia="zh-CN"/>
        </w:rPr>
        <w:t xml:space="preserve">                             </w:t>
      </w:r>
    </w:p>
    <w:p>
      <w:pPr>
        <w:spacing w:before="104" w:line="360" w:lineRule="auto"/>
        <w:ind w:left="687"/>
        <w:rPr>
          <w:rFonts w:hint="default" w:ascii="仿宋" w:hAnsi="仿宋" w:eastAsia="仿宋" w:cs="仿宋"/>
          <w:sz w:val="24"/>
          <w:szCs w:val="24"/>
          <w:u w:val="single"/>
          <w:lang w:val="en-US" w:eastAsia="zh-CN"/>
        </w:rPr>
      </w:pPr>
      <w:r>
        <w:rPr>
          <w:rFonts w:hint="eastAsia" w:ascii="仿宋" w:hAnsi="仿宋" w:eastAsia="仿宋" w:cs="仿宋"/>
          <w:color w:val="404040"/>
          <w:spacing w:val="-11"/>
          <w:sz w:val="24"/>
          <w:szCs w:val="24"/>
        </w:rPr>
        <w:t>日</w:t>
      </w:r>
      <w:r>
        <w:rPr>
          <w:rFonts w:hint="eastAsia" w:ascii="仿宋" w:hAnsi="仿宋" w:eastAsia="仿宋" w:cs="仿宋"/>
          <w:color w:val="404040"/>
          <w:spacing w:val="5"/>
          <w:sz w:val="24"/>
          <w:szCs w:val="24"/>
        </w:rPr>
        <w:t xml:space="preserve">         </w:t>
      </w:r>
      <w:r>
        <w:rPr>
          <w:rFonts w:hint="eastAsia" w:ascii="仿宋" w:hAnsi="仿宋" w:eastAsia="仿宋" w:cs="仿宋"/>
          <w:color w:val="404040"/>
          <w:spacing w:val="-11"/>
          <w:sz w:val="24"/>
          <w:szCs w:val="24"/>
        </w:rPr>
        <w:t>期 ：</w:t>
      </w:r>
      <w:r>
        <w:rPr>
          <w:rFonts w:hint="eastAsia" w:ascii="仿宋" w:hAnsi="仿宋" w:eastAsia="仿宋" w:cs="仿宋"/>
          <w:color w:val="404040"/>
          <w:spacing w:val="-11"/>
          <w:sz w:val="24"/>
          <w:szCs w:val="24"/>
          <w:u w:val="single"/>
          <w:lang w:val="en-US" w:eastAsia="zh-CN"/>
        </w:rPr>
        <w:t xml:space="preserve">                                        </w:t>
      </w:r>
    </w:p>
    <w:p>
      <w:pPr>
        <w:spacing w:before="86" w:line="360" w:lineRule="auto"/>
        <w:ind w:left="654"/>
        <w:rPr>
          <w:rFonts w:hint="eastAsia" w:ascii="仿宋" w:hAnsi="仿宋" w:eastAsia="仿宋" w:cs="仿宋"/>
          <w:sz w:val="24"/>
          <w:szCs w:val="24"/>
        </w:rPr>
      </w:pPr>
      <w:r>
        <w:rPr>
          <w:rFonts w:hint="eastAsia" w:ascii="仿宋" w:hAnsi="仿宋" w:eastAsia="仿宋" w:cs="仿宋"/>
          <w:color w:val="404040"/>
          <w:spacing w:val="-4"/>
          <w:sz w:val="24"/>
          <w:szCs w:val="24"/>
        </w:rPr>
        <w:t>注： 1.表格长度方向可做扩展根据需求可补</w:t>
      </w:r>
      <w:r>
        <w:rPr>
          <w:rFonts w:hint="eastAsia" w:ascii="仿宋" w:hAnsi="仿宋" w:eastAsia="仿宋" w:cs="仿宋"/>
          <w:color w:val="404040"/>
          <w:spacing w:val="-5"/>
          <w:sz w:val="24"/>
          <w:szCs w:val="24"/>
        </w:rPr>
        <w:t>充相关资料， 但不可减少。</w:t>
      </w:r>
    </w:p>
    <w:p>
      <w:pPr>
        <w:spacing w:line="360" w:lineRule="auto"/>
        <w:ind w:left="665"/>
        <w:rPr>
          <w:rFonts w:hint="eastAsia" w:ascii="仿宋" w:hAnsi="仿宋" w:eastAsia="仿宋" w:cs="仿宋"/>
          <w:sz w:val="24"/>
          <w:szCs w:val="24"/>
        </w:rPr>
      </w:pPr>
      <w:r>
        <w:rPr>
          <w:rFonts w:hint="eastAsia" w:ascii="仿宋" w:hAnsi="仿宋" w:eastAsia="仿宋" w:cs="仿宋"/>
          <w:color w:val="404040"/>
          <w:spacing w:val="-3"/>
          <w:sz w:val="24"/>
          <w:szCs w:val="24"/>
        </w:rPr>
        <w:t>2、备品备件设备分项报价不合计于开标一览表总价，单独名列即可。</w:t>
      </w:r>
    </w:p>
    <w:p>
      <w:pPr>
        <w:spacing w:before="40" w:line="360" w:lineRule="auto"/>
        <w:ind w:left="1191" w:right="115" w:hanging="523"/>
        <w:rPr>
          <w:rFonts w:hint="eastAsia" w:ascii="仿宋" w:hAnsi="仿宋" w:eastAsia="仿宋" w:cs="仿宋"/>
          <w:spacing w:val="-1"/>
          <w:position w:val="-1"/>
          <w:sz w:val="24"/>
          <w:szCs w:val="24"/>
        </w:rPr>
        <w:sectPr>
          <w:type w:val="continuous"/>
          <w:pgSz w:w="11906" w:h="16839"/>
          <w:pgMar w:top="1274" w:right="1352" w:bottom="1171" w:left="1684" w:header="852" w:footer="992" w:gutter="0"/>
          <w:pgNumType w:fmt="decimal"/>
          <w:cols w:equalWidth="0" w:num="1">
            <w:col w:w="8870"/>
          </w:cols>
        </w:sectPr>
      </w:pPr>
      <w:r>
        <w:rPr>
          <w:rFonts w:hint="eastAsia" w:ascii="仿宋" w:hAnsi="仿宋" w:eastAsia="仿宋" w:cs="仿宋"/>
          <w:color w:val="404040"/>
          <w:spacing w:val="-3"/>
          <w:sz w:val="24"/>
          <w:szCs w:val="24"/>
        </w:rPr>
        <w:t>3、备品备件分为两部分（1、质保期内免费的备品备件、2</w:t>
      </w:r>
      <w:r>
        <w:rPr>
          <w:rFonts w:hint="eastAsia" w:ascii="仿宋" w:hAnsi="仿宋" w:eastAsia="仿宋" w:cs="仿宋"/>
          <w:color w:val="404040"/>
          <w:spacing w:val="-4"/>
          <w:sz w:val="24"/>
          <w:szCs w:val="24"/>
        </w:rPr>
        <w:t>、质保期外备品</w:t>
      </w:r>
      <w:r>
        <w:rPr>
          <w:rFonts w:hint="eastAsia" w:ascii="仿宋" w:hAnsi="仿宋" w:eastAsia="仿宋" w:cs="仿宋"/>
          <w:color w:val="404040"/>
          <w:spacing w:val="-1"/>
          <w:sz w:val="24"/>
          <w:szCs w:val="24"/>
        </w:rPr>
        <w:t>备件报价）</w:t>
      </w:r>
    </w:p>
    <w:p>
      <w:pPr>
        <w:spacing w:before="103" w:line="237" w:lineRule="exact"/>
        <w:rPr>
          <w:rFonts w:hint="eastAsia" w:ascii="仿宋" w:hAnsi="仿宋" w:eastAsia="仿宋" w:cs="仿宋"/>
          <w:spacing w:val="-1"/>
          <w:position w:val="-1"/>
          <w:sz w:val="24"/>
          <w:szCs w:val="24"/>
        </w:rPr>
      </w:pPr>
    </w:p>
    <w:p>
      <w:pPr>
        <w:topLinePunct/>
        <w:jc w:val="center"/>
        <w:rPr>
          <w:rFonts w:hint="default" w:ascii="Times New Roman" w:hAnsi="Times New Roman" w:eastAsia="仿宋_GB2312" w:cs="Times New Roman"/>
          <w:color w:val="auto"/>
          <w:sz w:val="24"/>
          <w:lang w:eastAsia="zh-CN"/>
        </w:rPr>
      </w:pPr>
      <w:r>
        <w:rPr>
          <w:rFonts w:hint="eastAsia" w:ascii="Times New Roman" w:hAnsi="Times New Roman" w:eastAsia="微软雅黑" w:cs="Times New Roman"/>
          <w:b/>
          <w:bCs/>
          <w:color w:val="auto"/>
          <w:sz w:val="28"/>
          <w:szCs w:val="28"/>
          <w:lang w:val="en-US" w:eastAsia="zh-CN"/>
        </w:rPr>
        <w:t xml:space="preserve"> 4</w:t>
      </w:r>
      <w:r>
        <w:rPr>
          <w:rFonts w:hint="eastAsia" w:ascii="方正黑体_GBK" w:hAnsi="方正黑体_GBK" w:eastAsia="方正黑体_GBK" w:cs="方正黑体_GBK"/>
          <w:b w:val="0"/>
          <w:bCs w:val="0"/>
          <w:color w:val="auto"/>
          <w:sz w:val="28"/>
          <w:szCs w:val="28"/>
          <w:lang w:val="en-US" w:eastAsia="zh-CN"/>
        </w:rPr>
        <w:t xml:space="preserve">  </w:t>
      </w:r>
      <w:r>
        <w:rPr>
          <w:rFonts w:hint="eastAsia" w:ascii="方正黑体_GBK" w:hAnsi="方正黑体_GBK" w:eastAsia="方正黑体_GBK" w:cs="方正黑体_GBK"/>
          <w:b w:val="0"/>
          <w:bCs w:val="0"/>
          <w:color w:val="auto"/>
          <w:sz w:val="28"/>
          <w:szCs w:val="28"/>
          <w:lang w:eastAsia="zh-CN"/>
        </w:rPr>
        <w:t>技术规格偏离表</w:t>
      </w:r>
    </w:p>
    <w:p>
      <w:pPr>
        <w:pStyle w:val="14"/>
        <w:spacing w:line="240" w:lineRule="atLeast"/>
        <w:rPr>
          <w:rFonts w:hint="default" w:ascii="Times New Roman" w:hAnsi="Times New Roman" w:eastAsia="仿宋_GB2312" w:cs="Times New Roman"/>
          <w:color w:val="auto"/>
          <w:sz w:val="24"/>
          <w:lang w:eastAsia="zh-CN"/>
        </w:rPr>
      </w:pPr>
    </w:p>
    <w:p>
      <w:pPr>
        <w:pStyle w:val="14"/>
        <w:spacing w:line="240" w:lineRule="atLeast"/>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项目名称:                招标编号:                 包号:</w:t>
      </w:r>
    </w:p>
    <w:p>
      <w:pPr>
        <w:pStyle w:val="2"/>
        <w:rPr>
          <w:rFonts w:hint="default" w:ascii="Times New Roman" w:hAnsi="Times New Roman" w:cs="Times New Roman"/>
          <w:color w:val="auto"/>
          <w:lang w:eastAsia="zh-CN"/>
        </w:rPr>
      </w:pPr>
    </w:p>
    <w:tbl>
      <w:tblPr>
        <w:tblStyle w:val="41"/>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pPr>
              <w:topLinePunct/>
              <w:spacing w:before="320" w:line="184" w:lineRule="auto"/>
              <w:ind w:left="19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329" w:type="dxa"/>
          </w:tcPr>
          <w:p>
            <w:pPr>
              <w:topLinePunct/>
              <w:spacing w:before="322" w:line="183" w:lineRule="auto"/>
              <w:ind w:left="18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货物名称</w:t>
            </w:r>
          </w:p>
        </w:tc>
        <w:tc>
          <w:tcPr>
            <w:tcW w:w="2471" w:type="dxa"/>
          </w:tcPr>
          <w:p>
            <w:pPr>
              <w:topLinePunct/>
              <w:spacing w:before="322" w:line="183" w:lineRule="auto"/>
              <w:ind w:left="186"/>
              <w:jc w:val="center"/>
              <w:rPr>
                <w:rFonts w:hint="default" w:ascii="Times New Roman" w:hAnsi="Times New Roman" w:eastAsia="仿宋" w:cs="Times New Roman"/>
                <w:color w:val="auto"/>
                <w:spacing w:val="-2"/>
                <w:sz w:val="24"/>
                <w:szCs w:val="24"/>
              </w:rPr>
            </w:pPr>
            <w:r>
              <w:rPr>
                <w:rFonts w:hint="eastAsia" w:ascii="Times New Roman" w:hAnsi="Times New Roman" w:eastAsia="仿宋" w:cs="Times New Roman"/>
                <w:color w:val="auto"/>
                <w:spacing w:val="-2"/>
                <w:sz w:val="24"/>
                <w:szCs w:val="24"/>
              </w:rPr>
              <w:t>招标</w:t>
            </w:r>
            <w:r>
              <w:rPr>
                <w:rFonts w:hint="eastAsia" w:ascii="Times New Roman" w:hAnsi="Times New Roman" w:eastAsia="仿宋" w:cs="Times New Roman"/>
                <w:color w:val="auto"/>
                <w:spacing w:val="-2"/>
                <w:sz w:val="24"/>
                <w:szCs w:val="24"/>
                <w:lang w:eastAsia="zh-CN"/>
              </w:rPr>
              <w:t>技术</w:t>
            </w:r>
            <w:r>
              <w:rPr>
                <w:rFonts w:hint="eastAsia" w:ascii="Times New Roman" w:hAnsi="Times New Roman" w:eastAsia="仿宋" w:cs="Times New Roman"/>
                <w:color w:val="auto"/>
                <w:spacing w:val="-2"/>
                <w:sz w:val="24"/>
                <w:szCs w:val="24"/>
              </w:rPr>
              <w:t>要求</w:t>
            </w:r>
          </w:p>
        </w:tc>
        <w:tc>
          <w:tcPr>
            <w:tcW w:w="1729" w:type="dxa"/>
          </w:tcPr>
          <w:p>
            <w:pPr>
              <w:topLinePunct/>
              <w:spacing w:before="322" w:line="183" w:lineRule="auto"/>
              <w:ind w:left="186"/>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投标技术响应</w:t>
            </w:r>
          </w:p>
        </w:tc>
        <w:tc>
          <w:tcPr>
            <w:tcW w:w="1395" w:type="dxa"/>
          </w:tcPr>
          <w:p>
            <w:pPr>
              <w:topLinePunct/>
              <w:spacing w:before="322" w:line="183" w:lineRule="auto"/>
              <w:ind w:left="237"/>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rPr>
              <w:t>偏离</w:t>
            </w:r>
            <w:r>
              <w:rPr>
                <w:rFonts w:hint="eastAsia" w:ascii="Times New Roman" w:hAnsi="Times New Roman" w:eastAsia="仿宋" w:cs="Times New Roman"/>
                <w:color w:val="auto"/>
                <w:spacing w:val="-2"/>
                <w:sz w:val="24"/>
                <w:szCs w:val="24"/>
                <w:lang w:eastAsia="zh-CN"/>
              </w:rPr>
              <w:t>情况</w:t>
            </w:r>
          </w:p>
        </w:tc>
        <w:tc>
          <w:tcPr>
            <w:tcW w:w="1215" w:type="dxa"/>
          </w:tcPr>
          <w:p>
            <w:pPr>
              <w:topLinePunct/>
              <w:spacing w:before="324" w:line="182" w:lineRule="auto"/>
              <w:ind w:left="23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bl>
    <w:p>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ascii="仿宋" w:hAnsi="仿宋" w:eastAsia="仿宋" w:cs="仿宋"/>
          <w:color w:val="auto"/>
          <w:spacing w:val="-2"/>
          <w:sz w:val="24"/>
          <w:szCs w:val="24"/>
        </w:rPr>
      </w:pPr>
      <w:r>
        <w:rPr>
          <w:rFonts w:hint="eastAsia" w:ascii="仿宋" w:hAnsi="仿宋" w:eastAsia="仿宋" w:cs="仿宋"/>
          <w:b/>
          <w:bCs/>
          <w:color w:val="auto"/>
          <w:sz w:val="24"/>
          <w:szCs w:val="24"/>
          <w:lang w:eastAsia="zh-CN"/>
        </w:rPr>
        <w:t>注：</w:t>
      </w:r>
      <w:r>
        <w:rPr>
          <w:rFonts w:hint="eastAsia" w:ascii="仿宋" w:hAnsi="仿宋" w:eastAsia="仿宋" w:cs="仿宋"/>
          <w:b/>
          <w:bCs/>
          <w:color w:val="auto"/>
          <w:sz w:val="24"/>
          <w:szCs w:val="24"/>
          <w:lang w:val="en-US" w:eastAsia="zh-CN"/>
        </w:rPr>
        <w:t>1.</w:t>
      </w:r>
      <w:r>
        <w:rPr>
          <w:rFonts w:ascii="仿宋" w:hAnsi="仿宋" w:eastAsia="仿宋" w:cs="仿宋"/>
          <w:color w:val="auto"/>
          <w:spacing w:val="-3"/>
          <w:sz w:val="24"/>
          <w:szCs w:val="24"/>
        </w:rPr>
        <w:t>供应商按此表格式列出不影响实质性响应的商务偏差，没</w:t>
      </w:r>
      <w:r>
        <w:rPr>
          <w:rFonts w:ascii="仿宋" w:hAnsi="仿宋" w:eastAsia="仿宋" w:cs="仿宋"/>
          <w:color w:val="auto"/>
          <w:spacing w:val="-4"/>
          <w:sz w:val="24"/>
          <w:szCs w:val="24"/>
        </w:rPr>
        <w:t>有说明的其他条款</w:t>
      </w:r>
      <w:r>
        <w:rPr>
          <w:rFonts w:ascii="仿宋" w:hAnsi="仿宋" w:eastAsia="仿宋" w:cs="仿宋"/>
          <w:color w:val="auto"/>
          <w:spacing w:val="-2"/>
          <w:sz w:val="24"/>
          <w:szCs w:val="24"/>
        </w:rPr>
        <w:t>将认为完全满足采购文件的规定。</w:t>
      </w: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z w:val="24"/>
          <w:szCs w:val="24"/>
        </w:rPr>
      </w:pPr>
      <w:r>
        <w:rPr>
          <w:rFonts w:ascii="仿宋" w:hAnsi="仿宋" w:eastAsia="仿宋" w:cs="仿宋"/>
          <w:color w:val="auto"/>
          <w:spacing w:val="-2"/>
          <w:sz w:val="24"/>
          <w:szCs w:val="24"/>
        </w:rPr>
        <w:t>供应商 （电子签章</w:t>
      </w:r>
      <w:r>
        <w:rPr>
          <w:rFonts w:ascii="仿宋" w:hAnsi="仿宋" w:eastAsia="仿宋" w:cs="仿宋"/>
          <w:color w:val="auto"/>
          <w:sz w:val="24"/>
          <w:szCs w:val="24"/>
        </w:rPr>
        <w:t>）：</w:t>
      </w:r>
    </w:p>
    <w:p>
      <w:pPr>
        <w:spacing w:line="255" w:lineRule="auto"/>
        <w:rPr>
          <w:rFonts w:ascii="Arial"/>
          <w:color w:val="auto"/>
          <w:sz w:val="21"/>
        </w:rPr>
      </w:pPr>
    </w:p>
    <w:p>
      <w:pPr>
        <w:spacing w:before="79" w:line="222" w:lineRule="auto"/>
        <w:ind w:left="134"/>
        <w:rPr>
          <w:rFonts w:ascii="仿宋" w:hAnsi="仿宋" w:eastAsia="仿宋" w:cs="仿宋"/>
          <w:color w:val="auto"/>
          <w:sz w:val="24"/>
          <w:szCs w:val="24"/>
        </w:rPr>
      </w:pPr>
      <w:r>
        <w:rPr>
          <w:rFonts w:ascii="仿宋" w:hAnsi="仿宋" w:eastAsia="仿宋" w:cs="仿宋"/>
          <w:color w:val="auto"/>
          <w:spacing w:val="-3"/>
          <w:sz w:val="24"/>
          <w:szCs w:val="24"/>
        </w:rPr>
        <w:t>法定代表人或委托代理人</w:t>
      </w:r>
      <w:r>
        <w:rPr>
          <w:rFonts w:ascii="仿宋" w:hAnsi="仿宋" w:eastAsia="仿宋" w:cs="仿宋"/>
          <w:color w:val="auto"/>
          <w:spacing w:val="-53"/>
          <w:sz w:val="24"/>
          <w:szCs w:val="24"/>
        </w:rPr>
        <w:t xml:space="preserve"> </w:t>
      </w:r>
      <w:r>
        <w:rPr>
          <w:rFonts w:ascii="仿宋" w:hAnsi="仿宋" w:eastAsia="仿宋" w:cs="仿宋"/>
          <w:color w:val="auto"/>
          <w:spacing w:val="-3"/>
          <w:sz w:val="24"/>
          <w:szCs w:val="24"/>
        </w:rPr>
        <w:t>CA</w:t>
      </w:r>
      <w:r>
        <w:rPr>
          <w:rFonts w:ascii="仿宋" w:hAnsi="仿宋" w:eastAsia="仿宋" w:cs="仿宋"/>
          <w:color w:val="auto"/>
          <w:spacing w:val="-38"/>
          <w:sz w:val="24"/>
          <w:szCs w:val="24"/>
        </w:rPr>
        <w:t xml:space="preserve"> </w:t>
      </w:r>
      <w:r>
        <w:rPr>
          <w:rFonts w:ascii="仿宋" w:hAnsi="仿宋" w:eastAsia="仿宋" w:cs="仿宋"/>
          <w:color w:val="auto"/>
          <w:spacing w:val="-3"/>
          <w:sz w:val="24"/>
          <w:szCs w:val="24"/>
        </w:rPr>
        <w:t>签字盖章：</w:t>
      </w:r>
    </w:p>
    <w:p>
      <w:pPr>
        <w:spacing w:before="78" w:line="222" w:lineRule="auto"/>
        <w:ind w:firstLine="4992" w:firstLineChars="2400"/>
        <w:rPr>
          <w:rFonts w:ascii="仿宋" w:hAnsi="仿宋" w:eastAsia="仿宋" w:cs="仿宋"/>
          <w:color w:val="auto"/>
          <w:sz w:val="24"/>
          <w:szCs w:val="24"/>
        </w:rPr>
      </w:pPr>
      <w:r>
        <w:rPr>
          <w:rFonts w:ascii="仿宋" w:hAnsi="仿宋" w:eastAsia="仿宋" w:cs="仿宋"/>
          <w:color w:val="auto"/>
          <w:spacing w:val="-16"/>
          <w:sz w:val="24"/>
          <w:szCs w:val="24"/>
        </w:rPr>
        <w:t>年</w:t>
      </w:r>
      <w:r>
        <w:rPr>
          <w:rFonts w:ascii="仿宋" w:hAnsi="仿宋" w:eastAsia="仿宋" w:cs="仿宋"/>
          <w:color w:val="auto"/>
          <w:spacing w:val="5"/>
          <w:sz w:val="24"/>
          <w:szCs w:val="24"/>
        </w:rPr>
        <w:t xml:space="preserve">     </w:t>
      </w:r>
      <w:r>
        <w:rPr>
          <w:rFonts w:ascii="仿宋" w:hAnsi="仿宋" w:eastAsia="仿宋" w:cs="仿宋"/>
          <w:color w:val="auto"/>
          <w:spacing w:val="-16"/>
          <w:sz w:val="24"/>
          <w:szCs w:val="24"/>
        </w:rPr>
        <w:t>月</w:t>
      </w:r>
      <w:r>
        <w:rPr>
          <w:rFonts w:ascii="仿宋" w:hAnsi="仿宋" w:eastAsia="仿宋" w:cs="仿宋"/>
          <w:color w:val="auto"/>
          <w:spacing w:val="13"/>
          <w:sz w:val="24"/>
          <w:szCs w:val="24"/>
        </w:rPr>
        <w:t xml:space="preserve">     </w:t>
      </w:r>
      <w:r>
        <w:rPr>
          <w:rFonts w:ascii="仿宋" w:hAnsi="仿宋" w:eastAsia="仿宋" w:cs="仿宋"/>
          <w:color w:val="auto"/>
          <w:spacing w:val="-16"/>
          <w:sz w:val="24"/>
          <w:szCs w:val="24"/>
        </w:rPr>
        <w:t>日</w:t>
      </w:r>
    </w:p>
    <w:p>
      <w:pPr>
        <w:pStyle w:val="10"/>
        <w:topLinePunct/>
        <w:spacing w:before="206" w:line="220" w:lineRule="auto"/>
        <w:jc w:val="center"/>
        <w:outlineLvl w:val="1"/>
        <w:rPr>
          <w:rFonts w:hint="default" w:ascii="Times New Roman" w:hAnsi="Times New Roman" w:eastAsia="仿宋" w:cs="Times New Roman"/>
          <w:b/>
          <w:bCs/>
          <w:color w:val="auto"/>
          <w:spacing w:val="-3"/>
          <w:lang w:eastAsia="zh-CN"/>
        </w:rPr>
      </w:pPr>
    </w:p>
    <w:p>
      <w:pPr>
        <w:spacing w:line="238" w:lineRule="exact"/>
        <w:rPr>
          <w:rFonts w:hint="eastAsia" w:ascii="仿宋" w:hAnsi="仿宋" w:eastAsia="仿宋" w:cs="仿宋"/>
          <w:sz w:val="24"/>
          <w:szCs w:val="24"/>
        </w:rPr>
      </w:pPr>
    </w:p>
    <w:p>
      <w:pPr>
        <w:spacing w:line="149" w:lineRule="exact"/>
        <w:rPr>
          <w:rFonts w:hint="eastAsia" w:ascii="仿宋" w:hAnsi="仿宋" w:eastAsia="仿宋" w:cs="仿宋"/>
        </w:rPr>
        <w:sectPr>
          <w:headerReference r:id="rId24" w:type="default"/>
          <w:footerReference r:id="rId25" w:type="default"/>
          <w:pgSz w:w="11906" w:h="16839"/>
          <w:pgMar w:top="1274" w:right="1328" w:bottom="1171" w:left="1328" w:header="852" w:footer="992" w:gutter="0"/>
          <w:pgNumType w:fmt="decimal"/>
          <w:cols w:equalWidth="0" w:num="1">
            <w:col w:w="9250"/>
          </w:cols>
        </w:sectPr>
      </w:pPr>
    </w:p>
    <w:p>
      <w:pPr>
        <w:spacing w:line="238" w:lineRule="exact"/>
        <w:rPr>
          <w:rFonts w:hint="eastAsia" w:ascii="仿宋" w:hAnsi="仿宋" w:eastAsia="仿宋" w:cs="仿宋"/>
          <w:sz w:val="24"/>
          <w:szCs w:val="24"/>
        </w:rPr>
      </w:pPr>
    </w:p>
    <w:p>
      <w:pPr>
        <w:pStyle w:val="3"/>
        <w:bidi w:val="0"/>
        <w:rPr>
          <w:rFonts w:hint="eastAsia" w:ascii="仿宋" w:hAnsi="仿宋" w:eastAsia="仿宋" w:cs="仿宋"/>
        </w:rPr>
      </w:pPr>
      <w:bookmarkStart w:id="224" w:name="_Toc3015"/>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24"/>
    </w:p>
    <w:p>
      <w:pPr>
        <w:spacing w:before="59"/>
        <w:rPr>
          <w:rFonts w:hint="eastAsia" w:ascii="仿宋" w:hAnsi="仿宋" w:eastAsia="仿宋" w:cs="仿宋"/>
        </w:rPr>
      </w:pPr>
    </w:p>
    <w:p>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4"/>
        <w:spacing w:line="240" w:lineRule="atLeast"/>
        <w:rPr>
          <w:rFonts w:hint="default" w:ascii="Times New Roman" w:hAnsi="Times New Roman" w:eastAsia="仿宋_GB2312" w:cs="Times New Roman"/>
          <w:color w:val="auto"/>
          <w:sz w:val="24"/>
          <w:lang w:eastAsia="zh-CN"/>
        </w:rPr>
      </w:pPr>
      <w:r>
        <w:rPr>
          <w:rFonts w:hint="eastAsia" w:ascii="仿宋" w:hAnsi="仿宋" w:eastAsia="仿宋" w:cs="仿宋"/>
          <w:spacing w:val="-1"/>
          <w:position w:val="-1"/>
          <w:sz w:val="24"/>
          <w:szCs w:val="24"/>
        </w:rPr>
        <w:t>招标编号:</w:t>
      </w:r>
      <w:r>
        <w:rPr>
          <w:rFonts w:hint="default" w:ascii="Times New Roman" w:hAnsi="Times New Roman" w:eastAsia="仿宋_GB2312" w:cs="Times New Roman"/>
          <w:color w:val="auto"/>
          <w:sz w:val="24"/>
          <w:lang w:eastAsia="zh-CN"/>
        </w:rPr>
        <w:t xml:space="preserve"> </w:t>
      </w:r>
      <w:r>
        <w:rPr>
          <w:rFonts w:hint="eastAsia" w:ascii="Times New Roman" w:hAnsi="Times New Roman" w:eastAsia="仿宋_GB2312" w:cs="Times New Roman"/>
          <w:color w:val="auto"/>
          <w:sz w:val="24"/>
          <w:lang w:val="en-US" w:eastAsia="zh-CN"/>
        </w:rPr>
        <w:t xml:space="preserve">     </w:t>
      </w:r>
      <w:r>
        <w:rPr>
          <w:rFonts w:hint="default" w:ascii="Times New Roman" w:hAnsi="Times New Roman" w:eastAsia="仿宋_GB2312" w:cs="Times New Roman"/>
          <w:color w:val="auto"/>
          <w:sz w:val="24"/>
          <w:lang w:eastAsia="zh-CN"/>
        </w:rPr>
        <w:t>包号:</w:t>
      </w:r>
    </w:p>
    <w:p>
      <w:pPr>
        <w:spacing w:line="14" w:lineRule="auto"/>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tbl>
      <w:tblPr>
        <w:tblStyle w:val="41"/>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4" w:hRule="atLeast"/>
        </w:trPr>
        <w:tc>
          <w:tcPr>
            <w:tcW w:w="952" w:type="dxa"/>
            <w:vAlign w:val="top"/>
          </w:tcPr>
          <w:p>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bl>
    <w:p>
      <w:pPr>
        <w:spacing w:line="255" w:lineRule="auto"/>
        <w:rPr>
          <w:rFonts w:hint="eastAsia" w:ascii="仿宋" w:hAnsi="仿宋" w:eastAsia="仿宋" w:cs="仿宋"/>
          <w:sz w:val="21"/>
        </w:rPr>
      </w:pPr>
    </w:p>
    <w:p>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pStyle w:val="3"/>
        <w:bidi w:val="0"/>
        <w:jc w:val="center"/>
        <w:rPr>
          <w:rFonts w:hint="eastAsia"/>
        </w:rPr>
      </w:pPr>
      <w:bookmarkStart w:id="225" w:name="_Toc13319"/>
      <w:r>
        <w:rPr>
          <w:rFonts w:hint="eastAsia"/>
        </w:rPr>
        <w:t>6-1   投标人企业（单位）类型声明函</w:t>
      </w:r>
      <w:bookmarkEnd w:id="225"/>
    </w:p>
    <w:p>
      <w:pPr>
        <w:spacing w:line="296" w:lineRule="auto"/>
        <w:rPr>
          <w:rFonts w:hint="eastAsia" w:ascii="仿宋" w:hAnsi="仿宋" w:eastAsia="仿宋" w:cs="仿宋"/>
          <w:sz w:val="21"/>
        </w:rPr>
      </w:pPr>
    </w:p>
    <w:p>
      <w:pPr>
        <w:spacing w:line="296" w:lineRule="auto"/>
        <w:rPr>
          <w:rFonts w:hint="eastAsia" w:ascii="仿宋" w:hAnsi="仿宋" w:eastAsia="仿宋" w:cs="仿宋"/>
          <w:sz w:val="21"/>
        </w:rPr>
      </w:pPr>
    </w:p>
    <w:p>
      <w:pPr>
        <w:spacing w:before="103" w:line="360" w:lineRule="auto"/>
        <w:ind w:left="495"/>
        <w:rPr>
          <w:rFonts w:hint="eastAsia" w:ascii="仿宋" w:hAnsi="仿宋" w:eastAsia="仿宋" w:cs="仿宋"/>
          <w:sz w:val="24"/>
          <w:szCs w:val="24"/>
        </w:rPr>
      </w:pPr>
      <w:r>
        <w:rPr>
          <w:rFonts w:hint="eastAsia" w:ascii="仿宋" w:hAnsi="仿宋" w:eastAsia="仿宋" w:cs="仿宋"/>
          <w:position w:val="31"/>
          <w:sz w:val="24"/>
          <w:szCs w:val="24"/>
        </w:rPr>
        <w:t>本企业（单位）郑重声明下列事项（按照实际情况</w:t>
      </w:r>
      <w:r>
        <w:rPr>
          <w:rFonts w:hint="eastAsia" w:ascii="仿宋" w:hAnsi="仿宋" w:eastAsia="仿宋" w:cs="仿宋"/>
          <w:spacing w:val="-1"/>
          <w:position w:val="31"/>
          <w:sz w:val="24"/>
          <w:szCs w:val="24"/>
        </w:rPr>
        <w:t>勾选或填空</w:t>
      </w:r>
      <w:r>
        <w:rPr>
          <w:rFonts w:hint="eastAsia" w:ascii="仿宋" w:hAnsi="仿宋" w:eastAsia="仿宋" w:cs="仿宋"/>
          <w:position w:val="31"/>
          <w:sz w:val="24"/>
          <w:szCs w:val="24"/>
        </w:rPr>
        <w:t>）：</w:t>
      </w:r>
    </w:p>
    <w:p>
      <w:pPr>
        <w:spacing w:before="1" w:line="360" w:lineRule="auto"/>
        <w:ind w:left="456"/>
        <w:rPr>
          <w:rFonts w:hint="eastAsia" w:ascii="仿宋" w:hAnsi="仿宋" w:eastAsia="仿宋" w:cs="仿宋"/>
          <w:sz w:val="24"/>
          <w:szCs w:val="24"/>
        </w:rPr>
      </w:pPr>
      <w:r>
        <w:rPr>
          <w:rFonts w:hint="eastAsia" w:ascii="仿宋" w:hAnsi="仿宋" w:eastAsia="仿宋" w:cs="仿宋"/>
          <w:spacing w:val="-1"/>
          <w:sz w:val="24"/>
          <w:szCs w:val="24"/>
        </w:rPr>
        <w:t>1、□本企业（单位）为直接投标人提供本企业（单位）制造的</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w:t>
      </w:r>
    </w:p>
    <w:p>
      <w:pPr>
        <w:spacing w:before="302" w:line="360" w:lineRule="auto"/>
        <w:ind w:left="16" w:right="69" w:firstLine="456"/>
        <w:jc w:val="both"/>
        <w:rPr>
          <w:rFonts w:hint="eastAsia" w:ascii="仿宋" w:hAnsi="仿宋" w:eastAsia="仿宋" w:cs="仿宋"/>
          <w:sz w:val="24"/>
          <w:szCs w:val="24"/>
        </w:rPr>
      </w:pPr>
      <w:r>
        <w:rPr>
          <w:rFonts w:hint="eastAsia" w:ascii="仿宋" w:hAnsi="仿宋" w:eastAsia="仿宋" w:cs="仿宋"/>
          <w:spacing w:val="-1"/>
          <w:sz w:val="24"/>
          <w:szCs w:val="24"/>
        </w:rPr>
        <w:t>（1）根据《工业和信息化部、国家统计局、国</w:t>
      </w:r>
      <w:r>
        <w:rPr>
          <w:rFonts w:hint="eastAsia" w:ascii="仿宋" w:hAnsi="仿宋" w:eastAsia="仿宋" w:cs="仿宋"/>
          <w:spacing w:val="-2"/>
          <w:sz w:val="24"/>
          <w:szCs w:val="24"/>
        </w:rPr>
        <w:t>家发展和改革委员会、财政</w:t>
      </w:r>
      <w:r>
        <w:rPr>
          <w:rFonts w:hint="eastAsia" w:ascii="仿宋" w:hAnsi="仿宋" w:eastAsia="仿宋" w:cs="仿宋"/>
          <w:spacing w:val="-3"/>
          <w:sz w:val="24"/>
          <w:szCs w:val="24"/>
        </w:rPr>
        <w:t>部关于印发中小企业划型标准规定的通知》（工信部联企业[2011]300 号）规定</w:t>
      </w:r>
      <w:r>
        <w:rPr>
          <w:rFonts w:hint="eastAsia" w:ascii="仿宋" w:hAnsi="仿宋" w:eastAsia="仿宋" w:cs="仿宋"/>
          <w:spacing w:val="-1"/>
          <w:sz w:val="24"/>
          <w:szCs w:val="24"/>
        </w:rPr>
        <w:t>的划分标准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，本企业为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（请填写：中型、小型、微型）企</w:t>
      </w:r>
      <w:r>
        <w:rPr>
          <w:rFonts w:hint="eastAsia" w:ascii="仿宋" w:hAnsi="仿宋" w:eastAsia="仿宋" w:cs="仿宋"/>
          <w:spacing w:val="-2"/>
          <w:sz w:val="24"/>
          <w:szCs w:val="24"/>
        </w:rPr>
        <w:t>业。</w:t>
      </w:r>
    </w:p>
    <w:p>
      <w:pPr>
        <w:spacing w:before="301" w:line="360" w:lineRule="auto"/>
        <w:ind w:left="36" w:right="215" w:firstLine="436"/>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w:t>
      </w:r>
      <w:r>
        <w:rPr>
          <w:rFonts w:hint="eastAsia" w:ascii="仿宋" w:hAnsi="仿宋" w:eastAsia="仿宋" w:cs="仿宋"/>
          <w:spacing w:val="69"/>
          <w:w w:val="101"/>
          <w:sz w:val="24"/>
          <w:szCs w:val="24"/>
        </w:rPr>
        <w:t xml:space="preserve"> </w:t>
      </w:r>
      <w:r>
        <w:rPr>
          <w:rFonts w:hint="eastAsia" w:ascii="仿宋" w:hAnsi="仿宋" w:eastAsia="仿宋" w:cs="仿宋"/>
          <w:spacing w:val="-3"/>
          <w:sz w:val="24"/>
          <w:szCs w:val="24"/>
        </w:rPr>
        <w:t>根据《关于促进残疾人就业政府采购政策的通知》（财库〔2017〕</w:t>
      </w:r>
      <w:r>
        <w:rPr>
          <w:rFonts w:hint="eastAsia" w:ascii="仿宋" w:hAnsi="仿宋" w:eastAsia="仿宋" w:cs="仿宋"/>
          <w:sz w:val="24"/>
          <w:szCs w:val="24"/>
        </w:rPr>
        <w:t xml:space="preserve"> 141 号）。本单位</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（请填写：是、不是）残疾人福利性单位。</w:t>
      </w:r>
    </w:p>
    <w:p>
      <w:pPr>
        <w:spacing w:before="299" w:line="360" w:lineRule="auto"/>
        <w:ind w:left="15" w:right="69" w:firstLine="430"/>
        <w:jc w:val="both"/>
        <w:rPr>
          <w:rFonts w:hint="eastAsia" w:ascii="仿宋" w:hAnsi="仿宋" w:eastAsia="仿宋" w:cs="仿宋"/>
          <w:sz w:val="24"/>
          <w:szCs w:val="24"/>
        </w:rPr>
      </w:pPr>
      <w:r>
        <w:rPr>
          <w:rFonts w:hint="eastAsia" w:ascii="仿宋" w:hAnsi="仿宋" w:eastAsia="仿宋" w:cs="仿宋"/>
          <w:spacing w:val="-1"/>
          <w:sz w:val="24"/>
          <w:szCs w:val="24"/>
        </w:rPr>
        <w:t>2、□本企业（单位）为代理商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，提供其他</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（请填写：中型、小型、微</w:t>
      </w:r>
      <w:r>
        <w:rPr>
          <w:rFonts w:hint="eastAsia" w:ascii="仿宋" w:hAnsi="仿宋" w:eastAsia="仿宋" w:cs="仿宋"/>
          <w:sz w:val="24"/>
          <w:szCs w:val="24"/>
        </w:rPr>
        <w:t xml:space="preserve"> </w:t>
      </w:r>
      <w:r>
        <w:rPr>
          <w:rFonts w:hint="eastAsia" w:ascii="仿宋" w:hAnsi="仿宋" w:eastAsia="仿宋" w:cs="仿宋"/>
          <w:spacing w:val="-3"/>
          <w:sz w:val="24"/>
          <w:szCs w:val="24"/>
        </w:rPr>
        <w:t>型）企业单位制造的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。本条所称</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w:t>
      </w:r>
      <w:r>
        <w:rPr>
          <w:rFonts w:hint="eastAsia" w:ascii="仿宋" w:hAnsi="仿宋" w:eastAsia="仿宋" w:cs="仿宋"/>
          <w:spacing w:val="11"/>
          <w:sz w:val="24"/>
          <w:szCs w:val="24"/>
        </w:rPr>
        <w:t xml:space="preserve"> </w:t>
      </w:r>
      <w:r>
        <w:rPr>
          <w:rFonts w:hint="eastAsia" w:ascii="仿宋" w:hAnsi="仿宋" w:eastAsia="仿宋" w:cs="仿宋"/>
          <w:sz w:val="24"/>
          <w:szCs w:val="24"/>
        </w:rPr>
        <w:t>大型企业注册商标的</w:t>
      </w:r>
      <w:r>
        <w:rPr>
          <w:rFonts w:hint="eastAsia" w:ascii="仿宋" w:hAnsi="仿宋" w:eastAsia="仿宋" w:cs="仿宋"/>
          <w:sz w:val="24"/>
          <w:szCs w:val="24"/>
          <w:lang w:eastAsia="zh-CN"/>
        </w:rPr>
        <w:t>服务</w:t>
      </w:r>
      <w:r>
        <w:rPr>
          <w:rFonts w:hint="eastAsia" w:ascii="仿宋" w:hAnsi="仿宋" w:eastAsia="仿宋" w:cs="仿宋"/>
          <w:sz w:val="24"/>
          <w:szCs w:val="24"/>
        </w:rPr>
        <w:t>。（后附制造商企业（单位）类</w:t>
      </w:r>
      <w:r>
        <w:rPr>
          <w:rFonts w:hint="eastAsia" w:ascii="仿宋" w:hAnsi="仿宋" w:eastAsia="仿宋" w:cs="仿宋"/>
          <w:spacing w:val="-1"/>
          <w:sz w:val="24"/>
          <w:szCs w:val="24"/>
        </w:rPr>
        <w:t>型声明函）</w:t>
      </w:r>
    </w:p>
    <w:p>
      <w:pPr>
        <w:spacing w:before="302" w:line="360" w:lineRule="auto"/>
        <w:ind w:left="12" w:right="69" w:firstLine="435"/>
        <w:jc w:val="both"/>
        <w:rPr>
          <w:rFonts w:hint="eastAsia" w:ascii="仿宋" w:hAnsi="仿宋" w:eastAsia="仿宋" w:cs="仿宋"/>
          <w:sz w:val="24"/>
          <w:szCs w:val="24"/>
        </w:rPr>
      </w:pPr>
      <w:r>
        <w:rPr>
          <w:rFonts w:hint="eastAsia" w:ascii="仿宋" w:hAnsi="仿宋" w:eastAsia="仿宋" w:cs="仿宋"/>
          <w:spacing w:val="-4"/>
          <w:sz w:val="24"/>
          <w:szCs w:val="24"/>
        </w:rPr>
        <w:t>3、□本企业（单位）为联合体一方，提供本企业（单位）制造的</w:t>
      </w:r>
      <w:r>
        <w:rPr>
          <w:rFonts w:hint="eastAsia" w:ascii="仿宋" w:hAnsi="仿宋" w:eastAsia="仿宋" w:cs="仿宋"/>
          <w:spacing w:val="-5"/>
          <w:sz w:val="24"/>
          <w:szCs w:val="24"/>
          <w:lang w:eastAsia="zh-CN"/>
        </w:rPr>
        <w:t>服务</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，由本</w:t>
      </w:r>
      <w:r>
        <w:rPr>
          <w:rFonts w:hint="eastAsia" w:ascii="仿宋" w:hAnsi="仿宋" w:eastAsia="仿宋" w:cs="仿宋"/>
          <w:spacing w:val="-3"/>
          <w:sz w:val="24"/>
          <w:szCs w:val="24"/>
        </w:rPr>
        <w:t>企业（单位）承担工程、提供服务。本企业（单位）提供协议合同金额占到共同</w:t>
      </w:r>
      <w:r>
        <w:rPr>
          <w:rFonts w:hint="eastAsia" w:ascii="仿宋" w:hAnsi="仿宋" w:eastAsia="仿宋" w:cs="仿宋"/>
          <w:spacing w:val="-1"/>
          <w:sz w:val="24"/>
          <w:szCs w:val="24"/>
        </w:rPr>
        <w:t>投标协议合同总金额的比例为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
          <w:sz w:val="24"/>
          <w:szCs w:val="24"/>
        </w:rPr>
        <w:t>。</w:t>
      </w:r>
    </w:p>
    <w:p>
      <w:pPr>
        <w:spacing w:before="321" w:line="360" w:lineRule="auto"/>
        <w:jc w:val="right"/>
        <w:rPr>
          <w:rFonts w:hint="eastAsia" w:ascii="仿宋" w:hAnsi="仿宋" w:eastAsia="仿宋" w:cs="仿宋"/>
          <w:sz w:val="24"/>
          <w:szCs w:val="24"/>
        </w:rPr>
      </w:pPr>
      <w:r>
        <w:rPr>
          <w:rFonts w:hint="eastAsia" w:ascii="仿宋" w:hAnsi="仿宋" w:eastAsia="仿宋" w:cs="仿宋"/>
          <w:spacing w:val="-8"/>
          <w:position w:val="31"/>
          <w:sz w:val="24"/>
          <w:szCs w:val="24"/>
        </w:rPr>
        <w:t>本企业（单位）对上述声明的真实性负责。如有虚假，将依法承担相应责任。</w:t>
      </w:r>
    </w:p>
    <w:p>
      <w:pPr>
        <w:spacing w:line="360" w:lineRule="auto"/>
        <w:ind w:left="3135"/>
        <w:rPr>
          <w:rFonts w:hint="eastAsia" w:ascii="仿宋" w:hAnsi="仿宋" w:eastAsia="仿宋" w:cs="仿宋"/>
          <w:sz w:val="21"/>
          <w:u w:val="single" w:color="auto"/>
        </w:rPr>
      </w:pPr>
      <w:r>
        <w:rPr>
          <w:rFonts w:hint="eastAsia" w:ascii="仿宋" w:hAnsi="仿宋" w:eastAsia="仿宋" w:cs="仿宋"/>
          <w:spacing w:val="-1"/>
          <w:sz w:val="24"/>
          <w:szCs w:val="24"/>
        </w:rPr>
        <w:t>投标人名称（公章</w:t>
      </w:r>
      <w:r>
        <w:rPr>
          <w:rFonts w:hint="eastAsia" w:ascii="仿宋" w:hAnsi="仿宋" w:eastAsia="仿宋" w:cs="仿宋"/>
          <w:spacing w:val="3"/>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___</w:t>
      </w:r>
    </w:p>
    <w:p>
      <w:pPr>
        <w:spacing w:before="103" w:line="360" w:lineRule="auto"/>
        <w:ind w:left="3168"/>
        <w:rPr>
          <w:rFonts w:hint="eastAsia" w:ascii="仿宋" w:hAnsi="仿宋" w:eastAsia="仿宋" w:cs="仿宋"/>
          <w:sz w:val="24"/>
          <w:szCs w:val="24"/>
        </w:rPr>
        <w:sectPr>
          <w:headerReference r:id="rId28" w:type="default"/>
          <w:footerReference r:id="rId29" w:type="default"/>
          <w:pgSz w:w="11906" w:h="16839"/>
          <w:pgMar w:top="1274" w:right="1728" w:bottom="1171" w:left="1785" w:header="852" w:footer="992" w:gutter="0"/>
          <w:pgNumType w:fmt="decimal"/>
          <w:cols w:space="720" w:num="1"/>
        </w:sect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263" w:lineRule="auto"/>
        <w:rPr>
          <w:rFonts w:hint="eastAsia" w:ascii="仿宋" w:hAnsi="仿宋" w:eastAsia="仿宋" w:cs="仿宋"/>
          <w:sz w:val="21"/>
        </w:rPr>
      </w:pPr>
    </w:p>
    <w:p>
      <w:pPr>
        <w:spacing w:line="180" w:lineRule="auto"/>
        <w:rPr>
          <w:rFonts w:hint="eastAsia" w:ascii="仿宋" w:hAnsi="仿宋" w:eastAsia="仿宋" w:cs="仿宋"/>
          <w:sz w:val="24"/>
          <w:szCs w:val="24"/>
          <w:u w:val="single" w:color="auto"/>
        </w:rPr>
      </w:pPr>
    </w:p>
    <w:p>
      <w:pPr>
        <w:spacing w:before="103" w:line="225" w:lineRule="auto"/>
        <w:ind w:left="24"/>
        <w:jc w:val="center"/>
        <w:outlineLvl w:val="1"/>
        <w:rPr>
          <w:rFonts w:hint="eastAsia" w:ascii="仿宋" w:hAnsi="仿宋" w:eastAsia="仿宋" w:cs="仿宋"/>
          <w:sz w:val="24"/>
          <w:szCs w:val="24"/>
        </w:rPr>
      </w:pPr>
      <w:bookmarkStart w:id="226" w:name="_Toc21862"/>
      <w:bookmarkStart w:id="227" w:name="_Toc9092"/>
      <w:bookmarkStart w:id="228" w:name="_Toc21931"/>
      <w:r>
        <w:rPr>
          <w:rFonts w:hint="eastAsia" w:ascii="仿宋" w:hAnsi="仿宋" w:eastAsia="仿宋" w:cs="仿宋"/>
          <w:b/>
          <w:bCs/>
          <w:spacing w:val="-1"/>
          <w:sz w:val="24"/>
          <w:szCs w:val="24"/>
        </w:rPr>
        <w:t>6-</w:t>
      </w:r>
      <w:r>
        <w:rPr>
          <w:rFonts w:hint="eastAsia" w:ascii="仿宋" w:hAnsi="仿宋" w:eastAsia="仿宋" w:cs="仿宋"/>
          <w:b/>
          <w:bCs/>
          <w:spacing w:val="-1"/>
          <w:sz w:val="24"/>
          <w:szCs w:val="24"/>
          <w:lang w:val="en-US" w:eastAsia="zh-CN"/>
        </w:rPr>
        <w:t>2</w:t>
      </w:r>
      <w:r>
        <w:rPr>
          <w:rFonts w:hint="eastAsia" w:ascii="仿宋" w:hAnsi="仿宋" w:eastAsia="仿宋" w:cs="仿宋"/>
          <w:b/>
          <w:bCs/>
          <w:spacing w:val="-1"/>
          <w:sz w:val="24"/>
          <w:szCs w:val="24"/>
        </w:rPr>
        <w:t xml:space="preserve">    残疾人福利性单位声明函（本项目不适用）</w:t>
      </w:r>
      <w:bookmarkEnd w:id="226"/>
      <w:bookmarkEnd w:id="227"/>
      <w:bookmarkEnd w:id="228"/>
    </w:p>
    <w:p>
      <w:pPr>
        <w:spacing w:line="311" w:lineRule="auto"/>
        <w:rPr>
          <w:rFonts w:hint="eastAsia" w:ascii="仿宋" w:hAnsi="仿宋" w:eastAsia="仿宋" w:cs="仿宋"/>
          <w:sz w:val="21"/>
        </w:rPr>
      </w:pPr>
    </w:p>
    <w:p>
      <w:pPr>
        <w:spacing w:before="103" w:line="360" w:lineRule="auto"/>
        <w:ind w:left="14" w:right="11" w:firstLine="567"/>
        <w:jc w:val="both"/>
        <w:rPr>
          <w:rFonts w:hint="eastAsia" w:ascii="仿宋" w:hAnsi="仿宋" w:eastAsia="仿宋" w:cs="仿宋"/>
          <w:sz w:val="24"/>
          <w:szCs w:val="24"/>
        </w:rPr>
      </w:pPr>
      <w:r>
        <w:rPr>
          <w:rFonts w:hint="eastAsia" w:ascii="仿宋" w:hAnsi="仿宋" w:eastAsia="仿宋" w:cs="仿宋"/>
          <w:spacing w:val="-1"/>
          <w:sz w:val="24"/>
          <w:szCs w:val="24"/>
        </w:rPr>
        <w:t>本单位郑重声明</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，根据《财政部民政部中国残疾人联合会关于促进残疾</w:t>
      </w:r>
      <w:r>
        <w:rPr>
          <w:rFonts w:hint="eastAsia" w:ascii="仿宋" w:hAnsi="仿宋" w:eastAsia="仿宋" w:cs="仿宋"/>
          <w:sz w:val="24"/>
          <w:szCs w:val="24"/>
        </w:rPr>
        <w:t>人就业政府采购政策的通知》（财库〔2017</w:t>
      </w:r>
      <w:r>
        <w:rPr>
          <w:rFonts w:hint="eastAsia" w:ascii="仿宋" w:hAnsi="仿宋" w:eastAsia="仿宋" w:cs="仿宋"/>
          <w:spacing w:val="-1"/>
          <w:sz w:val="24"/>
          <w:szCs w:val="24"/>
        </w:rPr>
        <w:t>〕</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141 号）的规定</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，本单位为符合</w:t>
      </w:r>
      <w:r>
        <w:rPr>
          <w:rFonts w:hint="eastAsia" w:ascii="仿宋" w:hAnsi="仿宋" w:eastAsia="仿宋" w:cs="仿宋"/>
          <w:sz w:val="24"/>
          <w:szCs w:val="24"/>
        </w:rPr>
        <w:t>条件的残疾人福利性单位</w:t>
      </w:r>
      <w:r>
        <w:rPr>
          <w:rFonts w:hint="eastAsia" w:ascii="仿宋" w:hAnsi="仿宋" w:eastAsia="仿宋" w:cs="仿宋"/>
          <w:spacing w:val="-19"/>
          <w:sz w:val="24"/>
          <w:szCs w:val="24"/>
        </w:rPr>
        <w:t xml:space="preserve"> </w:t>
      </w:r>
      <w:r>
        <w:rPr>
          <w:rFonts w:hint="eastAsia" w:ascii="仿宋" w:hAnsi="仿宋" w:eastAsia="仿宋" w:cs="仿宋"/>
          <w:sz w:val="24"/>
          <w:szCs w:val="24"/>
        </w:rPr>
        <w:t>，且本单位参加</w:t>
      </w:r>
      <w:r>
        <w:rPr>
          <w:rFonts w:hint="eastAsia" w:ascii="仿宋" w:hAnsi="仿宋" w:eastAsia="仿宋" w:cs="仿宋"/>
          <w:spacing w:val="-6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8"/>
          <w:sz w:val="24"/>
          <w:szCs w:val="24"/>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项目采购活动提供</w:t>
      </w:r>
      <w:r>
        <w:rPr>
          <w:rFonts w:hint="eastAsia" w:ascii="仿宋" w:hAnsi="仿宋" w:eastAsia="仿宋" w:cs="仿宋"/>
          <w:spacing w:val="-3"/>
          <w:sz w:val="24"/>
          <w:szCs w:val="24"/>
        </w:rPr>
        <w:t>本单位制造的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，或者提供其他残疾人福利性单位制造的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（不包括使用非</w:t>
      </w:r>
      <w:r>
        <w:rPr>
          <w:rFonts w:hint="eastAsia" w:ascii="仿宋" w:hAnsi="仿宋" w:eastAsia="仿宋" w:cs="仿宋"/>
          <w:sz w:val="24"/>
          <w:szCs w:val="24"/>
        </w:rPr>
        <w:t>残疾人福利性单位注册商标的</w:t>
      </w:r>
      <w:r>
        <w:rPr>
          <w:rFonts w:hint="eastAsia" w:ascii="仿宋" w:hAnsi="仿宋" w:eastAsia="仿宋" w:cs="仿宋"/>
          <w:sz w:val="24"/>
          <w:szCs w:val="24"/>
          <w:lang w:eastAsia="zh-CN"/>
        </w:rPr>
        <w:t>服务</w:t>
      </w:r>
      <w:r>
        <w:rPr>
          <w:rFonts w:hint="eastAsia" w:ascii="仿宋" w:hAnsi="仿宋" w:eastAsia="仿宋" w:cs="仿宋"/>
          <w:sz w:val="24"/>
          <w:szCs w:val="24"/>
        </w:rPr>
        <w:t>）。</w:t>
      </w:r>
    </w:p>
    <w:p>
      <w:pPr>
        <w:spacing w:before="66" w:line="360" w:lineRule="auto"/>
        <w:ind w:left="555"/>
        <w:rPr>
          <w:rFonts w:hint="eastAsia" w:ascii="仿宋" w:hAnsi="仿宋" w:eastAsia="仿宋" w:cs="仿宋"/>
          <w:sz w:val="24"/>
          <w:szCs w:val="24"/>
        </w:rPr>
      </w:pPr>
      <w:r>
        <w:rPr>
          <w:rFonts w:hint="eastAsia" w:ascii="仿宋" w:hAnsi="仿宋" w:eastAsia="仿宋" w:cs="仿宋"/>
          <w:spacing w:val="-2"/>
          <w:sz w:val="24"/>
          <w:szCs w:val="24"/>
        </w:rPr>
        <w:t>本单位对上述声明的真实性负责。如有虚假</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，将依法承担相应责任。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ind w:left="3168"/>
        <w:rPr>
          <w:rFonts w:hint="eastAsia" w:ascii="仿宋" w:hAnsi="仿宋" w:eastAsia="仿宋" w:cs="仿宋"/>
          <w:sz w:val="24"/>
          <w:szCs w:val="24"/>
          <w:u w:val="single" w:color="auto"/>
        </w:rPr>
      </w:pPr>
      <w:r>
        <w:rPr>
          <w:rFonts w:hint="eastAsia" w:ascii="仿宋" w:hAnsi="仿宋" w:eastAsia="仿宋" w:cs="仿宋"/>
          <w:spacing w:val="-1"/>
          <w:sz w:val="24"/>
          <w:szCs w:val="24"/>
        </w:rPr>
        <w:t>残疾人福利性单位名称（公章</w:t>
      </w:r>
      <w:r>
        <w:rPr>
          <w:rFonts w:hint="eastAsia" w:ascii="仿宋" w:hAnsi="仿宋" w:eastAsia="仿宋" w:cs="仿宋"/>
          <w:spacing w:val="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sectPr>
          <w:footerReference r:id="rId30" w:type="default"/>
          <w:pgSz w:w="11906" w:h="16839"/>
          <w:pgMar w:top="1274" w:right="1728" w:bottom="1171" w:left="1785" w:header="852" w:footer="992" w:gutter="0"/>
          <w:pgNumType w:fmt="decimal"/>
          <w:cols w:space="720" w:num="1"/>
        </w:sectPr>
      </w:pPr>
    </w:p>
    <w:p>
      <w:pPr>
        <w:pStyle w:val="3"/>
        <w:bidi w:val="0"/>
        <w:rPr>
          <w:rFonts w:hint="eastAsia" w:ascii="仿宋" w:hAnsi="仿宋" w:eastAsia="仿宋" w:cs="仿宋"/>
          <w:sz w:val="24"/>
          <w:szCs w:val="24"/>
        </w:rPr>
      </w:pPr>
      <w:bookmarkStart w:id="22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3</w:t>
      </w:r>
      <w:r>
        <w:rPr>
          <w:rFonts w:hint="eastAsia" w:ascii="仿宋" w:hAnsi="仿宋" w:eastAsia="仿宋" w:cs="仿宋"/>
          <w:b/>
          <w:bCs/>
          <w:spacing w:val="-1"/>
          <w:sz w:val="24"/>
          <w:szCs w:val="24"/>
        </w:rPr>
        <w:t>《中小企业声明函》（</w:t>
      </w:r>
      <w:r>
        <w:rPr>
          <w:rFonts w:hint="eastAsia" w:ascii="仿宋" w:hAnsi="仿宋" w:eastAsia="仿宋" w:cs="仿宋"/>
          <w:b/>
          <w:bCs/>
          <w:spacing w:val="-1"/>
          <w:sz w:val="24"/>
          <w:szCs w:val="24"/>
          <w:lang w:val="en-US" w:eastAsia="zh-CN"/>
        </w:rPr>
        <w:t>货物</w:t>
      </w:r>
      <w:r>
        <w:rPr>
          <w:rFonts w:hint="eastAsia" w:ascii="仿宋" w:hAnsi="仿宋" w:eastAsia="仿宋" w:cs="仿宋"/>
          <w:b/>
          <w:bCs/>
          <w:spacing w:val="-1"/>
          <w:sz w:val="24"/>
          <w:szCs w:val="24"/>
        </w:rPr>
        <w:t>）</w:t>
      </w:r>
      <w:bookmarkEnd w:id="229"/>
    </w:p>
    <w:p>
      <w:pPr>
        <w:spacing w:line="246" w:lineRule="auto"/>
        <w:rPr>
          <w:rFonts w:hint="eastAsia" w:ascii="仿宋" w:hAnsi="仿宋" w:eastAsia="仿宋" w:cs="仿宋"/>
          <w:sz w:val="21"/>
        </w:rPr>
      </w:pPr>
    </w:p>
    <w:p>
      <w:pPr>
        <w:pStyle w:val="10"/>
        <w:spacing w:before="78" w:line="360" w:lineRule="auto"/>
        <w:ind w:left="21" w:firstLine="480"/>
        <w:rPr>
          <w:rFonts w:hint="eastAsia" w:ascii="仿宋" w:hAnsi="仿宋" w:eastAsia="仿宋" w:cs="仿宋"/>
          <w:sz w:val="24"/>
          <w:szCs w:val="24"/>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pPr>
        <w:spacing w:line="360" w:lineRule="auto"/>
        <w:rPr>
          <w:rFonts w:hint="eastAsia" w:ascii="仿宋" w:hAnsi="仿宋" w:eastAsia="仿宋" w:cs="仿宋"/>
          <w:sz w:val="21"/>
        </w:rPr>
      </w:pPr>
    </w:p>
    <w:p>
      <w:pPr>
        <w:pStyle w:val="10"/>
        <w:spacing w:before="78" w:line="360" w:lineRule="auto"/>
        <w:ind w:left="23" w:right="74" w:firstLine="494"/>
        <w:jc w:val="both"/>
        <w:rPr>
          <w:rFonts w:hint="eastAsia" w:ascii="仿宋" w:hAnsi="仿宋" w:eastAsia="仿宋" w:cs="仿宋"/>
          <w:sz w:val="21"/>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pPr>
        <w:pStyle w:val="4"/>
        <w:jc w:val="both"/>
        <w:rPr>
          <w:rFonts w:hint="default"/>
          <w:lang w:val="en-US" w:eastAsia="zh-CN"/>
        </w:rPr>
      </w:pPr>
      <w:r>
        <w:rPr>
          <w:rFonts w:hint="eastAsia" w:ascii="仿宋" w:hAnsi="仿宋" w:eastAsia="仿宋" w:cs="仿宋"/>
          <w:sz w:val="21"/>
          <w:lang w:val="en-US" w:eastAsia="zh-CN"/>
        </w:rPr>
        <w:t xml:space="preserve">    </w:t>
      </w:r>
      <w:bookmarkStart w:id="230" w:name="_Toc3998"/>
      <w:r>
        <w:rPr>
          <w:rFonts w:hint="eastAsia" w:ascii="仿宋" w:hAnsi="仿宋" w:eastAsia="仿宋" w:cs="仿宋"/>
          <w:sz w:val="21"/>
          <w:lang w:val="en-US" w:eastAsia="zh-CN"/>
        </w:rPr>
        <w:t>...........................................</w:t>
      </w:r>
      <w:bookmarkEnd w:id="230"/>
    </w:p>
    <w:p>
      <w:pPr>
        <w:pStyle w:val="10"/>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pPr>
        <w:spacing w:line="360" w:lineRule="auto"/>
        <w:rPr>
          <w:rFonts w:hint="eastAsia" w:ascii="仿宋" w:hAnsi="仿宋" w:eastAsia="仿宋" w:cs="仿宋"/>
          <w:sz w:val="21"/>
        </w:rPr>
      </w:pPr>
    </w:p>
    <w:p>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pPr>
        <w:spacing w:line="284" w:lineRule="auto"/>
        <w:rPr>
          <w:rFonts w:hint="eastAsia" w:ascii="仿宋" w:hAnsi="仿宋" w:eastAsia="仿宋" w:cs="仿宋"/>
          <w:sz w:val="21"/>
        </w:rPr>
      </w:pPr>
    </w:p>
    <w:p>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pPr>
        <w:spacing w:line="267" w:lineRule="auto"/>
        <w:rPr>
          <w:rFonts w:hint="eastAsia" w:ascii="仿宋" w:hAnsi="仿宋" w:eastAsia="仿宋" w:cs="仿宋"/>
          <w:sz w:val="21"/>
        </w:rPr>
      </w:pP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备注：1、《中小企业声明函》必须填报上一年度的从业人员、营业额收入、资产总额数据，必须如实填写中小企业声明函，不得提供虚假数据投标，如提供虚假资料，投标商自行承担责任。</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2、投标商需详细列明技术参数中所有标的物名称。</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3、新成立企业（无上年度数据）或年初数据未审计等，需提供成立至今数据，并准备充分证明材料证明其符合中小企业标准，在投标文件中清晰说明情况及数据来源。</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4、若上年度审计报告未出，则采用税务系统申报的上一年度会计数据作为填报数据。</w:t>
      </w: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spacing w:line="360" w:lineRule="auto"/>
        <w:rPr>
          <w:rFonts w:hint="eastAsia" w:ascii="仿宋" w:hAnsi="仿宋" w:eastAsia="仿宋" w:cs="仿宋"/>
          <w:b/>
          <w:bCs/>
          <w:color w:val="FF0000"/>
          <w:sz w:val="24"/>
          <w:szCs w:val="32"/>
        </w:rPr>
      </w:pPr>
    </w:p>
    <w:p>
      <w:pPr>
        <w:pStyle w:val="2"/>
        <w:rPr>
          <w:rFonts w:hint="eastAsia" w:ascii="仿宋" w:hAnsi="仿宋" w:eastAsia="仿宋" w:cs="仿宋"/>
          <w:b/>
          <w:bCs/>
          <w:color w:val="FF0000"/>
          <w:sz w:val="24"/>
          <w:szCs w:val="32"/>
        </w:rPr>
      </w:pPr>
    </w:p>
    <w:p>
      <w:pPr>
        <w:pStyle w:val="9"/>
        <w:rPr>
          <w:rFonts w:hint="eastAsia" w:ascii="仿宋" w:hAnsi="仿宋" w:eastAsia="仿宋" w:cs="仿宋"/>
          <w:b/>
          <w:bCs/>
          <w:color w:val="FF0000"/>
          <w:sz w:val="24"/>
          <w:szCs w:val="32"/>
        </w:rPr>
      </w:pPr>
    </w:p>
    <w:p>
      <w:pPr>
        <w:rPr>
          <w:rFonts w:hint="eastAsia"/>
        </w:rPr>
      </w:pPr>
    </w:p>
    <w:p>
      <w:pPr>
        <w:spacing w:line="360" w:lineRule="auto"/>
        <w:rPr>
          <w:rFonts w:hint="eastAsia" w:ascii="仿宋" w:hAnsi="仿宋" w:eastAsia="仿宋" w:cs="仿宋"/>
          <w:b/>
          <w:bCs/>
          <w:color w:val="FF0000"/>
          <w:sz w:val="28"/>
          <w:szCs w:val="28"/>
          <w:lang w:val="en-US" w:eastAsia="zh-CN"/>
        </w:rPr>
      </w:pPr>
    </w:p>
    <w:p>
      <w:pPr>
        <w:spacing w:before="104" w:line="360" w:lineRule="auto"/>
        <w:ind w:left="562"/>
        <w:outlineLvl w:val="1"/>
        <w:rPr>
          <w:rFonts w:hint="eastAsia" w:ascii="仿宋" w:hAnsi="仿宋" w:eastAsia="仿宋" w:cs="仿宋"/>
          <w:sz w:val="24"/>
          <w:szCs w:val="24"/>
        </w:rPr>
      </w:pPr>
      <w:bookmarkStart w:id="231" w:name="_Toc11437"/>
      <w:r>
        <w:rPr>
          <w:rFonts w:hint="eastAsia" w:ascii="仿宋" w:hAnsi="仿宋" w:eastAsia="仿宋" w:cs="仿宋"/>
          <w:b/>
          <w:bCs/>
          <w:spacing w:val="-1"/>
          <w:sz w:val="24"/>
          <w:szCs w:val="24"/>
        </w:rPr>
        <w:t>7     投标人关联单位的说明</w:t>
      </w:r>
      <w:bookmarkEnd w:id="231"/>
    </w:p>
    <w:p>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pPr>
        <w:spacing w:line="360" w:lineRule="auto"/>
        <w:rPr>
          <w:rFonts w:hint="eastAsia" w:ascii="仿宋" w:hAnsi="仿宋" w:eastAsia="仿宋" w:cs="仿宋"/>
          <w:sz w:val="21"/>
        </w:rPr>
      </w:pPr>
    </w:p>
    <w:p>
      <w:pPr>
        <w:spacing w:before="103" w:line="360" w:lineRule="auto"/>
        <w:ind w:left="561"/>
        <w:outlineLvl w:val="1"/>
        <w:rPr>
          <w:rFonts w:hint="eastAsia" w:ascii="仿宋" w:hAnsi="仿宋" w:eastAsia="仿宋" w:cs="仿宋"/>
          <w:sz w:val="24"/>
          <w:szCs w:val="24"/>
        </w:rPr>
      </w:pPr>
      <w:bookmarkStart w:id="23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32"/>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pStyle w:val="3"/>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1" w:type="default"/>
          <w:footerReference r:id="rId32"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3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33"/>
    </w:p>
    <w:p>
      <w:pPr>
        <w:pStyle w:val="3"/>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3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34"/>
    </w:p>
    <w:p>
      <w:pPr>
        <w:spacing w:before="190"/>
        <w:rPr>
          <w:rFonts w:hint="eastAsia" w:ascii="仿宋" w:hAnsi="仿宋" w:eastAsia="仿宋" w:cs="仿宋"/>
        </w:rPr>
      </w:pPr>
    </w:p>
    <w:tbl>
      <w:tblPr>
        <w:tblStyle w:val="41"/>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pPr>
              <w:spacing w:before="187" w:line="219" w:lineRule="auto"/>
              <w:ind w:left="7047"/>
              <w:rPr>
                <w:rFonts w:hint="eastAsia" w:ascii="仿宋" w:hAnsi="仿宋" w:eastAsia="仿宋" w:cs="仿宋"/>
                <w:sz w:val="32"/>
                <w:szCs w:val="32"/>
              </w:rPr>
            </w:pPr>
          </w:p>
          <w:p>
            <w:pPr>
              <w:spacing w:line="249" w:lineRule="auto"/>
              <w:rPr>
                <w:rFonts w:hint="eastAsia" w:ascii="仿宋" w:hAnsi="仿宋" w:eastAsia="仿宋" w:cs="仿宋"/>
                <w:sz w:val="22"/>
                <w:szCs w:val="22"/>
              </w:rPr>
            </w:pPr>
          </w:p>
          <w:p>
            <w:pPr>
              <w:spacing w:line="249"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pPr>
              <w:spacing w:line="460" w:lineRule="auto"/>
              <w:rPr>
                <w:rFonts w:hint="eastAsia" w:ascii="仿宋" w:hAnsi="仿宋" w:eastAsia="仿宋" w:cs="仿宋"/>
                <w:sz w:val="22"/>
                <w:szCs w:val="22"/>
              </w:rPr>
            </w:pPr>
          </w:p>
          <w:p>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pPr>
              <w:spacing w:line="290" w:lineRule="auto"/>
              <w:rPr>
                <w:rFonts w:hint="eastAsia" w:ascii="仿宋" w:hAnsi="仿宋" w:eastAsia="仿宋" w:cs="仿宋"/>
                <w:sz w:val="22"/>
                <w:szCs w:val="22"/>
              </w:rPr>
            </w:pPr>
          </w:p>
          <w:p>
            <w:pPr>
              <w:spacing w:line="290" w:lineRule="auto"/>
              <w:rPr>
                <w:rFonts w:hint="eastAsia" w:ascii="仿宋" w:hAnsi="仿宋" w:eastAsia="仿宋" w:cs="仿宋"/>
                <w:sz w:val="22"/>
                <w:szCs w:val="22"/>
              </w:rPr>
            </w:pPr>
          </w:p>
          <w:p>
            <w:pPr>
              <w:spacing w:line="291" w:lineRule="auto"/>
              <w:rPr>
                <w:rFonts w:hint="eastAsia" w:ascii="仿宋" w:hAnsi="仿宋" w:eastAsia="仿宋" w:cs="仿宋"/>
                <w:sz w:val="22"/>
                <w:szCs w:val="22"/>
              </w:rPr>
            </w:pPr>
          </w:p>
          <w:p>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pPr>
              <w:spacing w:line="304" w:lineRule="auto"/>
              <w:rPr>
                <w:rFonts w:hint="eastAsia" w:ascii="仿宋" w:hAnsi="仿宋" w:eastAsia="仿宋" w:cs="仿宋"/>
                <w:sz w:val="22"/>
                <w:szCs w:val="22"/>
              </w:rPr>
            </w:pPr>
          </w:p>
          <w:p>
            <w:pPr>
              <w:spacing w:line="304" w:lineRule="auto"/>
              <w:rPr>
                <w:rFonts w:hint="eastAsia" w:ascii="仿宋" w:hAnsi="仿宋" w:eastAsia="仿宋" w:cs="仿宋"/>
                <w:sz w:val="22"/>
                <w:szCs w:val="22"/>
              </w:rPr>
            </w:pPr>
          </w:p>
          <w:p>
            <w:pPr>
              <w:spacing w:line="305" w:lineRule="auto"/>
              <w:rPr>
                <w:rFonts w:hint="eastAsia" w:ascii="仿宋" w:hAnsi="仿宋" w:eastAsia="仿宋" w:cs="仿宋"/>
                <w:sz w:val="22"/>
                <w:szCs w:val="22"/>
              </w:rPr>
            </w:pPr>
          </w:p>
          <w:p>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pPr>
        <w:rPr>
          <w:rFonts w:hint="eastAsia" w:ascii="仿宋" w:hAnsi="仿宋" w:eastAsia="仿宋" w:cs="仿宋"/>
          <w:sz w:val="21"/>
          <w:szCs w:val="21"/>
        </w:rPr>
        <w:sectPr>
          <w:headerReference r:id="rId33" w:type="default"/>
          <w:footerReference r:id="rId34"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pPr>
        <w:pStyle w:val="3"/>
        <w:numPr>
          <w:ilvl w:val="0"/>
          <w:numId w:val="7"/>
        </w:numPr>
        <w:bidi w:val="0"/>
        <w:jc w:val="center"/>
        <w:rPr>
          <w:rFonts w:hint="default"/>
          <w:lang w:val="en-US" w:eastAsia="zh-CN"/>
        </w:rPr>
      </w:pPr>
      <w:bookmarkStart w:id="235" w:name="_Toc2930"/>
      <w:bookmarkStart w:id="236" w:name="_Toc6182"/>
      <w:r>
        <w:rPr>
          <w:rFonts w:hint="eastAsia" w:ascii="仿宋" w:hAnsi="仿宋" w:eastAsia="仿宋" w:cs="仿宋"/>
          <w:lang w:val="en-US" w:eastAsia="zh-CN"/>
        </w:rPr>
        <w:t>投标邀请</w:t>
      </w:r>
      <w:bookmarkEnd w:id="235"/>
      <w:bookmarkEnd w:id="236"/>
    </w:p>
    <w:p>
      <w:pPr>
        <w:spacing w:line="336" w:lineRule="auto"/>
        <w:jc w:val="center"/>
        <w:rPr>
          <w:rFonts w:hint="eastAsia" w:ascii="仿宋" w:hAnsi="仿宋" w:eastAsia="仿宋" w:cs="仿宋"/>
          <w:b/>
          <w:sz w:val="40"/>
          <w:szCs w:val="40"/>
        </w:rPr>
      </w:pPr>
      <w:bookmarkStart w:id="237" w:name="_Toc5041"/>
      <w:r>
        <w:rPr>
          <w:rFonts w:hint="eastAsia" w:ascii="仿宋" w:hAnsi="仿宋" w:eastAsia="仿宋" w:cs="仿宋"/>
          <w:b/>
          <w:sz w:val="40"/>
          <w:szCs w:val="40"/>
          <w:lang w:val="en-US" w:eastAsia="zh-CN"/>
        </w:rPr>
        <w:t>莎车县中小学基础设施提升改造（中小学教育设施设备购置）项目（四次）公开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pPr>
        <w:pStyle w:val="2"/>
        <w:ind w:left="0" w:leftChars="0" w:firstLine="0" w:firstLineChars="0"/>
        <w:rPr>
          <w:rFonts w:hint="eastAsia" w:ascii="仿宋" w:hAnsi="仿宋" w:eastAsia="仿宋" w:cs="仿宋"/>
        </w:rPr>
      </w:pPr>
    </w:p>
    <w:p>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sz w:val="24"/>
          <w:szCs w:val="24"/>
          <w:u w:val="none"/>
          <w:lang w:eastAsia="zh-CN"/>
        </w:rPr>
      </w:pPr>
      <w:r>
        <w:rPr>
          <w:rFonts w:hint="eastAsia" w:ascii="仿宋" w:hAnsi="仿宋" w:eastAsia="仿宋" w:cs="仿宋"/>
          <w:sz w:val="24"/>
          <w:szCs w:val="24"/>
          <w:u w:val="single"/>
          <w:lang w:val="en-US" w:eastAsia="zh-CN"/>
        </w:rPr>
        <w:t>莎车县中小学基础设施提升改造（中小学教育设施设备购置）项目（四次）</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sz w:val="24"/>
          <w:szCs w:val="24"/>
          <w:highlight w:val="none"/>
          <w:u w:val="single"/>
        </w:rPr>
        <w:t>202</w:t>
      </w:r>
      <w:r>
        <w:rPr>
          <w:rFonts w:hint="eastAsia" w:ascii="仿宋" w:hAnsi="仿宋" w:eastAsia="仿宋" w:cs="仿宋"/>
          <w:sz w:val="24"/>
          <w:szCs w:val="24"/>
          <w:highlight w:val="none"/>
          <w:u w:val="single"/>
          <w:lang w:val="en-US" w:eastAsia="zh-CN"/>
        </w:rPr>
        <w:t>6年6</w:t>
      </w:r>
      <w:r>
        <w:rPr>
          <w:rFonts w:hint="eastAsia" w:ascii="仿宋" w:hAnsi="仿宋" w:eastAsia="仿宋" w:cs="仿宋"/>
          <w:sz w:val="24"/>
          <w:szCs w:val="24"/>
          <w:highlight w:val="none"/>
          <w:u w:val="single"/>
        </w:rPr>
        <w:t>月</w:t>
      </w:r>
      <w:r>
        <w:rPr>
          <w:rFonts w:hint="eastAsia" w:ascii="仿宋" w:hAnsi="仿宋" w:eastAsia="仿宋" w:cs="仿宋"/>
          <w:sz w:val="24"/>
          <w:szCs w:val="24"/>
          <w:highlight w:val="none"/>
          <w:u w:val="single"/>
          <w:lang w:val="en-US" w:eastAsia="zh-CN"/>
        </w:rPr>
        <w:t>29</w:t>
      </w:r>
      <w:r>
        <w:rPr>
          <w:rFonts w:hint="eastAsia" w:ascii="仿宋" w:hAnsi="仿宋" w:eastAsia="仿宋" w:cs="仿宋"/>
          <w:sz w:val="24"/>
          <w:szCs w:val="24"/>
          <w:highlight w:val="none"/>
          <w:u w:val="single"/>
        </w:rPr>
        <w:t>日</w:t>
      </w:r>
      <w:r>
        <w:rPr>
          <w:rFonts w:hint="eastAsia" w:ascii="仿宋" w:hAnsi="仿宋" w:eastAsia="仿宋" w:cs="仿宋"/>
          <w:sz w:val="24"/>
          <w:szCs w:val="24"/>
          <w:highlight w:val="none"/>
          <w:u w:val="single"/>
          <w:lang w:val="en-US" w:eastAsia="zh-CN"/>
        </w:rPr>
        <w:t>11</w:t>
      </w:r>
      <w:r>
        <w:rPr>
          <w:rFonts w:hint="eastAsia" w:ascii="仿宋" w:hAnsi="仿宋" w:eastAsia="仿宋" w:cs="仿宋"/>
          <w:sz w:val="24"/>
          <w:szCs w:val="24"/>
          <w:highlight w:val="none"/>
          <w:u w:val="single"/>
        </w:rPr>
        <w:t>点</w:t>
      </w:r>
      <w:r>
        <w:rPr>
          <w:rFonts w:hint="eastAsia" w:ascii="仿宋" w:hAnsi="仿宋" w:eastAsia="仿宋" w:cs="仿宋"/>
          <w:sz w:val="24"/>
          <w:szCs w:val="24"/>
          <w:u w:val="single"/>
          <w:lang w:val="en-US" w:eastAsia="zh-CN"/>
        </w:rPr>
        <w:t>0</w:t>
      </w:r>
      <w:r>
        <w:rPr>
          <w:rFonts w:hint="eastAsia" w:ascii="仿宋" w:hAnsi="仿宋" w:eastAsia="仿宋" w:cs="仿宋"/>
          <w:sz w:val="24"/>
          <w:szCs w:val="24"/>
          <w:u w:val="single"/>
        </w:rPr>
        <w:t>0分</w:t>
      </w:r>
      <w:r>
        <w:rPr>
          <w:rFonts w:hint="eastAsia" w:ascii="仿宋" w:hAnsi="仿宋" w:eastAsia="仿宋" w:cs="仿宋"/>
          <w:bCs/>
          <w:sz w:val="24"/>
          <w:szCs w:val="24"/>
        </w:rPr>
        <w:t>前递交投标文件</w:t>
      </w:r>
      <w:r>
        <w:rPr>
          <w:rFonts w:hint="eastAsia" w:ascii="仿宋" w:hAnsi="仿宋" w:eastAsia="仿宋" w:cs="仿宋"/>
          <w:sz w:val="24"/>
          <w:szCs w:val="24"/>
        </w:rPr>
        <w:t>。</w:t>
      </w:r>
    </w:p>
    <w:p>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莎车县中小学基础设施提升改造（中小学教育设施设备购置）项目（四次）</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2、项目编号：</w:t>
      </w:r>
      <w:r>
        <w:rPr>
          <w:rFonts w:hint="default" w:ascii="仿宋" w:hAnsi="仿宋" w:eastAsia="仿宋" w:cs="仿宋"/>
          <w:sz w:val="24"/>
          <w:szCs w:val="24"/>
          <w:u w:val="none"/>
          <w:lang w:val="en-US" w:eastAsia="zh-CN"/>
        </w:rPr>
        <w:t>KSSCX(GK)202</w:t>
      </w:r>
      <w:r>
        <w:rPr>
          <w:rFonts w:hint="eastAsia" w:ascii="仿宋" w:hAnsi="仿宋" w:eastAsia="仿宋" w:cs="仿宋"/>
          <w:sz w:val="24"/>
          <w:szCs w:val="24"/>
          <w:u w:val="none"/>
          <w:lang w:val="en-US" w:eastAsia="zh-CN"/>
        </w:rPr>
        <w:t>6</w:t>
      </w:r>
      <w:r>
        <w:rPr>
          <w:rFonts w:hint="default" w:ascii="仿宋" w:hAnsi="仿宋" w:eastAsia="仿宋" w:cs="仿宋"/>
          <w:sz w:val="24"/>
          <w:szCs w:val="24"/>
          <w:u w:val="none"/>
          <w:lang w:val="en-US" w:eastAsia="zh-CN"/>
        </w:rPr>
        <w:t>-</w:t>
      </w:r>
      <w:r>
        <w:rPr>
          <w:rFonts w:hint="eastAsia" w:ascii="仿宋" w:hAnsi="仿宋" w:eastAsia="仿宋" w:cs="仿宋"/>
          <w:sz w:val="24"/>
          <w:szCs w:val="24"/>
          <w:u w:val="none"/>
          <w:lang w:val="en-US" w:eastAsia="zh-CN"/>
        </w:rPr>
        <w:t>008-03</w:t>
      </w:r>
      <w:r>
        <w:rPr>
          <w:rFonts w:hint="default" w:ascii="仿宋" w:hAnsi="仿宋" w:eastAsia="仿宋" w:cs="仿宋"/>
          <w:sz w:val="24"/>
          <w:szCs w:val="24"/>
          <w:u w:val="none"/>
          <w:lang w:val="en-US" w:eastAsia="zh-CN"/>
        </w:rPr>
        <w:t>号</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3、</w:t>
      </w:r>
      <w:r>
        <w:rPr>
          <w:rFonts w:hint="default" w:ascii="仿宋" w:hAnsi="仿宋" w:eastAsia="仿宋" w:cs="仿宋"/>
          <w:sz w:val="24"/>
          <w:szCs w:val="24"/>
          <w:u w:val="none"/>
          <w:lang w:val="en-US" w:eastAsia="zh-CN"/>
        </w:rPr>
        <w:t>采购方式：公开招标</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w:t>
      </w:r>
      <w:r>
        <w:rPr>
          <w:rFonts w:hint="default" w:ascii="仿宋" w:hAnsi="仿宋" w:eastAsia="仿宋" w:cs="仿宋"/>
          <w:sz w:val="24"/>
          <w:szCs w:val="24"/>
          <w:u w:val="none"/>
          <w:lang w:val="en-US" w:eastAsia="zh-CN"/>
        </w:rPr>
        <w:t>预算总金额（万元）：</w:t>
      </w:r>
      <w:r>
        <w:rPr>
          <w:rFonts w:hint="eastAsia" w:ascii="仿宋" w:hAnsi="仿宋" w:eastAsia="仿宋" w:cs="仿宋"/>
          <w:sz w:val="24"/>
          <w:szCs w:val="24"/>
          <w:u w:val="none"/>
          <w:lang w:val="en-US" w:eastAsia="zh-CN"/>
        </w:rPr>
        <w:t>203.8</w:t>
      </w:r>
      <w:r>
        <w:rPr>
          <w:rFonts w:hint="default" w:ascii="仿宋" w:hAnsi="仿宋" w:eastAsia="仿宋" w:cs="仿宋"/>
          <w:sz w:val="24"/>
          <w:szCs w:val="24"/>
          <w:u w:val="none"/>
          <w:lang w:val="en-US" w:eastAsia="zh-CN"/>
        </w:rPr>
        <w:t>万元</w:t>
      </w:r>
    </w:p>
    <w:p>
      <w:pPr>
        <w:adjustRightInd w:val="0"/>
        <w:spacing w:line="336" w:lineRule="auto"/>
        <w:ind w:firstLine="480" w:firstLineChars="200"/>
        <w:rPr>
          <w:rFonts w:hint="default"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最高总限价（万元）：</w:t>
      </w:r>
      <w:r>
        <w:rPr>
          <w:rFonts w:hint="eastAsia" w:ascii="仿宋" w:hAnsi="仿宋" w:eastAsia="仿宋" w:cs="仿宋"/>
          <w:sz w:val="24"/>
          <w:szCs w:val="24"/>
          <w:u w:val="none"/>
          <w:lang w:val="en-US" w:eastAsia="zh-CN"/>
        </w:rPr>
        <w:t>203.8</w:t>
      </w:r>
      <w:r>
        <w:rPr>
          <w:rFonts w:hint="default" w:ascii="仿宋" w:hAnsi="仿宋" w:eastAsia="仿宋" w:cs="仿宋"/>
          <w:sz w:val="24"/>
          <w:szCs w:val="24"/>
          <w:u w:val="none"/>
          <w:lang w:val="en-US" w:eastAsia="zh-CN"/>
        </w:rPr>
        <w:t>万元</w:t>
      </w:r>
    </w:p>
    <w:p>
      <w:pPr>
        <w:pStyle w:val="2"/>
        <w:ind w:left="0" w:leftChars="0" w:firstLine="0" w:firstLineChars="0"/>
        <w:rPr>
          <w:rFonts w:hint="default" w:ascii="仿宋" w:hAnsi="仿宋" w:eastAsia="仿宋" w:cs="仿宋"/>
          <w:snapToGrid w:val="0"/>
          <w:color w:val="000000"/>
          <w:kern w:val="0"/>
          <w:sz w:val="24"/>
          <w:szCs w:val="24"/>
          <w:u w:val="none"/>
          <w:lang w:val="en-US" w:eastAsia="zh-CN" w:bidi="ar-SA"/>
        </w:rPr>
      </w:pPr>
      <w:r>
        <w:rPr>
          <w:rFonts w:hint="eastAsia" w:ascii="仿宋" w:hAnsi="仿宋" w:eastAsia="仿宋" w:cs="仿宋"/>
          <w:snapToGrid w:val="0"/>
          <w:color w:val="000000"/>
          <w:kern w:val="0"/>
          <w:sz w:val="24"/>
          <w:szCs w:val="24"/>
          <w:u w:val="none"/>
          <w:lang w:val="en-US" w:eastAsia="zh-CN" w:bidi="ar-SA"/>
        </w:rPr>
        <w:t>5、</w:t>
      </w:r>
      <w:r>
        <w:rPr>
          <w:rFonts w:hint="default" w:ascii="仿宋" w:hAnsi="仿宋" w:eastAsia="仿宋" w:cs="仿宋"/>
          <w:snapToGrid w:val="0"/>
          <w:color w:val="000000"/>
          <w:kern w:val="0"/>
          <w:sz w:val="24"/>
          <w:szCs w:val="24"/>
          <w:u w:val="none"/>
          <w:lang w:val="en-US" w:eastAsia="zh-CN" w:bidi="ar-SA"/>
        </w:rPr>
        <w:t>采购内容：</w:t>
      </w:r>
    </w:p>
    <w:tbl>
      <w:tblPr>
        <w:tblStyle w:val="27"/>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12"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1</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ind w:firstLine="220" w:firstLineChars="100"/>
              <w:jc w:val="both"/>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家具用具</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2038000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床、衣柜、洗衣机等等（具体参数详见采购文件）</w:t>
            </w:r>
          </w:p>
        </w:tc>
      </w:tr>
    </w:tbl>
    <w:p>
      <w:pPr>
        <w:keepNext w:val="0"/>
        <w:keepLines w:val="0"/>
        <w:pageBreakBefore w:val="0"/>
        <w:widowControl/>
        <w:kinsoku w:val="0"/>
        <w:wordWrap/>
        <w:overflowPunct/>
        <w:topLinePunct w:val="0"/>
        <w:autoSpaceDE w:val="0"/>
        <w:autoSpaceDN w:val="0"/>
        <w:bidi w:val="0"/>
        <w:adjustRightInd w:val="0"/>
        <w:snapToGrid w:val="0"/>
        <w:spacing w:line="336" w:lineRule="auto"/>
        <w:ind w:firstLine="482" w:firstLineChars="200"/>
        <w:textAlignment w:val="baseline"/>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4、提供2025年的财务审计报告（新成立公司不足一年的提供近三个月内有效的银行资信证明）</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自发布公告之日起投标截止日内税收征管信息系统查询的无欠税证明（零申报的企业需提供税务局的零申报证明及自发布公告之日起投标截止日内税收征管信息系统查询的无欠税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10、本项目不接受联合体；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三、获取采购文件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highlight w:val="none"/>
          <w:lang w:val="en-US" w:eastAsia="zh-CN" w:bidi="ar"/>
        </w:rPr>
        <w:t>时间 202</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年</w:t>
      </w:r>
      <w:r>
        <w:rPr>
          <w:rFonts w:hint="eastAsia" w:ascii="仿宋" w:hAnsi="仿宋" w:eastAsia="仿宋" w:cs="仿宋"/>
          <w:color w:val="000000"/>
          <w:kern w:val="0"/>
          <w:sz w:val="24"/>
          <w:szCs w:val="24"/>
          <w:highlight w:val="none"/>
          <w:lang w:val="en-US" w:eastAsia="zh-CN" w:bidi="ar"/>
        </w:rPr>
        <w:t>6月9</w:t>
      </w:r>
      <w:r>
        <w:rPr>
          <w:rFonts w:hint="default" w:ascii="仿宋" w:hAnsi="仿宋" w:eastAsia="仿宋" w:cs="仿宋"/>
          <w:color w:val="000000"/>
          <w:kern w:val="0"/>
          <w:sz w:val="24"/>
          <w:szCs w:val="24"/>
          <w:highlight w:val="none"/>
          <w:lang w:val="en-US" w:eastAsia="zh-CN" w:bidi="ar"/>
        </w:rPr>
        <w:t>日至202</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年</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月</w:t>
      </w:r>
      <w:r>
        <w:rPr>
          <w:rFonts w:hint="eastAsia" w:ascii="仿宋" w:hAnsi="仿宋" w:eastAsia="仿宋" w:cs="仿宋"/>
          <w:color w:val="000000"/>
          <w:kern w:val="0"/>
          <w:sz w:val="24"/>
          <w:szCs w:val="24"/>
          <w:highlight w:val="none"/>
          <w:lang w:val="en-US" w:eastAsia="zh-CN" w:bidi="ar"/>
        </w:rPr>
        <w:t>16</w:t>
      </w:r>
      <w:r>
        <w:rPr>
          <w:rFonts w:hint="default" w:ascii="仿宋" w:hAnsi="仿宋" w:eastAsia="仿宋" w:cs="仿宋"/>
          <w:color w:val="000000"/>
          <w:kern w:val="0"/>
          <w:sz w:val="24"/>
          <w:szCs w:val="24"/>
          <w:highlight w:val="none"/>
          <w:lang w:val="en-US" w:eastAsia="zh-CN" w:bidi="ar"/>
        </w:rPr>
        <w:t>日（</w:t>
      </w:r>
      <w:r>
        <w:rPr>
          <w:rFonts w:hint="default" w:ascii="仿宋" w:hAnsi="仿宋" w:eastAsia="仿宋" w:cs="仿宋"/>
          <w:color w:val="000000"/>
          <w:kern w:val="0"/>
          <w:sz w:val="24"/>
          <w:szCs w:val="24"/>
          <w:lang w:val="en-US" w:eastAsia="zh-CN" w:bidi="ar"/>
        </w:rPr>
        <w:t>每日上午00：00至12:00，下午12:00至23:59 北京时间，节假日除外）</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地点：新疆政府采购网政采云平台线上；网址：https://middle.zcygov.cn/v-settle-front/registry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方式：供应商登录政采云平台https://www.zcygov.cn/在线申请获取采购文件（进入“项目采购”应用，在获取采购文件菜单中选择项目，申请获取采购文件）。本次招标不提供纸质版采购文件。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售价（元）：0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四、提交投标文件截止时间、开标时间和地点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提交文件截止时间：</w:t>
      </w:r>
      <w:r>
        <w:rPr>
          <w:rFonts w:hint="default" w:ascii="仿宋" w:hAnsi="仿宋" w:eastAsia="仿宋" w:cs="仿宋"/>
          <w:color w:val="000000"/>
          <w:kern w:val="0"/>
          <w:sz w:val="24"/>
          <w:szCs w:val="24"/>
          <w:highlight w:val="none"/>
          <w:lang w:val="en-US" w:eastAsia="zh-CN" w:bidi="ar"/>
        </w:rPr>
        <w:t>202</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年</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月</w:t>
      </w:r>
      <w:r>
        <w:rPr>
          <w:rFonts w:hint="eastAsia" w:ascii="仿宋" w:hAnsi="仿宋" w:eastAsia="仿宋" w:cs="仿宋"/>
          <w:color w:val="000000"/>
          <w:kern w:val="0"/>
          <w:sz w:val="24"/>
          <w:szCs w:val="24"/>
          <w:highlight w:val="none"/>
          <w:lang w:val="en-US" w:eastAsia="zh-CN" w:bidi="ar"/>
        </w:rPr>
        <w:t>29日</w:t>
      </w:r>
      <w:r>
        <w:rPr>
          <w:rFonts w:hint="default" w:ascii="仿宋" w:hAnsi="仿宋" w:eastAsia="仿宋" w:cs="仿宋"/>
          <w:color w:val="000000"/>
          <w:kern w:val="0"/>
          <w:sz w:val="24"/>
          <w:szCs w:val="24"/>
          <w:highlight w:val="none"/>
          <w:lang w:val="en-US" w:eastAsia="zh-CN" w:bidi="ar"/>
        </w:rPr>
        <w:t>上午</w:t>
      </w:r>
      <w:r>
        <w:rPr>
          <w:rFonts w:hint="default" w:ascii="仿宋" w:hAnsi="仿宋" w:eastAsia="仿宋" w:cs="仿宋"/>
          <w:color w:val="000000"/>
          <w:kern w:val="0"/>
          <w:sz w:val="24"/>
          <w:szCs w:val="24"/>
          <w:lang w:val="en-US" w:eastAsia="zh-CN" w:bidi="ar"/>
        </w:rPr>
        <w:t>11:00（北京时间）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投标地点：请登录政采云投标客户端投标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开标时间：</w:t>
      </w:r>
      <w:r>
        <w:rPr>
          <w:rFonts w:hint="default" w:ascii="仿宋" w:hAnsi="仿宋" w:eastAsia="仿宋" w:cs="仿宋"/>
          <w:color w:val="000000"/>
          <w:kern w:val="0"/>
          <w:sz w:val="24"/>
          <w:szCs w:val="24"/>
          <w:highlight w:val="none"/>
          <w:lang w:val="en-US" w:eastAsia="zh-CN" w:bidi="ar"/>
        </w:rPr>
        <w:t>202</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年</w:t>
      </w:r>
      <w:r>
        <w:rPr>
          <w:rFonts w:hint="eastAsia" w:ascii="仿宋" w:hAnsi="仿宋" w:eastAsia="仿宋" w:cs="仿宋"/>
          <w:color w:val="000000"/>
          <w:kern w:val="0"/>
          <w:sz w:val="24"/>
          <w:szCs w:val="24"/>
          <w:highlight w:val="none"/>
          <w:lang w:val="en-US" w:eastAsia="zh-CN" w:bidi="ar"/>
        </w:rPr>
        <w:t>6</w:t>
      </w:r>
      <w:r>
        <w:rPr>
          <w:rFonts w:hint="default" w:ascii="仿宋" w:hAnsi="仿宋" w:eastAsia="仿宋" w:cs="仿宋"/>
          <w:color w:val="000000"/>
          <w:kern w:val="0"/>
          <w:sz w:val="24"/>
          <w:szCs w:val="24"/>
          <w:highlight w:val="none"/>
          <w:lang w:val="en-US" w:eastAsia="zh-CN" w:bidi="ar"/>
        </w:rPr>
        <w:t>月</w:t>
      </w:r>
      <w:r>
        <w:rPr>
          <w:rFonts w:hint="eastAsia" w:ascii="仿宋" w:hAnsi="仿宋" w:eastAsia="仿宋" w:cs="仿宋"/>
          <w:color w:val="000000"/>
          <w:kern w:val="0"/>
          <w:sz w:val="24"/>
          <w:szCs w:val="24"/>
          <w:highlight w:val="none"/>
          <w:lang w:val="en-US" w:eastAsia="zh-CN" w:bidi="ar"/>
        </w:rPr>
        <w:t>29</w:t>
      </w:r>
      <w:r>
        <w:rPr>
          <w:rFonts w:hint="default" w:ascii="仿宋" w:hAnsi="仿宋" w:eastAsia="仿宋" w:cs="仿宋"/>
          <w:color w:val="000000"/>
          <w:kern w:val="0"/>
          <w:sz w:val="24"/>
          <w:szCs w:val="24"/>
          <w:highlight w:val="none"/>
          <w:lang w:val="en-US" w:eastAsia="zh-CN" w:bidi="ar"/>
        </w:rPr>
        <w:t>日 1</w:t>
      </w:r>
      <w:r>
        <w:rPr>
          <w:rFonts w:hint="default" w:ascii="仿宋" w:hAnsi="仿宋" w:eastAsia="仿宋" w:cs="仿宋"/>
          <w:color w:val="000000"/>
          <w:kern w:val="0"/>
          <w:sz w:val="24"/>
          <w:szCs w:val="24"/>
          <w:lang w:val="en-US" w:eastAsia="zh-CN" w:bidi="ar"/>
        </w:rPr>
        <w:t>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开标地点：政采云平台线上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五、公告期限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自本公告发布之日起5个工作日。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六、对本次采购提出询问，请按以下方式联系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采购人信息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采购单位：莎车</w:t>
      </w:r>
      <w:r>
        <w:rPr>
          <w:rFonts w:hint="eastAsia" w:ascii="仿宋" w:hAnsi="仿宋" w:eastAsia="仿宋" w:cs="仿宋"/>
          <w:color w:val="000000"/>
          <w:kern w:val="0"/>
          <w:sz w:val="24"/>
          <w:szCs w:val="24"/>
          <w:lang w:val="en-US" w:eastAsia="zh-CN" w:bidi="ar"/>
        </w:rPr>
        <w:t>教育局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 系 人：</w:t>
      </w:r>
      <w:r>
        <w:rPr>
          <w:rFonts w:hint="eastAsia" w:ascii="仿宋" w:hAnsi="仿宋" w:eastAsia="仿宋" w:cs="仿宋"/>
          <w:color w:val="000000"/>
          <w:kern w:val="0"/>
          <w:sz w:val="24"/>
          <w:szCs w:val="24"/>
          <w:lang w:val="en-US" w:eastAsia="zh-CN" w:bidi="ar"/>
        </w:rPr>
        <w:t>张学明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w:t>
      </w:r>
      <w:r>
        <w:rPr>
          <w:rFonts w:hint="eastAsia" w:ascii="仿宋" w:hAnsi="仿宋" w:eastAsia="仿宋" w:cs="仿宋"/>
          <w:color w:val="000000"/>
          <w:kern w:val="0"/>
          <w:sz w:val="24"/>
          <w:szCs w:val="24"/>
          <w:lang w:val="en-US" w:eastAsia="zh-CN" w:bidi="ar"/>
        </w:rPr>
        <w:t>13379740986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采购代理机构信息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名  称：莎车县政府采购中心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联系方式：0998-8512672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同级政府采购监督管理部门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 xml:space="preserve">名   </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称：莎车县财政局采购监督管理办公室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w:t>
      </w:r>
      <w:r>
        <w:rPr>
          <w:rFonts w:hint="eastAsia" w:ascii="仿宋" w:hAnsi="仿宋" w:eastAsia="仿宋" w:cs="仿宋"/>
          <w:color w:val="000000"/>
          <w:kern w:val="0"/>
          <w:sz w:val="24"/>
          <w:szCs w:val="24"/>
          <w:lang w:val="en-US" w:eastAsia="zh-CN" w:bidi="ar"/>
        </w:rPr>
        <w:t>6610527</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七、其他补充事宜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采购文件获取须知：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（1）政采云平台已注册供应商可申请获取采购文件；网址：https://middle.zcygov.cn/v-settle-front/registry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 xml:space="preserve">（2）登陆网址：https://login.zcygov.cn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操作方法：登录政采云平台→【项目采购】→【获取采购文件】→通过项目区划或项目编号搜索项目→申请获取采购文件→进入获取采购文件信息填写页面，按要求规范填写信息（其中带“*”项为必填项）并提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（4）如有操作性问题，请咨询政采云在线客服，咨询电话：4008817190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本项目为电子招投标</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本项目实行网上投标，采用电子投标文件(供应商须使用CA加密设备通过政采云电子投标客户端制作投标文件)</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若供应商参与投标，自行承担投标一切费用。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各供应商应在开标前应确保成为新疆政府采购网正式注册入库供应商，并完成CA数字证书申领。因未注册入库、未办理CA数字证书等原因造成无法投标或投标失败等后果由供应商自行承担。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供应商在开标时须使用制作加密电子投标文件所使用的CA锁及电脑，电脑须提前配置好浏览器（建议使用360浏览器或谷歌浏览器）</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以便开标时解锁。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投标保证金缴纳及确认时间</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凡拟参加本次招标项目的供应商，必须在开标前将投标保证金汇入指定账户。否则，届时其投标将被拒绝。</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en-US" w:bidi="ar"/>
        </w:rPr>
        <w:t>8</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en-US" w:bidi="ar"/>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r>
        <w:rPr>
          <w:rFonts w:hint="default" w:ascii="仿宋" w:hAnsi="仿宋" w:eastAsia="仿宋" w:cs="仿宋"/>
          <w:color w:val="000000"/>
          <w:kern w:val="0"/>
          <w:sz w:val="24"/>
          <w:szCs w:val="24"/>
          <w:lang w:val="en-US" w:eastAsia="zh-CN" w:bidi="ar"/>
        </w:rPr>
        <w:t>供应商钉钉群号：政采云新疆网超供应商服务二十群：35547618（如已加入1-19群，无需重复加入），钉钉工具软件具有回放功能，直播培训结束后可在钉钉群中回放观看学习。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特别提示：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对于未预留份额专门面向中小企业的采购项目，以及预留份额项目中的非预留部分采购包，采购人、采购代理机构应当对符合规定的小微企业报价给予10%</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keepNext w:val="0"/>
        <w:keepLines w:val="0"/>
        <w:pageBreakBefore w:val="0"/>
        <w:widowControl/>
        <w:kinsoku w:val="0"/>
        <w:wordWrap/>
        <w:overflowPunct/>
        <w:topLinePunct w:val="0"/>
        <w:autoSpaceDE w:val="0"/>
        <w:autoSpaceDN w:val="0"/>
        <w:bidi w:val="0"/>
        <w:adjustRightInd w:val="0"/>
        <w:snapToGrid w:val="0"/>
        <w:spacing w:before="213" w:line="226" w:lineRule="auto"/>
        <w:ind w:firstLine="618" w:firstLineChars="200"/>
        <w:jc w:val="center"/>
        <w:textAlignment w:val="baseline"/>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both"/>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37"/>
    </w:p>
    <w:p>
      <w:pPr>
        <w:spacing w:before="231" w:line="465" w:lineRule="exact"/>
        <w:ind w:right="11"/>
        <w:jc w:val="right"/>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position w:val="16"/>
          <w:sz w:val="24"/>
          <w:szCs w:val="24"/>
        </w:rPr>
        <w:t>本表是本招标项目的具体资料，是对投标人须知的具体补</w:t>
      </w:r>
      <w:r>
        <w:rPr>
          <w:rFonts w:hint="eastAsia" w:ascii="仿宋" w:hAnsi="仿宋" w:eastAsia="仿宋" w:cs="仿宋"/>
          <w:b w:val="0"/>
          <w:bCs w:val="0"/>
          <w:color w:val="auto"/>
          <w:spacing w:val="-4"/>
          <w:position w:val="16"/>
          <w:sz w:val="24"/>
          <w:szCs w:val="24"/>
        </w:rPr>
        <w:t>充和修改，如有矛</w:t>
      </w:r>
    </w:p>
    <w:p>
      <w:pPr>
        <w:spacing w:line="220" w:lineRule="auto"/>
        <w:ind w:left="61"/>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sz w:val="24"/>
          <w:szCs w:val="24"/>
        </w:rPr>
        <w:t>盾，应以本资料表为准。</w:t>
      </w:r>
    </w:p>
    <w:p>
      <w:pPr>
        <w:spacing w:line="145" w:lineRule="exact"/>
        <w:rPr>
          <w:rFonts w:hint="eastAsia" w:ascii="仿宋" w:hAnsi="仿宋" w:eastAsia="仿宋" w:cs="仿宋"/>
        </w:rPr>
      </w:pPr>
    </w:p>
    <w:tbl>
      <w:tblPr>
        <w:tblStyle w:val="41"/>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pPr>
              <w:pStyle w:val="40"/>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pPr>
              <w:pStyle w:val="40"/>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pPr>
              <w:spacing w:line="312" w:lineRule="auto"/>
              <w:rPr>
                <w:rFonts w:hint="eastAsia" w:ascii="仿宋" w:hAnsi="仿宋" w:eastAsia="仿宋" w:cs="仿宋"/>
                <w:sz w:val="21"/>
              </w:rPr>
            </w:pPr>
          </w:p>
          <w:p>
            <w:pPr>
              <w:spacing w:line="31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pPr>
              <w:pStyle w:val="40"/>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w:t>
            </w:r>
            <w:r>
              <w:rPr>
                <w:rFonts w:hint="eastAsia" w:cs="仿宋"/>
                <w:spacing w:val="-1"/>
                <w:lang w:val="en-US" w:eastAsia="zh-CN"/>
              </w:rPr>
              <w:t>教育局</w:t>
            </w:r>
          </w:p>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莎车县其乃巴格路8号</w:t>
            </w:r>
          </w:p>
          <w:p>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FF0000"/>
                <w:spacing w:val="-1"/>
                <w:kern w:val="0"/>
                <w:sz w:val="24"/>
                <w:szCs w:val="24"/>
                <w:lang w:val="en-US" w:eastAsia="zh-CN" w:bidi="ar-SA"/>
              </w:rPr>
              <w:t>13379740986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pPr>
              <w:spacing w:line="241" w:lineRule="auto"/>
              <w:rPr>
                <w:rFonts w:hint="eastAsia" w:ascii="仿宋" w:hAnsi="仿宋" w:eastAsia="仿宋" w:cs="仿宋"/>
                <w:sz w:val="21"/>
              </w:rPr>
            </w:pPr>
          </w:p>
          <w:p>
            <w:pPr>
              <w:spacing w:line="24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采购代理：</w:t>
            </w:r>
            <w:r>
              <w:rPr>
                <w:rFonts w:hint="eastAsia" w:cs="仿宋"/>
                <w:spacing w:val="-1"/>
                <w:lang w:val="en-US" w:eastAsia="zh-CN"/>
              </w:rPr>
              <w:t>莎车县政府采购中心</w:t>
            </w:r>
          </w:p>
          <w:p>
            <w:pPr>
              <w:pStyle w:val="40"/>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ascii="仿宋" w:hAnsi="仿宋" w:eastAsia="仿宋" w:cs="仿宋"/>
                <w:spacing w:val="5"/>
                <w:u w:val="single" w:color="auto"/>
                <w:lang w:val="en-US" w:eastAsia="zh-CN"/>
              </w:rPr>
              <w:t>0998-8512672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合格投标人资格要求：</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1、企业三证合一的法人营业执照或含二维码的营业执照；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2、授权人参与投标提供法定代表人授权书及被授权人身份证；法人本人参与投标提供法人身份证及法人资格证明；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3、提供近半年任意一个月的投标单位社保缴费凭证和法人或授权人个人缴纳的社保明细；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4、</w:t>
            </w:r>
            <w:r>
              <w:rPr>
                <w:rFonts w:hint="eastAsia" w:ascii="仿宋" w:hAnsi="仿宋" w:eastAsia="仿宋" w:cs="仿宋_GB2312"/>
                <w:b/>
                <w:bCs/>
                <w:color w:val="auto"/>
                <w:kern w:val="0"/>
                <w:sz w:val="24"/>
                <w:szCs w:val="24"/>
                <w:lang w:val="en-US" w:eastAsia="zh-CN" w:bidi="ar"/>
              </w:rPr>
              <w:t>提供</w:t>
            </w:r>
            <w:r>
              <w:rPr>
                <w:rFonts w:hint="eastAsia" w:ascii="仿宋" w:hAnsi="仿宋" w:eastAsia="仿宋" w:cs="仿宋_GB2312"/>
                <w:b/>
                <w:bCs/>
                <w:color w:val="auto"/>
                <w:kern w:val="0"/>
                <w:sz w:val="24"/>
                <w:szCs w:val="24"/>
                <w:lang w:val="zh-CN" w:eastAsia="zh-CN" w:bidi="ar"/>
              </w:rPr>
              <w:t>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5、在税务局依法缴纳近半年任意一个月税收证明的良好记录及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投标截止日内税收征管信息系统查询的无欠税证明（零申报的企业需提供税务局的零申报证明及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7、在参加政府采购活动中前三年内无重大违法记录的承诺书；</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8、针对本次采购项目《反商业贿赂承诺书》的书面声明；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9、具有履行该项目合同所必需的设备和专业技术能力的证明材料；</w:t>
            </w: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auto"/>
                <w:kern w:val="0"/>
                <w:sz w:val="24"/>
                <w:szCs w:val="24"/>
                <w:lang w:val="en-US" w:eastAsia="zh-CN" w:bidi="ar"/>
              </w:rPr>
              <w:t>10、</w:t>
            </w:r>
            <w:r>
              <w:rPr>
                <w:rFonts w:hint="eastAsia" w:ascii="仿宋" w:hAnsi="仿宋" w:eastAsia="仿宋" w:cs="仿宋_GB2312"/>
                <w:b/>
                <w:bCs/>
                <w:color w:val="auto"/>
                <w:kern w:val="0"/>
                <w:sz w:val="24"/>
                <w:szCs w:val="24"/>
                <w:lang w:val="zh-CN" w:eastAsia="zh-CN" w:bidi="ar"/>
              </w:rPr>
              <w:t>本项目不接受联合体；</w:t>
            </w:r>
          </w:p>
        </w:tc>
      </w:tr>
    </w:tbl>
    <w:tbl>
      <w:tblPr>
        <w:tblStyle w:val="41"/>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pPr>
              <w:pStyle w:val="40"/>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 xml:space="preserve">本项目不专门面向中小企业 </w:t>
            </w:r>
          </w:p>
          <w:p>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pPr>
              <w:pStyle w:val="40"/>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pPr>
              <w:pStyle w:val="40"/>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396" w:type="dxa"/>
            <w:tcBorders>
              <w:left w:val="single" w:color="000000" w:sz="10" w:space="0"/>
            </w:tcBorders>
            <w:vAlign w:val="top"/>
          </w:tcPr>
          <w:p>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pPr>
              <w:pStyle w:val="40"/>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203.8万</w:t>
            </w:r>
            <w:r>
              <w:rPr>
                <w:rFonts w:hint="eastAsia" w:ascii="仿宋" w:hAnsi="仿宋" w:eastAsia="仿宋" w:cs="仿宋"/>
                <w:b/>
                <w:bCs/>
                <w:snapToGrid w:val="0"/>
                <w:color w:val="FF0000"/>
                <w:kern w:val="0"/>
                <w:sz w:val="24"/>
                <w:szCs w:val="24"/>
                <w:lang w:val="en-US" w:eastAsia="zh-CN" w:bidi="ar-SA"/>
              </w:rPr>
              <w:t>元</w:t>
            </w:r>
          </w:p>
          <w:p>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采购内容：家具用具，数量：1批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pPr>
              <w:pStyle w:val="40"/>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共1个标段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pPr>
              <w:pStyle w:val="40"/>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本项目允许的其他形式）（鼓励使用电子投标保函）</w:t>
            </w:r>
          </w:p>
          <w:p>
            <w:pPr>
              <w:pStyle w:val="40"/>
              <w:spacing w:before="177" w:line="240" w:lineRule="auto"/>
              <w:rPr>
                <w:rFonts w:hint="default"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40000元（肆万元整）</w:t>
            </w:r>
          </w:p>
          <w:p>
            <w:pPr>
              <w:pStyle w:val="40"/>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账</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名：莎车县教育局-项目办</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账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号：3012372029200084286-000000101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开</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行：中国工商银行股份有限公司莎车县支行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行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号：102894600014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联</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系</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人：张永刚</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val="0"/>
                <w:bCs w:val="0"/>
                <w:spacing w:val="-2"/>
                <w:position w:val="16"/>
                <w:sz w:val="24"/>
                <w:szCs w:val="24"/>
                <w:highlight w:val="none"/>
                <w:lang w:val="en-US" w:eastAsia="zh-CN"/>
              </w:rPr>
            </w:pPr>
            <w:r>
              <w:rPr>
                <w:rFonts w:hint="eastAsia" w:ascii="仿宋" w:hAnsi="仿宋" w:eastAsia="仿宋" w:cs="仿宋"/>
                <w:spacing w:val="-1"/>
                <w:position w:val="17"/>
                <w:sz w:val="24"/>
                <w:szCs w:val="24"/>
                <w:highlight w:val="none"/>
                <w:lang w:eastAsia="zh-CN"/>
              </w:rPr>
              <w:t>联系电话：13807322875</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bCs/>
                <w:spacing w:val="-2"/>
                <w:position w:val="16"/>
                <w:sz w:val="24"/>
                <w:szCs w:val="24"/>
                <w:highlight w:val="none"/>
                <w:lang w:val="en-US" w:eastAsia="zh-CN"/>
              </w:rPr>
            </w:pPr>
            <w:r>
              <w:rPr>
                <w:rFonts w:hint="eastAsia" w:ascii="仿宋" w:hAnsi="仿宋" w:eastAsia="仿宋" w:cs="仿宋"/>
                <w:spacing w:val="-2"/>
                <w:position w:val="16"/>
                <w:sz w:val="24"/>
                <w:szCs w:val="24"/>
                <w:highlight w:val="none"/>
              </w:rPr>
              <w:t>提交履约保证金的时间：</w:t>
            </w:r>
            <w:r>
              <w:rPr>
                <w:rFonts w:hint="eastAsia" w:ascii="仿宋" w:hAnsi="仿宋" w:eastAsia="仿宋" w:cs="仿宋"/>
                <w:b/>
                <w:bCs/>
                <w:color w:val="FF0000"/>
                <w:spacing w:val="-2"/>
                <w:position w:val="16"/>
                <w:sz w:val="24"/>
                <w:szCs w:val="24"/>
                <w:highlight w:val="none"/>
                <w:u w:val="single"/>
                <w:lang w:eastAsia="zh-CN"/>
              </w:rPr>
              <w:t>签订合同</w:t>
            </w:r>
            <w:r>
              <w:rPr>
                <w:rFonts w:hint="eastAsia" w:ascii="仿宋" w:hAnsi="仿宋" w:eastAsia="仿宋" w:cs="仿宋"/>
                <w:b/>
                <w:bCs/>
                <w:color w:val="FF0000"/>
                <w:spacing w:val="-2"/>
                <w:position w:val="16"/>
                <w:sz w:val="24"/>
                <w:szCs w:val="24"/>
                <w:highlight w:val="none"/>
                <w:u w:val="single"/>
                <w:lang w:val="en-US" w:eastAsia="zh-CN"/>
              </w:rPr>
              <w:t>时需提供履约保证金缴纳凭证（鼓励使用保函）</w:t>
            </w:r>
          </w:p>
          <w:p>
            <w:pPr>
              <w:pStyle w:val="40"/>
              <w:spacing w:before="177" w:line="360" w:lineRule="auto"/>
              <w:ind w:left="34" w:firstLine="2"/>
              <w:rPr>
                <w:rFonts w:hint="eastAsia" w:ascii="仿宋" w:hAnsi="仿宋" w:eastAsia="仿宋" w:cs="仿宋"/>
                <w:spacing w:val="-2"/>
                <w:position w:val="16"/>
                <w:sz w:val="24"/>
                <w:szCs w:val="24"/>
              </w:rPr>
            </w:pPr>
            <w:r>
              <w:rPr>
                <w:rFonts w:hint="eastAsia" w:ascii="仿宋" w:hAnsi="仿宋" w:eastAsia="仿宋" w:cs="仿宋"/>
                <w:spacing w:val="-2"/>
                <w:position w:val="16"/>
                <w:sz w:val="24"/>
                <w:szCs w:val="24"/>
                <w:lang w:val="en-US" w:eastAsia="zh-CN"/>
              </w:rPr>
              <w:t>注：</w:t>
            </w:r>
            <w:r>
              <w:rPr>
                <w:rFonts w:hint="eastAsia" w:ascii="仿宋" w:hAnsi="仿宋" w:eastAsia="仿宋" w:cs="仿宋"/>
                <w:spacing w:val="-2"/>
                <w:position w:val="16"/>
                <w:sz w:val="24"/>
                <w:szCs w:val="24"/>
              </w:rPr>
              <w:t>双方可以通过协商另行约定其他退还时间和方式及用途。</w:t>
            </w:r>
          </w:p>
          <w:p>
            <w:pPr>
              <w:pStyle w:val="40"/>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w:t>
            </w:r>
            <w:r>
              <w:rPr>
                <w:rFonts w:hint="eastAsia" w:ascii="仿宋" w:hAnsi="仿宋" w:eastAsia="仿宋" w:cs="仿宋"/>
                <w:spacing w:val="7"/>
                <w:sz w:val="24"/>
                <w:szCs w:val="24"/>
              </w:rPr>
              <w:t>到账截止时间：投标截止时间前（以到账时间为准，节假日除外）。</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pPr>
              <w:pStyle w:val="40"/>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pPr>
              <w:pStyle w:val="40"/>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pPr>
              <w:pStyle w:val="40"/>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pPr>
              <w:pStyle w:val="40"/>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pPr>
              <w:pStyle w:val="40"/>
              <w:numPr>
                <w:ilvl w:val="0"/>
                <w:numId w:val="8"/>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pPr>
              <w:pStyle w:val="40"/>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pPr>
              <w:pStyle w:val="40"/>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pPr>
              <w:pStyle w:val="40"/>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pPr>
              <w:pStyle w:val="40"/>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pPr>
              <w:pStyle w:val="40"/>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pPr>
              <w:pStyle w:val="40"/>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pPr>
              <w:pStyle w:val="40"/>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pPr>
              <w:pStyle w:val="40"/>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pPr>
              <w:pStyle w:val="40"/>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pPr>
              <w:pStyle w:val="40"/>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pStyle w:val="40"/>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pPr>
              <w:pStyle w:val="40"/>
              <w:spacing w:before="45" w:line="222" w:lineRule="auto"/>
              <w:ind w:left="29"/>
              <w:rPr>
                <w:rFonts w:hint="eastAsia" w:ascii="仿宋" w:hAnsi="仿宋" w:eastAsia="仿宋" w:cs="仿宋"/>
              </w:rPr>
            </w:pPr>
            <w:r>
              <w:rPr>
                <w:rFonts w:hint="eastAsia" w:ascii="仿宋" w:hAnsi="仿宋" w:eastAsia="仿宋" w:cs="仿宋"/>
                <w:b/>
                <w:bCs/>
                <w:color w:val="FF0000"/>
                <w:spacing w:val="-6"/>
              </w:rPr>
              <w:t>投标截止时间：</w:t>
            </w:r>
            <w:r>
              <w:rPr>
                <w:rFonts w:hint="eastAsia" w:ascii="仿宋" w:hAnsi="仿宋" w:eastAsia="仿宋" w:cs="仿宋"/>
                <w:b/>
                <w:bCs/>
                <w:color w:val="FF0000"/>
                <w:spacing w:val="-6"/>
                <w:highlight w:val="none"/>
              </w:rPr>
              <w:t>202</w:t>
            </w:r>
            <w:r>
              <w:rPr>
                <w:rFonts w:hint="eastAsia" w:cs="仿宋"/>
                <w:b/>
                <w:bCs/>
                <w:color w:val="FF0000"/>
                <w:spacing w:val="-6"/>
                <w:highlight w:val="none"/>
                <w:lang w:val="en-US" w:eastAsia="zh-CN"/>
              </w:rPr>
              <w:t>6</w:t>
            </w:r>
            <w:r>
              <w:rPr>
                <w:rFonts w:hint="eastAsia" w:ascii="仿宋" w:hAnsi="仿宋" w:eastAsia="仿宋" w:cs="仿宋"/>
                <w:b/>
                <w:bCs/>
                <w:color w:val="FF0000"/>
                <w:spacing w:val="-6"/>
                <w:highlight w:val="none"/>
              </w:rPr>
              <w:t>年</w:t>
            </w:r>
            <w:r>
              <w:rPr>
                <w:rFonts w:hint="eastAsia" w:cs="仿宋"/>
                <w:b/>
                <w:bCs/>
                <w:color w:val="FF0000"/>
                <w:spacing w:val="-6"/>
                <w:highlight w:val="none"/>
                <w:lang w:val="en-US" w:eastAsia="zh-CN"/>
              </w:rPr>
              <w:t>6</w:t>
            </w:r>
            <w:r>
              <w:rPr>
                <w:rFonts w:hint="eastAsia" w:ascii="仿宋" w:hAnsi="仿宋" w:eastAsia="仿宋" w:cs="仿宋"/>
                <w:b/>
                <w:bCs/>
                <w:color w:val="FF0000"/>
                <w:spacing w:val="-6"/>
                <w:highlight w:val="none"/>
              </w:rPr>
              <w:t>月</w:t>
            </w:r>
            <w:r>
              <w:rPr>
                <w:rFonts w:hint="eastAsia" w:cs="仿宋"/>
                <w:b/>
                <w:bCs/>
                <w:color w:val="FF0000"/>
                <w:spacing w:val="-6"/>
                <w:highlight w:val="none"/>
                <w:lang w:val="en-US" w:eastAsia="zh-CN"/>
              </w:rPr>
              <w:t>29</w:t>
            </w:r>
            <w:r>
              <w:rPr>
                <w:rFonts w:hint="eastAsia" w:ascii="仿宋" w:hAnsi="仿宋" w:eastAsia="仿宋" w:cs="仿宋"/>
                <w:b/>
                <w:bCs/>
                <w:color w:val="FF0000"/>
                <w:spacing w:val="-6"/>
                <w:highlight w:val="none"/>
              </w:rPr>
              <w:t>日 1</w:t>
            </w:r>
            <w:r>
              <w:rPr>
                <w:rFonts w:hint="eastAsia" w:ascii="仿宋" w:hAnsi="仿宋" w:eastAsia="仿宋" w:cs="仿宋"/>
                <w:b/>
                <w:bCs/>
                <w:color w:val="FF0000"/>
                <w:spacing w:val="-6"/>
                <w:highlight w:val="none"/>
                <w:lang w:val="en-US" w:eastAsia="zh-CN"/>
              </w:rPr>
              <w:t>1</w:t>
            </w:r>
            <w:r>
              <w:rPr>
                <w:rFonts w:hint="eastAsia" w:ascii="仿宋" w:hAnsi="仿宋" w:eastAsia="仿宋" w:cs="仿宋"/>
                <w:b/>
                <w:bCs/>
                <w:color w:val="FF0000"/>
                <w:spacing w:val="-6"/>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line="246"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pPr>
              <w:pStyle w:val="40"/>
              <w:spacing w:before="47" w:line="222" w:lineRule="auto"/>
              <w:ind w:left="29"/>
              <w:rPr>
                <w:rFonts w:hint="eastAsia" w:ascii="仿宋" w:hAnsi="仿宋" w:eastAsia="仿宋" w:cs="仿宋"/>
                <w:b/>
                <w:bCs/>
                <w:color w:val="FF0000"/>
                <w:highlight w:val="none"/>
              </w:rPr>
            </w:pPr>
            <w:r>
              <w:rPr>
                <w:rFonts w:hint="eastAsia" w:ascii="仿宋" w:hAnsi="仿宋" w:eastAsia="仿宋" w:cs="仿宋"/>
                <w:b/>
                <w:bCs/>
                <w:color w:val="FF0000"/>
                <w:spacing w:val="-6"/>
              </w:rPr>
              <w:t>开标时间：</w:t>
            </w:r>
            <w:r>
              <w:rPr>
                <w:rFonts w:hint="eastAsia" w:ascii="仿宋" w:hAnsi="仿宋" w:eastAsia="仿宋" w:cs="仿宋"/>
                <w:b/>
                <w:bCs/>
                <w:color w:val="FF0000"/>
                <w:spacing w:val="-6"/>
                <w:highlight w:val="none"/>
              </w:rPr>
              <w:t>202</w:t>
            </w:r>
            <w:r>
              <w:rPr>
                <w:rFonts w:hint="eastAsia" w:cs="仿宋"/>
                <w:b/>
                <w:bCs/>
                <w:color w:val="FF0000"/>
                <w:spacing w:val="-6"/>
                <w:highlight w:val="none"/>
                <w:lang w:val="en-US" w:eastAsia="zh-CN"/>
              </w:rPr>
              <w:t>6</w:t>
            </w:r>
            <w:r>
              <w:rPr>
                <w:rFonts w:hint="eastAsia" w:ascii="仿宋" w:hAnsi="仿宋" w:eastAsia="仿宋" w:cs="仿宋"/>
                <w:b/>
                <w:bCs/>
                <w:color w:val="FF0000"/>
                <w:spacing w:val="-6"/>
                <w:highlight w:val="none"/>
              </w:rPr>
              <w:t>年</w:t>
            </w:r>
            <w:r>
              <w:rPr>
                <w:rFonts w:hint="eastAsia" w:cs="仿宋"/>
                <w:b/>
                <w:bCs/>
                <w:color w:val="FF0000"/>
                <w:spacing w:val="-6"/>
                <w:highlight w:val="none"/>
                <w:lang w:val="en-US" w:eastAsia="zh-CN"/>
              </w:rPr>
              <w:t>6</w:t>
            </w:r>
            <w:r>
              <w:rPr>
                <w:rFonts w:hint="eastAsia" w:ascii="仿宋" w:hAnsi="仿宋" w:eastAsia="仿宋" w:cs="仿宋"/>
                <w:b/>
                <w:bCs/>
                <w:color w:val="FF0000"/>
                <w:spacing w:val="-6"/>
                <w:highlight w:val="none"/>
              </w:rPr>
              <w:t>月</w:t>
            </w:r>
            <w:r>
              <w:rPr>
                <w:rFonts w:hint="eastAsia" w:cs="仿宋"/>
                <w:b/>
                <w:bCs/>
                <w:color w:val="FF0000"/>
                <w:spacing w:val="-6"/>
                <w:highlight w:val="none"/>
                <w:lang w:val="en-US" w:eastAsia="zh-CN"/>
              </w:rPr>
              <w:t>29</w:t>
            </w:r>
            <w:r>
              <w:rPr>
                <w:rFonts w:hint="eastAsia" w:ascii="仿宋" w:hAnsi="仿宋" w:eastAsia="仿宋" w:cs="仿宋"/>
                <w:b/>
                <w:bCs/>
                <w:color w:val="FF0000"/>
                <w:spacing w:val="-6"/>
                <w:highlight w:val="none"/>
              </w:rPr>
              <w:t>日</w:t>
            </w:r>
            <w:r>
              <w:rPr>
                <w:rFonts w:hint="eastAsia" w:ascii="仿宋" w:hAnsi="仿宋" w:eastAsia="仿宋" w:cs="仿宋"/>
                <w:b/>
                <w:bCs/>
                <w:color w:val="FF0000"/>
                <w:spacing w:val="-32"/>
                <w:highlight w:val="none"/>
              </w:rPr>
              <w:t xml:space="preserve"> </w:t>
            </w:r>
            <w:r>
              <w:rPr>
                <w:rFonts w:hint="eastAsia" w:ascii="仿宋" w:hAnsi="仿宋" w:eastAsia="仿宋" w:cs="仿宋"/>
                <w:b/>
                <w:bCs/>
                <w:color w:val="FF0000"/>
                <w:spacing w:val="-6"/>
                <w:highlight w:val="none"/>
              </w:rPr>
              <w:t>1</w:t>
            </w:r>
            <w:r>
              <w:rPr>
                <w:rFonts w:hint="eastAsia" w:cs="仿宋"/>
                <w:b/>
                <w:bCs/>
                <w:color w:val="FF0000"/>
                <w:spacing w:val="-6"/>
                <w:highlight w:val="none"/>
                <w:lang w:val="en-US" w:eastAsia="zh-CN"/>
              </w:rPr>
              <w:t>1</w:t>
            </w:r>
            <w:r>
              <w:rPr>
                <w:rFonts w:hint="eastAsia" w:ascii="仿宋" w:hAnsi="仿宋" w:eastAsia="仿宋" w:cs="仿宋"/>
                <w:b/>
                <w:bCs/>
                <w:color w:val="FF0000"/>
                <w:spacing w:val="-6"/>
                <w:highlight w:val="none"/>
              </w:rPr>
              <w:t>:00</w:t>
            </w:r>
          </w:p>
          <w:p>
            <w:pPr>
              <w:pStyle w:val="40"/>
              <w:spacing w:before="176" w:line="221" w:lineRule="auto"/>
              <w:ind w:left="29"/>
              <w:rPr>
                <w:rFonts w:hint="eastAsia" w:ascii="仿宋" w:hAnsi="仿宋" w:eastAsia="仿宋" w:cs="仿宋"/>
              </w:rPr>
            </w:pPr>
            <w:r>
              <w:rPr>
                <w:rFonts w:hint="eastAsia" w:ascii="仿宋" w:hAnsi="仿宋" w:eastAsia="仿宋" w:cs="仿宋"/>
                <w:spacing w:val="-1"/>
              </w:rPr>
              <w:t>开标地点：政采云平台--不见面开标大厅</w:t>
            </w:r>
          </w:p>
          <w:p>
            <w:pPr>
              <w:pStyle w:val="40"/>
              <w:spacing w:before="180" w:line="215" w:lineRule="auto"/>
              <w:ind w:left="34"/>
              <w:rPr>
                <w:rFonts w:hint="eastAsia" w:ascii="仿宋" w:hAnsi="仿宋" w:eastAsia="仿宋" w:cs="仿宋"/>
              </w:rPr>
            </w:pP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"https://login.zcygov.cn/user-login/#/login" </w:instrText>
            </w:r>
            <w:r>
              <w:rPr>
                <w:rFonts w:hint="eastAsia" w:ascii="仿宋" w:hAnsi="仿宋" w:eastAsia="仿宋" w:cs="仿宋"/>
              </w:rPr>
              <w:fldChar w:fldCharType="separate"/>
            </w:r>
            <w:r>
              <w:rPr>
                <w:rFonts w:hint="eastAsia" w:ascii="仿宋" w:hAnsi="仿宋" w:eastAsia="仿宋" w:cs="仿宋"/>
              </w:rPr>
              <w:t>https://login.zcygov.</w:t>
            </w:r>
            <w:r>
              <w:rPr>
                <w:rFonts w:hint="eastAsia" w:ascii="仿宋" w:hAnsi="仿宋" w:eastAsia="仿宋" w:cs="仿宋"/>
                <w:spacing w:val="-1"/>
              </w:rPr>
              <w:t>cn/user-login/#/login</w:t>
            </w:r>
            <w:r>
              <w:rPr>
                <w:rFonts w:hint="eastAsia" w:ascii="仿宋" w:hAnsi="仿宋" w:eastAsia="仿宋" w:cs="仿宋"/>
                <w:spacing w:val="-1"/>
              </w:rPr>
              <w:fldChar w:fldCharType="end"/>
            </w:r>
            <w:r>
              <w:rPr>
                <w:rFonts w:hint="eastAsia"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eastAsia" w:ascii="仿宋" w:hAnsi="仿宋" w:eastAsia="仿宋" w:cs="仿宋"/>
              </w:rPr>
            </w:pPr>
            <w:r>
              <w:rPr>
                <w:rFonts w:hint="eastAsia" w:cs="仿宋"/>
                <w:spacing w:val="-13"/>
                <w:lang w:val="en-US" w:eastAsia="zh-CN"/>
              </w:rPr>
              <w:t>供货</w:t>
            </w:r>
            <w:r>
              <w:rPr>
                <w:rFonts w:hint="eastAsia" w:ascii="仿宋" w:hAnsi="仿宋" w:eastAsia="仿宋" w:cs="仿宋"/>
                <w:spacing w:val="-13"/>
              </w:rPr>
              <w:t>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签订合同后60日历日完成安装、调试（具体以签订合同为准）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质保期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质保期：以采购文件各项产品质保期为准（具体以签订合同为准）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pPr>
              <w:pStyle w:val="40"/>
              <w:spacing w:before="109" w:line="221" w:lineRule="auto"/>
              <w:ind w:left="35"/>
              <w:rPr>
                <w:rFonts w:hint="eastAsia" w:cs="仿宋"/>
                <w:b/>
                <w:bCs/>
                <w:color w:val="0000FF"/>
                <w:spacing w:val="-2"/>
                <w:position w:val="16"/>
                <w:lang w:val="en-US" w:eastAsia="zh-CN"/>
              </w:rPr>
            </w:pPr>
            <w:r>
              <w:rPr>
                <w:rFonts w:hint="eastAsia" w:cs="仿宋"/>
                <w:b/>
                <w:bCs/>
                <w:color w:val="0000FF"/>
                <w:spacing w:val="-2"/>
                <w:position w:val="16"/>
                <w:lang w:val="en-US" w:eastAsia="zh-CN"/>
              </w:rPr>
              <w:t>付款方式：签订合同前缴纳中标金额5%履约保证金或履约保函，甲乙双方签订合同后支付合同金额30%，供货至甲方指定地点进行安装、调试、验收合格后支付50%，剩余20%经审计合格后支付剩余合同金额（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pPr>
              <w:pStyle w:val="40"/>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是</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9"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pPr>
              <w:pStyle w:val="40"/>
              <w:spacing w:before="54" w:line="465" w:lineRule="exact"/>
              <w:ind w:left="34"/>
              <w:rPr>
                <w:rFonts w:hint="eastAsia" w:ascii="仿宋" w:hAnsi="仿宋" w:eastAsia="仿宋" w:cs="仿宋"/>
                <w:b/>
                <w:bCs/>
                <w:color w:val="0000FF"/>
                <w:spacing w:val="-2"/>
                <w:position w:val="16"/>
              </w:rPr>
            </w:pPr>
            <w:r>
              <w:rPr>
                <w:rFonts w:hint="eastAsia" w:cs="仿宋"/>
                <w:b/>
                <w:bCs/>
                <w:color w:val="0000FF"/>
                <w:spacing w:val="-2"/>
                <w:position w:val="16"/>
                <w:lang w:val="en-US" w:eastAsia="zh-CN"/>
              </w:rPr>
              <w:t>中标单位</w:t>
            </w:r>
            <w:r>
              <w:rPr>
                <w:rFonts w:hint="eastAsia" w:ascii="仿宋" w:hAnsi="仿宋" w:eastAsia="仿宋" w:cs="仿宋"/>
                <w:b/>
                <w:bCs/>
                <w:color w:val="0000FF"/>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0000FF"/>
                <w:spacing w:val="-2"/>
                <w:position w:val="16"/>
                <w:u w:val="single"/>
                <w:lang w:val="en-US" w:eastAsia="zh-CN"/>
              </w:rPr>
              <w:t xml:space="preserve"> 5 </w:t>
            </w:r>
            <w:r>
              <w:rPr>
                <w:rFonts w:hint="eastAsia" w:ascii="仿宋" w:hAnsi="仿宋" w:eastAsia="仿宋" w:cs="仿宋"/>
                <w:b/>
                <w:bCs/>
                <w:color w:val="0000FF"/>
                <w:spacing w:val="-2"/>
                <w:position w:val="16"/>
                <w:lang w:val="en-US" w:eastAsia="zh-CN"/>
              </w:rPr>
              <w:t>％</w:t>
            </w:r>
            <w:r>
              <w:rPr>
                <w:rFonts w:hint="eastAsia" w:ascii="仿宋" w:hAnsi="仿宋" w:eastAsia="仿宋" w:cs="仿宋"/>
                <w:b/>
                <w:bCs/>
                <w:color w:val="0000FF"/>
                <w:spacing w:val="-2"/>
                <w:position w:val="16"/>
              </w:rPr>
              <w:t>（不得超过政府采购合同金额的 10%</w:t>
            </w:r>
            <w:r>
              <w:rPr>
                <w:rFonts w:hint="eastAsia" w:cs="仿宋"/>
                <w:b/>
                <w:bCs/>
                <w:color w:val="0000FF"/>
                <w:spacing w:val="-2"/>
                <w:position w:val="16"/>
                <w:lang w:val="en-US" w:eastAsia="zh-CN"/>
              </w:rPr>
              <w:t xml:space="preserve"> ）</w:t>
            </w:r>
            <w:r>
              <w:rPr>
                <w:rFonts w:hint="eastAsia" w:ascii="仿宋" w:hAnsi="仿宋" w:eastAsia="仿宋" w:cs="仿宋"/>
                <w:b/>
                <w:bCs/>
                <w:color w:val="0000FF"/>
                <w:spacing w:val="-2"/>
                <w:position w:val="16"/>
              </w:rPr>
              <w:t>。</w:t>
            </w:r>
          </w:p>
          <w:p>
            <w:pPr>
              <w:pStyle w:val="40"/>
              <w:spacing w:before="54" w:line="465" w:lineRule="exact"/>
              <w:ind w:left="34"/>
              <w:rPr>
                <w:rFonts w:hint="eastAsia" w:ascii="仿宋" w:hAnsi="仿宋" w:eastAsia="仿宋" w:cs="仿宋"/>
                <w:b/>
                <w:bCs/>
                <w:color w:val="0000FF"/>
                <w:spacing w:val="-2"/>
                <w:position w:val="16"/>
              </w:rPr>
            </w:pPr>
            <w:r>
              <w:rPr>
                <w:rFonts w:hint="eastAsia" w:ascii="仿宋" w:hAnsi="仿宋" w:eastAsia="仿宋" w:cs="仿宋"/>
                <w:b/>
                <w:bCs/>
                <w:color w:val="0000FF"/>
                <w:spacing w:val="-2"/>
                <w:position w:val="16"/>
              </w:rPr>
              <w:t>履约保证金形式：电汇或企业账户网银汇款</w:t>
            </w:r>
            <w:r>
              <w:rPr>
                <w:rFonts w:hint="eastAsia" w:cs="仿宋"/>
                <w:b/>
                <w:bCs/>
                <w:color w:val="0000FF"/>
                <w:spacing w:val="-2"/>
                <w:position w:val="16"/>
                <w:lang w:val="en-US" w:eastAsia="zh-CN"/>
              </w:rPr>
              <w:t>或等额保证金履约保函</w:t>
            </w:r>
            <w:r>
              <w:rPr>
                <w:rFonts w:hint="eastAsia" w:ascii="仿宋" w:hAnsi="仿宋" w:eastAsia="仿宋" w:cs="仿宋"/>
                <w:b/>
                <w:bCs/>
                <w:color w:val="0000FF"/>
                <w:spacing w:val="-2"/>
                <w:position w:val="16"/>
              </w:rPr>
              <w:t>。</w:t>
            </w:r>
          </w:p>
          <w:p>
            <w:pPr>
              <w:pStyle w:val="40"/>
              <w:spacing w:before="54" w:line="465" w:lineRule="exact"/>
              <w:ind w:left="34"/>
              <w:rPr>
                <w:rFonts w:hint="default" w:ascii="仿宋" w:hAnsi="仿宋" w:eastAsia="仿宋" w:cs="仿宋"/>
                <w:b/>
                <w:bCs/>
                <w:spacing w:val="-2"/>
                <w:position w:val="16"/>
                <w:lang w:val="en-US" w:eastAsia="zh-CN"/>
              </w:rPr>
            </w:pPr>
            <w:r>
              <w:rPr>
                <w:rFonts w:hint="eastAsia" w:ascii="仿宋" w:hAnsi="仿宋" w:eastAsia="仿宋" w:cs="仿宋"/>
                <w:spacing w:val="-2"/>
                <w:position w:val="16"/>
              </w:rPr>
              <w:t>提交履约保证金的时间：</w:t>
            </w:r>
            <w:r>
              <w:rPr>
                <w:rFonts w:hint="eastAsia" w:ascii="仿宋" w:hAnsi="仿宋" w:eastAsia="仿宋" w:cs="仿宋"/>
                <w:b/>
                <w:bCs/>
                <w:i/>
                <w:iCs/>
                <w:color w:val="FF0000"/>
                <w:spacing w:val="-2"/>
                <w:position w:val="16"/>
                <w:u w:val="single"/>
              </w:rPr>
              <w:t>签订合同</w:t>
            </w:r>
            <w:r>
              <w:rPr>
                <w:rFonts w:hint="eastAsia" w:cs="仿宋"/>
                <w:b/>
                <w:bCs/>
                <w:i/>
                <w:iCs/>
                <w:color w:val="FF0000"/>
                <w:spacing w:val="-2"/>
                <w:position w:val="16"/>
                <w:u w:val="single"/>
                <w:lang w:val="en-US" w:eastAsia="zh-CN"/>
              </w:rPr>
              <w:t>前3</w:t>
            </w:r>
            <w:r>
              <w:rPr>
                <w:rFonts w:hint="eastAsia" w:ascii="仿宋" w:hAnsi="仿宋" w:eastAsia="仿宋" w:cs="仿宋"/>
                <w:b/>
                <w:bCs/>
                <w:i/>
                <w:iCs/>
                <w:color w:val="FF0000"/>
                <w:spacing w:val="-2"/>
                <w:position w:val="16"/>
                <w:u w:val="single"/>
              </w:rPr>
              <w:t>个工作日</w:t>
            </w:r>
            <w:r>
              <w:rPr>
                <w:rFonts w:hint="eastAsia" w:cs="仿宋"/>
                <w:b/>
                <w:bCs/>
                <w:i/>
                <w:iCs/>
                <w:color w:val="FF0000"/>
                <w:spacing w:val="-2"/>
                <w:position w:val="16"/>
                <w:u w:val="single"/>
                <w:lang w:val="en-US" w:eastAsia="zh-CN"/>
              </w:rPr>
              <w:t>内缴纳</w:t>
            </w:r>
          </w:p>
          <w:p>
            <w:pPr>
              <w:pStyle w:val="40"/>
              <w:spacing w:before="54" w:line="465" w:lineRule="exact"/>
              <w:ind w:left="34"/>
              <w:rPr>
                <w:rFonts w:hint="eastAsia" w:ascii="仿宋" w:hAnsi="仿宋" w:eastAsia="仿宋" w:cs="仿宋"/>
                <w:lang w:eastAsia="zh-CN"/>
              </w:rPr>
            </w:pPr>
            <w:r>
              <w:rPr>
                <w:rFonts w:hint="eastAsia" w:ascii="仿宋" w:hAnsi="仿宋" w:eastAsia="仿宋" w:cs="仿宋"/>
                <w:spacing w:val="-2"/>
                <w:position w:val="16"/>
              </w:rPr>
              <w:t>注：双方可以通过协商另行约定其他退还时间和方式及用途。</w:t>
            </w:r>
          </w:p>
        </w:tc>
      </w:tr>
    </w:tbl>
    <w:p>
      <w:pPr>
        <w:spacing w:line="165" w:lineRule="exact"/>
        <w:rPr>
          <w:rFonts w:hint="eastAsia" w:ascii="仿宋" w:hAnsi="仿宋" w:eastAsia="仿宋" w:cs="仿宋"/>
        </w:rPr>
      </w:pPr>
    </w:p>
    <w:tbl>
      <w:tblPr>
        <w:tblStyle w:val="41"/>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pPr>
              <w:spacing w:before="91" w:line="188" w:lineRule="auto"/>
              <w:ind w:left="567"/>
              <w:rPr>
                <w:rFonts w:hint="eastAsia" w:ascii="仿宋" w:hAnsi="仿宋" w:eastAsia="仿宋" w:cs="仿宋"/>
                <w:sz w:val="24"/>
                <w:szCs w:val="24"/>
                <w:lang w:eastAsia="zh-CN"/>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2</w:t>
            </w:r>
          </w:p>
        </w:tc>
        <w:tc>
          <w:tcPr>
            <w:tcW w:w="7362" w:type="dxa"/>
            <w:tcBorders>
              <w:right w:val="single" w:color="000000" w:sz="10" w:space="0"/>
            </w:tcBorders>
            <w:vAlign w:val="top"/>
          </w:tcPr>
          <w:p>
            <w:pPr>
              <w:pStyle w:val="40"/>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pPr>
              <w:pStyle w:val="40"/>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pPr>
              <w:pStyle w:val="40"/>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pPr>
              <w:pStyle w:val="40"/>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pPr>
              <w:pStyle w:val="40"/>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1401" w:type="dxa"/>
            <w:tcBorders>
              <w:left w:val="single" w:color="000000" w:sz="10" w:space="0"/>
              <w:bottom w:val="single" w:color="000000" w:sz="10" w:space="0"/>
            </w:tcBorders>
            <w:vAlign w:val="top"/>
          </w:tcPr>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pPr>
              <w:pStyle w:val="40"/>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pPr>
              <w:pStyle w:val="40"/>
              <w:numPr>
                <w:ilvl w:val="0"/>
                <w:numId w:val="9"/>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pPr>
              <w:pStyle w:val="40"/>
              <w:numPr>
                <w:ilvl w:val="0"/>
                <w:numId w:val="9"/>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pPr>
              <w:pStyle w:val="40"/>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pPr>
              <w:pStyle w:val="40"/>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40"/>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0"/>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41"/>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pStyle w:val="40"/>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pPr>
              <w:pStyle w:val="40"/>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pPr>
              <w:pStyle w:val="2"/>
              <w:rPr>
                <w:rFonts w:hint="eastAsia"/>
                <w:lang w:val="en-US" w:eastAsia="zh-CN"/>
              </w:rPr>
            </w:pP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366" w:type="dxa"/>
            <w:tcBorders>
              <w:top w:val="single" w:color="000000" w:sz="4" w:space="0"/>
              <w:bottom w:val="single" w:color="000000" w:sz="4" w:space="0"/>
              <w:right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pPr>
              <w:pStyle w:val="40"/>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列属行业：工业         </w:t>
            </w:r>
          </w:p>
        </w:tc>
      </w:tr>
    </w:tbl>
    <w:p>
      <w:pPr>
        <w:rPr>
          <w:rFonts w:hint="eastAsia" w:ascii="仿宋" w:hAnsi="仿宋" w:eastAsia="仿宋" w:cs="仿宋"/>
          <w:sz w:val="21"/>
          <w:szCs w:val="21"/>
        </w:rPr>
        <w:sectPr>
          <w:headerReference r:id="rId35" w:type="default"/>
          <w:footerReference r:id="rId36" w:type="default"/>
          <w:pgSz w:w="11906" w:h="16839"/>
          <w:pgMar w:top="1440" w:right="1800" w:bottom="1440" w:left="1800" w:header="0" w:footer="992" w:gutter="0"/>
          <w:pgNumType w:fmt="decimal"/>
          <w:cols w:space="720" w:num="1"/>
        </w:sectPr>
      </w:pPr>
    </w:p>
    <w:p>
      <w:pPr>
        <w:spacing w:line="270" w:lineRule="auto"/>
        <w:rPr>
          <w:rFonts w:hint="eastAsia" w:ascii="仿宋" w:hAnsi="仿宋" w:eastAsia="仿宋" w:cs="仿宋"/>
          <w:sz w:val="21"/>
        </w:rPr>
      </w:pPr>
    </w:p>
    <w:p>
      <w:pPr>
        <w:spacing w:line="271" w:lineRule="auto"/>
        <w:rPr>
          <w:rFonts w:hint="eastAsia" w:ascii="仿宋" w:hAnsi="仿宋" w:eastAsia="仿宋" w:cs="仿宋"/>
          <w:sz w:val="21"/>
        </w:rPr>
      </w:pPr>
    </w:p>
    <w:p>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bl>
      <w:tblPr>
        <w:tblStyle w:val="41"/>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3338"/>
        <w:gridCol w:w="1304"/>
        <w:gridCol w:w="1228"/>
        <w:gridCol w:w="937"/>
        <w:gridCol w:w="893"/>
        <w:gridCol w:w="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before="177" w:line="360" w:lineRule="exact"/>
              <w:ind w:left="2565"/>
              <w:textAlignment w:val="baseline"/>
              <w:rPr>
                <w:rFonts w:hint="eastAsia" w:ascii="仿宋" w:hAnsi="仿宋" w:eastAsia="仿宋" w:cs="仿宋"/>
                <w:sz w:val="21"/>
                <w:szCs w:val="21"/>
              </w:rPr>
            </w:pPr>
            <w:r>
              <w:rPr>
                <w:rFonts w:hint="eastAsia" w:ascii="仿宋" w:hAnsi="仿宋" w:eastAsia="仿宋" w:cs="仿宋"/>
                <w:spacing w:val="42"/>
                <w:sz w:val="21"/>
                <w:szCs w:val="21"/>
              </w:rPr>
              <w:t>投标人名称</w:t>
            </w:r>
          </w:p>
        </w:tc>
        <w:tc>
          <w:tcPr>
            <w:tcW w:w="1472"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jc w:val="center"/>
              <w:textAlignment w:val="baseline"/>
              <w:rPr>
                <w:rFonts w:hint="eastAsia" w:ascii="仿宋" w:hAnsi="仿宋" w:eastAsia="仿宋" w:cs="仿宋"/>
                <w:spacing w:val="3"/>
                <w:sz w:val="21"/>
                <w:szCs w:val="21"/>
              </w:rPr>
            </w:pPr>
          </w:p>
        </w:tc>
        <w:tc>
          <w:tcPr>
            <w:tcW w:w="11849" w:type="dxa"/>
            <w:gridSpan w:val="9"/>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jc w:val="center"/>
              <w:textAlignment w:val="baseline"/>
              <w:rPr>
                <w:rFonts w:hint="eastAsia" w:ascii="仿宋" w:hAnsi="仿宋" w:eastAsia="仿宋" w:cs="仿宋"/>
                <w:spacing w:val="-6"/>
                <w:sz w:val="21"/>
                <w:szCs w:val="21"/>
              </w:rPr>
            </w:pPr>
            <w:r>
              <w:rPr>
                <w:rFonts w:hint="eastAsia" w:ascii="仿宋" w:hAnsi="仿宋" w:eastAsia="仿宋" w:cs="仿宋"/>
                <w:spacing w:val="3"/>
                <w:sz w:val="21"/>
                <w:szCs w:val="21"/>
              </w:rPr>
              <w:t>审查项目</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6"/>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c>
        <w:tc>
          <w:tcPr>
            <w:tcW w:w="787"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p>
        </w:tc>
        <w:tc>
          <w:tcPr>
            <w:tcW w:w="1098"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r>
              <w:rPr>
                <w:rFonts w:hint="eastAsia" w:ascii="仿宋" w:hAnsi="仿宋" w:eastAsia="仿宋" w:cs="仿宋_GB2312"/>
                <w:color w:val="000000"/>
                <w:kern w:val="0"/>
                <w:sz w:val="21"/>
                <w:szCs w:val="21"/>
                <w:lang w:val="en-US" w:eastAsia="zh-CN" w:bidi="ar"/>
              </w:rPr>
              <w:t>授权人参与投标提供法定代表人授权书及被授权人身份证；法人本人参与投标提供法人身份证及法人资格证明；</w:t>
            </w:r>
          </w:p>
        </w:tc>
        <w:tc>
          <w:tcPr>
            <w:tcW w:w="1150"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110" w:right="105" w:firstLine="2"/>
              <w:jc w:val="both"/>
              <w:textAlignment w:val="baseline"/>
              <w:rPr>
                <w:rFonts w:hint="eastAsia" w:ascii="仿宋" w:hAnsi="仿宋" w:eastAsia="仿宋" w:cs="仿宋"/>
                <w:spacing w:val="4"/>
                <w:sz w:val="21"/>
                <w:szCs w:val="21"/>
              </w:rPr>
            </w:pPr>
          </w:p>
        </w:tc>
        <w:tc>
          <w:tcPr>
            <w:tcW w:w="113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提供2025年的财务审计报告（新成立公司不足一年的提供近三个月内有效的银行资信证明）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44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r>
              <w:rPr>
                <w:rFonts w:hint="eastAsia" w:ascii="仿宋" w:hAnsi="仿宋" w:eastAsia="仿宋" w:cs="仿宋_GB2312"/>
                <w:color w:val="000000"/>
                <w:kern w:val="0"/>
                <w:sz w:val="21"/>
                <w:szCs w:val="21"/>
                <w:lang w:val="en-US" w:eastAsia="zh-CN" w:bidi="ar"/>
              </w:rPr>
              <w:t>在税务局依法缴纳近半年任意一个月税收证明的良好记录及自发布公告之日起至投标截止日内税收征管信息系统查询的无欠税证明（零申报的企业需提供税务局的零申报证明及自发布公告之日起至投标截止日内税收征管信息系统查询的无欠税证明）</w:t>
            </w:r>
          </w:p>
        </w:tc>
        <w:tc>
          <w:tcPr>
            <w:tcW w:w="333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304"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_GB2312"/>
                <w:color w:val="000000"/>
                <w:kern w:val="0"/>
                <w:sz w:val="21"/>
                <w:szCs w:val="21"/>
                <w:lang w:val="en-US" w:eastAsia="zh-CN" w:bidi="ar"/>
              </w:rPr>
              <w:t>在参加政府采购活动中前三年内无重大违法记录的承诺书；</w:t>
            </w:r>
          </w:p>
        </w:tc>
        <w:tc>
          <w:tcPr>
            <w:tcW w:w="1228"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tc>
        <w:tc>
          <w:tcPr>
            <w:tcW w:w="93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default"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具有履行该项目合同所必需的设备和专业技术能力的证明材料；</w:t>
            </w:r>
          </w:p>
        </w:tc>
        <w:tc>
          <w:tcPr>
            <w:tcW w:w="893" w:type="dxa"/>
            <w:vAlign w:val="top"/>
          </w:tcPr>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pacing w:val="-4"/>
                <w:sz w:val="21"/>
                <w:szCs w:val="21"/>
              </w:rPr>
            </w:pPr>
            <w:r>
              <w:rPr>
                <w:rFonts w:hint="eastAsia" w:ascii="仿宋" w:hAnsi="仿宋" w:eastAsia="仿宋" w:cs="仿宋"/>
                <w:b w:val="0"/>
                <w:bCs w:val="0"/>
                <w:sz w:val="21"/>
                <w:szCs w:val="21"/>
                <w:u w:val="none"/>
                <w:lang w:val="en-US" w:eastAsia="zh-CN"/>
              </w:rPr>
              <w:t>本项目不接受联合体；</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4"/>
                <w:sz w:val="21"/>
                <w:szCs w:val="21"/>
              </w:rPr>
              <w:t>审核结果</w:t>
            </w:r>
          </w:p>
        </w:tc>
      </w:tr>
    </w:tbl>
    <w:p>
      <w:pPr>
        <w:pStyle w:val="2"/>
        <w:ind w:left="0" w:leftChars="0" w:firstLine="0" w:firstLineChars="0"/>
        <w:rPr>
          <w:rFonts w:hint="eastAsia"/>
        </w:rPr>
        <w:sectPr>
          <w:footerReference r:id="rId37" w:type="default"/>
          <w:pgSz w:w="16840" w:h="11907"/>
          <w:pgMar w:top="400" w:right="2146" w:bottom="1262" w:left="1377" w:header="0" w:footer="1084" w:gutter="0"/>
          <w:pgNumType w:fmt="decimal"/>
          <w:cols w:space="720" w:num="1"/>
        </w:sectPr>
      </w:pPr>
    </w:p>
    <w:p>
      <w:pPr>
        <w:pStyle w:val="6"/>
        <w:numPr>
          <w:ilvl w:val="0"/>
          <w:numId w:val="10"/>
        </w:numPr>
        <w:bidi w:val="0"/>
        <w:jc w:val="center"/>
        <w:outlineLvl w:val="0"/>
        <w:rPr>
          <w:rFonts w:hint="eastAsia"/>
          <w:lang w:val="en-US" w:eastAsia="zh-CN"/>
        </w:rPr>
      </w:pPr>
      <w:bookmarkStart w:id="238" w:name="_Toc30631"/>
      <w:r>
        <w:rPr>
          <w:rFonts w:hint="eastAsia" w:ascii="仿宋" w:hAnsi="仿宋" w:eastAsia="仿宋" w:cs="仿宋"/>
          <w:b/>
          <w:bCs/>
          <w:snapToGrid w:val="0"/>
          <w:color w:val="000000"/>
          <w:kern w:val="0"/>
          <w:sz w:val="36"/>
          <w:szCs w:val="36"/>
          <w:lang w:val="en-US" w:eastAsia="zh-CN" w:bidi="ar-SA"/>
        </w:rPr>
        <w:t xml:space="preserve"> 货物需求一览表</w:t>
      </w:r>
      <w:bookmarkEnd w:id="238"/>
      <w:r>
        <w:rPr>
          <w:rFonts w:hint="eastAsia" w:ascii="仿宋" w:hAnsi="仿宋" w:eastAsia="仿宋" w:cs="仿宋"/>
          <w:b/>
          <w:bCs/>
          <w:snapToGrid w:val="0"/>
          <w:color w:val="000000"/>
          <w:kern w:val="0"/>
          <w:sz w:val="36"/>
          <w:szCs w:val="36"/>
          <w:lang w:val="en-US" w:eastAsia="zh-CN" w:bidi="ar-SA"/>
        </w:rPr>
        <w:t xml:space="preserve">  </w:t>
      </w:r>
    </w:p>
    <w:p>
      <w:pPr>
        <w:pStyle w:val="4"/>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 xml:space="preserve"> 家具用具</w:t>
      </w:r>
    </w:p>
    <w:tbl>
      <w:tblPr>
        <w:tblStyle w:val="27"/>
        <w:tblW w:w="498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4"/>
        <w:gridCol w:w="853"/>
        <w:gridCol w:w="841"/>
        <w:gridCol w:w="942"/>
        <w:gridCol w:w="5593"/>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序号</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名称</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数量</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单位</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参数</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高低床</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1500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张</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产品类型：中学宿舍专用实木高低床（双层床），适配中学生人体工学，稳固无晃动、安全防磕碰</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材质要求：</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床架主框架：实木，樟子松，经防虫、防腐等化学处理，原木色，光洁舒适无毛刺），无开裂、无虫蛀、无霉变，提供佐证材料</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板材配件：床板 / 挡板等辅材为 E0 级环保实木多层板，无甲醛异味</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漆面：环保水性漆，三底两面工艺，表面光滑无毛刺、耐刮擦、易清洁，无刺鼻气味，</w:t>
            </w:r>
          </w:p>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规格尺寸：（±15mm 微调）。</w:t>
            </w:r>
          </w:p>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外观尺寸:长≥2000mm，宽920mm，总高≥1800mm；床腿：70mm*60mm，左右床帮四根120mm*30mm，上下铺空间1010mm，床头上横撑30mm*40mm，下横撑90mm*30mm，竖撑30mm*25mm*12mm，3根4格。</w:t>
            </w:r>
          </w:p>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铺板18mm*1890mm*825mm，木质板。铺板横撑50mm*30mm,上下各五根，U型口卡子，4个螺母固定。</w:t>
            </w:r>
          </w:p>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上铺主护栏：1400mm*180mm，材料规格：30mm*45mm*1400mm，（6格5根）.</w:t>
            </w:r>
          </w:p>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爬梯：465Cmm宽*1380mm高，梯柱：50mm*35mm，踏步：35mm*30mm*340mm,（3根4步）</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snapToGrid w:val="0"/>
                <w:color w:val="000000"/>
                <w:kern w:val="0"/>
                <w:sz w:val="21"/>
                <w:szCs w:val="21"/>
                <w:u w:val="none"/>
                <w:lang w:val="en-US" w:eastAsia="zh-CN" w:bidi="ar"/>
              </w:rPr>
              <w:t>下铺离地340mm.结构与工艺要求：</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连接方式：采用实木榫卯结构 + 不锈钢加厚五金连接件（螺丝为防松防滑螺母，配装饰盖帽，无外露尖锐金属件），禁止仅用胶水连接，整体稳固无晃动。</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承重性能：上铺静态承重≥200kg，下铺静态承重≥250kg，床架无明显变形、连接件无松动</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安全工艺：所有边角、棱角均做圆弧打磨处理（圆角半径≥5mm），无尖锐边角、无毛刺，防止学生磕碰受伤；床架所有拼接处无缝隙、无开裂。</w:t>
            </w:r>
            <w:r>
              <w:rPr>
                <w:rStyle w:val="66"/>
                <w:rFonts w:hint="default" w:ascii="Times New Roman" w:hAnsi="Times New Roman" w:eastAsia="方正仿宋_GBK" w:cs="Times New Roman"/>
                <w:snapToGrid w:val="0"/>
                <w:sz w:val="21"/>
                <w:szCs w:val="21"/>
                <w:lang w:val="en-US" w:eastAsia="zh-CN" w:bidi="ar"/>
              </w:rPr>
              <w:t>质量保证：全新原厂正品，无翻新、无拼接次品，质保3 年（五金配件质保5 年），质保期内非人为损坏免费维修 / 更换</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Style w:val="66"/>
                <w:rFonts w:hint="default" w:ascii="Times New Roman" w:hAnsi="Times New Roman" w:eastAsia="方正仿宋_GBK" w:cs="Times New Roman"/>
                <w:snapToGrid w:val="0"/>
                <w:sz w:val="21"/>
                <w:szCs w:val="21"/>
                <w:lang w:val="en-US" w:eastAsia="zh-CN" w:bidi="ar"/>
              </w:rPr>
              <w:t>使用材料符合《家具中有害物质限量》（GB 18584—2024）标准，提供相应的检测报告。</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rPr>
                <w:rFonts w:hint="default" w:ascii="Times New Roman" w:hAnsi="Times New Roman" w:eastAsia="方正仿宋_GBK"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八门衣柜</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750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个</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sz w:val="21"/>
                <w:szCs w:val="21"/>
                <w:u w:val="none"/>
              </w:rPr>
              <w:t>八门衣柜规格：铁质衣柜灰白色</w:t>
            </w:r>
            <w:r>
              <w:rPr>
                <w:rFonts w:hint="default" w:ascii="Times New Roman" w:hAnsi="Times New Roman" w:eastAsia="方正仿宋_GBK" w:cs="Times New Roman"/>
                <w:i w:val="0"/>
                <w:iCs w:val="0"/>
                <w:color w:val="000000"/>
                <w:sz w:val="21"/>
                <w:szCs w:val="21"/>
                <w:u w:val="none"/>
                <w:lang w:eastAsia="zh-CN"/>
              </w:rPr>
              <w:t>，</w:t>
            </w:r>
            <w:r>
              <w:rPr>
                <w:rFonts w:hint="default" w:ascii="Times New Roman" w:hAnsi="Times New Roman" w:eastAsia="方正仿宋_GBK" w:cs="Times New Roman"/>
                <w:i w:val="0"/>
                <w:iCs w:val="0"/>
                <w:color w:val="000000"/>
                <w:sz w:val="21"/>
                <w:szCs w:val="21"/>
                <w:u w:val="none"/>
              </w:rPr>
              <w:t>优质冷轧钢板。1850*900*450mm.四层，材质厚度0.7mm，八开门。有通风口，合金把手；暗锁，净重不少于45kg。所有面板满焊不留痕迹，八人用，左边独立上锁且为暗锁，内设独立标签，柜门严实，结构合理，整体牢固移动不变形，边角圆滑，外观光洁、明暗双锁。</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rPr>
                <w:rFonts w:hint="default" w:ascii="Times New Roman" w:hAnsi="Times New Roman" w:eastAsia="方正仿宋_GBK"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4"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lang w:val="en-US"/>
              </w:rPr>
            </w:pPr>
            <w:r>
              <w:rPr>
                <w:rFonts w:hint="default" w:ascii="Times New Roman" w:hAnsi="Times New Roman" w:eastAsia="方正仿宋_GBK" w:cs="Times New Roman"/>
                <w:i w:val="0"/>
                <w:iCs w:val="0"/>
                <w:snapToGrid w:val="0"/>
                <w:color w:val="000000"/>
                <w:kern w:val="0"/>
                <w:sz w:val="21"/>
                <w:szCs w:val="21"/>
                <w:u w:val="none"/>
                <w:lang w:val="en-US" w:eastAsia="zh-CN" w:bidi="ar"/>
              </w:rPr>
              <w:t>洗衣机</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10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台</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11"/>
              </w:numPr>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基础参数</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产品类型：全自动，适配校园水房，具备耐用、防水、防漏电、易清洁特性。</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洗涤容量：≥10kg，支持大件洗涤；洗涤方式：波轮式。</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电机类型：直驱变频电机。</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排水方式：下排水</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内桶容积 ≥68L</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能效等级：1 级</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显示方式 ：LED数码屏显示</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电气安全：整机3C认证</w:t>
            </w:r>
          </w:p>
          <w:p>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i w:val="0"/>
                <w:iCs w:val="0"/>
                <w:snapToGrid w:val="0"/>
                <w:color w:val="000000"/>
                <w:kern w:val="0"/>
                <w:sz w:val="21"/>
                <w:szCs w:val="21"/>
                <w:u w:val="none"/>
                <w:lang w:val="en-US" w:eastAsia="zh-CN" w:bidi="ar"/>
              </w:rPr>
              <w:t>须提供有效期之内的3C认证，全国认证认可公共服务平台证书状态为“有效”查询截图，如未提供投标无效。</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7"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4</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档案柜</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150</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个</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产品类型：五节档案柜</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规格尺寸：高度≥1800mm，宽度≥850mm，深度≥390mm</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材质：优质冷轧钢板，柜体板材厚度≥0.8mm，门板厚度≥1.0mm</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性能：静电喷塑工艺，防锈防腐蚀，耐刮耐磨，不易变形</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结构：五节分体式设计，每节独立带锁，层板高度可调节，柜门开合顺畅</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功能：防尘防潮，分类存储，安全，组合灵活</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适用场景：学校档案室、资料室、办公室、财务室</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6" w:hRule="atLeast"/>
        </w:trPr>
        <w:tc>
          <w:tcPr>
            <w:tcW w:w="2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default" w:ascii="Times New Roman" w:hAnsi="Times New Roman" w:eastAsia="方正仿宋_GBK" w:cs="Times New Roman"/>
                <w:i w:val="0"/>
                <w:iCs w:val="0"/>
                <w:color w:val="000000"/>
                <w:sz w:val="21"/>
                <w:szCs w:val="21"/>
                <w:u w:val="none"/>
                <w:lang w:val="en-US" w:eastAsia="zh-CN"/>
              </w:rPr>
              <w:t>5</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b/>
                <w:bCs/>
                <w:snapToGrid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方正仿宋_GBK" w:cs="Times New Roman"/>
                <w:i w:val="0"/>
                <w:iCs w:val="0"/>
                <w:snapToGrid w:val="0"/>
                <w:color w:val="000000"/>
                <w:kern w:val="0"/>
                <w:sz w:val="21"/>
                <w:szCs w:val="21"/>
                <w:u w:val="none"/>
                <w:lang w:val="en-US" w:eastAsia="zh-CN" w:bidi="ar"/>
              </w:rPr>
              <w:t>保密柜</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000000"/>
                <w:kern w:val="0"/>
                <w:sz w:val="21"/>
                <w:szCs w:val="21"/>
                <w:u w:val="none"/>
                <w:lang w:val="en-US" w:eastAsia="zh-CN" w:bidi="ar"/>
              </w:rPr>
              <w:t>个</w:t>
            </w:r>
          </w:p>
        </w:tc>
        <w:tc>
          <w:tcPr>
            <w:tcW w:w="28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snapToGrid w:val="0"/>
                <w:color w:val="000000"/>
                <w:kern w:val="0"/>
                <w:sz w:val="21"/>
                <w:szCs w:val="21"/>
                <w:u w:val="none"/>
                <w:lang w:val="en-US" w:eastAsia="zh-CN" w:bidi="ar"/>
              </w:rPr>
            </w:pPr>
            <w:r>
              <w:rPr>
                <w:rFonts w:hint="default" w:ascii="Times New Roman" w:hAnsi="Times New Roman" w:eastAsia="方正仿宋_GBK" w:cs="Times New Roman"/>
                <w:i w:val="0"/>
                <w:iCs w:val="0"/>
                <w:snapToGrid w:val="0"/>
                <w:color w:val="000000"/>
                <w:kern w:val="0"/>
                <w:sz w:val="21"/>
                <w:szCs w:val="21"/>
                <w:u w:val="none"/>
                <w:lang w:val="en-US" w:eastAsia="zh-CN" w:bidi="ar"/>
              </w:rPr>
              <w:t>产品类型：电子保密柜</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规格尺寸：高度≥1800mm，宽度≥900mm，深度≥420mm</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材质：优质加厚冷轧钢板，柜体板材厚度≥1.0mm，门板厚度≥1.2mm</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性能：静电喷塑，防锈防腐蚀，防撬防爆，牢固耐用</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结构：双层柜体设计，内置保密抽屉，层板可调节，配备高级电子密码锁</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功能：保密存储、防盗、防撬、防尘防潮，操作便捷</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适用场景：学校档案室、财务室、行政办公室、机要资料室</w:t>
            </w:r>
            <w:r>
              <w:rPr>
                <w:rFonts w:hint="default" w:ascii="Times New Roman" w:hAnsi="Times New Roman" w:eastAsia="方正仿宋_GBK" w:cs="Times New Roman"/>
                <w:i w:val="0"/>
                <w:iCs w:val="0"/>
                <w:snapToGrid w:val="0"/>
                <w:color w:val="00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执行标准：符合国家保密柜相关质量及安全标准</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snapToGrid w:val="0"/>
                <w:color w:val="FF0000"/>
                <w:kern w:val="0"/>
                <w:sz w:val="21"/>
                <w:szCs w:val="21"/>
                <w:u w:val="none"/>
                <w:lang w:val="en-US" w:eastAsia="zh-CN" w:bidi="ar"/>
              </w:rPr>
              <w:t>★要求：所投产品符合《安全保密产品保密柜安全保密技术要求》（BMB54-2020），提供国家保密科技测评中心（柜体 + 锁具）双认证证书及检测报告</w:t>
            </w:r>
            <w:r>
              <w:rPr>
                <w:rFonts w:hint="default" w:ascii="Times New Roman" w:hAnsi="Times New Roman" w:eastAsia="方正仿宋_GBK" w:cs="Times New Roman"/>
                <w:i w:val="0"/>
                <w:iCs w:val="0"/>
                <w:snapToGrid w:val="0"/>
                <w:color w:val="FF0000"/>
                <w:kern w:val="0"/>
                <w:sz w:val="21"/>
                <w:szCs w:val="21"/>
                <w:u w:val="none"/>
                <w:lang w:val="en-US" w:eastAsia="zh-CN" w:bidi="ar"/>
              </w:rPr>
              <w:br w:type="textWrapping"/>
            </w:r>
            <w:r>
              <w:rPr>
                <w:rFonts w:hint="default" w:ascii="Times New Roman" w:hAnsi="Times New Roman" w:eastAsia="方正仿宋_GBK" w:cs="Times New Roman"/>
                <w:i w:val="0"/>
                <w:iCs w:val="0"/>
                <w:snapToGrid w:val="0"/>
                <w:color w:val="000000"/>
                <w:kern w:val="0"/>
                <w:sz w:val="21"/>
                <w:szCs w:val="21"/>
                <w:u w:val="none"/>
                <w:lang w:val="en-US" w:eastAsia="zh-CN" w:bidi="ar"/>
              </w:rPr>
              <w:t>质保1 年</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left"/>
              <w:rPr>
                <w:rFonts w:hint="default" w:ascii="Times New Roman" w:hAnsi="Times New Roman" w:eastAsia="方正仿宋_GBK" w:cs="Times New Roman"/>
                <w:i w:val="0"/>
                <w:iCs w:val="0"/>
                <w:color w:val="000000"/>
                <w:sz w:val="21"/>
                <w:szCs w:val="21"/>
                <w:u w:val="none"/>
              </w:rPr>
            </w:pPr>
          </w:p>
        </w:tc>
      </w:tr>
    </w:tbl>
    <w:p>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both"/>
        <w:rPr>
          <w:rFonts w:hint="eastAsia" w:ascii="仿宋" w:hAnsi="仿宋" w:eastAsia="仿宋" w:cs="仿宋"/>
          <w:b/>
          <w:bCs/>
          <w:snapToGrid w:val="0"/>
          <w:color w:val="000000"/>
          <w:kern w:val="0"/>
          <w:sz w:val="40"/>
          <w:szCs w:val="40"/>
          <w:lang w:val="en-US" w:eastAsia="zh-CN" w:bidi="ar"/>
        </w:rPr>
      </w:pP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2、此次报价包含采购、包装费、运输费、保险费、装卸费、检测费、安装费、辅材费、人员工资、验收、税金等本项目产生的所有费用，不得二次收费。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3、所供货物必须是全新无使用过的，禁止提供二次使用过的货物，甲方收到货验收时，不符合要求将有权拒绝。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4、投标方必须严格按照招标参数和采购需求提交投标文件，若有虚假响应，投标方需承担给甲方造成的所有损失。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5、质保期:以第五章货物需求一览表每项技术参数中的质保期为准。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6、供货期：签订合同后60日历日完成安装、调试（具体以签订合同为准）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7、供货要求：免费送货、安装至学校指定宿舍区域，送货时做好产品防护，无磕碰、无损坏；提供产品使用及日常维护说明书。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8、售后服务：24 小时响应，48 小时内上门服务；厂家提供免费上门安装、调试，安装后现场验收，确保安装牢固符合安全要求。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9、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10、交付地点(范围):采购单位指定地点（具体以签约合同为准）。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11、付款方式：签订合同前缴纳中标金额5%履约保证金或履约保函，甲乙双方签订合同后支付合同金额30%，供货至甲方指定地点进行安装、调试、验收合格后支付50%，剩余20%经审计合格后支付剩余合同金额（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snapToGrid w:val="0"/>
          <w:color w:val="000000"/>
          <w:kern w:val="0"/>
          <w:sz w:val="24"/>
          <w:szCs w:val="24"/>
          <w:lang w:val="en-US" w:eastAsia="zh-CN" w:bidi="ar"/>
        </w:rPr>
      </w:pPr>
      <w:bookmarkStart w:id="239" w:name="_Toc10098"/>
      <w:r>
        <w:rPr>
          <w:rFonts w:hint="eastAsia" w:ascii="方正仿宋_GBK" w:hAnsi="方正仿宋_GBK" w:eastAsia="方正仿宋_GBK" w:cs="方正仿宋_GBK"/>
          <w:b w:val="0"/>
          <w:bCs w:val="0"/>
          <w:snapToGrid w:val="0"/>
          <w:color w:val="000000"/>
          <w:kern w:val="0"/>
          <w:sz w:val="24"/>
          <w:szCs w:val="24"/>
          <w:lang w:val="en-US" w:eastAsia="zh-CN" w:bidi="ar"/>
        </w:rPr>
        <w:t>12、</w:t>
      </w:r>
      <w:bookmarkEnd w:id="239"/>
      <w:r>
        <w:rPr>
          <w:rFonts w:hint="eastAsia" w:ascii="方正仿宋_GBK" w:hAnsi="方正仿宋_GBK" w:eastAsia="方正仿宋_GBK" w:cs="方正仿宋_GBK"/>
          <w:b w:val="0"/>
          <w:bCs w:val="0"/>
          <w:snapToGrid w:val="0"/>
          <w:color w:val="000000"/>
          <w:kern w:val="0"/>
          <w:sz w:val="24"/>
          <w:szCs w:val="24"/>
          <w:lang w:val="en-US" w:eastAsia="zh-CN" w:bidi="ar"/>
        </w:rPr>
        <w:t>安装要求：安装工艺须成熟无偏差，符合国家标准、行业标准，如因安装不规范导致的松动、损坏，均由供应商重新更换、安装；造成的人员伤亡及其他财产损失均由供应商自行承担。</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13、本项目所需的设备及安装材料的吊装、搬运、定位及地面平整等作业，根据现场实际需求由中标人负责。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14、在安装过程中产生的建筑垃圾、包装材料、废弃零部件的分类、清理、运输及合规处置。垃圾清运需符合环保法规，禁止随意倾倒，现场需做到工完场清，不得遗留垃圾或污染环境。</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15、采购标的的验收标准: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960" w:firstLineChars="4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960" w:firstLineChars="4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16、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17、其他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1、投标人须在投标文件中对以上条款和服务做出承诺，承诺内容必须达到本篇及招标文件其他条款的要求。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2、其他未尽事宜由供需双方在采购合同中详细约。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120" w:afterAutospacing="0" w:line="360" w:lineRule="auto"/>
        <w:ind w:left="-360" w:leftChars="0" w:right="0" w:rightChars="0" w:firstLine="480" w:firstLineChars="200"/>
        <w:textAlignment w:val="baseline"/>
        <w:rPr>
          <w:rFonts w:hint="eastAsia" w:ascii="方正仿宋_GBK" w:hAnsi="方正仿宋_GBK" w:eastAsia="方正仿宋_GBK" w:cs="方正仿宋_GBK"/>
          <w:b w:val="0"/>
          <w:bCs w:val="0"/>
          <w:snapToGrid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19、</w:t>
      </w:r>
      <w:r>
        <w:rPr>
          <w:rFonts w:hint="eastAsia" w:ascii="方正仿宋_GBK" w:hAnsi="方正仿宋_GBK" w:eastAsia="方正仿宋_GBK" w:cs="方正仿宋_GBK"/>
          <w:b w:val="0"/>
          <w:bCs w:val="0"/>
          <w:snapToGrid w:val="0"/>
          <w:color w:val="000000"/>
          <w:kern w:val="0"/>
          <w:sz w:val="24"/>
          <w:szCs w:val="24"/>
          <w:lang w:val="en-US" w:eastAsia="zh-CN" w:bidi="ar"/>
        </w:rPr>
        <w:t>国家强制认证要求：</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eastAsia" w:ascii="方正仿宋_GBK" w:hAnsi="方正仿宋_GBK" w:eastAsia="方正仿宋_GBK" w:cs="方正仿宋_GBK"/>
          <w:b w:val="0"/>
          <w:bCs w:val="0"/>
          <w:snapToGrid w:val="0"/>
          <w:color w:val="FF0000"/>
          <w:kern w:val="0"/>
          <w:sz w:val="24"/>
          <w:szCs w:val="24"/>
          <w:lang w:val="en-US" w:eastAsia="zh-CN" w:bidi="ar"/>
        </w:rPr>
      </w:pPr>
      <w:r>
        <w:rPr>
          <w:rFonts w:hint="eastAsia" w:ascii="方正仿宋_GBK" w:hAnsi="方正仿宋_GBK" w:eastAsia="方正仿宋_GBK" w:cs="方正仿宋_GBK"/>
          <w:b w:val="0"/>
          <w:bCs w:val="0"/>
          <w:snapToGrid w:val="0"/>
          <w:color w:val="FF0000"/>
          <w:kern w:val="0"/>
          <w:sz w:val="24"/>
          <w:szCs w:val="24"/>
          <w:lang w:val="en-US" w:eastAsia="zh-CN" w:bidi="ar"/>
        </w:rPr>
        <w:t>①、投标人需承诺所投产品中凡列入《强制性产品认证目录》（以国家市场监督管理总局最新发布的《强制性产品认证目录描述与界定表》为准）的产品，均已获得有效的强制性产品认证（3C认证）证书，并标注认证标志。投标人须提供《符合国家强制性产品认证要求承诺函》（格式见附件），承诺函应加盖投标人公章。此项内容为实质性响应内容，未提供承诺函或承诺函不符合要求的，投标无效。</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lang w:val="en-US" w:eastAsia="zh-CN"/>
        </w:rPr>
      </w:pPr>
      <w:r>
        <w:rPr>
          <w:rFonts w:hint="eastAsia" w:ascii="方正仿宋_GBK" w:hAnsi="方正仿宋_GBK" w:eastAsia="方正仿宋_GBK" w:cs="方正仿宋_GBK"/>
          <w:b w:val="0"/>
          <w:bCs w:val="0"/>
          <w:snapToGrid w:val="0"/>
          <w:color w:val="FF0000"/>
          <w:kern w:val="0"/>
          <w:sz w:val="24"/>
          <w:szCs w:val="24"/>
          <w:lang w:val="en-US" w:eastAsia="zh-CN" w:bidi="ar"/>
        </w:rPr>
        <w:t>②、中标人供货时，须随货提供所有属于强制认证产品的3C认证证书复印件（加盖生产厂家或投标人公章），否则采购人有权拒收货物。投标单位需提供承诺书（格式自拟），此项内容为实质性响应内容，未提供投标无效。</w:t>
      </w:r>
    </w:p>
    <w:p>
      <w:pPr>
        <w:rPr>
          <w:rFonts w:hint="default"/>
          <w:lang w:val="en-US" w:eastAsia="zh-CN"/>
        </w:rPr>
      </w:pPr>
    </w:p>
    <w:p>
      <w:pPr>
        <w:rPr>
          <w:rFonts w:hint="default"/>
          <w:lang w:val="en-US" w:eastAsia="zh-CN"/>
        </w:rPr>
      </w:pPr>
    </w:p>
    <w:p>
      <w:pPr>
        <w:keepNext w:val="0"/>
        <w:keepLines w:val="0"/>
        <w:widowControl/>
        <w:numPr>
          <w:ilvl w:val="0"/>
          <w:numId w:val="0"/>
        </w:numPr>
        <w:suppressLineNumbers w:val="0"/>
        <w:spacing w:line="360" w:lineRule="auto"/>
        <w:jc w:val="left"/>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附件：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center"/>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t>强制性产品认证承诺函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致：[采购人名称]</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82" w:firstLineChars="2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我方郑重承诺：</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2.</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我方保证所投产品的认证证书在供货时处于有效期内，且认证范围覆盖所投产品型号。</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3.</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我方承诺在签订合同时或供货时，向采购人提供所有强制认证产品的3C认证证书复印</w:t>
      </w: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件（加盖生产厂家公章或我方公章）。</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4. 如我方所投产品中有属于强制认证范围但未获得有效认证的产品，愿承担由此产生的一切法律责任，并接受投标无效或合同解除的处理。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特此承诺。</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投标人（盖章）：___________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法定代表人或授权代表（签字）：___________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color w:val="000000" w:themeColor="text1"/>
          <w:kern w:val="0"/>
          <w:sz w:val="24"/>
          <w:szCs w:val="24"/>
          <w:lang w:val="en-US" w:eastAsia="zh-CN" w:bidi="ar"/>
          <w14:textFill>
            <w14:solidFill>
              <w14:schemeClr w14:val="tx1"/>
            </w14:solidFill>
          </w14:textFill>
        </w:rPr>
        <w:sectPr>
          <w:footerReference r:id="rId3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日期：___________</w:t>
      </w:r>
    </w:p>
    <w:p>
      <w:pPr>
        <w:spacing w:before="149" w:line="220" w:lineRule="auto"/>
        <w:jc w:val="center"/>
        <w:outlineLvl w:val="1"/>
        <w:rPr>
          <w:rFonts w:hint="eastAsia" w:ascii="仿宋" w:hAnsi="仿宋" w:eastAsia="仿宋" w:cs="仿宋"/>
          <w:b/>
          <w:bCs/>
          <w:spacing w:val="-4"/>
          <w:sz w:val="28"/>
          <w:szCs w:val="28"/>
        </w:rPr>
      </w:pPr>
      <w:bookmarkStart w:id="240" w:name="_Toc2276"/>
    </w:p>
    <w:bookmarkEnd w:id="240"/>
    <w:p>
      <w:pPr>
        <w:topLinePunct/>
        <w:spacing w:before="149" w:line="220" w:lineRule="auto"/>
        <w:jc w:val="center"/>
        <w:outlineLvl w:val="1"/>
        <w:rPr>
          <w:rFonts w:hint="default" w:ascii="Times New Roman" w:hAnsi="Times New Roman" w:eastAsia="微软雅黑" w:cs="Times New Roman"/>
          <w:color w:val="auto"/>
          <w:sz w:val="28"/>
          <w:szCs w:val="28"/>
          <w:lang w:eastAsia="zh-CN"/>
        </w:rPr>
      </w:pPr>
      <w:bookmarkStart w:id="241" w:name="_Toc11419"/>
      <w:bookmarkStart w:id="242" w:name="_Toc920"/>
      <w:r>
        <w:rPr>
          <w:rFonts w:hint="default" w:ascii="Times New Roman" w:hAnsi="Times New Roman" w:eastAsia="微软雅黑" w:cs="Times New Roman"/>
          <w:b/>
          <w:bCs/>
          <w:color w:val="auto"/>
          <w:spacing w:val="-4"/>
          <w:sz w:val="28"/>
          <w:szCs w:val="28"/>
          <w:lang w:eastAsia="zh-CN"/>
        </w:rPr>
        <w:t>初步评审—符合性审查表</w:t>
      </w:r>
      <w:bookmarkEnd w:id="241"/>
    </w:p>
    <w:tbl>
      <w:tblPr>
        <w:tblStyle w:val="41"/>
        <w:tblpPr w:leftFromText="180" w:rightFromText="180" w:vertAnchor="text" w:horzAnchor="page" w:tblpX="1187" w:tblpY="122"/>
        <w:tblOverlap w:val="never"/>
        <w:tblW w:w="9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7120"/>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218" w:type="dxa"/>
            <w:gridSpan w:val="2"/>
          </w:tcPr>
          <w:p>
            <w:pPr>
              <w:spacing w:before="54" w:line="228" w:lineRule="auto"/>
              <w:ind w:left="3140" w:firstLine="1172" w:firstLineChars="4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评审内容</w:t>
            </w:r>
          </w:p>
        </w:tc>
        <w:tc>
          <w:tcPr>
            <w:tcW w:w="1271" w:type="dxa"/>
          </w:tcPr>
          <w:p>
            <w:pPr>
              <w:spacing w:before="54" w:line="228" w:lineRule="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98" w:type="dxa"/>
          </w:tcPr>
          <w:p>
            <w:pPr>
              <w:spacing w:before="31" w:line="229" w:lineRule="auto"/>
              <w:ind w:left="22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5"/>
                <w:sz w:val="28"/>
                <w:szCs w:val="28"/>
              </w:rPr>
              <w:t>序号</w:t>
            </w:r>
          </w:p>
        </w:tc>
        <w:tc>
          <w:tcPr>
            <w:tcW w:w="7120" w:type="dxa"/>
          </w:tcPr>
          <w:p>
            <w:pPr>
              <w:rPr>
                <w:rFonts w:hint="default" w:ascii="Times New Roman" w:hAnsi="Times New Roman" w:eastAsia="方正仿宋_GBK" w:cs="Times New Roman"/>
                <w:color w:val="auto"/>
                <w:sz w:val="28"/>
                <w:szCs w:val="28"/>
              </w:rPr>
            </w:pPr>
          </w:p>
        </w:tc>
        <w:tc>
          <w:tcPr>
            <w:tcW w:w="1271" w:type="dxa"/>
          </w:tcPr>
          <w:p>
            <w:pPr>
              <w:spacing w:before="30" w:line="228" w:lineRule="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rPr>
              <w:t>是否</w:t>
            </w:r>
            <w:r>
              <w:rPr>
                <w:rFonts w:hint="default" w:ascii="Times New Roman" w:hAnsi="Times New Roman" w:eastAsia="方正仿宋_GBK" w:cs="Times New Roman"/>
                <w:color w:val="auto"/>
                <w:spacing w:val="3"/>
                <w:sz w:val="28"/>
                <w:szCs w:val="28"/>
                <w:lang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98" w:type="dxa"/>
          </w:tcPr>
          <w:p>
            <w:pPr>
              <w:spacing w:before="124" w:line="189" w:lineRule="auto"/>
              <w:ind w:left="394"/>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p>
        </w:tc>
        <w:tc>
          <w:tcPr>
            <w:tcW w:w="7120" w:type="dxa"/>
          </w:tcPr>
          <w:p>
            <w:pPr>
              <w:spacing w:before="151" w:line="226" w:lineRule="auto"/>
              <w:ind w:left="115"/>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各投标单位投标报价未高于预算金额；</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30" w:hRule="atLeast"/>
        </w:trPr>
        <w:tc>
          <w:tcPr>
            <w:tcW w:w="1098" w:type="dxa"/>
          </w:tcPr>
          <w:p>
            <w:pPr>
              <w:spacing w:line="338" w:lineRule="auto"/>
              <w:rPr>
                <w:rFonts w:hint="default" w:ascii="Times New Roman" w:hAnsi="Times New Roman" w:eastAsia="方正仿宋_GBK" w:cs="Times New Roman"/>
                <w:color w:val="auto"/>
                <w:sz w:val="28"/>
                <w:szCs w:val="28"/>
                <w:lang w:eastAsia="zh-CN"/>
              </w:rPr>
            </w:pPr>
          </w:p>
          <w:p>
            <w:pPr>
              <w:spacing w:before="65" w:line="189" w:lineRule="auto"/>
              <w:ind w:left="381"/>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w:t>
            </w:r>
          </w:p>
        </w:tc>
        <w:tc>
          <w:tcPr>
            <w:tcW w:w="7120" w:type="dxa"/>
          </w:tcPr>
          <w:p>
            <w:pPr>
              <w:spacing w:before="33" w:line="286" w:lineRule="auto"/>
              <w:ind w:left="113" w:right="154" w:hanging="1"/>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6"/>
                <w:sz w:val="28"/>
                <w:szCs w:val="28"/>
                <w:lang w:eastAsia="zh-CN"/>
              </w:rPr>
              <w:t>评标委员会认为投标人的报价无明显低于其他通过</w:t>
            </w:r>
            <w:r>
              <w:rPr>
                <w:rFonts w:hint="default" w:ascii="Times New Roman" w:hAnsi="Times New Roman" w:eastAsia="方正仿宋_GBK" w:cs="Times New Roman"/>
                <w:color w:val="auto"/>
                <w:spacing w:val="5"/>
                <w:sz w:val="28"/>
                <w:szCs w:val="28"/>
                <w:lang w:eastAsia="zh-CN"/>
              </w:rPr>
              <w:t>符合性审查投标</w:t>
            </w:r>
            <w:r>
              <w:rPr>
                <w:rFonts w:hint="default" w:ascii="Times New Roman" w:hAnsi="Times New Roman" w:eastAsia="方正仿宋_GBK" w:cs="Times New Roman"/>
                <w:color w:val="auto"/>
                <w:spacing w:val="6"/>
                <w:sz w:val="28"/>
                <w:szCs w:val="28"/>
                <w:lang w:eastAsia="zh-CN"/>
              </w:rPr>
              <w:t>人的报价的，投标人的报价不存在异常一致并成</w:t>
            </w:r>
            <w:r>
              <w:rPr>
                <w:rFonts w:hint="default" w:ascii="Times New Roman" w:hAnsi="Times New Roman" w:eastAsia="方正仿宋_GBK" w:cs="Times New Roman"/>
                <w:color w:val="auto"/>
                <w:spacing w:val="5"/>
                <w:sz w:val="28"/>
                <w:szCs w:val="28"/>
                <w:lang w:eastAsia="zh-CN"/>
              </w:rPr>
              <w:t>规律性的，其报价</w:t>
            </w:r>
            <w:r>
              <w:rPr>
                <w:rFonts w:hint="default" w:ascii="Times New Roman" w:hAnsi="Times New Roman" w:eastAsia="方正仿宋_GBK" w:cs="Times New Roman"/>
                <w:color w:val="auto"/>
                <w:spacing w:val="2"/>
                <w:sz w:val="28"/>
                <w:szCs w:val="28"/>
                <w:lang w:eastAsia="zh-CN"/>
              </w:rPr>
              <w:t>合理；</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098" w:type="dxa"/>
          </w:tcPr>
          <w:p>
            <w:pPr>
              <w:spacing w:before="236" w:line="189" w:lineRule="auto"/>
              <w:ind w:left="383"/>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w:t>
            </w:r>
          </w:p>
        </w:tc>
        <w:tc>
          <w:tcPr>
            <w:tcW w:w="7120" w:type="dxa"/>
          </w:tcPr>
          <w:p>
            <w:pPr>
              <w:spacing w:before="32" w:line="271" w:lineRule="auto"/>
              <w:ind w:left="114" w:right="15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投标文件按照招标文件的规定编制、标记及签署盖章的，法定代表人或其授权代表签字（章）和加盖投标单位公章的；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4</w:t>
            </w:r>
          </w:p>
        </w:tc>
        <w:tc>
          <w:tcPr>
            <w:tcW w:w="7120" w:type="dxa"/>
          </w:tcPr>
          <w:p>
            <w:pPr>
              <w:spacing w:before="123" w:line="227" w:lineRule="auto"/>
              <w:ind w:left="112"/>
              <w:rPr>
                <w:rFonts w:hint="default" w:ascii="Times New Roman" w:hAnsi="Times New Roman" w:eastAsia="方正仿宋_GBK" w:cs="Times New Roman"/>
                <w:color w:val="auto"/>
                <w:spacing w:val="5"/>
                <w:sz w:val="28"/>
                <w:szCs w:val="28"/>
                <w:lang w:eastAsia="zh-CN"/>
              </w:rPr>
            </w:pPr>
            <w:r>
              <w:rPr>
                <w:rFonts w:hint="default" w:ascii="Times New Roman" w:hAnsi="Times New Roman" w:eastAsia="方正仿宋_GBK" w:cs="Times New Roman"/>
                <w:color w:val="auto"/>
                <w:spacing w:val="5"/>
                <w:sz w:val="28"/>
                <w:szCs w:val="28"/>
                <w:lang w:eastAsia="zh-CN"/>
              </w:rPr>
              <w:t>所投产品的货物及数量满足招标文件要求的（可参考投标分项报价表）</w:t>
            </w:r>
            <w:r>
              <w:rPr>
                <w:rFonts w:hint="eastAsia" w:ascii="Times New Roman" w:hAnsi="Times New Roman" w:eastAsia="方正仿宋_GBK" w:cs="Times New Roman"/>
                <w:color w:val="auto"/>
                <w:spacing w:val="5"/>
                <w:sz w:val="28"/>
                <w:szCs w:val="28"/>
                <w:lang w:eastAsia="zh-CN"/>
              </w:rPr>
              <w:t>；</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5</w:t>
            </w:r>
          </w:p>
        </w:tc>
        <w:tc>
          <w:tcPr>
            <w:tcW w:w="7120" w:type="dxa"/>
          </w:tcPr>
          <w:p>
            <w:pPr>
              <w:spacing w:before="123" w:line="227" w:lineRule="auto"/>
              <w:ind w:left="112"/>
              <w:rPr>
                <w:rFonts w:hint="default" w:ascii="Times New Roman" w:hAnsi="Times New Roman" w:eastAsia="方正仿宋_GBK" w:cs="Times New Roman"/>
                <w:color w:val="auto"/>
                <w:sz w:val="28"/>
                <w:szCs w:val="28"/>
                <w:lang w:eastAsia="zh-CN"/>
              </w:rPr>
            </w:pPr>
            <w:bookmarkStart w:id="243" w:name="OLE_LINK1"/>
            <w:r>
              <w:rPr>
                <w:rFonts w:hint="default" w:ascii="Times New Roman" w:hAnsi="Times New Roman" w:eastAsia="方正仿宋_GBK" w:cs="Times New Roman"/>
                <w:color w:val="auto"/>
                <w:sz w:val="28"/>
                <w:szCs w:val="28"/>
                <w:highlight w:val="none"/>
                <w:lang w:eastAsia="zh-CN"/>
              </w:rPr>
              <w:t>投标文件的实质性条款与招标文件要求的条款相符</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且没有重大偏离并全部响应采购需求中实质性条款；</w:t>
            </w:r>
            <w:bookmarkEnd w:id="243"/>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1" w:hRule="atLeast"/>
        </w:trPr>
        <w:tc>
          <w:tcPr>
            <w:tcW w:w="1098" w:type="dxa"/>
          </w:tcPr>
          <w:p>
            <w:pPr>
              <w:spacing w:before="237" w:line="189" w:lineRule="auto"/>
              <w:ind w:left="381"/>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w:t>
            </w:r>
          </w:p>
        </w:tc>
        <w:tc>
          <w:tcPr>
            <w:tcW w:w="7120" w:type="dxa"/>
          </w:tcPr>
          <w:p>
            <w:pPr>
              <w:spacing w:before="36" w:line="271" w:lineRule="auto"/>
              <w:ind w:left="129" w:right="154" w:hanging="15"/>
              <w:rPr>
                <w:rFonts w:hint="default" w:ascii="Times New Roman" w:hAnsi="Times New Roman" w:eastAsia="方正仿宋_GBK" w:cs="Times New Roman"/>
                <w:color w:val="auto"/>
                <w:sz w:val="28"/>
                <w:szCs w:val="28"/>
                <w:lang w:eastAsia="zh-CN"/>
              </w:rPr>
            </w:pPr>
            <w:bookmarkStart w:id="244" w:name="OLE_LINK2"/>
            <w:r>
              <w:rPr>
                <w:rFonts w:hint="default" w:ascii="Times New Roman" w:hAnsi="Times New Roman" w:eastAsia="方正仿宋_GBK" w:cs="Times New Roman"/>
                <w:color w:val="auto"/>
                <w:spacing w:val="6"/>
                <w:sz w:val="28"/>
                <w:szCs w:val="28"/>
                <w:lang w:eastAsia="zh-CN"/>
              </w:rPr>
              <w:t>按招标文件规定的格式填写，内容全或关键字</w:t>
            </w:r>
            <w:r>
              <w:rPr>
                <w:rFonts w:hint="default" w:ascii="Times New Roman" w:hAnsi="Times New Roman" w:eastAsia="方正仿宋_GBK" w:cs="Times New Roman"/>
                <w:color w:val="auto"/>
                <w:spacing w:val="5"/>
                <w:sz w:val="28"/>
                <w:szCs w:val="28"/>
                <w:lang w:eastAsia="zh-CN"/>
              </w:rPr>
              <w:t>迹清晰、数量等齐全</w:t>
            </w:r>
            <w:r>
              <w:rPr>
                <w:rFonts w:hint="default" w:ascii="Times New Roman" w:hAnsi="Times New Roman" w:eastAsia="方正仿宋_GBK" w:cs="Times New Roman"/>
                <w:color w:val="auto"/>
                <w:spacing w:val="-9"/>
                <w:sz w:val="28"/>
                <w:szCs w:val="28"/>
                <w:lang w:eastAsia="zh-CN"/>
              </w:rPr>
              <w:t>的；</w:t>
            </w:r>
            <w:bookmarkEnd w:id="244"/>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98" w:type="dxa"/>
          </w:tcPr>
          <w:p>
            <w:pPr>
              <w:spacing w:before="77" w:line="187" w:lineRule="auto"/>
              <w:ind w:left="38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7</w:t>
            </w:r>
          </w:p>
        </w:tc>
        <w:tc>
          <w:tcPr>
            <w:tcW w:w="7120" w:type="dxa"/>
          </w:tcPr>
          <w:p>
            <w:pPr>
              <w:spacing w:before="46" w:line="227" w:lineRule="auto"/>
              <w:ind w:left="11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没有采购人不能接受的附加条件的；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4"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8</w:t>
            </w:r>
          </w:p>
        </w:tc>
        <w:tc>
          <w:tcPr>
            <w:tcW w:w="7120" w:type="dxa"/>
          </w:tcPr>
          <w:p>
            <w:pPr>
              <w:spacing w:before="50" w:line="228" w:lineRule="auto"/>
              <w:ind w:left="11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符合招标文件中规定的其他实质性要求；</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98" w:type="dxa"/>
          </w:tcPr>
          <w:p>
            <w:pPr>
              <w:spacing w:before="75"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9</w:t>
            </w:r>
          </w:p>
        </w:tc>
        <w:tc>
          <w:tcPr>
            <w:tcW w:w="7120" w:type="dxa"/>
          </w:tcPr>
          <w:p>
            <w:pPr>
              <w:spacing w:before="49" w:line="228" w:lineRule="auto"/>
              <w:ind w:left="116"/>
              <w:rPr>
                <w:rFonts w:hint="default" w:ascii="Times New Roman" w:hAnsi="Times New Roman" w:eastAsia="方正仿宋_GBK" w:cs="Times New Roman"/>
                <w:color w:val="auto"/>
                <w:sz w:val="28"/>
                <w:szCs w:val="28"/>
                <w:lang w:eastAsia="zh-CN"/>
              </w:rPr>
            </w:pPr>
            <w:bookmarkStart w:id="245" w:name="OLE_LINK3"/>
            <w:r>
              <w:rPr>
                <w:rFonts w:hint="default" w:ascii="Times New Roman" w:hAnsi="Times New Roman" w:eastAsia="方正仿宋_GBK" w:cs="Times New Roman"/>
                <w:color w:val="auto"/>
                <w:spacing w:val="5"/>
                <w:sz w:val="28"/>
                <w:szCs w:val="28"/>
                <w:lang w:eastAsia="zh-CN"/>
              </w:rPr>
              <w:t>不同投标人的投标文件没有错漏一致的情况；</w:t>
            </w:r>
            <w:bookmarkEnd w:id="245"/>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3" w:line="190" w:lineRule="auto"/>
              <w:ind w:left="34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8"/>
                <w:sz w:val="28"/>
                <w:szCs w:val="28"/>
                <w:lang w:eastAsia="zh-CN"/>
              </w:rPr>
              <w:t>10</w:t>
            </w:r>
          </w:p>
        </w:tc>
        <w:tc>
          <w:tcPr>
            <w:tcW w:w="7120" w:type="dxa"/>
          </w:tcPr>
          <w:p>
            <w:pPr>
              <w:spacing w:before="51" w:line="227" w:lineRule="auto"/>
              <w:ind w:left="115"/>
              <w:rPr>
                <w:rFonts w:hint="default" w:ascii="Times New Roman" w:hAnsi="Times New Roman" w:eastAsia="方正仿宋_GBK" w:cs="Times New Roman"/>
                <w:color w:val="auto"/>
                <w:sz w:val="28"/>
                <w:szCs w:val="28"/>
                <w:lang w:eastAsia="zh-CN"/>
              </w:rPr>
            </w:pPr>
            <w:bookmarkStart w:id="246" w:name="OLE_LINK4"/>
            <w:r>
              <w:rPr>
                <w:rFonts w:hint="default" w:ascii="Times New Roman" w:hAnsi="Times New Roman" w:eastAsia="方正仿宋_GBK" w:cs="Times New Roman"/>
                <w:color w:val="auto"/>
                <w:spacing w:val="5"/>
                <w:sz w:val="28"/>
                <w:szCs w:val="28"/>
                <w:lang w:eastAsia="zh-CN"/>
              </w:rPr>
              <w:t>投标人附有详细地址、联系人、电话标明的；</w:t>
            </w:r>
            <w:bookmarkEnd w:id="246"/>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 w:hRule="atLeast"/>
        </w:trPr>
        <w:tc>
          <w:tcPr>
            <w:tcW w:w="8218" w:type="dxa"/>
            <w:gridSpan w:val="2"/>
          </w:tcPr>
          <w:p>
            <w:pPr>
              <w:spacing w:before="142" w:line="225" w:lineRule="auto"/>
              <w:ind w:left="534"/>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结论：通过评审打“√”</w:t>
            </w:r>
            <w:r>
              <w:rPr>
                <w:rFonts w:hint="default" w:ascii="Times New Roman" w:hAnsi="Times New Roman" w:eastAsia="仿宋" w:cs="Times New Roman"/>
                <w:color w:val="auto"/>
                <w:spacing w:val="-29"/>
                <w:sz w:val="24"/>
                <w:szCs w:val="24"/>
                <w:lang w:eastAsia="zh-CN"/>
              </w:rPr>
              <w:t xml:space="preserve"> </w:t>
            </w:r>
            <w:r>
              <w:rPr>
                <w:rFonts w:hint="default" w:ascii="Times New Roman" w:hAnsi="Times New Roman" w:eastAsia="仿宋" w:cs="Times New Roman"/>
                <w:color w:val="auto"/>
                <w:sz w:val="24"/>
                <w:szCs w:val="24"/>
                <w:lang w:eastAsia="zh-CN"/>
              </w:rPr>
              <w:t>,  未通过评审打“</w:t>
            </w:r>
            <w:r>
              <w:rPr>
                <w:rFonts w:hint="default" w:ascii="Times New Roman" w:hAnsi="Times New Roman" w:eastAsia="仿宋" w:cs="Times New Roman"/>
                <w:color w:val="auto"/>
                <w:spacing w:val="-42"/>
                <w:sz w:val="24"/>
                <w:szCs w:val="24"/>
                <w:lang w:eastAsia="zh-CN"/>
              </w:rPr>
              <w:t xml:space="preserve"> </w:t>
            </w:r>
            <w:r>
              <w:rPr>
                <w:rFonts w:hint="default" w:ascii="Times New Roman" w:hAnsi="Times New Roman" w:eastAsia="仿宋" w:cs="Times New Roman"/>
                <w:color w:val="auto"/>
                <w:sz w:val="24"/>
                <w:szCs w:val="24"/>
                <w:lang w:eastAsia="zh-CN"/>
              </w:rPr>
              <w:t>×”</w:t>
            </w:r>
          </w:p>
        </w:tc>
        <w:tc>
          <w:tcPr>
            <w:tcW w:w="1271" w:type="dxa"/>
          </w:tcPr>
          <w:p>
            <w:pPr>
              <w:rPr>
                <w:rFonts w:hint="default" w:ascii="Times New Roman" w:hAnsi="Times New Roman" w:eastAsia="仿宋" w:cs="Times New Roman"/>
                <w:color w:val="auto"/>
                <w:lang w:eastAsia="zh-CN"/>
              </w:rPr>
            </w:pPr>
          </w:p>
        </w:tc>
      </w:tr>
    </w:tbl>
    <w:p>
      <w:pPr>
        <w:topLinePunct/>
        <w:spacing w:before="87"/>
        <w:rPr>
          <w:rFonts w:hint="default" w:ascii="Times New Roman" w:hAnsi="Times New Roman" w:eastAsia="仿宋" w:cs="Times New Roman"/>
          <w:color w:val="auto"/>
          <w:lang w:eastAsia="zh-CN"/>
        </w:rPr>
      </w:pPr>
    </w:p>
    <w:p>
      <w:pPr>
        <w:pStyle w:val="10"/>
        <w:spacing w:before="32" w:line="228" w:lineRule="auto"/>
        <w:ind w:left="11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说明：</w:t>
      </w:r>
    </w:p>
    <w:p>
      <w:pPr>
        <w:pStyle w:val="10"/>
        <w:spacing w:before="93" w:line="228" w:lineRule="auto"/>
        <w:ind w:left="118"/>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（1）上述各项中用“</w:t>
      </w:r>
      <w:r>
        <w:rPr>
          <w:rFonts w:hint="default" w:ascii="Times New Roman" w:hAnsi="Times New Roman" w:eastAsia="仿宋" w:cs="Times New Roman"/>
          <w:color w:val="auto"/>
          <w:spacing w:val="-26"/>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”表示合格，“</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”表示不合格；</w:t>
      </w:r>
    </w:p>
    <w:p>
      <w:pPr>
        <w:pStyle w:val="10"/>
        <w:spacing w:before="92" w:line="271" w:lineRule="auto"/>
        <w:ind w:left="740" w:right="16" w:hanging="6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5"/>
          <w:sz w:val="21"/>
          <w:szCs w:val="21"/>
          <w:lang w:eastAsia="zh-CN"/>
        </w:rPr>
        <w:t>（2）上述各项中如有一项为“</w:t>
      </w:r>
      <w:r>
        <w:rPr>
          <w:rFonts w:hint="default" w:ascii="Times New Roman" w:hAnsi="Times New Roman" w:eastAsia="仿宋" w:cs="Times New Roman"/>
          <w:color w:val="auto"/>
          <w:spacing w:val="-63"/>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”，则结论为“</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”，表示该投</w:t>
      </w:r>
      <w:r>
        <w:rPr>
          <w:rFonts w:hint="default" w:ascii="Times New Roman" w:hAnsi="Times New Roman" w:eastAsia="仿宋" w:cs="Times New Roman"/>
          <w:color w:val="auto"/>
          <w:spacing w:val="4"/>
          <w:sz w:val="21"/>
          <w:szCs w:val="21"/>
          <w:lang w:eastAsia="zh-CN"/>
        </w:rPr>
        <w:t>标文件中存在重大偏差，</w:t>
      </w:r>
      <w:r>
        <w:rPr>
          <w:rFonts w:hint="default" w:ascii="Times New Roman" w:hAnsi="Times New Roman" w:eastAsia="仿宋" w:cs="Times New Roman"/>
          <w:color w:val="auto"/>
          <w:sz w:val="21"/>
          <w:szCs w:val="21"/>
          <w:lang w:eastAsia="zh-CN"/>
        </w:rPr>
        <w:t xml:space="preserve"> </w:t>
      </w:r>
      <w:r>
        <w:rPr>
          <w:rFonts w:hint="default" w:ascii="Times New Roman" w:hAnsi="Times New Roman" w:eastAsia="仿宋" w:cs="Times New Roman"/>
          <w:color w:val="auto"/>
          <w:spacing w:val="9"/>
          <w:sz w:val="21"/>
          <w:szCs w:val="21"/>
          <w:lang w:eastAsia="zh-CN"/>
        </w:rPr>
        <w:t>不能通过初步评审；评委对某一分项评审认为不合格时，必须要写明原因。</w:t>
      </w:r>
    </w:p>
    <w:p>
      <w:pPr>
        <w:pStyle w:val="10"/>
        <w:spacing w:before="94" w:line="228" w:lineRule="auto"/>
        <w:ind w:left="58"/>
        <w:rPr>
          <w:rFonts w:hint="default" w:ascii="Times New Roman" w:hAnsi="Times New Roman" w:eastAsia="仿宋" w:cs="Times New Roman"/>
          <w:color w:val="auto"/>
          <w:spacing w:val="7"/>
          <w:sz w:val="21"/>
          <w:szCs w:val="21"/>
          <w:lang w:eastAsia="zh-CN"/>
        </w:rPr>
      </w:pPr>
      <w:r>
        <w:rPr>
          <w:rFonts w:hint="default" w:ascii="Times New Roman" w:hAnsi="Times New Roman" w:eastAsia="仿宋" w:cs="Times New Roman"/>
          <w:color w:val="auto"/>
          <w:spacing w:val="8"/>
          <w:sz w:val="21"/>
          <w:szCs w:val="21"/>
          <w:lang w:eastAsia="zh-CN"/>
        </w:rPr>
        <w:t>（3）投标文件最终合格与否，</w:t>
      </w:r>
      <w:r>
        <w:rPr>
          <w:rFonts w:hint="default" w:ascii="Times New Roman" w:hAnsi="Times New Roman" w:eastAsia="仿宋" w:cs="Times New Roman"/>
          <w:color w:val="auto"/>
          <w:spacing w:val="-60"/>
          <w:sz w:val="21"/>
          <w:szCs w:val="21"/>
          <w:lang w:eastAsia="zh-CN"/>
        </w:rPr>
        <w:t xml:space="preserve"> </w:t>
      </w:r>
      <w:r>
        <w:rPr>
          <w:rFonts w:hint="default" w:ascii="Times New Roman" w:hAnsi="Times New Roman" w:eastAsia="仿宋" w:cs="Times New Roman"/>
          <w:color w:val="auto"/>
          <w:spacing w:val="8"/>
          <w:sz w:val="21"/>
          <w:szCs w:val="21"/>
          <w:lang w:eastAsia="zh-CN"/>
        </w:rPr>
        <w:t>以所有评委的评审意见中少数服从多数为原</w:t>
      </w:r>
      <w:r>
        <w:rPr>
          <w:rFonts w:hint="default" w:ascii="Times New Roman" w:hAnsi="Times New Roman" w:eastAsia="仿宋" w:cs="Times New Roman"/>
          <w:color w:val="auto"/>
          <w:spacing w:val="7"/>
          <w:sz w:val="21"/>
          <w:szCs w:val="21"/>
          <w:lang w:eastAsia="zh-CN"/>
        </w:rPr>
        <w:t>则定论。</w:t>
      </w: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sz w:val="28"/>
          <w:szCs w:val="28"/>
        </w:rPr>
      </w:pPr>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42"/>
    </w:p>
    <w:p>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pPr>
        <w:spacing w:line="360" w:lineRule="auto"/>
        <w:ind w:left="182"/>
        <w:outlineLvl w:val="1"/>
        <w:rPr>
          <w:rFonts w:hint="eastAsia" w:ascii="仿宋" w:hAnsi="仿宋" w:eastAsia="仿宋" w:cs="仿宋"/>
          <w:sz w:val="21"/>
        </w:rPr>
      </w:pPr>
      <w:bookmarkStart w:id="247"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47"/>
    </w:p>
    <w:p>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spacing w:val="-2"/>
          <w:sz w:val="24"/>
          <w:szCs w:val="24"/>
        </w:rPr>
        <w:t>其投标报价扣除</w:t>
      </w:r>
      <w:r>
        <w:rPr>
          <w:rFonts w:hint="eastAsia" w:ascii="仿宋" w:hAnsi="仿宋" w:eastAsia="仿宋" w:cs="仿宋"/>
          <w:spacing w:val="-2"/>
          <w:sz w:val="24"/>
          <w:szCs w:val="24"/>
          <w:u w:val="single" w:color="auto"/>
        </w:rPr>
        <w:t xml:space="preserve">    10  </w:t>
      </w:r>
      <w:r>
        <w:rPr>
          <w:rFonts w:hint="eastAsia" w:ascii="仿宋" w:hAnsi="仿宋" w:eastAsia="仿宋" w:cs="仿宋"/>
          <w:spacing w:val="-2"/>
          <w:sz w:val="24"/>
          <w:szCs w:val="24"/>
        </w:rPr>
        <w:t xml:space="preserve">  %后参与评审。</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pPr>
        <w:spacing w:before="176" w:line="360" w:lineRule="auto"/>
        <w:ind w:left="648"/>
        <w:outlineLvl w:val="1"/>
        <w:rPr>
          <w:rFonts w:hint="eastAsia" w:ascii="仿宋" w:hAnsi="仿宋" w:eastAsia="仿宋" w:cs="仿宋"/>
          <w:sz w:val="24"/>
          <w:szCs w:val="24"/>
        </w:rPr>
      </w:pPr>
      <w:bookmarkStart w:id="248" w:name="_Toc29512"/>
      <w:bookmarkStart w:id="249" w:name="_Toc10093"/>
      <w:r>
        <w:rPr>
          <w:rFonts w:hint="eastAsia" w:ascii="仿宋" w:hAnsi="仿宋" w:eastAsia="仿宋" w:cs="仿宋"/>
          <w:spacing w:val="-4"/>
          <w:sz w:val="24"/>
          <w:szCs w:val="24"/>
        </w:rPr>
        <w:t>4.</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48"/>
      <w:bookmarkEnd w:id="249"/>
    </w:p>
    <w:p>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pPr>
        <w:spacing w:before="1" w:line="360" w:lineRule="auto"/>
        <w:rPr>
          <w:rFonts w:hint="eastAsia" w:ascii="仿宋" w:hAnsi="仿宋" w:eastAsia="仿宋" w:cs="仿宋"/>
          <w:sz w:val="24"/>
          <w:szCs w:val="24"/>
          <w:lang w:eastAsia="zh-CN"/>
        </w:rPr>
        <w:sectPr>
          <w:footerReference r:id="rId39"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u w:val="single" w:color="auto"/>
          <w:lang w:eastAsia="zh-CN"/>
        </w:rPr>
        <w:t>。</w:t>
      </w:r>
    </w:p>
    <w:p>
      <w:pPr>
        <w:pStyle w:val="38"/>
        <w:jc w:val="center"/>
        <w:rPr>
          <w:rFonts w:hint="eastAsia" w:ascii="楷体" w:hAnsi="楷体" w:eastAsia="楷体"/>
          <w:b/>
          <w:sz w:val="36"/>
          <w:szCs w:val="36"/>
        </w:rPr>
      </w:pPr>
      <w:r>
        <w:rPr>
          <w:rFonts w:hint="eastAsia" w:ascii="楷体" w:hAnsi="楷体" w:eastAsia="楷体"/>
          <w:b/>
          <w:sz w:val="36"/>
          <w:szCs w:val="36"/>
        </w:rPr>
        <w:t>综合评分表</w:t>
      </w:r>
    </w:p>
    <w:tbl>
      <w:tblPr>
        <w:tblStyle w:val="27"/>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pPr>
              <w:numPr>
                <w:ilvl w:val="0"/>
                <w:numId w:val="0"/>
              </w:numPr>
              <w:spacing w:before="192" w:line="360" w:lineRule="auto"/>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highlight w:val="none"/>
                <w:lang w:val="en-US" w:eastAsia="zh-CN" w:bidi="ar-SA"/>
              </w:rPr>
              <w:t>3.评标期间，评标委员会根据</w:t>
            </w:r>
            <w:r>
              <w:rPr>
                <w:rFonts w:hint="eastAsia" w:ascii="仿宋" w:hAnsi="仿宋" w:eastAsia="仿宋" w:cs="仿宋"/>
                <w:b w:val="0"/>
                <w:snapToGrid w:val="0"/>
                <w:color w:val="000000"/>
                <w:kern w:val="0"/>
                <w:sz w:val="24"/>
                <w:szCs w:val="21"/>
                <w:highlight w:val="none"/>
                <w:lang w:val="en-US" w:eastAsia="en-US" w:bidi="ar-SA"/>
              </w:rPr>
              <w:t>关于推动解决政府采购异常低价问题的通知财库〔2026〕2号</w:t>
            </w:r>
            <w:r>
              <w:rPr>
                <w:rFonts w:hint="eastAsia" w:ascii="仿宋" w:hAnsi="仿宋" w:eastAsia="仿宋" w:cs="仿宋"/>
                <w:b w:val="0"/>
                <w:snapToGrid w:val="0"/>
                <w:color w:val="000000"/>
                <w:kern w:val="0"/>
                <w:sz w:val="24"/>
                <w:szCs w:val="21"/>
                <w:highlight w:val="none"/>
                <w:lang w:val="en-US" w:eastAsia="zh-CN" w:bidi="ar-SA"/>
              </w:rPr>
              <w:t>强化政府采购启动异常低价审查，</w:t>
            </w:r>
            <w:r>
              <w:rPr>
                <w:rFonts w:hint="eastAsia" w:ascii="仿宋" w:hAnsi="仿宋" w:eastAsia="仿宋" w:cs="仿宋"/>
                <w:spacing w:val="-1"/>
                <w:sz w:val="24"/>
                <w:szCs w:val="24"/>
                <w:highlight w:val="none"/>
                <w:lang w:val="en-US" w:eastAsia="zh-CN"/>
              </w:rPr>
              <w:t>采购人针对该项目实际情况，提高该文件第1项至第3项（详见招标文件32页）中启动异常低价投标(响应)审查的数值标准至65%。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履约能力（主观分）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4）项目实施进度计划图（附交货期、供货时间进度表）；（5）环境保护方案；（6）设备节能方案；（7）项目实施期间投入的安装人员、车辆、工器</w:t>
            </w:r>
            <w:r>
              <w:rPr>
                <w:rFonts w:hint="eastAsia" w:ascii="仿宋" w:hAnsi="仿宋" w:eastAsia="仿宋" w:cs="仿宋"/>
                <w:snapToGrid w:val="0"/>
                <w:color w:val="000000"/>
                <w:kern w:val="0"/>
                <w:sz w:val="24"/>
                <w:szCs w:val="21"/>
                <w:lang w:val="en-US" w:eastAsia="zh-CN" w:bidi="ar-SA"/>
              </w:rPr>
              <w:t>具配置方案；（8）应急方案，必须考虑在整个项目执行过程中可能存在风险和突发情况，针对不同的突发情形提供详细的应急措施及应对方案；（9）针对安装设备安装流程作出详细方案；评标委员会根据方案内容进行详细评审，每项评分按1分计算，满分9分；</w:t>
            </w:r>
            <w:r>
              <w:rPr>
                <w:rFonts w:ascii="仿宋" w:hAnsi="仿宋" w:eastAsia="仿宋" w:cs="仿宋"/>
                <w:snapToGrid w:val="0"/>
                <w:color w:val="000000" w:themeColor="text1"/>
                <w:kern w:val="0"/>
                <w:sz w:val="24"/>
                <w:szCs w:val="24"/>
                <w:lang w:val="en-US" w:eastAsia="zh-CN" w:bidi="ar"/>
                <w14:textFill>
                  <w14:solidFill>
                    <w14:schemeClr w14:val="tx1"/>
                  </w14:solidFill>
                </w14:textFill>
              </w:rPr>
              <w:t>每有一项内</w:t>
            </w:r>
            <w:r>
              <w:rPr>
                <w:rFonts w:hint="eastAsia" w:ascii="仿宋" w:hAnsi="仿宋" w:eastAsia="仿宋" w:cs="仿宋"/>
                <w:snapToGrid w:val="0"/>
                <w:color w:val="000000" w:themeColor="text1"/>
                <w:kern w:val="0"/>
                <w:sz w:val="24"/>
                <w:szCs w:val="24"/>
                <w:lang w:val="en-US" w:eastAsia="zh-CN" w:bidi="ar"/>
                <w14:textFill>
                  <w14:solidFill>
                    <w14:schemeClr w14:val="tx1"/>
                  </w14:solidFill>
                </w14:textFill>
              </w:rPr>
              <w:t>容不完整或每有一处不具有针对性或逻辑性错误或与实际需求不相符的</w:t>
            </w: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投标人根据所投标项提供类似项目履约经历证明材料，每提供1套材料得1分，最高得2分，提供不全或不提供不得分。（包含：①、政府采购官网中标公示截图；②、中标（成交）通知书；③、政府采购合同；以上3项资料为完整的1套资料缺一不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（59分）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0" w:name="OLE_LINK13"/>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1、评审专家根据非★的技术参数进行详细评审，完全满足招标文件技术参数要求得25分；</w:t>
            </w:r>
          </w:p>
          <w:p>
            <w:pPr>
              <w:spacing w:line="360"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非★的技术参数指标正偏离情况进行详细评审，任意提供一项正偏离加1分，最高5分（需提供官方或官方授权的第三方具有检测能力出具的检测报告证明其指标优于参数要求）；如有一项负偏离扣0.5分，最多扣5分。</w:t>
            </w:r>
            <w:bookmarkEnd w:id="2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14分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1" w:name="OLE_LINK14"/>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根据项目具体情况，需提供专业技术安装人员（包含：①、劳动合同、②、身份证明、③、提供专业技术安装人员属于投标人或生产厂家人员证明材料（例：工资发放单等材料）、④、技术人员名单（需与第③项提供专业技术安装人员一致）四项为一套完整资料，每提供1人得2分，最高8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根据项目具体情况，需提供专业技术调试人员（包含：①、劳动合同、②、身份证明、③、提供专业技术调试人员属于投标人或生产厂家人员证明材料（例：工资发放单等材料）、④、技术人员名单（需与第③项提供专业技术调试人员一致）四项为一套完整资料，每提供1人得1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根据项目具体情况，需提供专业技术检测人员（包含：①、劳动合同、②、身份证明、③、提供专业技术专业技术检测人员属于投标人或生产厂家人员证明材料（例：工资发放单等材料）、④、技术人员名单（需与第③项提供专业技术检测人员一致）四项为一套完整资料，每提供1人得1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4、根据项目具体情况，需提供专业技术维修人员（包含：①、劳动合同、②、身份证明、③、提供专业技术专业维修人员属于投标人或生产厂家人员证明材料（例：工资发放单等材料、④、技术人员名单（需与第③项提供技术维修人员一致）四项为一套完整资料，每提供1人得0.5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bookmarkEnd w:id="2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15分</w:t>
            </w:r>
          </w:p>
        </w:tc>
        <w:tc>
          <w:tcPr>
            <w:tcW w:w="6830" w:type="dxa"/>
            <w:noWrap w:val="0"/>
            <w:vAlign w:val="top"/>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2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评标委员会根据方案内容进行详细评审，每项评分按2分计算，提供不全或缺少不得分，此项满分6分。</w:t>
            </w:r>
          </w:p>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2、每年不少于3次对设备进行全面检查、清洁、维护作出详细方案（包含：①、货物检查、②、货物清洁、③、货物维修维护次数），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评标委员会根据方案内容进行详细评审，每项评分按1分计算，提供不全或缺少不得分，此项满分4分。</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4、投标人开展设备使用上门巡检次数不少于4次/年得1分，每年增加1次得0.5分，最高2分（需提供承诺函），不提供得分。</w:t>
            </w:r>
            <w:r>
              <w:rPr>
                <w:rFonts w:hint="default" w:ascii="Arial" w:hAnsi="Arial" w:eastAsia="Arial" w:cs="Arial"/>
                <w:i w:val="0"/>
                <w:iCs w:val="0"/>
                <w:caps w:val="0"/>
                <w:color w:val="333333"/>
                <w:spacing w:val="0"/>
                <w:sz w:val="15"/>
                <w:szCs w:val="15"/>
                <w:shd w:val="clear" w:fill="FFFFFF"/>
              </w:rPr>
              <w:t>‌</w:t>
            </w:r>
          </w:p>
        </w:tc>
      </w:tr>
    </w:tbl>
    <w:p>
      <w:pPr>
        <w:rPr>
          <w:sz w:val="22"/>
          <w:szCs w:val="22"/>
        </w:rPr>
      </w:pPr>
    </w:p>
    <w:p>
      <w:pPr>
        <w:rPr>
          <w:sz w:val="22"/>
          <w:szCs w:val="22"/>
        </w:rPr>
      </w:pPr>
    </w:p>
    <w:p>
      <w:pPr>
        <w:pStyle w:val="10"/>
        <w:spacing w:before="100" w:line="224" w:lineRule="auto"/>
        <w:jc w:val="both"/>
        <w:outlineLvl w:val="0"/>
        <w:rPr>
          <w:rFonts w:hint="eastAsia" w:ascii="仿宋" w:hAnsi="仿宋" w:eastAsia="仿宋" w:cs="仿宋"/>
          <w:b/>
          <w:bCs/>
          <w:spacing w:val="5"/>
          <w:sz w:val="44"/>
          <w:szCs w:val="44"/>
          <w:lang w:val="en-US" w:eastAsia="zh-CN"/>
        </w:rPr>
      </w:pPr>
      <w:bookmarkStart w:id="252" w:name="_Toc20939"/>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52"/>
    </w:p>
    <w:p>
      <w:pPr>
        <w:spacing w:line="360" w:lineRule="auto"/>
        <w:rPr>
          <w:rFonts w:hint="eastAsia" w:ascii="仿宋" w:hAnsi="仿宋" w:eastAsia="仿宋" w:cs="仿宋"/>
          <w:sz w:val="21"/>
        </w:rPr>
      </w:pPr>
    </w:p>
    <w:p>
      <w:pPr>
        <w:pStyle w:val="10"/>
        <w:spacing w:after="0"/>
        <w:jc w:val="center"/>
        <w:rPr>
          <w:rFonts w:ascii="宋体" w:hAnsi="宋体" w:cs="宋体"/>
          <w:b/>
          <w:bCs/>
          <w:spacing w:val="-20"/>
          <w:kern w:val="44"/>
          <w:sz w:val="48"/>
          <w:szCs w:val="48"/>
        </w:rPr>
      </w:pPr>
      <w:bookmarkStart w:id="253" w:name="_Toc3995"/>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outlineLvl w:val="1"/>
        <w:rPr>
          <w:rFonts w:hint="eastAsia" w:ascii="宋体" w:hAnsi="宋体" w:cs="宋体"/>
          <w:b/>
          <w:bCs/>
          <w:spacing w:val="-20"/>
          <w:kern w:val="44"/>
          <w:sz w:val="48"/>
          <w:szCs w:val="48"/>
        </w:rPr>
      </w:pPr>
      <w:bookmarkStart w:id="254"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54"/>
    </w:p>
    <w:p>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40" w:type="default"/>
          <w:footerReference r:id="rId4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53"/>
    <w:p>
      <w:pPr>
        <w:pStyle w:val="4"/>
        <w:adjustRightInd w:val="0"/>
        <w:snapToGrid w:val="0"/>
        <w:spacing w:beforeLines="0" w:line="400" w:lineRule="exact"/>
        <w:jc w:val="center"/>
        <w:outlineLvl w:val="9"/>
        <w:rPr>
          <w:rFonts w:hint="eastAsia" w:ascii="黑体" w:hAnsi="黑体" w:eastAsia="黑体"/>
          <w:sz w:val="28"/>
          <w:szCs w:val="28"/>
        </w:rPr>
      </w:pPr>
      <w:bookmarkStart w:id="255" w:name="_Toc22209"/>
    </w:p>
    <w:p>
      <w:pPr>
        <w:pStyle w:val="4"/>
        <w:adjustRightInd w:val="0"/>
        <w:snapToGrid w:val="0"/>
        <w:spacing w:beforeLines="0" w:line="400" w:lineRule="exact"/>
        <w:jc w:val="center"/>
        <w:rPr>
          <w:rFonts w:hint="eastAsia" w:ascii="黑体" w:hAnsi="华文中宋" w:eastAsia="黑体"/>
          <w:b w:val="0"/>
          <w:bCs w:val="0"/>
          <w:sz w:val="28"/>
          <w:szCs w:val="28"/>
        </w:rPr>
      </w:pPr>
      <w:bookmarkStart w:id="256"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55"/>
      <w:bookmarkEnd w:id="256"/>
    </w:p>
    <w:p>
      <w:pPr>
        <w:pStyle w:val="4"/>
        <w:adjustRightInd w:val="0"/>
        <w:snapToGrid w:val="0"/>
        <w:spacing w:beforeLines="0" w:line="400" w:lineRule="exact"/>
        <w:jc w:val="center"/>
        <w:outlineLvl w:val="9"/>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12"/>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12"/>
        </w:numPr>
        <w:adjustRightInd w:val="0"/>
        <w:snapToGrid w:val="0"/>
        <w:spacing w:before="0" w:beforeLines="0" w:line="400" w:lineRule="exact"/>
        <w:ind w:firstLine="420" w:firstLineChars="200"/>
        <w:outlineLvl w:val="2"/>
        <w:rPr>
          <w:rFonts w:ascii="宋体" w:hAnsi="宋体"/>
          <w:b/>
          <w:szCs w:val="21"/>
        </w:rPr>
      </w:pPr>
      <w:bookmarkStart w:id="257" w:name="_Toc15841"/>
      <w:bookmarkStart w:id="258" w:name="_Toc14666"/>
      <w:r>
        <w:rPr>
          <w:rFonts w:hint="eastAsia" w:ascii="宋体" w:hAnsi="宋体"/>
          <w:b/>
          <w:szCs w:val="21"/>
        </w:rPr>
        <w:t>项目信息</w:t>
      </w:r>
      <w:bookmarkEnd w:id="257"/>
      <w:bookmarkEnd w:id="258"/>
    </w:p>
    <w:p>
      <w:pPr>
        <w:pStyle w:val="12"/>
        <w:numPr>
          <w:ilvl w:val="0"/>
          <w:numId w:val="13"/>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12"/>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12"/>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pPr>
        <w:pStyle w:val="37"/>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pPr>
        <w:pStyle w:val="37"/>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37"/>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37"/>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37"/>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37"/>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37"/>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37"/>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2"/>
        </w:numPr>
        <w:adjustRightInd w:val="0"/>
        <w:snapToGrid w:val="0"/>
        <w:spacing w:before="0" w:beforeLines="0" w:line="400" w:lineRule="exact"/>
        <w:ind w:firstLine="420" w:firstLineChars="200"/>
        <w:outlineLvl w:val="2"/>
        <w:rPr>
          <w:rFonts w:ascii="宋体" w:hAnsi="宋体"/>
          <w:b/>
          <w:szCs w:val="21"/>
          <w:highlight w:val="none"/>
        </w:rPr>
      </w:pPr>
      <w:bookmarkStart w:id="259" w:name="_Toc14304"/>
      <w:bookmarkStart w:id="260" w:name="_Toc5686"/>
      <w:r>
        <w:rPr>
          <w:rFonts w:hint="eastAsia" w:ascii="宋体" w:hAnsi="宋体"/>
          <w:b/>
          <w:szCs w:val="21"/>
          <w:highlight w:val="none"/>
        </w:rPr>
        <w:t>合同金额</w:t>
      </w:r>
      <w:bookmarkEnd w:id="259"/>
      <w:bookmarkEnd w:id="260"/>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6"/>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12"/>
        </w:numPr>
        <w:adjustRightInd w:val="0"/>
        <w:snapToGrid w:val="0"/>
        <w:spacing w:before="0" w:beforeLines="0" w:line="400" w:lineRule="exact"/>
        <w:ind w:firstLine="420" w:firstLineChars="200"/>
        <w:outlineLvl w:val="2"/>
        <w:rPr>
          <w:rFonts w:ascii="宋体" w:hAnsi="宋体"/>
          <w:b/>
          <w:bCs w:val="0"/>
          <w:szCs w:val="21"/>
          <w:u w:val="single"/>
        </w:rPr>
      </w:pPr>
      <w:bookmarkStart w:id="261" w:name="_Toc6193"/>
      <w:bookmarkStart w:id="262" w:name="_Toc5969"/>
      <w:r>
        <w:rPr>
          <w:rFonts w:hint="eastAsia" w:ascii="宋体" w:hAnsi="宋体"/>
          <w:b/>
          <w:bCs w:val="0"/>
          <w:szCs w:val="21"/>
        </w:rPr>
        <w:t>合同履行</w:t>
      </w:r>
      <w:bookmarkEnd w:id="261"/>
      <w:bookmarkEnd w:id="262"/>
    </w:p>
    <w:p>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37"/>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37"/>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12"/>
        </w:numPr>
        <w:adjustRightInd w:val="0"/>
        <w:snapToGrid w:val="0"/>
        <w:spacing w:before="0" w:beforeLines="0" w:line="400" w:lineRule="exact"/>
        <w:ind w:firstLine="420" w:firstLineChars="200"/>
        <w:outlineLvl w:val="2"/>
        <w:rPr>
          <w:rFonts w:ascii="宋体" w:hAnsi="宋体"/>
          <w:b/>
          <w:szCs w:val="21"/>
        </w:rPr>
      </w:pPr>
      <w:bookmarkStart w:id="263" w:name="_Toc28224"/>
      <w:bookmarkStart w:id="264" w:name="_Toc9489"/>
      <w:r>
        <w:rPr>
          <w:rFonts w:hint="eastAsia" w:ascii="宋体" w:hAnsi="宋体"/>
          <w:b/>
          <w:szCs w:val="21"/>
        </w:rPr>
        <w:t>合同验收</w:t>
      </w:r>
      <w:bookmarkEnd w:id="263"/>
      <w:bookmarkEnd w:id="264"/>
    </w:p>
    <w:p>
      <w:pPr>
        <w:numPr>
          <w:ilvl w:val="0"/>
          <w:numId w:val="14"/>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37"/>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12"/>
        </w:numPr>
        <w:adjustRightInd w:val="0"/>
        <w:snapToGrid w:val="0"/>
        <w:spacing w:before="0" w:beforeLines="0" w:line="400" w:lineRule="exact"/>
        <w:ind w:firstLine="420" w:firstLineChars="200"/>
        <w:outlineLvl w:val="2"/>
        <w:rPr>
          <w:rFonts w:hint="eastAsia" w:ascii="宋体" w:hAnsi="宋体"/>
          <w:b/>
          <w:szCs w:val="21"/>
        </w:rPr>
      </w:pPr>
      <w:bookmarkStart w:id="265" w:name="_Toc32386"/>
      <w:bookmarkStart w:id="266" w:name="_Toc8512"/>
      <w:r>
        <w:rPr>
          <w:rFonts w:hint="eastAsia" w:ascii="宋体" w:hAnsi="宋体"/>
          <w:b/>
          <w:szCs w:val="21"/>
        </w:rPr>
        <w:t>组成合同的文件</w:t>
      </w:r>
      <w:bookmarkEnd w:id="265"/>
      <w:bookmarkEnd w:id="266"/>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pPr>
        <w:pStyle w:val="37"/>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12"/>
        </w:numPr>
        <w:adjustRightInd w:val="0"/>
        <w:snapToGrid w:val="0"/>
        <w:spacing w:before="0" w:beforeLines="0" w:line="400" w:lineRule="exact"/>
        <w:ind w:firstLine="420" w:firstLineChars="200"/>
        <w:outlineLvl w:val="2"/>
        <w:rPr>
          <w:rFonts w:hint="eastAsia" w:ascii="宋体" w:hAnsi="宋体"/>
          <w:b/>
          <w:szCs w:val="21"/>
        </w:rPr>
      </w:pPr>
      <w:bookmarkStart w:id="267" w:name="_Toc19749"/>
      <w:bookmarkStart w:id="268" w:name="_Toc5452"/>
      <w:r>
        <w:rPr>
          <w:rFonts w:hint="eastAsia" w:ascii="宋体" w:hAnsi="宋体"/>
          <w:b/>
          <w:szCs w:val="21"/>
        </w:rPr>
        <w:t>合同生效</w:t>
      </w:r>
      <w:bookmarkEnd w:id="267"/>
      <w:bookmarkEnd w:id="268"/>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12"/>
        </w:numPr>
        <w:adjustRightInd w:val="0"/>
        <w:snapToGrid w:val="0"/>
        <w:spacing w:before="0" w:beforeLines="0" w:line="400" w:lineRule="exact"/>
        <w:ind w:firstLine="420" w:firstLineChars="200"/>
        <w:outlineLvl w:val="2"/>
        <w:rPr>
          <w:rFonts w:hint="eastAsia" w:ascii="宋体" w:hAnsi="宋体"/>
          <w:b/>
          <w:szCs w:val="21"/>
        </w:rPr>
      </w:pPr>
      <w:bookmarkStart w:id="269" w:name="_Toc9736"/>
      <w:bookmarkStart w:id="270" w:name="_Toc3449"/>
      <w:r>
        <w:rPr>
          <w:rFonts w:hint="eastAsia" w:ascii="宋体" w:hAnsi="宋体"/>
          <w:b/>
          <w:szCs w:val="21"/>
        </w:rPr>
        <w:t>合同份数</w:t>
      </w:r>
      <w:bookmarkEnd w:id="269"/>
      <w:bookmarkEnd w:id="270"/>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6"/>
        <w:spacing w:beforeLines="0" w:line="400" w:lineRule="exact"/>
      </w:pPr>
    </w:p>
    <w:p>
      <w:pPr>
        <w:pStyle w:val="4"/>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6"/>
        <w:rPr>
          <w:rFonts w:hint="eastAsia"/>
        </w:rPr>
      </w:pPr>
    </w:p>
    <w:tbl>
      <w:tblPr>
        <w:tblStyle w:val="27"/>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pPr>
              <w:pStyle w:val="12"/>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71" w:name="_Toc27624"/>
      <w:bookmarkStart w:id="272" w:name="_Toc31032"/>
      <w:r>
        <w:rPr>
          <w:rFonts w:hint="eastAsia" w:ascii="黑体" w:hAnsi="黑体" w:eastAsia="黑体"/>
          <w:b w:val="0"/>
          <w:bCs w:val="0"/>
          <w:sz w:val="28"/>
          <w:szCs w:val="28"/>
        </w:rPr>
        <w:t>第二节 政府采购合同通用条款</w:t>
      </w:r>
      <w:bookmarkEnd w:id="271"/>
      <w:bookmarkEnd w:id="272"/>
    </w:p>
    <w:p>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73" w:name="_Toc8559"/>
      <w:bookmarkStart w:id="274" w:name="_Toc307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73"/>
      <w:bookmarkEnd w:id="274"/>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numPr>
          <w:ilvl w:val="0"/>
          <w:numId w:val="15"/>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5" w:name="_Toc28075"/>
      <w:bookmarkStart w:id="276" w:name="_Toc27479"/>
      <w:r>
        <w:rPr>
          <w:rFonts w:hint="eastAsia" w:ascii="宋体" w:hAnsi="宋体"/>
          <w:b/>
          <w:color w:val="000000" w:themeColor="text1"/>
          <w:sz w:val="24"/>
          <w:highlight w:val="none"/>
          <w14:textFill>
            <w14:solidFill>
              <w14:schemeClr w14:val="tx1"/>
            </w14:solidFill>
          </w14:textFill>
        </w:rPr>
        <w:t>合同标的及金额</w:t>
      </w:r>
      <w:bookmarkEnd w:id="275"/>
      <w:bookmarkEnd w:id="276"/>
    </w:p>
    <w:p>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77" w:name="_Toc31682"/>
      <w:bookmarkStart w:id="278" w:name="_Toc30859"/>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77"/>
      <w:bookmarkEnd w:id="278"/>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9" w:name="_Toc21108"/>
      <w:bookmarkStart w:id="280" w:name="_Toc29899"/>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79"/>
      <w:bookmarkEnd w:id="280"/>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1" w:name="_Toc27828"/>
      <w:bookmarkStart w:id="282" w:name="_Toc30556"/>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81"/>
      <w:bookmarkEnd w:id="282"/>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pPr>
        <w:numPr>
          <w:ilvl w:val="0"/>
          <w:numId w:val="16"/>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83" w:name="_Toc13594"/>
      <w:bookmarkStart w:id="284" w:name="_Toc2856"/>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83"/>
      <w:bookmarkEnd w:id="284"/>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5" w:name="_Toc14567"/>
      <w:bookmarkStart w:id="286" w:name="_Toc32754"/>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85"/>
      <w:bookmarkEnd w:id="286"/>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37"/>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outlineLvl w:val="2"/>
        <w:rPr>
          <w:rFonts w:ascii="宋体" w:hAnsi="宋体"/>
          <w:b/>
          <w:color w:val="auto"/>
          <w:sz w:val="24"/>
          <w:highlight w:val="none"/>
        </w:rPr>
      </w:pPr>
      <w:bookmarkStart w:id="287" w:name="_Toc22016"/>
      <w:bookmarkStart w:id="288" w:name="_Toc25139"/>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87"/>
      <w:bookmarkEnd w:id="288"/>
    </w:p>
    <w:p>
      <w:pPr>
        <w:pStyle w:val="1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outlineLvl w:val="2"/>
        <w:rPr>
          <w:rFonts w:ascii="宋体" w:hAnsi="宋体"/>
          <w:b/>
          <w:bCs/>
          <w:color w:val="auto"/>
          <w:sz w:val="24"/>
          <w:highlight w:val="none"/>
        </w:rPr>
      </w:pPr>
      <w:bookmarkStart w:id="289" w:name="_Toc17639"/>
      <w:bookmarkStart w:id="290"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89"/>
      <w:bookmarkEnd w:id="290"/>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91" w:name="_Toc24177"/>
      <w:bookmarkStart w:id="292"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91"/>
      <w:bookmarkEnd w:id="292"/>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9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93"/>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4" w:name="_Toc29840"/>
      <w:bookmarkStart w:id="295" w:name="_Toc16772"/>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294"/>
      <w:bookmarkEnd w:id="295"/>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6" w:name="_Toc21227"/>
      <w:bookmarkStart w:id="297"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296"/>
      <w:bookmarkEnd w:id="297"/>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pacing w:line="400" w:lineRule="exact"/>
        <w:ind w:firstLine="420" w:firstLineChars="200"/>
        <w:rPr>
          <w:rFonts w:hint="eastAsia" w:eastAsia="宋体"/>
          <w:color w:val="auto"/>
          <w:highlight w:val="none"/>
          <w:lang w:eastAsia="zh-CN"/>
        </w:rPr>
      </w:pPr>
      <w:bookmarkStart w:id="298" w:name="_Toc28745"/>
      <w:bookmarkStart w:id="299" w:name="_Toc1507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98"/>
      <w:bookmarkEnd w:id="299"/>
    </w:p>
    <w:p>
      <w:pPr>
        <w:pStyle w:val="10"/>
        <w:spacing w:after="0" w:line="400" w:lineRule="exact"/>
        <w:outlineLvl w:val="2"/>
        <w:rPr>
          <w:rFonts w:ascii="宋体" w:hAnsi="宋体"/>
          <w:b/>
          <w:bCs/>
          <w:color w:val="auto"/>
          <w:sz w:val="24"/>
          <w:szCs w:val="24"/>
          <w:highlight w:val="none"/>
        </w:rPr>
      </w:pPr>
      <w:bookmarkStart w:id="300" w:name="_Toc28276"/>
      <w:bookmarkStart w:id="301" w:name="_Toc2639"/>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300"/>
      <w:bookmarkEnd w:id="301"/>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outlineLvl w:val="2"/>
        <w:rPr>
          <w:rFonts w:ascii="宋体" w:hAnsi="宋体"/>
          <w:b/>
          <w:color w:val="auto"/>
          <w:sz w:val="24"/>
          <w:highlight w:val="none"/>
        </w:rPr>
      </w:pPr>
      <w:bookmarkStart w:id="302" w:name="_Toc20509"/>
      <w:bookmarkStart w:id="303" w:name="_Toc5312"/>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302"/>
      <w:bookmarkEnd w:id="303"/>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37"/>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outlineLvl w:val="2"/>
        <w:rPr>
          <w:rFonts w:ascii="宋体" w:hAnsi="宋体"/>
          <w:b/>
          <w:bCs/>
          <w:color w:val="auto"/>
          <w:sz w:val="24"/>
          <w:highlight w:val="none"/>
        </w:rPr>
      </w:pPr>
      <w:bookmarkStart w:id="304" w:name="_Toc8001"/>
      <w:bookmarkStart w:id="305" w:name="_Toc5975"/>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304"/>
      <w:bookmarkEnd w:id="305"/>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7"/>
        </w:numPr>
        <w:autoSpaceDE w:val="0"/>
        <w:autoSpaceDN w:val="0"/>
        <w:adjustRightInd w:val="0"/>
        <w:snapToGrid w:val="0"/>
        <w:spacing w:before="0" w:line="400" w:lineRule="exact"/>
        <w:jc w:val="left"/>
        <w:outlineLvl w:val="2"/>
        <w:rPr>
          <w:rFonts w:ascii="宋体" w:hAnsi="宋体"/>
          <w:b/>
          <w:color w:val="auto"/>
          <w:sz w:val="24"/>
          <w:highlight w:val="none"/>
        </w:rPr>
      </w:pPr>
      <w:bookmarkStart w:id="306" w:name="_Toc15094"/>
      <w:bookmarkStart w:id="307" w:name="_Toc1653"/>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306"/>
      <w:bookmarkEnd w:id="307"/>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37"/>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3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37"/>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08" w:name="_Toc28710"/>
      <w:bookmarkStart w:id="309" w:name="_Toc27236"/>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308"/>
      <w:bookmarkEnd w:id="309"/>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0" w:name="_Toc15013"/>
      <w:bookmarkStart w:id="311" w:name="_Toc31450"/>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310"/>
      <w:bookmarkEnd w:id="311"/>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312" w:name="_Toc26101"/>
      <w:bookmarkStart w:id="313" w:name="_Toc21080"/>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312"/>
      <w:bookmarkEnd w:id="313"/>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outlineLvl w:val="2"/>
        <w:rPr>
          <w:rFonts w:ascii="宋体" w:hAnsi="宋体"/>
          <w:color w:val="auto"/>
          <w:sz w:val="24"/>
          <w:highlight w:val="none"/>
        </w:rPr>
      </w:pPr>
      <w:bookmarkStart w:id="314" w:name="_Toc14396"/>
      <w:bookmarkStart w:id="315" w:name="_Toc10432"/>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314"/>
      <w:bookmarkEnd w:id="315"/>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316" w:name="_Toc2021"/>
      <w:bookmarkStart w:id="317" w:name="_Toc1883"/>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316"/>
      <w:bookmarkEnd w:id="317"/>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18" w:name="_Toc22275"/>
      <w:bookmarkStart w:id="319" w:name="_Toc416"/>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18"/>
      <w:bookmarkEnd w:id="319"/>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37"/>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8"/>
        </w:numPr>
        <w:adjustRightInd w:val="0"/>
        <w:snapToGrid w:val="0"/>
        <w:spacing w:before="0" w:line="400" w:lineRule="exact"/>
        <w:jc w:val="left"/>
        <w:outlineLvl w:val="2"/>
        <w:rPr>
          <w:rFonts w:ascii="宋体" w:hAnsi="宋体"/>
          <w:b/>
          <w:bCs/>
          <w:color w:val="auto"/>
          <w:sz w:val="24"/>
          <w:highlight w:val="none"/>
        </w:rPr>
      </w:pPr>
      <w:bookmarkStart w:id="320" w:name="_Toc17492"/>
      <w:bookmarkStart w:id="321" w:name="_Toc21565"/>
      <w:r>
        <w:rPr>
          <w:rFonts w:hint="eastAsia" w:ascii="宋体" w:hAnsi="宋体"/>
          <w:b/>
          <w:bCs/>
          <w:color w:val="auto"/>
          <w:sz w:val="24"/>
          <w:highlight w:val="none"/>
        </w:rPr>
        <w:t>合同未尽事项</w:t>
      </w:r>
      <w:bookmarkEnd w:id="320"/>
      <w:bookmarkEnd w:id="321"/>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2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4"/>
        <w:adjustRightInd w:val="0"/>
        <w:snapToGrid w:val="0"/>
        <w:jc w:val="center"/>
        <w:rPr>
          <w:rFonts w:ascii="黑体" w:hAnsi="华文中宋" w:eastAsia="黑体"/>
          <w:b w:val="0"/>
          <w:bCs w:val="0"/>
          <w:sz w:val="28"/>
          <w:szCs w:val="28"/>
        </w:rPr>
      </w:pPr>
      <w:bookmarkStart w:id="323" w:name="_Toc19319"/>
      <w:r>
        <w:rPr>
          <w:rFonts w:hint="eastAsia" w:ascii="黑体" w:hAnsi="华文中宋" w:eastAsia="黑体"/>
          <w:b w:val="0"/>
          <w:bCs w:val="0"/>
          <w:sz w:val="28"/>
          <w:szCs w:val="28"/>
        </w:rPr>
        <w:t>第三节 政府采购合同专用条款</w:t>
      </w:r>
      <w:bookmarkEnd w:id="322"/>
      <w:bookmarkEnd w:id="323"/>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37"/>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
    <w:p/>
    <w:sectPr>
      <w:headerReference r:id="rId42" w:type="default"/>
      <w:footerReference r:id="rId43"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E1BAE3-081F-46DF-B871-5DB72A9D8CA1}"/>
  </w:font>
  <w:font w:name="Arial">
    <w:panose1 w:val="020B0604020202020204"/>
    <w:charset w:val="01"/>
    <w:family w:val="swiss"/>
    <w:pitch w:val="default"/>
    <w:sig w:usb0="E0002EFF" w:usb1="C000785B" w:usb2="00000009" w:usb3="00000000" w:csb0="400001FF" w:csb1="FFFF0000"/>
    <w:embedRegular r:id="rId2" w:fontKey="{9DA5473B-8385-496C-A2A9-B60082D53687}"/>
  </w:font>
  <w:font w:name="黑体">
    <w:panose1 w:val="02010609060101010101"/>
    <w:charset w:val="86"/>
    <w:family w:val="auto"/>
    <w:pitch w:val="default"/>
    <w:sig w:usb0="800002BF" w:usb1="38CF7CFA" w:usb2="00000016" w:usb3="00000000" w:csb0="00040001" w:csb1="00000000"/>
    <w:embedRegular r:id="rId3" w:fontKey="{E80857F1-F9E5-41EA-9FC2-1470130E41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0" w:usb1="00000000" w:usb2="00000000" w:usb3="00000000" w:csb0="00000000" w:csb1="00000000"/>
    <w:embedRegular r:id="rId4" w:fontKey="{91983AF9-91D7-471E-A777-A64EC64A116B}"/>
  </w:font>
  <w:font w:name="华文楷体">
    <w:panose1 w:val="02010600040101010101"/>
    <w:charset w:val="86"/>
    <w:family w:val="auto"/>
    <w:pitch w:val="default"/>
    <w:sig w:usb0="00000000" w:usb1="00000000" w:usb2="00000000" w:usb3="00000000" w:csb0="00000000" w:csb1="00000000"/>
    <w:embedRegular r:id="rId5" w:fontKey="{7BB7D529-80B5-45F3-AC7F-B9C83FDF6528}"/>
  </w:font>
  <w:font w:name="仿宋">
    <w:panose1 w:val="02010609060101010101"/>
    <w:charset w:val="86"/>
    <w:family w:val="auto"/>
    <w:pitch w:val="default"/>
    <w:sig w:usb0="800002BF" w:usb1="38CF7CFA" w:usb2="00000016" w:usb3="00000000" w:csb0="00040001" w:csb1="00000000"/>
    <w:embedRegular r:id="rId6" w:fontKey="{761B2F3A-8A79-447A-8F46-1B6D23FCAFD6}"/>
  </w:font>
  <w:font w:name="微软雅黑">
    <w:panose1 w:val="020B0503020204020204"/>
    <w:charset w:val="86"/>
    <w:family w:val="auto"/>
    <w:pitch w:val="default"/>
    <w:sig w:usb0="80000287" w:usb1="2ACF3C50" w:usb2="00000016" w:usb3="00000000" w:csb0="0004001F" w:csb1="00000000"/>
    <w:embedRegular r:id="rId7" w:fontKey="{1E49B947-837C-4C43-A0BC-46F3DAB6031E}"/>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方正仿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000" w:usb1="00000000" w:usb2="00000000" w:usb3="00000000" w:csb0="00000000" w:csb1="00000000"/>
    <w:embedRegular r:id="rId8" w:fontKey="{5AEE2C08-16EA-479E-840E-5519C32C27C0}"/>
  </w:font>
  <w:font w:name="方正仿宋_GBK">
    <w:panose1 w:val="03000509000000000000"/>
    <w:charset w:val="86"/>
    <w:family w:val="auto"/>
    <w:pitch w:val="default"/>
    <w:sig w:usb0="00000001" w:usb1="080E0000" w:usb2="00000000" w:usb3="00000000" w:csb0="00040000" w:csb1="00000000"/>
    <w:embedRegular r:id="rId9" w:fontKey="{7DE32ACD-1635-4776-8E95-D2E2937CC608}"/>
  </w:font>
  <w:font w:name="方正黑体_GBK">
    <w:panose1 w:val="03000509000000000000"/>
    <w:charset w:val="86"/>
    <w:family w:val="auto"/>
    <w:pitch w:val="default"/>
    <w:sig w:usb0="00000001" w:usb1="080E0000" w:usb2="00000000" w:usb3="00000000" w:csb0="00040000" w:csb1="00000000"/>
    <w:embedRegular r:id="rId10" w:fontKey="{2ED44E5A-1AA3-425C-BEA2-AC903671343B}"/>
  </w:font>
  <w:font w:name="楷体">
    <w:panose1 w:val="02010609060101010101"/>
    <w:charset w:val="86"/>
    <w:family w:val="auto"/>
    <w:pitch w:val="default"/>
    <w:sig w:usb0="800002BF" w:usb1="38CF7CFA" w:usb2="00000016" w:usb3="00000000" w:csb0="00040001" w:csb1="00000000"/>
    <w:embedRegular r:id="rId11" w:fontKey="{76D9D9C7-6D2F-449D-8BB3-B35CDFEFA4FE}"/>
  </w:font>
  <w:font w:name="汉仪书宋二S">
    <w:altName w:val="宋体"/>
    <w:panose1 w:val="00000000000000000000"/>
    <w:charset w:val="00"/>
    <w:family w:val="auto"/>
    <w:pitch w:val="default"/>
    <w:sig w:usb0="00000000" w:usb1="00000000" w:usb2="00000000" w:usb3="00000000" w:csb0="00000000" w:csb1="00000000"/>
    <w:embedRegular r:id="rId12" w:fontKey="{99F030DC-5EBE-45E1-A8ED-C7C715031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72" w:lineRule="auto"/>
      <w:ind w:left="4189"/>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C01B9"/>
    <w:multiLevelType w:val="singleLevel"/>
    <w:tmpl w:val="BA2C01B9"/>
    <w:lvl w:ilvl="0" w:tentative="0">
      <w:start w:val="4"/>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42D6E1F"/>
    <w:multiLevelType w:val="singleLevel"/>
    <w:tmpl w:val="D42D6E1F"/>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DFC7F9EF"/>
    <w:multiLevelType w:val="singleLevel"/>
    <w:tmpl w:val="DFC7F9EF"/>
    <w:lvl w:ilvl="0" w:tentative="0">
      <w:start w:val="8"/>
      <w:numFmt w:val="decimal"/>
      <w:suff w:val="nothing"/>
      <w:lvlText w:val="%1、"/>
      <w:lvlJc w:val="left"/>
    </w:lvl>
  </w:abstractNum>
  <w:abstractNum w:abstractNumId="8">
    <w:nsid w:val="FE7DED0B"/>
    <w:multiLevelType w:val="singleLevel"/>
    <w:tmpl w:val="FE7DED0B"/>
    <w:lvl w:ilvl="0" w:tentative="0">
      <w:start w:val="3"/>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3"/>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1">
    <w:nsid w:val="15E612FC"/>
    <w:multiLevelType w:val="singleLevel"/>
    <w:tmpl w:val="15E612FC"/>
    <w:lvl w:ilvl="0" w:tentative="0">
      <w:start w:val="6"/>
      <w:numFmt w:val="chineseCounting"/>
      <w:suff w:val="nothing"/>
      <w:lvlText w:val="（%1）"/>
      <w:lvlJc w:val="left"/>
      <w:rPr>
        <w:rFonts w:hint="eastAsia"/>
      </w:rPr>
    </w:lvl>
  </w:abstractNum>
  <w:abstractNum w:abstractNumId="12">
    <w:nsid w:val="298E623C"/>
    <w:multiLevelType w:val="singleLevel"/>
    <w:tmpl w:val="298E623C"/>
    <w:lvl w:ilvl="0" w:tentative="0">
      <w:start w:val="3"/>
      <w:numFmt w:val="chineseCounting"/>
      <w:suff w:val="space"/>
      <w:lvlText w:val="第%1章"/>
      <w:lvlJc w:val="left"/>
      <w:rPr>
        <w:rFonts w:hint="eastAsia"/>
      </w:rPr>
    </w:lvl>
  </w:abstractNum>
  <w:abstractNum w:abstractNumId="13">
    <w:nsid w:val="45CAD224"/>
    <w:multiLevelType w:val="singleLevel"/>
    <w:tmpl w:val="45CAD224"/>
    <w:lvl w:ilvl="0" w:tentative="0">
      <w:start w:val="5"/>
      <w:numFmt w:val="decimal"/>
      <w:suff w:val="space"/>
      <w:lvlText w:val="第%1章"/>
      <w:lvlJc w:val="left"/>
    </w:lvl>
  </w:abstractNum>
  <w:abstractNum w:abstractNumId="14">
    <w:nsid w:val="60FE979C"/>
    <w:multiLevelType w:val="singleLevel"/>
    <w:tmpl w:val="60FE979C"/>
    <w:lvl w:ilvl="0" w:tentative="0">
      <w:start w:val="2"/>
      <w:numFmt w:val="chineseCounting"/>
      <w:suff w:val="nothing"/>
      <w:lvlText w:val="（%1）"/>
      <w:lvlJc w:val="left"/>
      <w:rPr>
        <w:rFonts w:hint="eastAsia"/>
      </w:rPr>
    </w:lvl>
  </w:abstractNum>
  <w:abstractNum w:abstractNumId="15">
    <w:nsid w:val="7202BC76"/>
    <w:multiLevelType w:val="singleLevel"/>
    <w:tmpl w:val="7202BC76"/>
    <w:lvl w:ilvl="0" w:tentative="0">
      <w:start w:val="1"/>
      <w:numFmt w:val="chineseCounting"/>
      <w:suff w:val="nothing"/>
      <w:lvlText w:val="%1、"/>
      <w:lvlJc w:val="left"/>
      <w:rPr>
        <w:rFonts w:hint="eastAsia"/>
      </w:rPr>
    </w:lvl>
  </w:abstractNum>
  <w:abstractNum w:abstractNumId="16">
    <w:nsid w:val="74B30828"/>
    <w:multiLevelType w:val="singleLevel"/>
    <w:tmpl w:val="74B30828"/>
    <w:lvl w:ilvl="0" w:tentative="0">
      <w:start w:val="1"/>
      <w:numFmt w:val="decimal"/>
      <w:lvlText w:val="%1."/>
      <w:lvlJc w:val="left"/>
      <w:pPr>
        <w:tabs>
          <w:tab w:val="left" w:pos="312"/>
        </w:tabs>
      </w:pPr>
    </w:lvl>
  </w:abstractNum>
  <w:abstractNum w:abstractNumId="17">
    <w:nsid w:val="7A0F6431"/>
    <w:multiLevelType w:val="singleLevel"/>
    <w:tmpl w:val="7A0F6431"/>
    <w:lvl w:ilvl="0" w:tentative="0">
      <w:start w:val="1"/>
      <w:numFmt w:val="decimal"/>
      <w:suff w:val="space"/>
      <w:lvlText w:val="%1."/>
      <w:lvlJc w:val="left"/>
    </w:lvl>
  </w:abstractNum>
  <w:num w:numId="1">
    <w:abstractNumId w:val="10"/>
  </w:num>
  <w:num w:numId="2">
    <w:abstractNumId w:val="0"/>
  </w:num>
  <w:num w:numId="3">
    <w:abstractNumId w:val="14"/>
  </w:num>
  <w:num w:numId="4">
    <w:abstractNumId w:val="11"/>
  </w:num>
  <w:num w:numId="5">
    <w:abstractNumId w:val="7"/>
  </w:num>
  <w:num w:numId="6">
    <w:abstractNumId w:val="8"/>
  </w:num>
  <w:num w:numId="7">
    <w:abstractNumId w:val="12"/>
  </w:num>
  <w:num w:numId="8">
    <w:abstractNumId w:val="16"/>
  </w:num>
  <w:num w:numId="9">
    <w:abstractNumId w:val="3"/>
  </w:num>
  <w:num w:numId="10">
    <w:abstractNumId w:val="13"/>
  </w:num>
  <w:num w:numId="11">
    <w:abstractNumId w:val="15"/>
  </w:num>
  <w:num w:numId="12">
    <w:abstractNumId w:val="17"/>
  </w:num>
  <w:num w:numId="13">
    <w:abstractNumId w:val="2"/>
  </w:num>
  <w:num w:numId="14">
    <w:abstractNumId w:val="9"/>
  </w:num>
  <w:num w:numId="15">
    <w:abstractNumId w:val="5"/>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207188"/>
    <w:rsid w:val="00245594"/>
    <w:rsid w:val="00262C45"/>
    <w:rsid w:val="002E1F6F"/>
    <w:rsid w:val="003F1723"/>
    <w:rsid w:val="00474C7B"/>
    <w:rsid w:val="004874D5"/>
    <w:rsid w:val="005319D6"/>
    <w:rsid w:val="005828A7"/>
    <w:rsid w:val="005E13A7"/>
    <w:rsid w:val="00643BE3"/>
    <w:rsid w:val="0067092F"/>
    <w:rsid w:val="006838D9"/>
    <w:rsid w:val="007200AE"/>
    <w:rsid w:val="007A1658"/>
    <w:rsid w:val="0083050D"/>
    <w:rsid w:val="008769CF"/>
    <w:rsid w:val="008B73C2"/>
    <w:rsid w:val="00AA3CEC"/>
    <w:rsid w:val="00B00BD6"/>
    <w:rsid w:val="00B21B00"/>
    <w:rsid w:val="00B46918"/>
    <w:rsid w:val="00C11035"/>
    <w:rsid w:val="00C55C62"/>
    <w:rsid w:val="00CB3C62"/>
    <w:rsid w:val="00CD1788"/>
    <w:rsid w:val="00D217B8"/>
    <w:rsid w:val="00E908CF"/>
    <w:rsid w:val="00E972B6"/>
    <w:rsid w:val="00F05314"/>
    <w:rsid w:val="010411BC"/>
    <w:rsid w:val="010C5220"/>
    <w:rsid w:val="010D6029"/>
    <w:rsid w:val="011949CD"/>
    <w:rsid w:val="012B25CB"/>
    <w:rsid w:val="0134185B"/>
    <w:rsid w:val="01376778"/>
    <w:rsid w:val="01383EC5"/>
    <w:rsid w:val="013B4ECC"/>
    <w:rsid w:val="013D4B60"/>
    <w:rsid w:val="01471645"/>
    <w:rsid w:val="014A6A9C"/>
    <w:rsid w:val="015153FF"/>
    <w:rsid w:val="015201AD"/>
    <w:rsid w:val="016E413E"/>
    <w:rsid w:val="017F5F1F"/>
    <w:rsid w:val="01804A4C"/>
    <w:rsid w:val="01861CCC"/>
    <w:rsid w:val="01883901"/>
    <w:rsid w:val="01AA5582"/>
    <w:rsid w:val="01AE15BA"/>
    <w:rsid w:val="01B446F6"/>
    <w:rsid w:val="01B841E6"/>
    <w:rsid w:val="01B97F5E"/>
    <w:rsid w:val="01D05C15"/>
    <w:rsid w:val="01D152A8"/>
    <w:rsid w:val="01DA6F17"/>
    <w:rsid w:val="01E04B95"/>
    <w:rsid w:val="01E50E4E"/>
    <w:rsid w:val="01EE084F"/>
    <w:rsid w:val="01F3521E"/>
    <w:rsid w:val="01F81F9E"/>
    <w:rsid w:val="020225EC"/>
    <w:rsid w:val="020B07BA"/>
    <w:rsid w:val="021A2A94"/>
    <w:rsid w:val="021D0D94"/>
    <w:rsid w:val="022C5CCC"/>
    <w:rsid w:val="02353A89"/>
    <w:rsid w:val="023870D5"/>
    <w:rsid w:val="023A109F"/>
    <w:rsid w:val="023B4DEC"/>
    <w:rsid w:val="024F273B"/>
    <w:rsid w:val="025F0B06"/>
    <w:rsid w:val="02664218"/>
    <w:rsid w:val="0270061D"/>
    <w:rsid w:val="02764E9C"/>
    <w:rsid w:val="028265A2"/>
    <w:rsid w:val="02995032"/>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086EB0"/>
    <w:rsid w:val="031511C4"/>
    <w:rsid w:val="031C7364"/>
    <w:rsid w:val="03237D85"/>
    <w:rsid w:val="032B1BE2"/>
    <w:rsid w:val="033C60AA"/>
    <w:rsid w:val="0359353D"/>
    <w:rsid w:val="036208AE"/>
    <w:rsid w:val="03675921"/>
    <w:rsid w:val="03681C3C"/>
    <w:rsid w:val="037203C5"/>
    <w:rsid w:val="03802ECE"/>
    <w:rsid w:val="03830824"/>
    <w:rsid w:val="038325D2"/>
    <w:rsid w:val="03897C46"/>
    <w:rsid w:val="039667A9"/>
    <w:rsid w:val="03985A8A"/>
    <w:rsid w:val="03A74810"/>
    <w:rsid w:val="03B423AD"/>
    <w:rsid w:val="03B56796"/>
    <w:rsid w:val="03C2134C"/>
    <w:rsid w:val="03CF75C5"/>
    <w:rsid w:val="03D30FD1"/>
    <w:rsid w:val="03D351A4"/>
    <w:rsid w:val="03E272AF"/>
    <w:rsid w:val="03FD41DC"/>
    <w:rsid w:val="040134DD"/>
    <w:rsid w:val="04051239"/>
    <w:rsid w:val="04077655"/>
    <w:rsid w:val="040E6340"/>
    <w:rsid w:val="04134A25"/>
    <w:rsid w:val="04180F6C"/>
    <w:rsid w:val="04353117"/>
    <w:rsid w:val="043833BC"/>
    <w:rsid w:val="0439760D"/>
    <w:rsid w:val="044222F8"/>
    <w:rsid w:val="04425FE9"/>
    <w:rsid w:val="04473600"/>
    <w:rsid w:val="04524002"/>
    <w:rsid w:val="04575F38"/>
    <w:rsid w:val="04615859"/>
    <w:rsid w:val="04651CD8"/>
    <w:rsid w:val="0466617C"/>
    <w:rsid w:val="046E7D42"/>
    <w:rsid w:val="04810F1A"/>
    <w:rsid w:val="0482288A"/>
    <w:rsid w:val="04846205"/>
    <w:rsid w:val="048550B3"/>
    <w:rsid w:val="048F77E8"/>
    <w:rsid w:val="04A21746"/>
    <w:rsid w:val="04C03B87"/>
    <w:rsid w:val="04C70D83"/>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B6681"/>
    <w:rsid w:val="056B5638"/>
    <w:rsid w:val="057C6008"/>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614DB"/>
    <w:rsid w:val="0621683D"/>
    <w:rsid w:val="062F23E9"/>
    <w:rsid w:val="063823ED"/>
    <w:rsid w:val="063858F6"/>
    <w:rsid w:val="063F6C84"/>
    <w:rsid w:val="06514A44"/>
    <w:rsid w:val="06643275"/>
    <w:rsid w:val="06652463"/>
    <w:rsid w:val="067E4BBE"/>
    <w:rsid w:val="068154EF"/>
    <w:rsid w:val="06935222"/>
    <w:rsid w:val="06992C49"/>
    <w:rsid w:val="06B225CD"/>
    <w:rsid w:val="06CA1B69"/>
    <w:rsid w:val="06D71CF0"/>
    <w:rsid w:val="06DC50F5"/>
    <w:rsid w:val="06E31D05"/>
    <w:rsid w:val="06E3407D"/>
    <w:rsid w:val="06E45A7E"/>
    <w:rsid w:val="06F11670"/>
    <w:rsid w:val="06F34474"/>
    <w:rsid w:val="06F51A39"/>
    <w:rsid w:val="06FA704F"/>
    <w:rsid w:val="07046BC9"/>
    <w:rsid w:val="07097292"/>
    <w:rsid w:val="070C5D06"/>
    <w:rsid w:val="07133C6D"/>
    <w:rsid w:val="0714098C"/>
    <w:rsid w:val="072145DC"/>
    <w:rsid w:val="072365A6"/>
    <w:rsid w:val="072B1D75"/>
    <w:rsid w:val="0732033F"/>
    <w:rsid w:val="07324746"/>
    <w:rsid w:val="07342561"/>
    <w:rsid w:val="07373DFF"/>
    <w:rsid w:val="073D2C3C"/>
    <w:rsid w:val="074455BF"/>
    <w:rsid w:val="0748600C"/>
    <w:rsid w:val="07512869"/>
    <w:rsid w:val="07651737"/>
    <w:rsid w:val="077E78FD"/>
    <w:rsid w:val="07822F3C"/>
    <w:rsid w:val="078861C6"/>
    <w:rsid w:val="079D7527"/>
    <w:rsid w:val="07A205C2"/>
    <w:rsid w:val="07AA637F"/>
    <w:rsid w:val="07BE1E2B"/>
    <w:rsid w:val="07BE62CF"/>
    <w:rsid w:val="07C40169"/>
    <w:rsid w:val="07CC5CDA"/>
    <w:rsid w:val="07D366E3"/>
    <w:rsid w:val="07E95234"/>
    <w:rsid w:val="07F25F48"/>
    <w:rsid w:val="07F341CA"/>
    <w:rsid w:val="07F97307"/>
    <w:rsid w:val="08031F33"/>
    <w:rsid w:val="08077D9A"/>
    <w:rsid w:val="081163FE"/>
    <w:rsid w:val="081B57B2"/>
    <w:rsid w:val="08241552"/>
    <w:rsid w:val="08294E5C"/>
    <w:rsid w:val="08342AD5"/>
    <w:rsid w:val="0839554D"/>
    <w:rsid w:val="08444A26"/>
    <w:rsid w:val="084A1910"/>
    <w:rsid w:val="085E6EED"/>
    <w:rsid w:val="086329D2"/>
    <w:rsid w:val="08756B82"/>
    <w:rsid w:val="088A394B"/>
    <w:rsid w:val="08935065"/>
    <w:rsid w:val="08940DDD"/>
    <w:rsid w:val="08962DA7"/>
    <w:rsid w:val="08991AD4"/>
    <w:rsid w:val="089B6610"/>
    <w:rsid w:val="089D7C92"/>
    <w:rsid w:val="08B33959"/>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410A35"/>
    <w:rsid w:val="095C18FB"/>
    <w:rsid w:val="0962154F"/>
    <w:rsid w:val="097510C3"/>
    <w:rsid w:val="09951BA0"/>
    <w:rsid w:val="099A5DD9"/>
    <w:rsid w:val="09A13D71"/>
    <w:rsid w:val="09B774DD"/>
    <w:rsid w:val="09BB6FD3"/>
    <w:rsid w:val="09C04AF9"/>
    <w:rsid w:val="09C37F27"/>
    <w:rsid w:val="09CA2D09"/>
    <w:rsid w:val="09D21BBD"/>
    <w:rsid w:val="09D34E77"/>
    <w:rsid w:val="09E638BB"/>
    <w:rsid w:val="09E85885"/>
    <w:rsid w:val="09F47D86"/>
    <w:rsid w:val="09F91840"/>
    <w:rsid w:val="09FC30DE"/>
    <w:rsid w:val="09FC6C3A"/>
    <w:rsid w:val="09FD75F9"/>
    <w:rsid w:val="0A0106F5"/>
    <w:rsid w:val="0A0420EC"/>
    <w:rsid w:val="0A091AE6"/>
    <w:rsid w:val="0A1A55B1"/>
    <w:rsid w:val="0A22416C"/>
    <w:rsid w:val="0A232419"/>
    <w:rsid w:val="0A291DA3"/>
    <w:rsid w:val="0A2E4B86"/>
    <w:rsid w:val="0A343E3A"/>
    <w:rsid w:val="0A4C0D82"/>
    <w:rsid w:val="0A7D6455"/>
    <w:rsid w:val="0A831D1C"/>
    <w:rsid w:val="0A8530D4"/>
    <w:rsid w:val="0A8F5D00"/>
    <w:rsid w:val="0A9D07A7"/>
    <w:rsid w:val="0AA277A5"/>
    <w:rsid w:val="0AA40013"/>
    <w:rsid w:val="0AA957DD"/>
    <w:rsid w:val="0ABA2D7D"/>
    <w:rsid w:val="0ABB4D47"/>
    <w:rsid w:val="0ABE2142"/>
    <w:rsid w:val="0AC00976"/>
    <w:rsid w:val="0AC106B6"/>
    <w:rsid w:val="0AC27FEC"/>
    <w:rsid w:val="0ADA341F"/>
    <w:rsid w:val="0ADA51CD"/>
    <w:rsid w:val="0AE0030A"/>
    <w:rsid w:val="0AE447D6"/>
    <w:rsid w:val="0AEC4F01"/>
    <w:rsid w:val="0AED7EE7"/>
    <w:rsid w:val="0AF86F5E"/>
    <w:rsid w:val="0AFD318D"/>
    <w:rsid w:val="0B051BFF"/>
    <w:rsid w:val="0B065FC2"/>
    <w:rsid w:val="0B09160F"/>
    <w:rsid w:val="0B0E131B"/>
    <w:rsid w:val="0B14512A"/>
    <w:rsid w:val="0B1D330C"/>
    <w:rsid w:val="0B25248E"/>
    <w:rsid w:val="0B33270F"/>
    <w:rsid w:val="0B3B0CA0"/>
    <w:rsid w:val="0B491765"/>
    <w:rsid w:val="0B4C2B78"/>
    <w:rsid w:val="0B561478"/>
    <w:rsid w:val="0B5C6715"/>
    <w:rsid w:val="0B640F3B"/>
    <w:rsid w:val="0B666A61"/>
    <w:rsid w:val="0B7366D4"/>
    <w:rsid w:val="0B8D2D14"/>
    <w:rsid w:val="0B9E2984"/>
    <w:rsid w:val="0BBF6171"/>
    <w:rsid w:val="0BC56019"/>
    <w:rsid w:val="0BD04822"/>
    <w:rsid w:val="0BD64040"/>
    <w:rsid w:val="0BDB3B94"/>
    <w:rsid w:val="0BE23CA7"/>
    <w:rsid w:val="0BE301C1"/>
    <w:rsid w:val="0BE34A57"/>
    <w:rsid w:val="0BED0F30"/>
    <w:rsid w:val="0BF978D5"/>
    <w:rsid w:val="0BFC66C8"/>
    <w:rsid w:val="0C012C2E"/>
    <w:rsid w:val="0C04484A"/>
    <w:rsid w:val="0C0C5840"/>
    <w:rsid w:val="0C0F5ED1"/>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72879"/>
    <w:rsid w:val="0C995C24"/>
    <w:rsid w:val="0C9E7CED"/>
    <w:rsid w:val="0CAA3075"/>
    <w:rsid w:val="0CCE0D62"/>
    <w:rsid w:val="0CCF4ADA"/>
    <w:rsid w:val="0CD02BA2"/>
    <w:rsid w:val="0CD2125B"/>
    <w:rsid w:val="0CD21ED4"/>
    <w:rsid w:val="0CEC720E"/>
    <w:rsid w:val="0CF17C9F"/>
    <w:rsid w:val="0CF97335"/>
    <w:rsid w:val="0CFC25CB"/>
    <w:rsid w:val="0CFD51A3"/>
    <w:rsid w:val="0D013BBD"/>
    <w:rsid w:val="0D075AA7"/>
    <w:rsid w:val="0D0C53E6"/>
    <w:rsid w:val="0D134413"/>
    <w:rsid w:val="0D1B6623"/>
    <w:rsid w:val="0D200E92"/>
    <w:rsid w:val="0D295F98"/>
    <w:rsid w:val="0D2F5B49"/>
    <w:rsid w:val="0D3C216F"/>
    <w:rsid w:val="0D3C21E6"/>
    <w:rsid w:val="0D3F57BC"/>
    <w:rsid w:val="0D4C1C87"/>
    <w:rsid w:val="0D4C612B"/>
    <w:rsid w:val="0D5C1B29"/>
    <w:rsid w:val="0D643474"/>
    <w:rsid w:val="0D6E42F3"/>
    <w:rsid w:val="0D823E5A"/>
    <w:rsid w:val="0D8D29CB"/>
    <w:rsid w:val="0D95362E"/>
    <w:rsid w:val="0D9A6968"/>
    <w:rsid w:val="0DA56D11"/>
    <w:rsid w:val="0DA67939"/>
    <w:rsid w:val="0DAE2941"/>
    <w:rsid w:val="0DB04D50"/>
    <w:rsid w:val="0DB9564E"/>
    <w:rsid w:val="0DBD4932"/>
    <w:rsid w:val="0DBF60D5"/>
    <w:rsid w:val="0DC67C51"/>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476E7"/>
    <w:rsid w:val="0E7616B1"/>
    <w:rsid w:val="0E797231"/>
    <w:rsid w:val="0E811E04"/>
    <w:rsid w:val="0E87566C"/>
    <w:rsid w:val="0E9E6D55"/>
    <w:rsid w:val="0EA63619"/>
    <w:rsid w:val="0EAF6971"/>
    <w:rsid w:val="0EC251B7"/>
    <w:rsid w:val="0ED55516"/>
    <w:rsid w:val="0EDE5AE1"/>
    <w:rsid w:val="0EE021C3"/>
    <w:rsid w:val="0EEE70F1"/>
    <w:rsid w:val="0EF22A84"/>
    <w:rsid w:val="0F005E80"/>
    <w:rsid w:val="0F113188"/>
    <w:rsid w:val="0F16079E"/>
    <w:rsid w:val="0F18017D"/>
    <w:rsid w:val="0F1B7B63"/>
    <w:rsid w:val="0F20414D"/>
    <w:rsid w:val="0F242EBB"/>
    <w:rsid w:val="0F2A5BEC"/>
    <w:rsid w:val="0F30513C"/>
    <w:rsid w:val="0F4B5E65"/>
    <w:rsid w:val="0F4B669A"/>
    <w:rsid w:val="0F4E7F38"/>
    <w:rsid w:val="0F58463B"/>
    <w:rsid w:val="0F5B4403"/>
    <w:rsid w:val="0F680DBF"/>
    <w:rsid w:val="0F803E6A"/>
    <w:rsid w:val="0F94465A"/>
    <w:rsid w:val="0F967329"/>
    <w:rsid w:val="0FB635F4"/>
    <w:rsid w:val="0FC57BC1"/>
    <w:rsid w:val="0FD772F6"/>
    <w:rsid w:val="0FD92952"/>
    <w:rsid w:val="0FF97F53"/>
    <w:rsid w:val="0FFF1F86"/>
    <w:rsid w:val="101A2510"/>
    <w:rsid w:val="10264A11"/>
    <w:rsid w:val="10265D46"/>
    <w:rsid w:val="103233B6"/>
    <w:rsid w:val="103F4196"/>
    <w:rsid w:val="10445171"/>
    <w:rsid w:val="10562014"/>
    <w:rsid w:val="105D1F01"/>
    <w:rsid w:val="10630BD8"/>
    <w:rsid w:val="10655129"/>
    <w:rsid w:val="10685029"/>
    <w:rsid w:val="106C5235"/>
    <w:rsid w:val="108B0D18"/>
    <w:rsid w:val="108D2A7E"/>
    <w:rsid w:val="10A13A9A"/>
    <w:rsid w:val="10A92DD3"/>
    <w:rsid w:val="10AA1CBB"/>
    <w:rsid w:val="10B75245"/>
    <w:rsid w:val="10D46E9C"/>
    <w:rsid w:val="10DA645D"/>
    <w:rsid w:val="10F76192"/>
    <w:rsid w:val="10F845FF"/>
    <w:rsid w:val="10FC469C"/>
    <w:rsid w:val="110E5BD1"/>
    <w:rsid w:val="110E7C8B"/>
    <w:rsid w:val="110F67DD"/>
    <w:rsid w:val="11164A85"/>
    <w:rsid w:val="111D2270"/>
    <w:rsid w:val="11333B5D"/>
    <w:rsid w:val="11346F8A"/>
    <w:rsid w:val="11361DC4"/>
    <w:rsid w:val="113676AF"/>
    <w:rsid w:val="113B2D40"/>
    <w:rsid w:val="114A2981"/>
    <w:rsid w:val="114D49D7"/>
    <w:rsid w:val="11511F61"/>
    <w:rsid w:val="11531836"/>
    <w:rsid w:val="115B1870"/>
    <w:rsid w:val="11641F54"/>
    <w:rsid w:val="117B795B"/>
    <w:rsid w:val="11890DCD"/>
    <w:rsid w:val="118C2F9A"/>
    <w:rsid w:val="11A021EF"/>
    <w:rsid w:val="11B524F0"/>
    <w:rsid w:val="11C664AC"/>
    <w:rsid w:val="11CB191D"/>
    <w:rsid w:val="11D010D8"/>
    <w:rsid w:val="11E64458"/>
    <w:rsid w:val="11E810E5"/>
    <w:rsid w:val="11EE77B0"/>
    <w:rsid w:val="11F12DFD"/>
    <w:rsid w:val="11F70BFD"/>
    <w:rsid w:val="120945EA"/>
    <w:rsid w:val="121217FD"/>
    <w:rsid w:val="121C355D"/>
    <w:rsid w:val="121F5BBC"/>
    <w:rsid w:val="1223075D"/>
    <w:rsid w:val="12237A0A"/>
    <w:rsid w:val="12280F14"/>
    <w:rsid w:val="122F2C84"/>
    <w:rsid w:val="12303925"/>
    <w:rsid w:val="123C676E"/>
    <w:rsid w:val="125E3DED"/>
    <w:rsid w:val="126B2BAF"/>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B566D"/>
    <w:rsid w:val="130D010A"/>
    <w:rsid w:val="131371F2"/>
    <w:rsid w:val="131822D0"/>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7285"/>
    <w:rsid w:val="13B567D8"/>
    <w:rsid w:val="13BA5B9C"/>
    <w:rsid w:val="13BD568C"/>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E726C"/>
    <w:rsid w:val="14A30D26"/>
    <w:rsid w:val="14AE34B3"/>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703A"/>
    <w:rsid w:val="150F6808"/>
    <w:rsid w:val="15133F92"/>
    <w:rsid w:val="151A3F56"/>
    <w:rsid w:val="151D6390"/>
    <w:rsid w:val="152E4C16"/>
    <w:rsid w:val="15323E58"/>
    <w:rsid w:val="15382EBF"/>
    <w:rsid w:val="15565F6D"/>
    <w:rsid w:val="15597637"/>
    <w:rsid w:val="155C2C83"/>
    <w:rsid w:val="15655FDB"/>
    <w:rsid w:val="1567082B"/>
    <w:rsid w:val="156A62C2"/>
    <w:rsid w:val="157D0C04"/>
    <w:rsid w:val="158C5316"/>
    <w:rsid w:val="1594066F"/>
    <w:rsid w:val="15952A34"/>
    <w:rsid w:val="159643E7"/>
    <w:rsid w:val="15995D74"/>
    <w:rsid w:val="15A17689"/>
    <w:rsid w:val="15A96D43"/>
    <w:rsid w:val="15AE0FF3"/>
    <w:rsid w:val="15AE1224"/>
    <w:rsid w:val="15AE4CA6"/>
    <w:rsid w:val="15AE65AD"/>
    <w:rsid w:val="15B34F99"/>
    <w:rsid w:val="15BF17B8"/>
    <w:rsid w:val="15C701A6"/>
    <w:rsid w:val="15D40867"/>
    <w:rsid w:val="15F31839"/>
    <w:rsid w:val="15FF67D8"/>
    <w:rsid w:val="16072265"/>
    <w:rsid w:val="16117F11"/>
    <w:rsid w:val="16223297"/>
    <w:rsid w:val="1628562F"/>
    <w:rsid w:val="163A700E"/>
    <w:rsid w:val="163D5A89"/>
    <w:rsid w:val="1646689F"/>
    <w:rsid w:val="164A7ADC"/>
    <w:rsid w:val="164E703A"/>
    <w:rsid w:val="165733D1"/>
    <w:rsid w:val="165A5A18"/>
    <w:rsid w:val="166866F8"/>
    <w:rsid w:val="166A61AF"/>
    <w:rsid w:val="167175C0"/>
    <w:rsid w:val="1672275E"/>
    <w:rsid w:val="167E6820"/>
    <w:rsid w:val="167F4E7B"/>
    <w:rsid w:val="16A91EF8"/>
    <w:rsid w:val="16B23087"/>
    <w:rsid w:val="16BA4105"/>
    <w:rsid w:val="16BC3EE5"/>
    <w:rsid w:val="16D00254"/>
    <w:rsid w:val="16E233FE"/>
    <w:rsid w:val="16EC0339"/>
    <w:rsid w:val="17011D34"/>
    <w:rsid w:val="17081314"/>
    <w:rsid w:val="17101F77"/>
    <w:rsid w:val="171516A8"/>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E551B2"/>
    <w:rsid w:val="17F53EC5"/>
    <w:rsid w:val="18003D99"/>
    <w:rsid w:val="1828643D"/>
    <w:rsid w:val="18295170"/>
    <w:rsid w:val="182A43C3"/>
    <w:rsid w:val="182C643A"/>
    <w:rsid w:val="18333A1E"/>
    <w:rsid w:val="183A07EC"/>
    <w:rsid w:val="18492359"/>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A3BF4"/>
    <w:rsid w:val="19BD63E6"/>
    <w:rsid w:val="19CD3282"/>
    <w:rsid w:val="19D8661D"/>
    <w:rsid w:val="19EF2318"/>
    <w:rsid w:val="19F56590"/>
    <w:rsid w:val="19FA7B06"/>
    <w:rsid w:val="1A037B71"/>
    <w:rsid w:val="1A0B0887"/>
    <w:rsid w:val="1A0C4E21"/>
    <w:rsid w:val="1A0F6516"/>
    <w:rsid w:val="1A134FCE"/>
    <w:rsid w:val="1A1F5268"/>
    <w:rsid w:val="1A2668D3"/>
    <w:rsid w:val="1A2E2E40"/>
    <w:rsid w:val="1A330075"/>
    <w:rsid w:val="1A3441CE"/>
    <w:rsid w:val="1A3B730B"/>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2F4"/>
    <w:rsid w:val="1ACC0C6C"/>
    <w:rsid w:val="1AE15BD2"/>
    <w:rsid w:val="1AE17EB2"/>
    <w:rsid w:val="1AE31E7C"/>
    <w:rsid w:val="1AF86DF7"/>
    <w:rsid w:val="1AFC2F3E"/>
    <w:rsid w:val="1B063DBD"/>
    <w:rsid w:val="1B092D1A"/>
    <w:rsid w:val="1B0E73A6"/>
    <w:rsid w:val="1B100358"/>
    <w:rsid w:val="1B1B1674"/>
    <w:rsid w:val="1B1F47AE"/>
    <w:rsid w:val="1B267688"/>
    <w:rsid w:val="1B2A1722"/>
    <w:rsid w:val="1B392C89"/>
    <w:rsid w:val="1B3B6643"/>
    <w:rsid w:val="1B3C333B"/>
    <w:rsid w:val="1B4668DD"/>
    <w:rsid w:val="1B496795"/>
    <w:rsid w:val="1B542BCF"/>
    <w:rsid w:val="1B5643D3"/>
    <w:rsid w:val="1B5A5081"/>
    <w:rsid w:val="1B624512"/>
    <w:rsid w:val="1B666609"/>
    <w:rsid w:val="1B8076CB"/>
    <w:rsid w:val="1B8235DA"/>
    <w:rsid w:val="1B840134"/>
    <w:rsid w:val="1B8F5C72"/>
    <w:rsid w:val="1B99253B"/>
    <w:rsid w:val="1B9E3FF5"/>
    <w:rsid w:val="1BA333BA"/>
    <w:rsid w:val="1BA571E5"/>
    <w:rsid w:val="1BA869C7"/>
    <w:rsid w:val="1BBA475E"/>
    <w:rsid w:val="1BBC26CD"/>
    <w:rsid w:val="1BCA00BC"/>
    <w:rsid w:val="1BD41838"/>
    <w:rsid w:val="1BD71F88"/>
    <w:rsid w:val="1BDC68CC"/>
    <w:rsid w:val="1BE22134"/>
    <w:rsid w:val="1BED43A3"/>
    <w:rsid w:val="1BF05288"/>
    <w:rsid w:val="1BF400B9"/>
    <w:rsid w:val="1BFD6F6E"/>
    <w:rsid w:val="1C07202B"/>
    <w:rsid w:val="1C19646D"/>
    <w:rsid w:val="1C2208E7"/>
    <w:rsid w:val="1C2838BF"/>
    <w:rsid w:val="1C4F7C10"/>
    <w:rsid w:val="1C5A616E"/>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77E61"/>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C062D1"/>
    <w:rsid w:val="1DC256AB"/>
    <w:rsid w:val="1DC72084"/>
    <w:rsid w:val="1DCD6BEA"/>
    <w:rsid w:val="1DCE22F6"/>
    <w:rsid w:val="1DD106B2"/>
    <w:rsid w:val="1DD7559C"/>
    <w:rsid w:val="1DEF6D8A"/>
    <w:rsid w:val="1DF24184"/>
    <w:rsid w:val="1E0438CC"/>
    <w:rsid w:val="1E0740D4"/>
    <w:rsid w:val="1E0A3BC4"/>
    <w:rsid w:val="1E14234D"/>
    <w:rsid w:val="1E1602B3"/>
    <w:rsid w:val="1E1A15EF"/>
    <w:rsid w:val="1E1C1002"/>
    <w:rsid w:val="1E287DB6"/>
    <w:rsid w:val="1E2F17CE"/>
    <w:rsid w:val="1E322D84"/>
    <w:rsid w:val="1E3F4573"/>
    <w:rsid w:val="1E454970"/>
    <w:rsid w:val="1E5170FD"/>
    <w:rsid w:val="1E5A2ED1"/>
    <w:rsid w:val="1E5C5ADE"/>
    <w:rsid w:val="1E63121F"/>
    <w:rsid w:val="1E641526"/>
    <w:rsid w:val="1E7A1DA7"/>
    <w:rsid w:val="1E892D3B"/>
    <w:rsid w:val="1E8D6B4E"/>
    <w:rsid w:val="1E91399D"/>
    <w:rsid w:val="1E934ADA"/>
    <w:rsid w:val="1E9B2A6E"/>
    <w:rsid w:val="1EB458DE"/>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D29C9"/>
    <w:rsid w:val="1FF50CC5"/>
    <w:rsid w:val="20025C29"/>
    <w:rsid w:val="20054643"/>
    <w:rsid w:val="200A0744"/>
    <w:rsid w:val="200C3C23"/>
    <w:rsid w:val="200C6AA4"/>
    <w:rsid w:val="200D7790"/>
    <w:rsid w:val="200E0A69"/>
    <w:rsid w:val="201611E4"/>
    <w:rsid w:val="201D7A78"/>
    <w:rsid w:val="20347D3A"/>
    <w:rsid w:val="203D63DC"/>
    <w:rsid w:val="204004F3"/>
    <w:rsid w:val="20423D70"/>
    <w:rsid w:val="204A02A8"/>
    <w:rsid w:val="204C64A4"/>
    <w:rsid w:val="205477BB"/>
    <w:rsid w:val="205F2CA3"/>
    <w:rsid w:val="20675279"/>
    <w:rsid w:val="20694BCD"/>
    <w:rsid w:val="207279DC"/>
    <w:rsid w:val="207D156B"/>
    <w:rsid w:val="20843DD0"/>
    <w:rsid w:val="20915EEB"/>
    <w:rsid w:val="2093370A"/>
    <w:rsid w:val="209854B7"/>
    <w:rsid w:val="209D2105"/>
    <w:rsid w:val="209F6845"/>
    <w:rsid w:val="20A0611A"/>
    <w:rsid w:val="20AD0A3C"/>
    <w:rsid w:val="20BD4F1E"/>
    <w:rsid w:val="20BE3578"/>
    <w:rsid w:val="20C04A0E"/>
    <w:rsid w:val="20D912DF"/>
    <w:rsid w:val="20DB01C7"/>
    <w:rsid w:val="20DD111C"/>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A4BBD"/>
    <w:rsid w:val="21854D72"/>
    <w:rsid w:val="21885277"/>
    <w:rsid w:val="219758A1"/>
    <w:rsid w:val="21A13955"/>
    <w:rsid w:val="21A63C04"/>
    <w:rsid w:val="21B53E47"/>
    <w:rsid w:val="21BC69F9"/>
    <w:rsid w:val="21D4251F"/>
    <w:rsid w:val="21D544E9"/>
    <w:rsid w:val="21D839C3"/>
    <w:rsid w:val="21D902C5"/>
    <w:rsid w:val="21EE54FF"/>
    <w:rsid w:val="21EF7359"/>
    <w:rsid w:val="21F67E7A"/>
    <w:rsid w:val="21FE134A"/>
    <w:rsid w:val="22014258"/>
    <w:rsid w:val="2205092A"/>
    <w:rsid w:val="22097CEF"/>
    <w:rsid w:val="220A4192"/>
    <w:rsid w:val="22183599"/>
    <w:rsid w:val="22194137"/>
    <w:rsid w:val="221D134C"/>
    <w:rsid w:val="222671C8"/>
    <w:rsid w:val="222C1C9F"/>
    <w:rsid w:val="222F49F4"/>
    <w:rsid w:val="22383861"/>
    <w:rsid w:val="22461307"/>
    <w:rsid w:val="224A0192"/>
    <w:rsid w:val="224E5D01"/>
    <w:rsid w:val="225544BA"/>
    <w:rsid w:val="22574EFE"/>
    <w:rsid w:val="22600256"/>
    <w:rsid w:val="2261739B"/>
    <w:rsid w:val="2262063B"/>
    <w:rsid w:val="226A4C31"/>
    <w:rsid w:val="22720BE8"/>
    <w:rsid w:val="22837AA1"/>
    <w:rsid w:val="22916662"/>
    <w:rsid w:val="229D32CF"/>
    <w:rsid w:val="22AD1BFA"/>
    <w:rsid w:val="22CC1448"/>
    <w:rsid w:val="22DC199F"/>
    <w:rsid w:val="22EF562B"/>
    <w:rsid w:val="23047A11"/>
    <w:rsid w:val="23056BE4"/>
    <w:rsid w:val="231045D3"/>
    <w:rsid w:val="23271646"/>
    <w:rsid w:val="23272FC5"/>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A7846"/>
    <w:rsid w:val="2398246B"/>
    <w:rsid w:val="23A777BF"/>
    <w:rsid w:val="23AB0F1F"/>
    <w:rsid w:val="23B90077"/>
    <w:rsid w:val="23BF7974"/>
    <w:rsid w:val="23BF7B2A"/>
    <w:rsid w:val="23C80EDF"/>
    <w:rsid w:val="23DB233D"/>
    <w:rsid w:val="23ED5D2E"/>
    <w:rsid w:val="23F57877"/>
    <w:rsid w:val="23FE282D"/>
    <w:rsid w:val="24013373"/>
    <w:rsid w:val="240B0553"/>
    <w:rsid w:val="241815EB"/>
    <w:rsid w:val="24222D78"/>
    <w:rsid w:val="242304F0"/>
    <w:rsid w:val="24247062"/>
    <w:rsid w:val="24297E89"/>
    <w:rsid w:val="24313071"/>
    <w:rsid w:val="24335835"/>
    <w:rsid w:val="243472A5"/>
    <w:rsid w:val="243678FA"/>
    <w:rsid w:val="244020ED"/>
    <w:rsid w:val="244A7E6E"/>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24662"/>
    <w:rsid w:val="24DD5B8E"/>
    <w:rsid w:val="24DF2456"/>
    <w:rsid w:val="24E4225C"/>
    <w:rsid w:val="24EE291F"/>
    <w:rsid w:val="24F346C5"/>
    <w:rsid w:val="24F829C8"/>
    <w:rsid w:val="25011BFC"/>
    <w:rsid w:val="25012370"/>
    <w:rsid w:val="25090731"/>
    <w:rsid w:val="251672D8"/>
    <w:rsid w:val="251C50C7"/>
    <w:rsid w:val="251E582B"/>
    <w:rsid w:val="252735BD"/>
    <w:rsid w:val="25485BB9"/>
    <w:rsid w:val="25490842"/>
    <w:rsid w:val="254A43CB"/>
    <w:rsid w:val="25513E86"/>
    <w:rsid w:val="25576C1D"/>
    <w:rsid w:val="25591C57"/>
    <w:rsid w:val="255E4015"/>
    <w:rsid w:val="255F2F8E"/>
    <w:rsid w:val="25740890"/>
    <w:rsid w:val="25797F62"/>
    <w:rsid w:val="257B7155"/>
    <w:rsid w:val="257D2ECD"/>
    <w:rsid w:val="257E605D"/>
    <w:rsid w:val="258204E4"/>
    <w:rsid w:val="25917193"/>
    <w:rsid w:val="25BD32CA"/>
    <w:rsid w:val="25BE6FE6"/>
    <w:rsid w:val="25C07624"/>
    <w:rsid w:val="25CB1E8B"/>
    <w:rsid w:val="25D00E85"/>
    <w:rsid w:val="25E1516F"/>
    <w:rsid w:val="25E35426"/>
    <w:rsid w:val="25E57747"/>
    <w:rsid w:val="25E71218"/>
    <w:rsid w:val="25EF0DD5"/>
    <w:rsid w:val="25F018F1"/>
    <w:rsid w:val="25F1485D"/>
    <w:rsid w:val="25FB7465"/>
    <w:rsid w:val="25FE400E"/>
    <w:rsid w:val="26025181"/>
    <w:rsid w:val="2604539D"/>
    <w:rsid w:val="26057D67"/>
    <w:rsid w:val="2609257A"/>
    <w:rsid w:val="260A1105"/>
    <w:rsid w:val="260D4251"/>
    <w:rsid w:val="26153106"/>
    <w:rsid w:val="26184F11"/>
    <w:rsid w:val="26216BC7"/>
    <w:rsid w:val="26235823"/>
    <w:rsid w:val="26256CDC"/>
    <w:rsid w:val="263423B0"/>
    <w:rsid w:val="26345C82"/>
    <w:rsid w:val="26347A30"/>
    <w:rsid w:val="263C0693"/>
    <w:rsid w:val="263F60ED"/>
    <w:rsid w:val="2641404B"/>
    <w:rsid w:val="26480208"/>
    <w:rsid w:val="265A6D6B"/>
    <w:rsid w:val="266877EA"/>
    <w:rsid w:val="26760048"/>
    <w:rsid w:val="267918E7"/>
    <w:rsid w:val="268426C8"/>
    <w:rsid w:val="26847AEA"/>
    <w:rsid w:val="268E2015"/>
    <w:rsid w:val="26961EDB"/>
    <w:rsid w:val="26976211"/>
    <w:rsid w:val="269E134D"/>
    <w:rsid w:val="26BD0AC1"/>
    <w:rsid w:val="26C54B2C"/>
    <w:rsid w:val="26CD39E1"/>
    <w:rsid w:val="26D0702D"/>
    <w:rsid w:val="26E054C2"/>
    <w:rsid w:val="26EF0A4D"/>
    <w:rsid w:val="26EF7F88"/>
    <w:rsid w:val="26F1147D"/>
    <w:rsid w:val="26F15921"/>
    <w:rsid w:val="26F65A2E"/>
    <w:rsid w:val="26F667CE"/>
    <w:rsid w:val="26FC6074"/>
    <w:rsid w:val="272730F1"/>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B3EDB"/>
    <w:rsid w:val="27EC7E96"/>
    <w:rsid w:val="27F8683B"/>
    <w:rsid w:val="280766F8"/>
    <w:rsid w:val="280F4C47"/>
    <w:rsid w:val="281F356A"/>
    <w:rsid w:val="282107A4"/>
    <w:rsid w:val="28302A61"/>
    <w:rsid w:val="28331903"/>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43603"/>
    <w:rsid w:val="29192782"/>
    <w:rsid w:val="29220014"/>
    <w:rsid w:val="294A68B7"/>
    <w:rsid w:val="295D54F0"/>
    <w:rsid w:val="29602F09"/>
    <w:rsid w:val="29673C78"/>
    <w:rsid w:val="296A62C1"/>
    <w:rsid w:val="296C7758"/>
    <w:rsid w:val="297C6823"/>
    <w:rsid w:val="297D1117"/>
    <w:rsid w:val="29892D57"/>
    <w:rsid w:val="298E7457"/>
    <w:rsid w:val="299800B7"/>
    <w:rsid w:val="29A749BD"/>
    <w:rsid w:val="29A95388"/>
    <w:rsid w:val="29AA1DB7"/>
    <w:rsid w:val="29BA649E"/>
    <w:rsid w:val="29C9356B"/>
    <w:rsid w:val="29CC4423"/>
    <w:rsid w:val="29D551AF"/>
    <w:rsid w:val="29D87103"/>
    <w:rsid w:val="29E2214C"/>
    <w:rsid w:val="29E2266D"/>
    <w:rsid w:val="29E22B8D"/>
    <w:rsid w:val="29E70771"/>
    <w:rsid w:val="29EA3E3E"/>
    <w:rsid w:val="29EB2AFB"/>
    <w:rsid w:val="29F23E8A"/>
    <w:rsid w:val="2A135C1B"/>
    <w:rsid w:val="2A1658FC"/>
    <w:rsid w:val="2A187669"/>
    <w:rsid w:val="2A1B62D1"/>
    <w:rsid w:val="2A375D41"/>
    <w:rsid w:val="2A48370D"/>
    <w:rsid w:val="2A4A1DF1"/>
    <w:rsid w:val="2A57508D"/>
    <w:rsid w:val="2A5C68F2"/>
    <w:rsid w:val="2A5E32CD"/>
    <w:rsid w:val="2A740C09"/>
    <w:rsid w:val="2A7B5C7C"/>
    <w:rsid w:val="2A841DAD"/>
    <w:rsid w:val="2AB22DDE"/>
    <w:rsid w:val="2AB347FA"/>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434271"/>
    <w:rsid w:val="2B603075"/>
    <w:rsid w:val="2B6640B7"/>
    <w:rsid w:val="2B6761B2"/>
    <w:rsid w:val="2B6A14A8"/>
    <w:rsid w:val="2B6C5B9B"/>
    <w:rsid w:val="2B764647"/>
    <w:rsid w:val="2B7B7092"/>
    <w:rsid w:val="2B920052"/>
    <w:rsid w:val="2B980CA0"/>
    <w:rsid w:val="2BA61037"/>
    <w:rsid w:val="2BAA087A"/>
    <w:rsid w:val="2BAA2906"/>
    <w:rsid w:val="2BBE279A"/>
    <w:rsid w:val="2BC45EA7"/>
    <w:rsid w:val="2BDB220D"/>
    <w:rsid w:val="2BE64D82"/>
    <w:rsid w:val="2BE663DC"/>
    <w:rsid w:val="2BEC4909"/>
    <w:rsid w:val="2BF1185C"/>
    <w:rsid w:val="2C026866"/>
    <w:rsid w:val="2C1300E8"/>
    <w:rsid w:val="2C1B6F9C"/>
    <w:rsid w:val="2C2677FD"/>
    <w:rsid w:val="2C332DE9"/>
    <w:rsid w:val="2C414C55"/>
    <w:rsid w:val="2C4464F3"/>
    <w:rsid w:val="2C4F7F74"/>
    <w:rsid w:val="2C540466"/>
    <w:rsid w:val="2C563080"/>
    <w:rsid w:val="2C5A5D16"/>
    <w:rsid w:val="2C5D1363"/>
    <w:rsid w:val="2C622E1D"/>
    <w:rsid w:val="2C6C4BD5"/>
    <w:rsid w:val="2C7566AC"/>
    <w:rsid w:val="2C7D0E82"/>
    <w:rsid w:val="2C844B41"/>
    <w:rsid w:val="2C867B93"/>
    <w:rsid w:val="2C892158"/>
    <w:rsid w:val="2C8F5AC1"/>
    <w:rsid w:val="2C956D4E"/>
    <w:rsid w:val="2CA03DB9"/>
    <w:rsid w:val="2CAB6572"/>
    <w:rsid w:val="2CB01DDA"/>
    <w:rsid w:val="2CB73169"/>
    <w:rsid w:val="2CBF201D"/>
    <w:rsid w:val="2CC032E9"/>
    <w:rsid w:val="2CC45A66"/>
    <w:rsid w:val="2CCE226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C45EDD"/>
    <w:rsid w:val="2DC55FCB"/>
    <w:rsid w:val="2DCF44E2"/>
    <w:rsid w:val="2DD77BAA"/>
    <w:rsid w:val="2DDD275B"/>
    <w:rsid w:val="2DDE64D3"/>
    <w:rsid w:val="2DE00B11"/>
    <w:rsid w:val="2DEC65E8"/>
    <w:rsid w:val="2DF02AE0"/>
    <w:rsid w:val="2DF14458"/>
    <w:rsid w:val="2E0917A2"/>
    <w:rsid w:val="2E13617D"/>
    <w:rsid w:val="2E177A7C"/>
    <w:rsid w:val="2E1A01B5"/>
    <w:rsid w:val="2E1F2F1E"/>
    <w:rsid w:val="2E2A28AB"/>
    <w:rsid w:val="2E2C6BA8"/>
    <w:rsid w:val="2E2E2FB7"/>
    <w:rsid w:val="2E456552"/>
    <w:rsid w:val="2E4722CA"/>
    <w:rsid w:val="2E507989"/>
    <w:rsid w:val="2E554EA6"/>
    <w:rsid w:val="2E5A09CB"/>
    <w:rsid w:val="2E5A728A"/>
    <w:rsid w:val="2E5C18EB"/>
    <w:rsid w:val="2E5F2166"/>
    <w:rsid w:val="2E65069C"/>
    <w:rsid w:val="2E652751"/>
    <w:rsid w:val="2E67296D"/>
    <w:rsid w:val="2E6B020C"/>
    <w:rsid w:val="2E744194"/>
    <w:rsid w:val="2E764E5E"/>
    <w:rsid w:val="2E823302"/>
    <w:rsid w:val="2E8F100E"/>
    <w:rsid w:val="2E9574DA"/>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340AA1"/>
    <w:rsid w:val="2F35262C"/>
    <w:rsid w:val="2F371CBB"/>
    <w:rsid w:val="2F3960B7"/>
    <w:rsid w:val="2F3C6DC2"/>
    <w:rsid w:val="2F3F2FA2"/>
    <w:rsid w:val="2F451247"/>
    <w:rsid w:val="2F4C7559"/>
    <w:rsid w:val="2F4F1437"/>
    <w:rsid w:val="2F5712C3"/>
    <w:rsid w:val="2F5C1DA5"/>
    <w:rsid w:val="2F62316D"/>
    <w:rsid w:val="2F6847D4"/>
    <w:rsid w:val="2F6E3407"/>
    <w:rsid w:val="2F7377FA"/>
    <w:rsid w:val="2F755659"/>
    <w:rsid w:val="2F7D6F0E"/>
    <w:rsid w:val="2F7F6795"/>
    <w:rsid w:val="2F8F217B"/>
    <w:rsid w:val="2F9E23BE"/>
    <w:rsid w:val="2FA446BF"/>
    <w:rsid w:val="2FA5374C"/>
    <w:rsid w:val="2FB54349"/>
    <w:rsid w:val="2FCC0CD9"/>
    <w:rsid w:val="2FCC2644"/>
    <w:rsid w:val="2FCD67FF"/>
    <w:rsid w:val="2FCE2B17"/>
    <w:rsid w:val="2FCE2CA3"/>
    <w:rsid w:val="2FD81838"/>
    <w:rsid w:val="2FE14059"/>
    <w:rsid w:val="2FE148C0"/>
    <w:rsid w:val="2FE75B13"/>
    <w:rsid w:val="2FF0391A"/>
    <w:rsid w:val="2FF4786F"/>
    <w:rsid w:val="2FF70277"/>
    <w:rsid w:val="2FF975F4"/>
    <w:rsid w:val="3004698D"/>
    <w:rsid w:val="300E28F3"/>
    <w:rsid w:val="30143F92"/>
    <w:rsid w:val="30224D9D"/>
    <w:rsid w:val="30257F10"/>
    <w:rsid w:val="30383533"/>
    <w:rsid w:val="30412C3F"/>
    <w:rsid w:val="3056624A"/>
    <w:rsid w:val="305E56A9"/>
    <w:rsid w:val="305F1B4D"/>
    <w:rsid w:val="30627082"/>
    <w:rsid w:val="30717AD3"/>
    <w:rsid w:val="30810763"/>
    <w:rsid w:val="308E7498"/>
    <w:rsid w:val="30903E92"/>
    <w:rsid w:val="30A734F4"/>
    <w:rsid w:val="30B579BF"/>
    <w:rsid w:val="30B83FFE"/>
    <w:rsid w:val="30C45B1C"/>
    <w:rsid w:val="30CB71E3"/>
    <w:rsid w:val="30CC6AB7"/>
    <w:rsid w:val="30D047F9"/>
    <w:rsid w:val="30D616E4"/>
    <w:rsid w:val="30DB0744"/>
    <w:rsid w:val="30E97669"/>
    <w:rsid w:val="30ED7159"/>
    <w:rsid w:val="30F32296"/>
    <w:rsid w:val="3102072B"/>
    <w:rsid w:val="310426F5"/>
    <w:rsid w:val="31083655"/>
    <w:rsid w:val="3109737B"/>
    <w:rsid w:val="311A02B8"/>
    <w:rsid w:val="312A28E8"/>
    <w:rsid w:val="313034EA"/>
    <w:rsid w:val="3143321D"/>
    <w:rsid w:val="31440ED2"/>
    <w:rsid w:val="31442AF1"/>
    <w:rsid w:val="31456F95"/>
    <w:rsid w:val="31464ABB"/>
    <w:rsid w:val="31480833"/>
    <w:rsid w:val="31491986"/>
    <w:rsid w:val="315C7E3B"/>
    <w:rsid w:val="316F50E6"/>
    <w:rsid w:val="3179279B"/>
    <w:rsid w:val="319B7BF7"/>
    <w:rsid w:val="319E1B97"/>
    <w:rsid w:val="31A627B9"/>
    <w:rsid w:val="31A677D0"/>
    <w:rsid w:val="31A87DA4"/>
    <w:rsid w:val="31B86968"/>
    <w:rsid w:val="31C205E6"/>
    <w:rsid w:val="31C94725"/>
    <w:rsid w:val="31D308D1"/>
    <w:rsid w:val="31DF79A9"/>
    <w:rsid w:val="31E51FB7"/>
    <w:rsid w:val="31E76661"/>
    <w:rsid w:val="31F57502"/>
    <w:rsid w:val="31F75DB5"/>
    <w:rsid w:val="31FC33CC"/>
    <w:rsid w:val="320504D2"/>
    <w:rsid w:val="32052280"/>
    <w:rsid w:val="320E382B"/>
    <w:rsid w:val="32204C1B"/>
    <w:rsid w:val="32204F77"/>
    <w:rsid w:val="323278C5"/>
    <w:rsid w:val="32710ED0"/>
    <w:rsid w:val="32823369"/>
    <w:rsid w:val="328D70FE"/>
    <w:rsid w:val="329451A2"/>
    <w:rsid w:val="32B21045"/>
    <w:rsid w:val="32B44047"/>
    <w:rsid w:val="32B70E7A"/>
    <w:rsid w:val="32C67F86"/>
    <w:rsid w:val="32CF509C"/>
    <w:rsid w:val="32D13BDA"/>
    <w:rsid w:val="32D305D1"/>
    <w:rsid w:val="32D44733"/>
    <w:rsid w:val="32DC7485"/>
    <w:rsid w:val="32F51B01"/>
    <w:rsid w:val="33070ED6"/>
    <w:rsid w:val="3308789D"/>
    <w:rsid w:val="33146A92"/>
    <w:rsid w:val="33162FDC"/>
    <w:rsid w:val="33163AA9"/>
    <w:rsid w:val="33180A41"/>
    <w:rsid w:val="331F7372"/>
    <w:rsid w:val="33224DA6"/>
    <w:rsid w:val="33240E2C"/>
    <w:rsid w:val="332525B0"/>
    <w:rsid w:val="33332E1D"/>
    <w:rsid w:val="333F5916"/>
    <w:rsid w:val="3341378C"/>
    <w:rsid w:val="334B19C6"/>
    <w:rsid w:val="33596D28"/>
    <w:rsid w:val="335E433E"/>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F2883"/>
    <w:rsid w:val="3400694E"/>
    <w:rsid w:val="34030A42"/>
    <w:rsid w:val="340A0022"/>
    <w:rsid w:val="340A7A25"/>
    <w:rsid w:val="340F73E6"/>
    <w:rsid w:val="341B3FDD"/>
    <w:rsid w:val="34384B8F"/>
    <w:rsid w:val="343B467F"/>
    <w:rsid w:val="345117AD"/>
    <w:rsid w:val="34545741"/>
    <w:rsid w:val="345A00D0"/>
    <w:rsid w:val="345D45F6"/>
    <w:rsid w:val="345D63A4"/>
    <w:rsid w:val="3474193F"/>
    <w:rsid w:val="34C313EA"/>
    <w:rsid w:val="34C957E7"/>
    <w:rsid w:val="34CE72A2"/>
    <w:rsid w:val="34D2328A"/>
    <w:rsid w:val="34E02B31"/>
    <w:rsid w:val="34EA0519"/>
    <w:rsid w:val="35004F81"/>
    <w:rsid w:val="350B22A4"/>
    <w:rsid w:val="35327830"/>
    <w:rsid w:val="35373099"/>
    <w:rsid w:val="35401A7A"/>
    <w:rsid w:val="35523A2F"/>
    <w:rsid w:val="355568F2"/>
    <w:rsid w:val="35611EC4"/>
    <w:rsid w:val="35797736"/>
    <w:rsid w:val="357B2B5C"/>
    <w:rsid w:val="357C0AAC"/>
    <w:rsid w:val="358838F4"/>
    <w:rsid w:val="35886381"/>
    <w:rsid w:val="359009FB"/>
    <w:rsid w:val="35942299"/>
    <w:rsid w:val="359758E5"/>
    <w:rsid w:val="35977693"/>
    <w:rsid w:val="359C195C"/>
    <w:rsid w:val="35A6162C"/>
    <w:rsid w:val="35A61FCC"/>
    <w:rsid w:val="35AA386B"/>
    <w:rsid w:val="35B20971"/>
    <w:rsid w:val="35B62AB2"/>
    <w:rsid w:val="35B91D00"/>
    <w:rsid w:val="35C16EE4"/>
    <w:rsid w:val="35C459EF"/>
    <w:rsid w:val="35CA381B"/>
    <w:rsid w:val="35CD7559"/>
    <w:rsid w:val="35D73F34"/>
    <w:rsid w:val="35DF103A"/>
    <w:rsid w:val="35E14DB3"/>
    <w:rsid w:val="35ED19A9"/>
    <w:rsid w:val="3600792F"/>
    <w:rsid w:val="36140CE4"/>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B31B3"/>
    <w:rsid w:val="369E1627"/>
    <w:rsid w:val="369E56BC"/>
    <w:rsid w:val="36AC7A6D"/>
    <w:rsid w:val="36B142F9"/>
    <w:rsid w:val="36B2116A"/>
    <w:rsid w:val="36B81FB7"/>
    <w:rsid w:val="36BB1AA7"/>
    <w:rsid w:val="36E36908"/>
    <w:rsid w:val="36EC7EB3"/>
    <w:rsid w:val="36F0763A"/>
    <w:rsid w:val="36F47D60"/>
    <w:rsid w:val="36FD7281"/>
    <w:rsid w:val="37040D59"/>
    <w:rsid w:val="371A4A20"/>
    <w:rsid w:val="3720575C"/>
    <w:rsid w:val="372B59F8"/>
    <w:rsid w:val="372D1C56"/>
    <w:rsid w:val="373266BF"/>
    <w:rsid w:val="373C4433"/>
    <w:rsid w:val="37481BB3"/>
    <w:rsid w:val="375F2433"/>
    <w:rsid w:val="37671737"/>
    <w:rsid w:val="37765DF2"/>
    <w:rsid w:val="37887BDC"/>
    <w:rsid w:val="37922808"/>
    <w:rsid w:val="37931B4D"/>
    <w:rsid w:val="37976071"/>
    <w:rsid w:val="379D72C6"/>
    <w:rsid w:val="37A3622A"/>
    <w:rsid w:val="37A416D2"/>
    <w:rsid w:val="37B81B43"/>
    <w:rsid w:val="37C16C4A"/>
    <w:rsid w:val="37C4498C"/>
    <w:rsid w:val="37D37C18"/>
    <w:rsid w:val="37DD7868"/>
    <w:rsid w:val="37F039D3"/>
    <w:rsid w:val="37FE2ED9"/>
    <w:rsid w:val="38060B00"/>
    <w:rsid w:val="381274A5"/>
    <w:rsid w:val="382D1A3F"/>
    <w:rsid w:val="3837515E"/>
    <w:rsid w:val="383C2774"/>
    <w:rsid w:val="38415FDC"/>
    <w:rsid w:val="384C0E00"/>
    <w:rsid w:val="384F24A7"/>
    <w:rsid w:val="38521F98"/>
    <w:rsid w:val="38522031"/>
    <w:rsid w:val="38545D10"/>
    <w:rsid w:val="38556E05"/>
    <w:rsid w:val="385C2E16"/>
    <w:rsid w:val="386115E2"/>
    <w:rsid w:val="38657F1D"/>
    <w:rsid w:val="38683569"/>
    <w:rsid w:val="387419B7"/>
    <w:rsid w:val="387773F1"/>
    <w:rsid w:val="388D0775"/>
    <w:rsid w:val="389B56ED"/>
    <w:rsid w:val="38A33B36"/>
    <w:rsid w:val="38A465A6"/>
    <w:rsid w:val="38B04A8C"/>
    <w:rsid w:val="38D0607B"/>
    <w:rsid w:val="38D53666"/>
    <w:rsid w:val="38D62BC9"/>
    <w:rsid w:val="38DE5455"/>
    <w:rsid w:val="38F17C33"/>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504729"/>
    <w:rsid w:val="395562DD"/>
    <w:rsid w:val="39592215"/>
    <w:rsid w:val="39614ACF"/>
    <w:rsid w:val="39693A3D"/>
    <w:rsid w:val="39755F3E"/>
    <w:rsid w:val="39771A8E"/>
    <w:rsid w:val="397877DC"/>
    <w:rsid w:val="39916B8B"/>
    <w:rsid w:val="3995462E"/>
    <w:rsid w:val="39A405D1"/>
    <w:rsid w:val="39A808FE"/>
    <w:rsid w:val="39A95BE7"/>
    <w:rsid w:val="39AC6AC6"/>
    <w:rsid w:val="39B32A88"/>
    <w:rsid w:val="39BC6658"/>
    <w:rsid w:val="39C87740"/>
    <w:rsid w:val="39CD5D7A"/>
    <w:rsid w:val="39D23390"/>
    <w:rsid w:val="39DA1303"/>
    <w:rsid w:val="39DE2344"/>
    <w:rsid w:val="39F01A68"/>
    <w:rsid w:val="39F728F0"/>
    <w:rsid w:val="3A007301"/>
    <w:rsid w:val="3A0472C2"/>
    <w:rsid w:val="3A127C30"/>
    <w:rsid w:val="3A233BEC"/>
    <w:rsid w:val="3A347BA7"/>
    <w:rsid w:val="3A3B7187"/>
    <w:rsid w:val="3A3C50FB"/>
    <w:rsid w:val="3A4632AA"/>
    <w:rsid w:val="3A472E46"/>
    <w:rsid w:val="3A476BFD"/>
    <w:rsid w:val="3A4F7958"/>
    <w:rsid w:val="3A5164BC"/>
    <w:rsid w:val="3A5340CE"/>
    <w:rsid w:val="3A575643"/>
    <w:rsid w:val="3A5B15D7"/>
    <w:rsid w:val="3A66312A"/>
    <w:rsid w:val="3A77082C"/>
    <w:rsid w:val="3A9C236C"/>
    <w:rsid w:val="3AA6651D"/>
    <w:rsid w:val="3ABB2387"/>
    <w:rsid w:val="3ABC194A"/>
    <w:rsid w:val="3ADD1FEC"/>
    <w:rsid w:val="3AE3337B"/>
    <w:rsid w:val="3AE85519"/>
    <w:rsid w:val="3AED0BAA"/>
    <w:rsid w:val="3AED3225"/>
    <w:rsid w:val="3AED36B0"/>
    <w:rsid w:val="3AEF3ACE"/>
    <w:rsid w:val="3B021A53"/>
    <w:rsid w:val="3B0437AD"/>
    <w:rsid w:val="3B084B8F"/>
    <w:rsid w:val="3B0E664A"/>
    <w:rsid w:val="3B104A64"/>
    <w:rsid w:val="3B1422CD"/>
    <w:rsid w:val="3B201ED9"/>
    <w:rsid w:val="3B295232"/>
    <w:rsid w:val="3B295F7D"/>
    <w:rsid w:val="3B356257"/>
    <w:rsid w:val="3B3C5AF6"/>
    <w:rsid w:val="3B4448CF"/>
    <w:rsid w:val="3B4503AF"/>
    <w:rsid w:val="3B493A0A"/>
    <w:rsid w:val="3B590BFD"/>
    <w:rsid w:val="3B6C6B34"/>
    <w:rsid w:val="3B724B31"/>
    <w:rsid w:val="3B7F18E1"/>
    <w:rsid w:val="3B877BE0"/>
    <w:rsid w:val="3B9B5A04"/>
    <w:rsid w:val="3B9E5419"/>
    <w:rsid w:val="3BA5548A"/>
    <w:rsid w:val="3BAE6660"/>
    <w:rsid w:val="3BB371F1"/>
    <w:rsid w:val="3BB934EB"/>
    <w:rsid w:val="3BBB7E54"/>
    <w:rsid w:val="3BD53828"/>
    <w:rsid w:val="3BD86275"/>
    <w:rsid w:val="3BF10423"/>
    <w:rsid w:val="3C101F4E"/>
    <w:rsid w:val="3C1108C0"/>
    <w:rsid w:val="3C2123AD"/>
    <w:rsid w:val="3C21415B"/>
    <w:rsid w:val="3C265C15"/>
    <w:rsid w:val="3C2F43F7"/>
    <w:rsid w:val="3C326368"/>
    <w:rsid w:val="3C3A6FCB"/>
    <w:rsid w:val="3C3A7C73"/>
    <w:rsid w:val="3C3F65E4"/>
    <w:rsid w:val="3C415CAB"/>
    <w:rsid w:val="3C5957EE"/>
    <w:rsid w:val="3C5E235A"/>
    <w:rsid w:val="3C6779A4"/>
    <w:rsid w:val="3C6E3646"/>
    <w:rsid w:val="3C716EE0"/>
    <w:rsid w:val="3C836AF8"/>
    <w:rsid w:val="3C8577D9"/>
    <w:rsid w:val="3C87533C"/>
    <w:rsid w:val="3C8C1F1C"/>
    <w:rsid w:val="3CA67D65"/>
    <w:rsid w:val="3CAD1E92"/>
    <w:rsid w:val="3CB2620D"/>
    <w:rsid w:val="3CBB45AF"/>
    <w:rsid w:val="3CC04181"/>
    <w:rsid w:val="3CC82828"/>
    <w:rsid w:val="3CC95D4F"/>
    <w:rsid w:val="3CCD04B8"/>
    <w:rsid w:val="3CDC19C8"/>
    <w:rsid w:val="3CE05E1D"/>
    <w:rsid w:val="3CEA1D9B"/>
    <w:rsid w:val="3CEA4A31"/>
    <w:rsid w:val="3CF278A5"/>
    <w:rsid w:val="3CF63839"/>
    <w:rsid w:val="3CFD6976"/>
    <w:rsid w:val="3D000214"/>
    <w:rsid w:val="3D025872"/>
    <w:rsid w:val="3D084FB0"/>
    <w:rsid w:val="3D0C0967"/>
    <w:rsid w:val="3D1625F9"/>
    <w:rsid w:val="3D1B7D63"/>
    <w:rsid w:val="3D296970"/>
    <w:rsid w:val="3D324146"/>
    <w:rsid w:val="3D3E2AEA"/>
    <w:rsid w:val="3D5134CB"/>
    <w:rsid w:val="3D516CC2"/>
    <w:rsid w:val="3D5642D8"/>
    <w:rsid w:val="3D5F69AE"/>
    <w:rsid w:val="3D694434"/>
    <w:rsid w:val="3D7A7FC6"/>
    <w:rsid w:val="3D7D7B46"/>
    <w:rsid w:val="3D8250CD"/>
    <w:rsid w:val="3D956BAE"/>
    <w:rsid w:val="3D9B1CEB"/>
    <w:rsid w:val="3DA3025C"/>
    <w:rsid w:val="3DAC1B12"/>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374C3C"/>
    <w:rsid w:val="3E3A59A8"/>
    <w:rsid w:val="3E587D8E"/>
    <w:rsid w:val="3E5D65FA"/>
    <w:rsid w:val="3E6E552A"/>
    <w:rsid w:val="3E86735F"/>
    <w:rsid w:val="3E976963"/>
    <w:rsid w:val="3E9926CE"/>
    <w:rsid w:val="3EA34660"/>
    <w:rsid w:val="3EB22CE0"/>
    <w:rsid w:val="3ECA0DF7"/>
    <w:rsid w:val="3ECA7AEB"/>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F6395"/>
    <w:rsid w:val="3F70371B"/>
    <w:rsid w:val="3F775EAA"/>
    <w:rsid w:val="3F7D3BA5"/>
    <w:rsid w:val="3F7D5B4C"/>
    <w:rsid w:val="3F841CFC"/>
    <w:rsid w:val="3F8A2017"/>
    <w:rsid w:val="3F930BD7"/>
    <w:rsid w:val="3FA6322C"/>
    <w:rsid w:val="3FB11C9A"/>
    <w:rsid w:val="3FB97B2C"/>
    <w:rsid w:val="3FCA4B88"/>
    <w:rsid w:val="3FDC4E4B"/>
    <w:rsid w:val="3FDF478C"/>
    <w:rsid w:val="3FEC7E9B"/>
    <w:rsid w:val="3FFA00B1"/>
    <w:rsid w:val="40015B6F"/>
    <w:rsid w:val="40095632"/>
    <w:rsid w:val="400B75FC"/>
    <w:rsid w:val="4021297B"/>
    <w:rsid w:val="402A3E6D"/>
    <w:rsid w:val="4035319B"/>
    <w:rsid w:val="403542CB"/>
    <w:rsid w:val="403703F1"/>
    <w:rsid w:val="4041130F"/>
    <w:rsid w:val="4044604D"/>
    <w:rsid w:val="40463AB2"/>
    <w:rsid w:val="40494B17"/>
    <w:rsid w:val="404E04ED"/>
    <w:rsid w:val="40507E8F"/>
    <w:rsid w:val="405371F1"/>
    <w:rsid w:val="405F3AFD"/>
    <w:rsid w:val="4061546E"/>
    <w:rsid w:val="407A0062"/>
    <w:rsid w:val="407F58F4"/>
    <w:rsid w:val="40842F0A"/>
    <w:rsid w:val="408569C9"/>
    <w:rsid w:val="40880C4C"/>
    <w:rsid w:val="40970E8F"/>
    <w:rsid w:val="409C7F38"/>
    <w:rsid w:val="409D05D4"/>
    <w:rsid w:val="409D18C8"/>
    <w:rsid w:val="40A67141"/>
    <w:rsid w:val="40AC4411"/>
    <w:rsid w:val="40AE302D"/>
    <w:rsid w:val="40BD7B9F"/>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35058"/>
    <w:rsid w:val="41434B73"/>
    <w:rsid w:val="41446AC9"/>
    <w:rsid w:val="414C7ECC"/>
    <w:rsid w:val="414D77A0"/>
    <w:rsid w:val="414F5661"/>
    <w:rsid w:val="41554456"/>
    <w:rsid w:val="415D5C35"/>
    <w:rsid w:val="4167271B"/>
    <w:rsid w:val="41676AB4"/>
    <w:rsid w:val="41790595"/>
    <w:rsid w:val="41872596"/>
    <w:rsid w:val="41945E2E"/>
    <w:rsid w:val="41A3665C"/>
    <w:rsid w:val="41AA074E"/>
    <w:rsid w:val="41AE46E3"/>
    <w:rsid w:val="41BF557A"/>
    <w:rsid w:val="41C37A62"/>
    <w:rsid w:val="41C77757"/>
    <w:rsid w:val="41D91034"/>
    <w:rsid w:val="41D9558A"/>
    <w:rsid w:val="41F12A49"/>
    <w:rsid w:val="42114C71"/>
    <w:rsid w:val="42186000"/>
    <w:rsid w:val="42217DE4"/>
    <w:rsid w:val="42237A68"/>
    <w:rsid w:val="42277FF1"/>
    <w:rsid w:val="422C1AAB"/>
    <w:rsid w:val="422C3859"/>
    <w:rsid w:val="423A41C8"/>
    <w:rsid w:val="42491726"/>
    <w:rsid w:val="424929BB"/>
    <w:rsid w:val="424C23C0"/>
    <w:rsid w:val="4252375D"/>
    <w:rsid w:val="425608D6"/>
    <w:rsid w:val="42635F66"/>
    <w:rsid w:val="42774755"/>
    <w:rsid w:val="427D6F5C"/>
    <w:rsid w:val="42874C92"/>
    <w:rsid w:val="428B4A24"/>
    <w:rsid w:val="42A00D54"/>
    <w:rsid w:val="42A463CD"/>
    <w:rsid w:val="42B9463D"/>
    <w:rsid w:val="42C33F9D"/>
    <w:rsid w:val="42C35F6C"/>
    <w:rsid w:val="42C76B3B"/>
    <w:rsid w:val="42D361F6"/>
    <w:rsid w:val="430A77BB"/>
    <w:rsid w:val="430D5439"/>
    <w:rsid w:val="431F6F1A"/>
    <w:rsid w:val="43356244"/>
    <w:rsid w:val="43394D4F"/>
    <w:rsid w:val="43395887"/>
    <w:rsid w:val="433A4FFB"/>
    <w:rsid w:val="434500D6"/>
    <w:rsid w:val="4356105B"/>
    <w:rsid w:val="43593652"/>
    <w:rsid w:val="435D6755"/>
    <w:rsid w:val="435E4682"/>
    <w:rsid w:val="436414A9"/>
    <w:rsid w:val="436A4639"/>
    <w:rsid w:val="436E5A86"/>
    <w:rsid w:val="4370357A"/>
    <w:rsid w:val="43A04D63"/>
    <w:rsid w:val="43A80260"/>
    <w:rsid w:val="43AD5E70"/>
    <w:rsid w:val="43AF64F0"/>
    <w:rsid w:val="43C42299"/>
    <w:rsid w:val="43CA332A"/>
    <w:rsid w:val="43CE1B59"/>
    <w:rsid w:val="43D07DA3"/>
    <w:rsid w:val="43D146B8"/>
    <w:rsid w:val="43DA04AA"/>
    <w:rsid w:val="43E06D85"/>
    <w:rsid w:val="43F62371"/>
    <w:rsid w:val="43F65ECD"/>
    <w:rsid w:val="43FE1764"/>
    <w:rsid w:val="44000AFA"/>
    <w:rsid w:val="440525B4"/>
    <w:rsid w:val="441222F9"/>
    <w:rsid w:val="442742D8"/>
    <w:rsid w:val="442D7CF1"/>
    <w:rsid w:val="443469F5"/>
    <w:rsid w:val="444141BE"/>
    <w:rsid w:val="444B4348"/>
    <w:rsid w:val="445B4B11"/>
    <w:rsid w:val="446A6C18"/>
    <w:rsid w:val="447334B4"/>
    <w:rsid w:val="447748BD"/>
    <w:rsid w:val="448434D9"/>
    <w:rsid w:val="44850357"/>
    <w:rsid w:val="448654A3"/>
    <w:rsid w:val="448923E4"/>
    <w:rsid w:val="44953B11"/>
    <w:rsid w:val="44A21BB1"/>
    <w:rsid w:val="44A57033"/>
    <w:rsid w:val="44CB3B1B"/>
    <w:rsid w:val="44F07486"/>
    <w:rsid w:val="44F16D79"/>
    <w:rsid w:val="45014E01"/>
    <w:rsid w:val="4508410A"/>
    <w:rsid w:val="45121F3C"/>
    <w:rsid w:val="4516350E"/>
    <w:rsid w:val="4517434D"/>
    <w:rsid w:val="45221F08"/>
    <w:rsid w:val="45246A6A"/>
    <w:rsid w:val="452B24C8"/>
    <w:rsid w:val="456B28EB"/>
    <w:rsid w:val="457B7B14"/>
    <w:rsid w:val="45812155"/>
    <w:rsid w:val="458E4348"/>
    <w:rsid w:val="459C60A2"/>
    <w:rsid w:val="45AC0F39"/>
    <w:rsid w:val="45D77616"/>
    <w:rsid w:val="45E37B58"/>
    <w:rsid w:val="45E5269D"/>
    <w:rsid w:val="45E95E81"/>
    <w:rsid w:val="45E961FB"/>
    <w:rsid w:val="45FB77CB"/>
    <w:rsid w:val="4607616F"/>
    <w:rsid w:val="46160AA8"/>
    <w:rsid w:val="461E2AF6"/>
    <w:rsid w:val="461F40D3"/>
    <w:rsid w:val="462420C4"/>
    <w:rsid w:val="462813AD"/>
    <w:rsid w:val="462A6302"/>
    <w:rsid w:val="462C3E28"/>
    <w:rsid w:val="46341091"/>
    <w:rsid w:val="46352521"/>
    <w:rsid w:val="46364CA7"/>
    <w:rsid w:val="4645313C"/>
    <w:rsid w:val="464E1FF0"/>
    <w:rsid w:val="464F6C86"/>
    <w:rsid w:val="46565349"/>
    <w:rsid w:val="46572CEA"/>
    <w:rsid w:val="465D66D7"/>
    <w:rsid w:val="465E234D"/>
    <w:rsid w:val="466F1F67"/>
    <w:rsid w:val="467D0B27"/>
    <w:rsid w:val="467D5830"/>
    <w:rsid w:val="468123C6"/>
    <w:rsid w:val="46844BE7"/>
    <w:rsid w:val="46873754"/>
    <w:rsid w:val="468C42DA"/>
    <w:rsid w:val="468E4AE3"/>
    <w:rsid w:val="46943C0F"/>
    <w:rsid w:val="469B0FAE"/>
    <w:rsid w:val="469E3530"/>
    <w:rsid w:val="46A20569"/>
    <w:rsid w:val="46A50CD8"/>
    <w:rsid w:val="46A95479"/>
    <w:rsid w:val="46BE6485"/>
    <w:rsid w:val="46CE762A"/>
    <w:rsid w:val="46DD20EA"/>
    <w:rsid w:val="46DE3F66"/>
    <w:rsid w:val="46E21B98"/>
    <w:rsid w:val="46ED7A5B"/>
    <w:rsid w:val="47040901"/>
    <w:rsid w:val="47151F14"/>
    <w:rsid w:val="47222787"/>
    <w:rsid w:val="472D60AA"/>
    <w:rsid w:val="472F57A0"/>
    <w:rsid w:val="475146B6"/>
    <w:rsid w:val="47527C17"/>
    <w:rsid w:val="47541888"/>
    <w:rsid w:val="47574ED5"/>
    <w:rsid w:val="475E6263"/>
    <w:rsid w:val="475E70B7"/>
    <w:rsid w:val="47612B67"/>
    <w:rsid w:val="476222E7"/>
    <w:rsid w:val="476E1671"/>
    <w:rsid w:val="47710FE3"/>
    <w:rsid w:val="47835AC3"/>
    <w:rsid w:val="479C6D8B"/>
    <w:rsid w:val="47AF19B6"/>
    <w:rsid w:val="47B10A89"/>
    <w:rsid w:val="47B440D5"/>
    <w:rsid w:val="47C14A44"/>
    <w:rsid w:val="47CF53B3"/>
    <w:rsid w:val="47D06A35"/>
    <w:rsid w:val="47D44777"/>
    <w:rsid w:val="47EC08F5"/>
    <w:rsid w:val="47FE6991"/>
    <w:rsid w:val="480C5CBF"/>
    <w:rsid w:val="481C5609"/>
    <w:rsid w:val="48232393"/>
    <w:rsid w:val="48270455"/>
    <w:rsid w:val="48337F1C"/>
    <w:rsid w:val="484671D9"/>
    <w:rsid w:val="484A2C8B"/>
    <w:rsid w:val="48517B76"/>
    <w:rsid w:val="48627FD5"/>
    <w:rsid w:val="486359A1"/>
    <w:rsid w:val="48684DC2"/>
    <w:rsid w:val="48697143"/>
    <w:rsid w:val="487565D5"/>
    <w:rsid w:val="487D3F41"/>
    <w:rsid w:val="488C33B7"/>
    <w:rsid w:val="489B0C9C"/>
    <w:rsid w:val="48A24858"/>
    <w:rsid w:val="48B00D40"/>
    <w:rsid w:val="48B87BF5"/>
    <w:rsid w:val="48C81A9C"/>
    <w:rsid w:val="48CC7A48"/>
    <w:rsid w:val="48D74653"/>
    <w:rsid w:val="48DA5DBD"/>
    <w:rsid w:val="48DD765B"/>
    <w:rsid w:val="48E42798"/>
    <w:rsid w:val="48E91EBC"/>
    <w:rsid w:val="48EA246C"/>
    <w:rsid w:val="48EA3B26"/>
    <w:rsid w:val="4900102E"/>
    <w:rsid w:val="490177EE"/>
    <w:rsid w:val="49033566"/>
    <w:rsid w:val="49090BD4"/>
    <w:rsid w:val="492445E1"/>
    <w:rsid w:val="49270BA4"/>
    <w:rsid w:val="492E435B"/>
    <w:rsid w:val="49470D20"/>
    <w:rsid w:val="494C570A"/>
    <w:rsid w:val="49595BC3"/>
    <w:rsid w:val="49635DB3"/>
    <w:rsid w:val="49641B2B"/>
    <w:rsid w:val="49680FED"/>
    <w:rsid w:val="496833C9"/>
    <w:rsid w:val="497004D0"/>
    <w:rsid w:val="498521CD"/>
    <w:rsid w:val="49A540DA"/>
    <w:rsid w:val="49BA7C78"/>
    <w:rsid w:val="49BF4FB3"/>
    <w:rsid w:val="49C56A6D"/>
    <w:rsid w:val="49C7166E"/>
    <w:rsid w:val="49D40A5E"/>
    <w:rsid w:val="49EA64D4"/>
    <w:rsid w:val="49EE755D"/>
    <w:rsid w:val="49F5418F"/>
    <w:rsid w:val="4A072690"/>
    <w:rsid w:val="4A1531CE"/>
    <w:rsid w:val="4A1B306C"/>
    <w:rsid w:val="4A201EF6"/>
    <w:rsid w:val="4A2131C5"/>
    <w:rsid w:val="4A286FFC"/>
    <w:rsid w:val="4A3E2F33"/>
    <w:rsid w:val="4A483E40"/>
    <w:rsid w:val="4A4C2CEB"/>
    <w:rsid w:val="4A563B69"/>
    <w:rsid w:val="4A6244A5"/>
    <w:rsid w:val="4A78644C"/>
    <w:rsid w:val="4A7D4C52"/>
    <w:rsid w:val="4A7E749E"/>
    <w:rsid w:val="4A800BE6"/>
    <w:rsid w:val="4A8835F7"/>
    <w:rsid w:val="4A8852F9"/>
    <w:rsid w:val="4A964A98"/>
    <w:rsid w:val="4A977AF4"/>
    <w:rsid w:val="4AAE7501"/>
    <w:rsid w:val="4AC7285C"/>
    <w:rsid w:val="4ACE1952"/>
    <w:rsid w:val="4AE42F23"/>
    <w:rsid w:val="4AE90539"/>
    <w:rsid w:val="4AEF0CFA"/>
    <w:rsid w:val="4AF066D1"/>
    <w:rsid w:val="4AF13892"/>
    <w:rsid w:val="4AF528F5"/>
    <w:rsid w:val="4AF57E89"/>
    <w:rsid w:val="4AF60EA8"/>
    <w:rsid w:val="4B03749E"/>
    <w:rsid w:val="4B045373"/>
    <w:rsid w:val="4B187071"/>
    <w:rsid w:val="4B1F7EAC"/>
    <w:rsid w:val="4B247E30"/>
    <w:rsid w:val="4B272E10"/>
    <w:rsid w:val="4B321EE0"/>
    <w:rsid w:val="4B373E0F"/>
    <w:rsid w:val="4B6840DD"/>
    <w:rsid w:val="4B685902"/>
    <w:rsid w:val="4B747A79"/>
    <w:rsid w:val="4B7C7600"/>
    <w:rsid w:val="4B7D6ED4"/>
    <w:rsid w:val="4B810772"/>
    <w:rsid w:val="4B892377"/>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2452FC"/>
    <w:rsid w:val="4C365A00"/>
    <w:rsid w:val="4C426F80"/>
    <w:rsid w:val="4C467E54"/>
    <w:rsid w:val="4C4A00F0"/>
    <w:rsid w:val="4C5B4D5D"/>
    <w:rsid w:val="4C627CDE"/>
    <w:rsid w:val="4C653BF0"/>
    <w:rsid w:val="4C674AF5"/>
    <w:rsid w:val="4C6D5CD6"/>
    <w:rsid w:val="4C6D6AD8"/>
    <w:rsid w:val="4C7E3FD1"/>
    <w:rsid w:val="4C7F7227"/>
    <w:rsid w:val="4C87000A"/>
    <w:rsid w:val="4C89771F"/>
    <w:rsid w:val="4C984BBC"/>
    <w:rsid w:val="4C9B3AB5"/>
    <w:rsid w:val="4CA00105"/>
    <w:rsid w:val="4CAF7561"/>
    <w:rsid w:val="4CB47E1D"/>
    <w:rsid w:val="4CB61310"/>
    <w:rsid w:val="4CD4060A"/>
    <w:rsid w:val="4CE92007"/>
    <w:rsid w:val="4CFF0538"/>
    <w:rsid w:val="4D062959"/>
    <w:rsid w:val="4D0A29E9"/>
    <w:rsid w:val="4D112063"/>
    <w:rsid w:val="4D1C122D"/>
    <w:rsid w:val="4D2C2C5D"/>
    <w:rsid w:val="4D2F391D"/>
    <w:rsid w:val="4D3C7A82"/>
    <w:rsid w:val="4D4A644D"/>
    <w:rsid w:val="4D57223F"/>
    <w:rsid w:val="4D5C6150"/>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CB3509"/>
    <w:rsid w:val="4DD8667B"/>
    <w:rsid w:val="4DD90079"/>
    <w:rsid w:val="4DDA23BB"/>
    <w:rsid w:val="4DDD2D33"/>
    <w:rsid w:val="4DE04FD5"/>
    <w:rsid w:val="4DE90850"/>
    <w:rsid w:val="4DF54B22"/>
    <w:rsid w:val="4DF74D1B"/>
    <w:rsid w:val="4E0336C0"/>
    <w:rsid w:val="4E13108B"/>
    <w:rsid w:val="4E191136"/>
    <w:rsid w:val="4E305CD9"/>
    <w:rsid w:val="4E35193A"/>
    <w:rsid w:val="4E3E09D7"/>
    <w:rsid w:val="4E497D56"/>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900D58"/>
    <w:rsid w:val="4F932C84"/>
    <w:rsid w:val="4F986314"/>
    <w:rsid w:val="4F9C3DCC"/>
    <w:rsid w:val="4FA26F09"/>
    <w:rsid w:val="4FAB6783"/>
    <w:rsid w:val="4FD07F3D"/>
    <w:rsid w:val="4FD32219"/>
    <w:rsid w:val="4FE6207D"/>
    <w:rsid w:val="4FE958A7"/>
    <w:rsid w:val="4FED4628"/>
    <w:rsid w:val="4FF97471"/>
    <w:rsid w:val="50025BF9"/>
    <w:rsid w:val="500362FC"/>
    <w:rsid w:val="500E27F0"/>
    <w:rsid w:val="501747B4"/>
    <w:rsid w:val="50210776"/>
    <w:rsid w:val="502C0172"/>
    <w:rsid w:val="50502E09"/>
    <w:rsid w:val="50596E98"/>
    <w:rsid w:val="5067474D"/>
    <w:rsid w:val="50724B2D"/>
    <w:rsid w:val="507A5644"/>
    <w:rsid w:val="50833C49"/>
    <w:rsid w:val="508825A3"/>
    <w:rsid w:val="508A7A43"/>
    <w:rsid w:val="508D5E0B"/>
    <w:rsid w:val="50946380"/>
    <w:rsid w:val="50966A6E"/>
    <w:rsid w:val="50AD025B"/>
    <w:rsid w:val="50C86601"/>
    <w:rsid w:val="50D434CD"/>
    <w:rsid w:val="50E82355"/>
    <w:rsid w:val="50EF2890"/>
    <w:rsid w:val="50FA2CEF"/>
    <w:rsid w:val="50FE200D"/>
    <w:rsid w:val="51055FB9"/>
    <w:rsid w:val="51121CFE"/>
    <w:rsid w:val="51142088"/>
    <w:rsid w:val="5116195C"/>
    <w:rsid w:val="511B41EA"/>
    <w:rsid w:val="51387B25"/>
    <w:rsid w:val="51415AB0"/>
    <w:rsid w:val="51516E38"/>
    <w:rsid w:val="516528E4"/>
    <w:rsid w:val="51683C12"/>
    <w:rsid w:val="516B614C"/>
    <w:rsid w:val="518002D4"/>
    <w:rsid w:val="51823496"/>
    <w:rsid w:val="51861AB2"/>
    <w:rsid w:val="519138FA"/>
    <w:rsid w:val="5196243B"/>
    <w:rsid w:val="51A27694"/>
    <w:rsid w:val="51A944F9"/>
    <w:rsid w:val="51AC0513"/>
    <w:rsid w:val="51AE428B"/>
    <w:rsid w:val="51B74A13"/>
    <w:rsid w:val="51B761EE"/>
    <w:rsid w:val="51C70EA9"/>
    <w:rsid w:val="51E77260"/>
    <w:rsid w:val="51E97071"/>
    <w:rsid w:val="51F72176"/>
    <w:rsid w:val="5206063F"/>
    <w:rsid w:val="5208399B"/>
    <w:rsid w:val="521D27E0"/>
    <w:rsid w:val="52214528"/>
    <w:rsid w:val="52224331"/>
    <w:rsid w:val="522400A9"/>
    <w:rsid w:val="52242B53"/>
    <w:rsid w:val="52287B99"/>
    <w:rsid w:val="52303B9C"/>
    <w:rsid w:val="52331087"/>
    <w:rsid w:val="5236391B"/>
    <w:rsid w:val="523670A6"/>
    <w:rsid w:val="523B7711"/>
    <w:rsid w:val="52475C21"/>
    <w:rsid w:val="52497B10"/>
    <w:rsid w:val="52572747"/>
    <w:rsid w:val="525B6B2A"/>
    <w:rsid w:val="525C2965"/>
    <w:rsid w:val="525F2AC7"/>
    <w:rsid w:val="5276500D"/>
    <w:rsid w:val="528D5C4E"/>
    <w:rsid w:val="528F3894"/>
    <w:rsid w:val="52A85496"/>
    <w:rsid w:val="52B633F7"/>
    <w:rsid w:val="52BE159A"/>
    <w:rsid w:val="52BE6184"/>
    <w:rsid w:val="52C84ED8"/>
    <w:rsid w:val="52D15921"/>
    <w:rsid w:val="52D35245"/>
    <w:rsid w:val="52D93535"/>
    <w:rsid w:val="52E95290"/>
    <w:rsid w:val="52EB0BC7"/>
    <w:rsid w:val="52FB3500"/>
    <w:rsid w:val="53071EA5"/>
    <w:rsid w:val="531351CF"/>
    <w:rsid w:val="53200E2F"/>
    <w:rsid w:val="53220E17"/>
    <w:rsid w:val="532F2F36"/>
    <w:rsid w:val="533F163E"/>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EF6BF0"/>
    <w:rsid w:val="53F67036"/>
    <w:rsid w:val="540A3A96"/>
    <w:rsid w:val="54153D27"/>
    <w:rsid w:val="541F321E"/>
    <w:rsid w:val="543640C4"/>
    <w:rsid w:val="544113E6"/>
    <w:rsid w:val="54416526"/>
    <w:rsid w:val="544D66EF"/>
    <w:rsid w:val="5451680D"/>
    <w:rsid w:val="546141E6"/>
    <w:rsid w:val="54660E4D"/>
    <w:rsid w:val="547D2A84"/>
    <w:rsid w:val="547E04D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567F"/>
    <w:rsid w:val="55BD4A9D"/>
    <w:rsid w:val="55C07F8A"/>
    <w:rsid w:val="55C20FD9"/>
    <w:rsid w:val="55C30E9C"/>
    <w:rsid w:val="55C91FBB"/>
    <w:rsid w:val="55CE2806"/>
    <w:rsid w:val="55DA564E"/>
    <w:rsid w:val="55DC74A2"/>
    <w:rsid w:val="55DD0C9B"/>
    <w:rsid w:val="55EB68A7"/>
    <w:rsid w:val="55EE10FA"/>
    <w:rsid w:val="55EF09CE"/>
    <w:rsid w:val="55F14746"/>
    <w:rsid w:val="55F52488"/>
    <w:rsid w:val="55FE051D"/>
    <w:rsid w:val="55FF50B5"/>
    <w:rsid w:val="560E70A6"/>
    <w:rsid w:val="562174AA"/>
    <w:rsid w:val="562525BB"/>
    <w:rsid w:val="562C39D0"/>
    <w:rsid w:val="562F5158"/>
    <w:rsid w:val="56327239"/>
    <w:rsid w:val="56354874"/>
    <w:rsid w:val="56407B31"/>
    <w:rsid w:val="564451BE"/>
    <w:rsid w:val="565060B6"/>
    <w:rsid w:val="565C2507"/>
    <w:rsid w:val="565F3711"/>
    <w:rsid w:val="567D7BCB"/>
    <w:rsid w:val="568A3CC6"/>
    <w:rsid w:val="56906AD3"/>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A1231"/>
    <w:rsid w:val="587A2719"/>
    <w:rsid w:val="588840E5"/>
    <w:rsid w:val="588875E4"/>
    <w:rsid w:val="588E2720"/>
    <w:rsid w:val="588E5F1E"/>
    <w:rsid w:val="58A41775"/>
    <w:rsid w:val="58A7171B"/>
    <w:rsid w:val="58B72C4E"/>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578B9"/>
    <w:rsid w:val="5A496657"/>
    <w:rsid w:val="5A4A08C9"/>
    <w:rsid w:val="5A5D59BD"/>
    <w:rsid w:val="5A6F20DD"/>
    <w:rsid w:val="5A7B0A82"/>
    <w:rsid w:val="5A8C5871"/>
    <w:rsid w:val="5A9F29C3"/>
    <w:rsid w:val="5AA03382"/>
    <w:rsid w:val="5AAF57F4"/>
    <w:rsid w:val="5AB32912"/>
    <w:rsid w:val="5ABE78FA"/>
    <w:rsid w:val="5ABF6998"/>
    <w:rsid w:val="5AD004B8"/>
    <w:rsid w:val="5AE31A51"/>
    <w:rsid w:val="5AEB5538"/>
    <w:rsid w:val="5AEC2B60"/>
    <w:rsid w:val="5AF50835"/>
    <w:rsid w:val="5AF745AD"/>
    <w:rsid w:val="5B0031FB"/>
    <w:rsid w:val="5B0171D9"/>
    <w:rsid w:val="5B084A0C"/>
    <w:rsid w:val="5B0A7B16"/>
    <w:rsid w:val="5B13634E"/>
    <w:rsid w:val="5B1C06DB"/>
    <w:rsid w:val="5B24736C"/>
    <w:rsid w:val="5B33135D"/>
    <w:rsid w:val="5B413F46"/>
    <w:rsid w:val="5B49752A"/>
    <w:rsid w:val="5B4E3AA2"/>
    <w:rsid w:val="5B500161"/>
    <w:rsid w:val="5B5163B3"/>
    <w:rsid w:val="5B5B0FE0"/>
    <w:rsid w:val="5B5D268B"/>
    <w:rsid w:val="5B6854AA"/>
    <w:rsid w:val="5B695F30"/>
    <w:rsid w:val="5B721E85"/>
    <w:rsid w:val="5B73097A"/>
    <w:rsid w:val="5B7F45A2"/>
    <w:rsid w:val="5B89006B"/>
    <w:rsid w:val="5B8A0BEC"/>
    <w:rsid w:val="5B9E7621"/>
    <w:rsid w:val="5B9F0763"/>
    <w:rsid w:val="5BAB5397"/>
    <w:rsid w:val="5BAE20B1"/>
    <w:rsid w:val="5BC329F6"/>
    <w:rsid w:val="5BCF72D8"/>
    <w:rsid w:val="5BD90156"/>
    <w:rsid w:val="5BE865EB"/>
    <w:rsid w:val="5BEA5EBF"/>
    <w:rsid w:val="5BEC60DC"/>
    <w:rsid w:val="5C0B1FE3"/>
    <w:rsid w:val="5C0C22DA"/>
    <w:rsid w:val="5C0F2BFF"/>
    <w:rsid w:val="5C115B42"/>
    <w:rsid w:val="5C225659"/>
    <w:rsid w:val="5C234A98"/>
    <w:rsid w:val="5C25339C"/>
    <w:rsid w:val="5C2F5FC8"/>
    <w:rsid w:val="5C311496"/>
    <w:rsid w:val="5C383A38"/>
    <w:rsid w:val="5C3A6F3B"/>
    <w:rsid w:val="5C3B4EF8"/>
    <w:rsid w:val="5C425CFC"/>
    <w:rsid w:val="5C451348"/>
    <w:rsid w:val="5C546444"/>
    <w:rsid w:val="5C734374"/>
    <w:rsid w:val="5C783DC5"/>
    <w:rsid w:val="5C8A60EC"/>
    <w:rsid w:val="5C990449"/>
    <w:rsid w:val="5CA96EF0"/>
    <w:rsid w:val="5CB22E1D"/>
    <w:rsid w:val="5CC372E6"/>
    <w:rsid w:val="5CC91F79"/>
    <w:rsid w:val="5CD85171"/>
    <w:rsid w:val="5CD87EC6"/>
    <w:rsid w:val="5CDF79EE"/>
    <w:rsid w:val="5CE62B2B"/>
    <w:rsid w:val="5CED5FBE"/>
    <w:rsid w:val="5CF50FC0"/>
    <w:rsid w:val="5CFF2752"/>
    <w:rsid w:val="5D115A5F"/>
    <w:rsid w:val="5D1257AE"/>
    <w:rsid w:val="5D2418A5"/>
    <w:rsid w:val="5D3F048D"/>
    <w:rsid w:val="5D3F66DF"/>
    <w:rsid w:val="5D445AA3"/>
    <w:rsid w:val="5D4E698B"/>
    <w:rsid w:val="5D562CB2"/>
    <w:rsid w:val="5D5B27A1"/>
    <w:rsid w:val="5D5F6320"/>
    <w:rsid w:val="5D615D2B"/>
    <w:rsid w:val="5D752101"/>
    <w:rsid w:val="5D8509C1"/>
    <w:rsid w:val="5D861A18"/>
    <w:rsid w:val="5D891708"/>
    <w:rsid w:val="5D8B5480"/>
    <w:rsid w:val="5D8D77B3"/>
    <w:rsid w:val="5DAD189A"/>
    <w:rsid w:val="5DB06351"/>
    <w:rsid w:val="5DC0558D"/>
    <w:rsid w:val="5DC31574"/>
    <w:rsid w:val="5DC57FBC"/>
    <w:rsid w:val="5DCB3ACF"/>
    <w:rsid w:val="5DDB01B6"/>
    <w:rsid w:val="5DED15CA"/>
    <w:rsid w:val="5DFB43B4"/>
    <w:rsid w:val="5DFD637E"/>
    <w:rsid w:val="5DFE5C76"/>
    <w:rsid w:val="5E02502F"/>
    <w:rsid w:val="5E115985"/>
    <w:rsid w:val="5E176D14"/>
    <w:rsid w:val="5E1A1D8F"/>
    <w:rsid w:val="5E295D01"/>
    <w:rsid w:val="5E2D2E8B"/>
    <w:rsid w:val="5E337C02"/>
    <w:rsid w:val="5E3646CC"/>
    <w:rsid w:val="5E3C677A"/>
    <w:rsid w:val="5E4A6A84"/>
    <w:rsid w:val="5E4A70E9"/>
    <w:rsid w:val="5E515B70"/>
    <w:rsid w:val="5E57653F"/>
    <w:rsid w:val="5E653F23"/>
    <w:rsid w:val="5E6C52B2"/>
    <w:rsid w:val="5E6F08FE"/>
    <w:rsid w:val="5E71501E"/>
    <w:rsid w:val="5E7728A4"/>
    <w:rsid w:val="5E783C56"/>
    <w:rsid w:val="5E8029C8"/>
    <w:rsid w:val="5E867BDE"/>
    <w:rsid w:val="5E9B16F3"/>
    <w:rsid w:val="5EB14E39"/>
    <w:rsid w:val="5EC46E9C"/>
    <w:rsid w:val="5EC82C7F"/>
    <w:rsid w:val="5ECB647C"/>
    <w:rsid w:val="5ED014C1"/>
    <w:rsid w:val="5EDA221B"/>
    <w:rsid w:val="5EDD5C7E"/>
    <w:rsid w:val="5EEC5DE8"/>
    <w:rsid w:val="5F061196"/>
    <w:rsid w:val="5F092300"/>
    <w:rsid w:val="5F1E2439"/>
    <w:rsid w:val="5F265461"/>
    <w:rsid w:val="5F2B7EA7"/>
    <w:rsid w:val="5F2E0448"/>
    <w:rsid w:val="5F343FED"/>
    <w:rsid w:val="5F426012"/>
    <w:rsid w:val="5F4678B1"/>
    <w:rsid w:val="5F4C7480"/>
    <w:rsid w:val="5F511E50"/>
    <w:rsid w:val="5F5226F9"/>
    <w:rsid w:val="5F6758BD"/>
    <w:rsid w:val="5F7A39FE"/>
    <w:rsid w:val="5F7B7758"/>
    <w:rsid w:val="5F864151"/>
    <w:rsid w:val="5F906D7E"/>
    <w:rsid w:val="5F97635E"/>
    <w:rsid w:val="5FAF1470"/>
    <w:rsid w:val="5FB01277"/>
    <w:rsid w:val="5FB55033"/>
    <w:rsid w:val="5FBC5DC5"/>
    <w:rsid w:val="5FBD35B3"/>
    <w:rsid w:val="5FD95E49"/>
    <w:rsid w:val="5FF17497"/>
    <w:rsid w:val="5FF852DD"/>
    <w:rsid w:val="5FFF71C4"/>
    <w:rsid w:val="6000764E"/>
    <w:rsid w:val="601037F9"/>
    <w:rsid w:val="60193217"/>
    <w:rsid w:val="601D2D0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D3BA3"/>
    <w:rsid w:val="60C43183"/>
    <w:rsid w:val="60E127A8"/>
    <w:rsid w:val="60F04023"/>
    <w:rsid w:val="60F47BA0"/>
    <w:rsid w:val="60FE708C"/>
    <w:rsid w:val="610619ED"/>
    <w:rsid w:val="61074FB0"/>
    <w:rsid w:val="610C3417"/>
    <w:rsid w:val="610D1F57"/>
    <w:rsid w:val="61132215"/>
    <w:rsid w:val="611539DF"/>
    <w:rsid w:val="611B712C"/>
    <w:rsid w:val="612F453E"/>
    <w:rsid w:val="61307EC2"/>
    <w:rsid w:val="613168F9"/>
    <w:rsid w:val="61395C63"/>
    <w:rsid w:val="614610F4"/>
    <w:rsid w:val="61477910"/>
    <w:rsid w:val="61502C69"/>
    <w:rsid w:val="6153325C"/>
    <w:rsid w:val="61702784"/>
    <w:rsid w:val="61712C70"/>
    <w:rsid w:val="617E7C88"/>
    <w:rsid w:val="61822AE0"/>
    <w:rsid w:val="61826A36"/>
    <w:rsid w:val="618378A8"/>
    <w:rsid w:val="61923281"/>
    <w:rsid w:val="6198037A"/>
    <w:rsid w:val="619E03D3"/>
    <w:rsid w:val="61A15272"/>
    <w:rsid w:val="61A95F09"/>
    <w:rsid w:val="61B57137"/>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432B91"/>
    <w:rsid w:val="62610F56"/>
    <w:rsid w:val="62685D90"/>
    <w:rsid w:val="627109AC"/>
    <w:rsid w:val="627F4464"/>
    <w:rsid w:val="628255CF"/>
    <w:rsid w:val="628C0609"/>
    <w:rsid w:val="6293061F"/>
    <w:rsid w:val="62AE40EB"/>
    <w:rsid w:val="62B47227"/>
    <w:rsid w:val="62BE505A"/>
    <w:rsid w:val="62C97DCC"/>
    <w:rsid w:val="62CA75F3"/>
    <w:rsid w:val="62EB7E3D"/>
    <w:rsid w:val="62F52A44"/>
    <w:rsid w:val="62F81B26"/>
    <w:rsid w:val="63012DCE"/>
    <w:rsid w:val="6304114E"/>
    <w:rsid w:val="631C06B9"/>
    <w:rsid w:val="631D4DCC"/>
    <w:rsid w:val="634C56B2"/>
    <w:rsid w:val="635A0D1C"/>
    <w:rsid w:val="63665421"/>
    <w:rsid w:val="6367429A"/>
    <w:rsid w:val="637F5A87"/>
    <w:rsid w:val="63892462"/>
    <w:rsid w:val="638C3D00"/>
    <w:rsid w:val="63974BC1"/>
    <w:rsid w:val="63985EF5"/>
    <w:rsid w:val="639E0012"/>
    <w:rsid w:val="63A921DA"/>
    <w:rsid w:val="63B95DD5"/>
    <w:rsid w:val="63C17E4E"/>
    <w:rsid w:val="63D538F9"/>
    <w:rsid w:val="63DC6B2D"/>
    <w:rsid w:val="63E83435"/>
    <w:rsid w:val="63F01D9B"/>
    <w:rsid w:val="63F56C5B"/>
    <w:rsid w:val="641C07B6"/>
    <w:rsid w:val="642122C3"/>
    <w:rsid w:val="64297466"/>
    <w:rsid w:val="64360F07"/>
    <w:rsid w:val="64395C36"/>
    <w:rsid w:val="644638F2"/>
    <w:rsid w:val="6457430E"/>
    <w:rsid w:val="64612216"/>
    <w:rsid w:val="6476226A"/>
    <w:rsid w:val="647D62A4"/>
    <w:rsid w:val="648375B3"/>
    <w:rsid w:val="64855DC5"/>
    <w:rsid w:val="64873F89"/>
    <w:rsid w:val="64910A67"/>
    <w:rsid w:val="6492262F"/>
    <w:rsid w:val="64923598"/>
    <w:rsid w:val="64B1461A"/>
    <w:rsid w:val="64B471CA"/>
    <w:rsid w:val="64B64D38"/>
    <w:rsid w:val="64B81251"/>
    <w:rsid w:val="64BD6D2C"/>
    <w:rsid w:val="64BF04BC"/>
    <w:rsid w:val="64CA2D32"/>
    <w:rsid w:val="64CC0566"/>
    <w:rsid w:val="64E04304"/>
    <w:rsid w:val="64E32C5A"/>
    <w:rsid w:val="64E738E4"/>
    <w:rsid w:val="64F03A9A"/>
    <w:rsid w:val="64F4032E"/>
    <w:rsid w:val="64FA0BB5"/>
    <w:rsid w:val="650E2C58"/>
    <w:rsid w:val="65110961"/>
    <w:rsid w:val="65155EBB"/>
    <w:rsid w:val="65174882"/>
    <w:rsid w:val="65183AA3"/>
    <w:rsid w:val="651C6006"/>
    <w:rsid w:val="6522491C"/>
    <w:rsid w:val="65295CAB"/>
    <w:rsid w:val="6530528B"/>
    <w:rsid w:val="6535464F"/>
    <w:rsid w:val="654462E5"/>
    <w:rsid w:val="655156DF"/>
    <w:rsid w:val="655A40B6"/>
    <w:rsid w:val="655D7702"/>
    <w:rsid w:val="65605444"/>
    <w:rsid w:val="65743D6A"/>
    <w:rsid w:val="6582360D"/>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82775A"/>
    <w:rsid w:val="668469F0"/>
    <w:rsid w:val="6696673B"/>
    <w:rsid w:val="669F3F4A"/>
    <w:rsid w:val="66A64AF7"/>
    <w:rsid w:val="66AA4BC9"/>
    <w:rsid w:val="66AD290B"/>
    <w:rsid w:val="66B01A27"/>
    <w:rsid w:val="66BD78CB"/>
    <w:rsid w:val="66C20165"/>
    <w:rsid w:val="66C2677C"/>
    <w:rsid w:val="66C27892"/>
    <w:rsid w:val="66C44D83"/>
    <w:rsid w:val="66CA3735"/>
    <w:rsid w:val="66D165FA"/>
    <w:rsid w:val="66D63C10"/>
    <w:rsid w:val="66D87988"/>
    <w:rsid w:val="66E3632D"/>
    <w:rsid w:val="66ED2AA1"/>
    <w:rsid w:val="66EF7091"/>
    <w:rsid w:val="66F44096"/>
    <w:rsid w:val="66F61BBC"/>
    <w:rsid w:val="66F67E0E"/>
    <w:rsid w:val="670562A3"/>
    <w:rsid w:val="67070F51"/>
    <w:rsid w:val="670A38BA"/>
    <w:rsid w:val="671F625C"/>
    <w:rsid w:val="6727621A"/>
    <w:rsid w:val="6728494B"/>
    <w:rsid w:val="672E33A8"/>
    <w:rsid w:val="6734251F"/>
    <w:rsid w:val="6736645D"/>
    <w:rsid w:val="67384641"/>
    <w:rsid w:val="674212A6"/>
    <w:rsid w:val="67492D13"/>
    <w:rsid w:val="6760797E"/>
    <w:rsid w:val="67674868"/>
    <w:rsid w:val="67680C07"/>
    <w:rsid w:val="67723A7B"/>
    <w:rsid w:val="6773145F"/>
    <w:rsid w:val="678058B5"/>
    <w:rsid w:val="67851681"/>
    <w:rsid w:val="678639D9"/>
    <w:rsid w:val="67904923"/>
    <w:rsid w:val="67915CB0"/>
    <w:rsid w:val="67A91325"/>
    <w:rsid w:val="67A96C2F"/>
    <w:rsid w:val="67B6759E"/>
    <w:rsid w:val="67B7688E"/>
    <w:rsid w:val="67B850C4"/>
    <w:rsid w:val="67B92249"/>
    <w:rsid w:val="67BA07B7"/>
    <w:rsid w:val="67BB2C21"/>
    <w:rsid w:val="67BB30D1"/>
    <w:rsid w:val="67BD3827"/>
    <w:rsid w:val="67C91DE0"/>
    <w:rsid w:val="67D30A98"/>
    <w:rsid w:val="67D363A2"/>
    <w:rsid w:val="67E05F5E"/>
    <w:rsid w:val="67F76522"/>
    <w:rsid w:val="67FC5491"/>
    <w:rsid w:val="67FF66DD"/>
    <w:rsid w:val="68012F0F"/>
    <w:rsid w:val="680854BD"/>
    <w:rsid w:val="68097272"/>
    <w:rsid w:val="68115791"/>
    <w:rsid w:val="68150768"/>
    <w:rsid w:val="68190258"/>
    <w:rsid w:val="681922FA"/>
    <w:rsid w:val="681B7D03"/>
    <w:rsid w:val="681F7E48"/>
    <w:rsid w:val="68225670"/>
    <w:rsid w:val="68273FF7"/>
    <w:rsid w:val="68330BEE"/>
    <w:rsid w:val="68466B73"/>
    <w:rsid w:val="68534CEB"/>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4A62"/>
    <w:rsid w:val="68D403C3"/>
    <w:rsid w:val="68D51CA5"/>
    <w:rsid w:val="68E1064A"/>
    <w:rsid w:val="68F85BA3"/>
    <w:rsid w:val="68FB73EC"/>
    <w:rsid w:val="69006D22"/>
    <w:rsid w:val="69061212"/>
    <w:rsid w:val="69171127"/>
    <w:rsid w:val="691C7D63"/>
    <w:rsid w:val="691F66E4"/>
    <w:rsid w:val="6923059F"/>
    <w:rsid w:val="69256789"/>
    <w:rsid w:val="692A4B83"/>
    <w:rsid w:val="692F585A"/>
    <w:rsid w:val="693C3FF3"/>
    <w:rsid w:val="69474951"/>
    <w:rsid w:val="69550672"/>
    <w:rsid w:val="695847ED"/>
    <w:rsid w:val="695E1C9B"/>
    <w:rsid w:val="6962427C"/>
    <w:rsid w:val="696465F8"/>
    <w:rsid w:val="6972741B"/>
    <w:rsid w:val="69780673"/>
    <w:rsid w:val="6982643B"/>
    <w:rsid w:val="698305CC"/>
    <w:rsid w:val="698520BF"/>
    <w:rsid w:val="698A0CE2"/>
    <w:rsid w:val="6990680F"/>
    <w:rsid w:val="69AD360D"/>
    <w:rsid w:val="69AD49F8"/>
    <w:rsid w:val="69B0699A"/>
    <w:rsid w:val="69D01015"/>
    <w:rsid w:val="69D46D24"/>
    <w:rsid w:val="69D8733F"/>
    <w:rsid w:val="69DA1BE5"/>
    <w:rsid w:val="69E96915"/>
    <w:rsid w:val="69FC398E"/>
    <w:rsid w:val="69FF347E"/>
    <w:rsid w:val="6A0501B7"/>
    <w:rsid w:val="6A0678F8"/>
    <w:rsid w:val="6A08670B"/>
    <w:rsid w:val="6A0942FC"/>
    <w:rsid w:val="6A12254A"/>
    <w:rsid w:val="6A1D6356"/>
    <w:rsid w:val="6A2230B3"/>
    <w:rsid w:val="6A23102D"/>
    <w:rsid w:val="6A285053"/>
    <w:rsid w:val="6A332977"/>
    <w:rsid w:val="6A366774"/>
    <w:rsid w:val="6A386990"/>
    <w:rsid w:val="6A4115E1"/>
    <w:rsid w:val="6A4946F9"/>
    <w:rsid w:val="6A4E61B3"/>
    <w:rsid w:val="6A590DE0"/>
    <w:rsid w:val="6A6B3750"/>
    <w:rsid w:val="6A6D4835"/>
    <w:rsid w:val="6A7D07B7"/>
    <w:rsid w:val="6A841BD5"/>
    <w:rsid w:val="6A8A4544"/>
    <w:rsid w:val="6AA33E09"/>
    <w:rsid w:val="6ABE50E7"/>
    <w:rsid w:val="6AD579E4"/>
    <w:rsid w:val="6ADE6B73"/>
    <w:rsid w:val="6AF11D33"/>
    <w:rsid w:val="6AF3005C"/>
    <w:rsid w:val="6AFC176B"/>
    <w:rsid w:val="6B006970"/>
    <w:rsid w:val="6B016D82"/>
    <w:rsid w:val="6B092CA3"/>
    <w:rsid w:val="6B1C1E0E"/>
    <w:rsid w:val="6B1E13EE"/>
    <w:rsid w:val="6B2774B7"/>
    <w:rsid w:val="6B2A62D8"/>
    <w:rsid w:val="6B2E558C"/>
    <w:rsid w:val="6B3B4599"/>
    <w:rsid w:val="6B41544C"/>
    <w:rsid w:val="6B4277A8"/>
    <w:rsid w:val="6B460C38"/>
    <w:rsid w:val="6B4B624F"/>
    <w:rsid w:val="6B5A16A7"/>
    <w:rsid w:val="6B7E6624"/>
    <w:rsid w:val="6B8237AB"/>
    <w:rsid w:val="6B9320D0"/>
    <w:rsid w:val="6BA271FB"/>
    <w:rsid w:val="6BA4362E"/>
    <w:rsid w:val="6BA804F1"/>
    <w:rsid w:val="6BA96008"/>
    <w:rsid w:val="6BAB4527"/>
    <w:rsid w:val="6BB362CE"/>
    <w:rsid w:val="6BD91EF0"/>
    <w:rsid w:val="6BED68C1"/>
    <w:rsid w:val="6BFE20FA"/>
    <w:rsid w:val="6BFF103A"/>
    <w:rsid w:val="6C0826E5"/>
    <w:rsid w:val="6C0F0B2F"/>
    <w:rsid w:val="6C115DF3"/>
    <w:rsid w:val="6C237348"/>
    <w:rsid w:val="6C286863"/>
    <w:rsid w:val="6C2A305D"/>
    <w:rsid w:val="6C2B1DC9"/>
    <w:rsid w:val="6C2C6080"/>
    <w:rsid w:val="6C332D06"/>
    <w:rsid w:val="6C3618AD"/>
    <w:rsid w:val="6C41527C"/>
    <w:rsid w:val="6C4F762D"/>
    <w:rsid w:val="6C563029"/>
    <w:rsid w:val="6C612E60"/>
    <w:rsid w:val="6C73251A"/>
    <w:rsid w:val="6C774720"/>
    <w:rsid w:val="6C7A4CD0"/>
    <w:rsid w:val="6C7F30D3"/>
    <w:rsid w:val="6C833EFD"/>
    <w:rsid w:val="6C856BF4"/>
    <w:rsid w:val="6C875A7A"/>
    <w:rsid w:val="6C8C4686"/>
    <w:rsid w:val="6C8F723F"/>
    <w:rsid w:val="6C9319E9"/>
    <w:rsid w:val="6C9B0944"/>
    <w:rsid w:val="6C9C686F"/>
    <w:rsid w:val="6C9F1A9B"/>
    <w:rsid w:val="6CAC4883"/>
    <w:rsid w:val="6CAE57C5"/>
    <w:rsid w:val="6CB322FE"/>
    <w:rsid w:val="6CB34B3B"/>
    <w:rsid w:val="6CBD4F2A"/>
    <w:rsid w:val="6CC068B9"/>
    <w:rsid w:val="6CC938CF"/>
    <w:rsid w:val="6CCB71D2"/>
    <w:rsid w:val="6CCD4BDE"/>
    <w:rsid w:val="6CD27268"/>
    <w:rsid w:val="6CDB1F80"/>
    <w:rsid w:val="6CDB7A32"/>
    <w:rsid w:val="6CDE3DB2"/>
    <w:rsid w:val="6CFB084B"/>
    <w:rsid w:val="6D0B213A"/>
    <w:rsid w:val="6D146A59"/>
    <w:rsid w:val="6D1E0870"/>
    <w:rsid w:val="6D1E5272"/>
    <w:rsid w:val="6D1F1741"/>
    <w:rsid w:val="6D21370B"/>
    <w:rsid w:val="6D374CDD"/>
    <w:rsid w:val="6D437B25"/>
    <w:rsid w:val="6D45564C"/>
    <w:rsid w:val="6D463172"/>
    <w:rsid w:val="6D5208AC"/>
    <w:rsid w:val="6D5C4743"/>
    <w:rsid w:val="6D610C89"/>
    <w:rsid w:val="6D611D5A"/>
    <w:rsid w:val="6D6A50B2"/>
    <w:rsid w:val="6D6D06FE"/>
    <w:rsid w:val="6D6F26C8"/>
    <w:rsid w:val="6D6F3987"/>
    <w:rsid w:val="6D9157CC"/>
    <w:rsid w:val="6DA22A9E"/>
    <w:rsid w:val="6DA265FA"/>
    <w:rsid w:val="6DA8381C"/>
    <w:rsid w:val="6DA85BDA"/>
    <w:rsid w:val="6DB1683D"/>
    <w:rsid w:val="6DE41446"/>
    <w:rsid w:val="6DE50BDD"/>
    <w:rsid w:val="6DEF55B7"/>
    <w:rsid w:val="6E056B89"/>
    <w:rsid w:val="6E095596"/>
    <w:rsid w:val="6E110844"/>
    <w:rsid w:val="6E1A0886"/>
    <w:rsid w:val="6E25384E"/>
    <w:rsid w:val="6E2C20FC"/>
    <w:rsid w:val="6E344C48"/>
    <w:rsid w:val="6E34753E"/>
    <w:rsid w:val="6E3F7222"/>
    <w:rsid w:val="6E400511"/>
    <w:rsid w:val="6E573888"/>
    <w:rsid w:val="6E592EAF"/>
    <w:rsid w:val="6E6C4E5A"/>
    <w:rsid w:val="6E713C0D"/>
    <w:rsid w:val="6E73645E"/>
    <w:rsid w:val="6E7C1B49"/>
    <w:rsid w:val="6E7F3A9C"/>
    <w:rsid w:val="6E8E4DD0"/>
    <w:rsid w:val="6E940155"/>
    <w:rsid w:val="6EA12D56"/>
    <w:rsid w:val="6EA23008"/>
    <w:rsid w:val="6EAE7189"/>
    <w:rsid w:val="6EB32A89"/>
    <w:rsid w:val="6ECE55DC"/>
    <w:rsid w:val="6EDE34F6"/>
    <w:rsid w:val="6EEF1D13"/>
    <w:rsid w:val="6EF46411"/>
    <w:rsid w:val="6EF5433F"/>
    <w:rsid w:val="6EFD04AE"/>
    <w:rsid w:val="6EFF7A7C"/>
    <w:rsid w:val="6F013D03"/>
    <w:rsid w:val="6F143527"/>
    <w:rsid w:val="6F1468E1"/>
    <w:rsid w:val="6F175D12"/>
    <w:rsid w:val="6F1D78C7"/>
    <w:rsid w:val="6F1F2D99"/>
    <w:rsid w:val="6F241291"/>
    <w:rsid w:val="6F305E87"/>
    <w:rsid w:val="6F314061"/>
    <w:rsid w:val="6F330183"/>
    <w:rsid w:val="6F410095"/>
    <w:rsid w:val="6F433E0D"/>
    <w:rsid w:val="6F441D12"/>
    <w:rsid w:val="6F615B57"/>
    <w:rsid w:val="6F6479FB"/>
    <w:rsid w:val="6F653D83"/>
    <w:rsid w:val="6F6B6EC0"/>
    <w:rsid w:val="6F6D42C6"/>
    <w:rsid w:val="6F6F222B"/>
    <w:rsid w:val="6F7C731F"/>
    <w:rsid w:val="6F885CC3"/>
    <w:rsid w:val="6F9957DB"/>
    <w:rsid w:val="6F9D14F1"/>
    <w:rsid w:val="6FA3261F"/>
    <w:rsid w:val="6FB50862"/>
    <w:rsid w:val="6FBC5841"/>
    <w:rsid w:val="6FC42448"/>
    <w:rsid w:val="6FC62348"/>
    <w:rsid w:val="6FC96806"/>
    <w:rsid w:val="6FD3454E"/>
    <w:rsid w:val="6FD5105F"/>
    <w:rsid w:val="6FD70BB7"/>
    <w:rsid w:val="6FE3114C"/>
    <w:rsid w:val="6FE41C21"/>
    <w:rsid w:val="6FF0358B"/>
    <w:rsid w:val="6FF13869"/>
    <w:rsid w:val="6FF15BC1"/>
    <w:rsid w:val="6FF179AF"/>
    <w:rsid w:val="700C06A3"/>
    <w:rsid w:val="70191A43"/>
    <w:rsid w:val="701D200D"/>
    <w:rsid w:val="70294DB1"/>
    <w:rsid w:val="703A3509"/>
    <w:rsid w:val="703E149E"/>
    <w:rsid w:val="703F58AB"/>
    <w:rsid w:val="7047792D"/>
    <w:rsid w:val="704F233D"/>
    <w:rsid w:val="705126AD"/>
    <w:rsid w:val="705D1564"/>
    <w:rsid w:val="706165C6"/>
    <w:rsid w:val="70652068"/>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F76A4"/>
    <w:rsid w:val="71122145"/>
    <w:rsid w:val="71123060"/>
    <w:rsid w:val="711E32B9"/>
    <w:rsid w:val="7120118F"/>
    <w:rsid w:val="712437CA"/>
    <w:rsid w:val="71257C6E"/>
    <w:rsid w:val="712706EE"/>
    <w:rsid w:val="712824D8"/>
    <w:rsid w:val="712D5AE4"/>
    <w:rsid w:val="71353C29"/>
    <w:rsid w:val="713A123F"/>
    <w:rsid w:val="713E6AA6"/>
    <w:rsid w:val="713F6065"/>
    <w:rsid w:val="714D0D63"/>
    <w:rsid w:val="71504A44"/>
    <w:rsid w:val="71651051"/>
    <w:rsid w:val="71682F3F"/>
    <w:rsid w:val="71722787"/>
    <w:rsid w:val="71724D1D"/>
    <w:rsid w:val="718A7AD1"/>
    <w:rsid w:val="71A30B93"/>
    <w:rsid w:val="71A566B9"/>
    <w:rsid w:val="71A60683"/>
    <w:rsid w:val="71A97623"/>
    <w:rsid w:val="71AF56C7"/>
    <w:rsid w:val="71C548F5"/>
    <w:rsid w:val="71CD20B4"/>
    <w:rsid w:val="71D1496D"/>
    <w:rsid w:val="71DF6C29"/>
    <w:rsid w:val="71E91B9B"/>
    <w:rsid w:val="71F76DAA"/>
    <w:rsid w:val="71FB09CF"/>
    <w:rsid w:val="71FC3878"/>
    <w:rsid w:val="71FE5418"/>
    <w:rsid w:val="72037883"/>
    <w:rsid w:val="72176967"/>
    <w:rsid w:val="721C56AB"/>
    <w:rsid w:val="72251164"/>
    <w:rsid w:val="722E2B52"/>
    <w:rsid w:val="72380D67"/>
    <w:rsid w:val="72391ED2"/>
    <w:rsid w:val="72605D30"/>
    <w:rsid w:val="72621DA4"/>
    <w:rsid w:val="727A2D59"/>
    <w:rsid w:val="727B5AB1"/>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7CED"/>
    <w:rsid w:val="72EA2134"/>
    <w:rsid w:val="72EB0A43"/>
    <w:rsid w:val="72EC0317"/>
    <w:rsid w:val="73064720"/>
    <w:rsid w:val="730B517F"/>
    <w:rsid w:val="73221F8B"/>
    <w:rsid w:val="7327134F"/>
    <w:rsid w:val="73365497"/>
    <w:rsid w:val="7343340A"/>
    <w:rsid w:val="73494A46"/>
    <w:rsid w:val="734A1A0D"/>
    <w:rsid w:val="734B5E1F"/>
    <w:rsid w:val="73504D4A"/>
    <w:rsid w:val="735A004C"/>
    <w:rsid w:val="73674212"/>
    <w:rsid w:val="736D487B"/>
    <w:rsid w:val="73727D47"/>
    <w:rsid w:val="737516C5"/>
    <w:rsid w:val="737603F7"/>
    <w:rsid w:val="73781E3B"/>
    <w:rsid w:val="737C169B"/>
    <w:rsid w:val="7388018E"/>
    <w:rsid w:val="738D1FE6"/>
    <w:rsid w:val="7394756C"/>
    <w:rsid w:val="739A7D73"/>
    <w:rsid w:val="73A6496A"/>
    <w:rsid w:val="73A66718"/>
    <w:rsid w:val="73AE3639"/>
    <w:rsid w:val="73AF7CC3"/>
    <w:rsid w:val="73B2330F"/>
    <w:rsid w:val="73B928EF"/>
    <w:rsid w:val="73BE0114"/>
    <w:rsid w:val="73D019E7"/>
    <w:rsid w:val="73D239B1"/>
    <w:rsid w:val="73D6524F"/>
    <w:rsid w:val="73E57241"/>
    <w:rsid w:val="73F04807"/>
    <w:rsid w:val="73F76E28"/>
    <w:rsid w:val="73FE47A6"/>
    <w:rsid w:val="73FE7350"/>
    <w:rsid w:val="7404221B"/>
    <w:rsid w:val="740427BD"/>
    <w:rsid w:val="74055B35"/>
    <w:rsid w:val="74060BC4"/>
    <w:rsid w:val="740A6CA7"/>
    <w:rsid w:val="740A7291"/>
    <w:rsid w:val="740C6EC3"/>
    <w:rsid w:val="740F42BD"/>
    <w:rsid w:val="74143C2D"/>
    <w:rsid w:val="74251D33"/>
    <w:rsid w:val="74257F85"/>
    <w:rsid w:val="74284C0D"/>
    <w:rsid w:val="742E149A"/>
    <w:rsid w:val="74365CEE"/>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43D99"/>
    <w:rsid w:val="752A3FEA"/>
    <w:rsid w:val="75321D1A"/>
    <w:rsid w:val="75357D54"/>
    <w:rsid w:val="7538135D"/>
    <w:rsid w:val="753846FA"/>
    <w:rsid w:val="753C2DFC"/>
    <w:rsid w:val="754E0E15"/>
    <w:rsid w:val="75555A8B"/>
    <w:rsid w:val="75556682"/>
    <w:rsid w:val="75695C4F"/>
    <w:rsid w:val="75773924"/>
    <w:rsid w:val="75811530"/>
    <w:rsid w:val="75A47591"/>
    <w:rsid w:val="75A9073C"/>
    <w:rsid w:val="75AC464F"/>
    <w:rsid w:val="75B64E48"/>
    <w:rsid w:val="75C17C5C"/>
    <w:rsid w:val="75C465B1"/>
    <w:rsid w:val="75D57D49"/>
    <w:rsid w:val="75D94B83"/>
    <w:rsid w:val="75DE663D"/>
    <w:rsid w:val="75E1159B"/>
    <w:rsid w:val="75E579CC"/>
    <w:rsid w:val="75F47C0F"/>
    <w:rsid w:val="75F57459"/>
    <w:rsid w:val="75F75DC3"/>
    <w:rsid w:val="75FF36FE"/>
    <w:rsid w:val="760140DA"/>
    <w:rsid w:val="760672C4"/>
    <w:rsid w:val="76125D2B"/>
    <w:rsid w:val="76141508"/>
    <w:rsid w:val="761C1A73"/>
    <w:rsid w:val="76216307"/>
    <w:rsid w:val="76254DF7"/>
    <w:rsid w:val="762B0E62"/>
    <w:rsid w:val="76300258"/>
    <w:rsid w:val="763760D4"/>
    <w:rsid w:val="763F1768"/>
    <w:rsid w:val="76400B70"/>
    <w:rsid w:val="765A05E7"/>
    <w:rsid w:val="765C595A"/>
    <w:rsid w:val="768040D1"/>
    <w:rsid w:val="76982C90"/>
    <w:rsid w:val="76984A3E"/>
    <w:rsid w:val="76A9692C"/>
    <w:rsid w:val="76B31878"/>
    <w:rsid w:val="76C00BDA"/>
    <w:rsid w:val="76C61E2D"/>
    <w:rsid w:val="76D31F1A"/>
    <w:rsid w:val="76E07411"/>
    <w:rsid w:val="76E77774"/>
    <w:rsid w:val="76EF27A5"/>
    <w:rsid w:val="76EF3F7C"/>
    <w:rsid w:val="76F01D2C"/>
    <w:rsid w:val="76F14D3C"/>
    <w:rsid w:val="76F17D3E"/>
    <w:rsid w:val="76F65C09"/>
    <w:rsid w:val="77035204"/>
    <w:rsid w:val="77123106"/>
    <w:rsid w:val="771A56D8"/>
    <w:rsid w:val="772618AB"/>
    <w:rsid w:val="77361C9C"/>
    <w:rsid w:val="774626EC"/>
    <w:rsid w:val="77472D46"/>
    <w:rsid w:val="775070C7"/>
    <w:rsid w:val="77536735"/>
    <w:rsid w:val="77566891"/>
    <w:rsid w:val="775B44C2"/>
    <w:rsid w:val="7767181A"/>
    <w:rsid w:val="776963DA"/>
    <w:rsid w:val="776C165E"/>
    <w:rsid w:val="77721AB3"/>
    <w:rsid w:val="777F79AC"/>
    <w:rsid w:val="77874C68"/>
    <w:rsid w:val="779867EB"/>
    <w:rsid w:val="77C43611"/>
    <w:rsid w:val="77E32D64"/>
    <w:rsid w:val="77E4630B"/>
    <w:rsid w:val="77E67A2B"/>
    <w:rsid w:val="77F959B0"/>
    <w:rsid w:val="77FF15D9"/>
    <w:rsid w:val="78056103"/>
    <w:rsid w:val="78166CD2"/>
    <w:rsid w:val="782A0C8C"/>
    <w:rsid w:val="784120E7"/>
    <w:rsid w:val="78414C61"/>
    <w:rsid w:val="78472812"/>
    <w:rsid w:val="784C3D32"/>
    <w:rsid w:val="784D2B8A"/>
    <w:rsid w:val="78597C58"/>
    <w:rsid w:val="78746922"/>
    <w:rsid w:val="787A6483"/>
    <w:rsid w:val="7893606D"/>
    <w:rsid w:val="789D27E0"/>
    <w:rsid w:val="78A27E89"/>
    <w:rsid w:val="78AF2513"/>
    <w:rsid w:val="78AF42C1"/>
    <w:rsid w:val="78B6564F"/>
    <w:rsid w:val="78BC2BA1"/>
    <w:rsid w:val="78CC3CF7"/>
    <w:rsid w:val="78D0391E"/>
    <w:rsid w:val="78DC5206"/>
    <w:rsid w:val="78DD498A"/>
    <w:rsid w:val="791B440D"/>
    <w:rsid w:val="792E5383"/>
    <w:rsid w:val="79305402"/>
    <w:rsid w:val="794A77AE"/>
    <w:rsid w:val="795A61A3"/>
    <w:rsid w:val="796926C2"/>
    <w:rsid w:val="797177C8"/>
    <w:rsid w:val="797C23F5"/>
    <w:rsid w:val="797C64B0"/>
    <w:rsid w:val="798418C6"/>
    <w:rsid w:val="799C4845"/>
    <w:rsid w:val="79A47B9E"/>
    <w:rsid w:val="79B5369F"/>
    <w:rsid w:val="79B67EF4"/>
    <w:rsid w:val="79BB5364"/>
    <w:rsid w:val="79C05BE1"/>
    <w:rsid w:val="79C92A7C"/>
    <w:rsid w:val="79CB17D1"/>
    <w:rsid w:val="79D352CC"/>
    <w:rsid w:val="79D54DBB"/>
    <w:rsid w:val="79DA35C0"/>
    <w:rsid w:val="79E56C7C"/>
    <w:rsid w:val="79E87468"/>
    <w:rsid w:val="79F62152"/>
    <w:rsid w:val="79F649B5"/>
    <w:rsid w:val="79F93A46"/>
    <w:rsid w:val="7A010052"/>
    <w:rsid w:val="7A023EF6"/>
    <w:rsid w:val="7A0C6E22"/>
    <w:rsid w:val="7A205476"/>
    <w:rsid w:val="7A266B63"/>
    <w:rsid w:val="7A276D0A"/>
    <w:rsid w:val="7A313C74"/>
    <w:rsid w:val="7A3F4800"/>
    <w:rsid w:val="7A401B92"/>
    <w:rsid w:val="7A445EF2"/>
    <w:rsid w:val="7A45671E"/>
    <w:rsid w:val="7A460C55"/>
    <w:rsid w:val="7A4B626B"/>
    <w:rsid w:val="7A8A00FA"/>
    <w:rsid w:val="7A965738"/>
    <w:rsid w:val="7AAD4830"/>
    <w:rsid w:val="7AB64DB6"/>
    <w:rsid w:val="7ABE6A3D"/>
    <w:rsid w:val="7AC246D3"/>
    <w:rsid w:val="7ADF6001"/>
    <w:rsid w:val="7AE160AD"/>
    <w:rsid w:val="7AE364A4"/>
    <w:rsid w:val="7AF64429"/>
    <w:rsid w:val="7B166879"/>
    <w:rsid w:val="7B1972A4"/>
    <w:rsid w:val="7B1E41A1"/>
    <w:rsid w:val="7B1F5CAB"/>
    <w:rsid w:val="7B1F7752"/>
    <w:rsid w:val="7B2F3497"/>
    <w:rsid w:val="7B450F0D"/>
    <w:rsid w:val="7B454A69"/>
    <w:rsid w:val="7B476A33"/>
    <w:rsid w:val="7B494B47"/>
    <w:rsid w:val="7B4C2625"/>
    <w:rsid w:val="7B4D150D"/>
    <w:rsid w:val="7B4F257F"/>
    <w:rsid w:val="7B546A35"/>
    <w:rsid w:val="7B5B24DE"/>
    <w:rsid w:val="7B745E0B"/>
    <w:rsid w:val="7B783090"/>
    <w:rsid w:val="7B8726D4"/>
    <w:rsid w:val="7B8B4A70"/>
    <w:rsid w:val="7B9A4DB4"/>
    <w:rsid w:val="7BB3231A"/>
    <w:rsid w:val="7BBA28DF"/>
    <w:rsid w:val="7BBD4F47"/>
    <w:rsid w:val="7BBE5231"/>
    <w:rsid w:val="7BBE7F23"/>
    <w:rsid w:val="7BDD6595"/>
    <w:rsid w:val="7BEB03D0"/>
    <w:rsid w:val="7BEE1D66"/>
    <w:rsid w:val="7C136915"/>
    <w:rsid w:val="7C240970"/>
    <w:rsid w:val="7C26515D"/>
    <w:rsid w:val="7C3569D8"/>
    <w:rsid w:val="7C5A2796"/>
    <w:rsid w:val="7C5B021D"/>
    <w:rsid w:val="7C6715D0"/>
    <w:rsid w:val="7C6D4277"/>
    <w:rsid w:val="7C6F7FEF"/>
    <w:rsid w:val="7C7A4BE6"/>
    <w:rsid w:val="7C824F1B"/>
    <w:rsid w:val="7C8917B4"/>
    <w:rsid w:val="7C8D4919"/>
    <w:rsid w:val="7C9537CE"/>
    <w:rsid w:val="7C984327"/>
    <w:rsid w:val="7CAA54CB"/>
    <w:rsid w:val="7CB26E8E"/>
    <w:rsid w:val="7CB50FA6"/>
    <w:rsid w:val="7CB73744"/>
    <w:rsid w:val="7CB87C7E"/>
    <w:rsid w:val="7CBC5BAF"/>
    <w:rsid w:val="7CC57FF7"/>
    <w:rsid w:val="7CC77E2B"/>
    <w:rsid w:val="7CD12351"/>
    <w:rsid w:val="7CD503BE"/>
    <w:rsid w:val="7CD662C0"/>
    <w:rsid w:val="7CD824D6"/>
    <w:rsid w:val="7CDC7221"/>
    <w:rsid w:val="7CDD6705"/>
    <w:rsid w:val="7CE57A91"/>
    <w:rsid w:val="7CFA3A06"/>
    <w:rsid w:val="7D024993"/>
    <w:rsid w:val="7D025F86"/>
    <w:rsid w:val="7D06587C"/>
    <w:rsid w:val="7D100919"/>
    <w:rsid w:val="7D1307C6"/>
    <w:rsid w:val="7D276B1C"/>
    <w:rsid w:val="7D284642"/>
    <w:rsid w:val="7D2C5EE0"/>
    <w:rsid w:val="7D2F1B24"/>
    <w:rsid w:val="7D384885"/>
    <w:rsid w:val="7D3A5A57"/>
    <w:rsid w:val="7D3B79D2"/>
    <w:rsid w:val="7D425704"/>
    <w:rsid w:val="7D567401"/>
    <w:rsid w:val="7D5E0064"/>
    <w:rsid w:val="7D697FAC"/>
    <w:rsid w:val="7D834D23"/>
    <w:rsid w:val="7D8723E1"/>
    <w:rsid w:val="7D8E0949"/>
    <w:rsid w:val="7D8F646F"/>
    <w:rsid w:val="7DA20E86"/>
    <w:rsid w:val="7DA939D5"/>
    <w:rsid w:val="7DB859C6"/>
    <w:rsid w:val="7DBF5D0F"/>
    <w:rsid w:val="7DD345AE"/>
    <w:rsid w:val="7DDC0FE0"/>
    <w:rsid w:val="7DDD367E"/>
    <w:rsid w:val="7DDF16F3"/>
    <w:rsid w:val="7DE657B7"/>
    <w:rsid w:val="7DEB329C"/>
    <w:rsid w:val="7DF73C27"/>
    <w:rsid w:val="7DFA791B"/>
    <w:rsid w:val="7DFA7D8C"/>
    <w:rsid w:val="7E05340D"/>
    <w:rsid w:val="7E1365B7"/>
    <w:rsid w:val="7E166671"/>
    <w:rsid w:val="7E1D3146"/>
    <w:rsid w:val="7E24505B"/>
    <w:rsid w:val="7E2766A8"/>
    <w:rsid w:val="7E325778"/>
    <w:rsid w:val="7E3A64BA"/>
    <w:rsid w:val="7E3B4C1D"/>
    <w:rsid w:val="7E45714A"/>
    <w:rsid w:val="7E4A7988"/>
    <w:rsid w:val="7E4E1E86"/>
    <w:rsid w:val="7E577685"/>
    <w:rsid w:val="7E5A3C54"/>
    <w:rsid w:val="7E5B18C5"/>
    <w:rsid w:val="7E677CA0"/>
    <w:rsid w:val="7E6F0DE8"/>
    <w:rsid w:val="7E81400A"/>
    <w:rsid w:val="7E8740F5"/>
    <w:rsid w:val="7E874AA6"/>
    <w:rsid w:val="7E8B6422"/>
    <w:rsid w:val="7E920B5D"/>
    <w:rsid w:val="7E972647"/>
    <w:rsid w:val="7EA72D13"/>
    <w:rsid w:val="7EA85A3A"/>
    <w:rsid w:val="7EBA4A64"/>
    <w:rsid w:val="7EC30AC6"/>
    <w:rsid w:val="7EC34622"/>
    <w:rsid w:val="7EC4740D"/>
    <w:rsid w:val="7EC93702"/>
    <w:rsid w:val="7ECD54A1"/>
    <w:rsid w:val="7ECE73A9"/>
    <w:rsid w:val="7ECF2FC7"/>
    <w:rsid w:val="7EDE26DA"/>
    <w:rsid w:val="7EDE320A"/>
    <w:rsid w:val="7EE50A3C"/>
    <w:rsid w:val="7EE82A5E"/>
    <w:rsid w:val="7EEB03EA"/>
    <w:rsid w:val="7EF47601"/>
    <w:rsid w:val="7EFC5D86"/>
    <w:rsid w:val="7F01339C"/>
    <w:rsid w:val="7F0A06C2"/>
    <w:rsid w:val="7F1255AA"/>
    <w:rsid w:val="7F1430D0"/>
    <w:rsid w:val="7F1A2E56"/>
    <w:rsid w:val="7F1B26B0"/>
    <w:rsid w:val="7F1C3D32"/>
    <w:rsid w:val="7F1C6484"/>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C27C35"/>
    <w:rsid w:val="7FD3693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unhideWhenUsed/>
    <w:qFormat/>
    <w:uiPriority w:val="0"/>
    <w:pPr>
      <w:keepNext/>
      <w:spacing w:before="240" w:after="60"/>
      <w:outlineLvl w:val="2"/>
    </w:pPr>
    <w:rPr>
      <w:rFonts w:ascii="Cambria" w:hAnsi="Cambria"/>
      <w:b/>
      <w:bCs/>
      <w:sz w:val="40"/>
      <w:szCs w:val="26"/>
      <w:lang w:bidi="ar-SA"/>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toa heading"/>
    <w:basedOn w:val="1"/>
    <w:next w:val="1"/>
    <w:qFormat/>
    <w:uiPriority w:val="0"/>
    <w:pPr>
      <w:spacing w:before="120"/>
    </w:pPr>
    <w:rPr>
      <w:rFonts w:ascii="Cambria" w:hAnsi="Cambria"/>
      <w:sz w:val="24"/>
      <w:szCs w:val="24"/>
    </w:rPr>
  </w:style>
  <w:style w:type="paragraph" w:styleId="10">
    <w:name w:val="Body Text"/>
    <w:basedOn w:val="1"/>
    <w:next w:val="11"/>
    <w:semiHidden/>
    <w:qFormat/>
    <w:uiPriority w:val="0"/>
    <w:rPr>
      <w:rFonts w:ascii="宋体" w:hAnsi="宋体" w:eastAsia="宋体" w:cs="宋体"/>
      <w:sz w:val="28"/>
      <w:szCs w:val="28"/>
      <w:lang w:val="en-US" w:eastAsia="en-US" w:bidi="ar-SA"/>
    </w:rPr>
  </w:style>
  <w:style w:type="paragraph" w:styleId="11">
    <w:name w:val="Body Text First Indent"/>
    <w:basedOn w:val="10"/>
    <w:next w:val="1"/>
    <w:unhideWhenUsed/>
    <w:qFormat/>
    <w:uiPriority w:val="99"/>
    <w:pPr>
      <w:tabs>
        <w:tab w:val="left" w:pos="567"/>
      </w:tabs>
      <w:ind w:firstLine="420" w:firstLineChars="100"/>
    </w:pPr>
    <w:rPr>
      <w:rFonts w:ascii="Calibri" w:hAnsi="Calibri"/>
    </w:rPr>
  </w:style>
  <w:style w:type="paragraph" w:styleId="12">
    <w:name w:val="Body Text Indent"/>
    <w:basedOn w:val="1"/>
    <w:next w:val="1"/>
    <w:qFormat/>
    <w:uiPriority w:val="0"/>
    <w:pPr>
      <w:spacing w:line="360" w:lineRule="auto"/>
      <w:ind w:firstLine="570"/>
    </w:pPr>
    <w:rPr>
      <w:sz w:val="24"/>
    </w:rPr>
  </w:style>
  <w:style w:type="paragraph" w:styleId="13">
    <w:name w:val="toc 3"/>
    <w:basedOn w:val="1"/>
    <w:next w:val="1"/>
    <w:qFormat/>
    <w:uiPriority w:val="0"/>
    <w:pPr>
      <w:ind w:left="840" w:leftChars="400"/>
    </w:pPr>
  </w:style>
  <w:style w:type="paragraph" w:styleId="14">
    <w:name w:val="Plain Text"/>
    <w:basedOn w:val="1"/>
    <w:next w:val="15"/>
    <w:qFormat/>
    <w:uiPriority w:val="0"/>
    <w:rPr>
      <w:rFonts w:ascii="宋体" w:hAnsi="Courier New"/>
      <w:szCs w:val="20"/>
    </w:rPr>
  </w:style>
  <w:style w:type="paragraph" w:styleId="15">
    <w:name w:val="index 7"/>
    <w:basedOn w:val="1"/>
    <w:next w:val="1"/>
    <w:qFormat/>
    <w:uiPriority w:val="0"/>
    <w:pPr>
      <w:autoSpaceDE/>
      <w:autoSpaceDN/>
      <w:adjustRightInd/>
      <w:ind w:left="1200" w:leftChars="1200"/>
    </w:pPr>
    <w:rPr>
      <w:color w:val="auto"/>
      <w:kern w:val="2"/>
      <w:szCs w:val="24"/>
    </w:rPr>
  </w:style>
  <w:style w:type="paragraph" w:styleId="16">
    <w:name w:val="Body Text Indent 2"/>
    <w:basedOn w:val="1"/>
    <w:qFormat/>
    <w:uiPriority w:val="0"/>
    <w:pPr>
      <w:ind w:firstLine="480" w:firstLineChars="200"/>
    </w:pPr>
    <w:rPr>
      <w:rFonts w:ascii="仿宋_GB2312" w:hAnsi="Times New Roman" w:eastAsia="仿宋_GB2312" w:cs="Times New Roman"/>
      <w:sz w:val="24"/>
    </w:rPr>
  </w:style>
  <w:style w:type="paragraph" w:styleId="17">
    <w:name w:val="footer"/>
    <w:basedOn w:val="1"/>
    <w:qFormat/>
    <w:uiPriority w:val="0"/>
    <w:pPr>
      <w:tabs>
        <w:tab w:val="center" w:pos="4153"/>
        <w:tab w:val="right" w:pos="8306"/>
      </w:tabs>
      <w:snapToGrid w:val="0"/>
      <w:jc w:val="left"/>
    </w:pPr>
    <w:rPr>
      <w:sz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footnote text"/>
    <w:basedOn w:val="1"/>
    <w:next w:val="10"/>
    <w:qFormat/>
    <w:uiPriority w:val="0"/>
    <w:pPr>
      <w:widowControl w:val="0"/>
    </w:pPr>
    <w:rPr>
      <w:rFonts w:ascii="Times New Roman" w:hAnsi="Times New Roman" w:eastAsia="宋体" w:cs="Times New Roman"/>
      <w:kern w:val="2"/>
      <w:sz w:val="18"/>
      <w:szCs w:val="18"/>
      <w:lang w:eastAsia="zh-CN"/>
    </w:rPr>
  </w:style>
  <w:style w:type="paragraph" w:styleId="22">
    <w:name w:val="toc 2"/>
    <w:basedOn w:val="1"/>
    <w:next w:val="1"/>
    <w:qFormat/>
    <w:uiPriority w:val="0"/>
    <w:pPr>
      <w:ind w:left="420" w:leftChars="200"/>
    </w:pPr>
  </w:style>
  <w:style w:type="paragraph" w:styleId="23">
    <w:name w:val="Body Text 2"/>
    <w:basedOn w:val="1"/>
    <w:qFormat/>
    <w:uiPriority w:val="0"/>
    <w:pPr>
      <w:adjustRightInd w:val="0"/>
      <w:snapToGrid w:val="0"/>
      <w:spacing w:line="480" w:lineRule="atLeast"/>
    </w:pPr>
    <w:rPr>
      <w:rFonts w:ascii="宋体" w:hAnsi="宋体"/>
      <w:sz w:val="28"/>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qFormat/>
    <w:uiPriority w:val="99"/>
    <w:rPr>
      <w:sz w:val="24"/>
      <w:szCs w:val="24"/>
    </w:rPr>
  </w:style>
  <w:style w:type="paragraph" w:styleId="26">
    <w:name w:val="Body Text First Indent 2"/>
    <w:basedOn w:val="12"/>
    <w:next w:val="11"/>
    <w:qFormat/>
    <w:uiPriority w:val="0"/>
    <w:pPr>
      <w:ind w:firstLine="420" w:firstLineChars="200"/>
    </w:pPr>
    <w:rPr>
      <w:rFonts w:ascii="Times New Roman" w:hAnsi="Times New Roman" w:eastAsia="宋体" w:cs="Times New Roman"/>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rPr>
  </w:style>
  <w:style w:type="character" w:styleId="33">
    <w:name w:val="Hyperlink"/>
    <w:basedOn w:val="29"/>
    <w:qFormat/>
    <w:uiPriority w:val="99"/>
    <w:rPr>
      <w:color w:val="0000FF"/>
      <w:u w:val="single"/>
    </w:rPr>
  </w:style>
  <w:style w:type="character" w:styleId="34">
    <w:name w:val="HTML Code"/>
    <w:basedOn w:val="29"/>
    <w:qFormat/>
    <w:uiPriority w:val="0"/>
    <w:rPr>
      <w:rFonts w:ascii="Courier New" w:hAnsi="Courier New"/>
      <w:sz w:val="20"/>
    </w:rPr>
  </w:style>
  <w:style w:type="character" w:styleId="35">
    <w:name w:val="HTML Sample"/>
    <w:basedOn w:val="29"/>
    <w:qFormat/>
    <w:uiPriority w:val="0"/>
    <w:rPr>
      <w:rFonts w:ascii="Courier New" w:hAnsi="Courier New"/>
    </w:rPr>
  </w:style>
  <w:style w:type="paragraph" w:customStyle="1" w:styleId="36">
    <w:name w:val="列出段落1"/>
    <w:basedOn w:val="1"/>
    <w:qFormat/>
    <w:uiPriority w:val="99"/>
    <w:pPr>
      <w:ind w:firstLine="420" w:firstLineChars="200"/>
    </w:pPr>
  </w:style>
  <w:style w:type="paragraph" w:customStyle="1" w:styleId="3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Default"/>
    <w:next w:val="39"/>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9">
    <w:name w:val="大标题"/>
    <w:basedOn w:val="1"/>
    <w:next w:val="26"/>
    <w:qFormat/>
    <w:uiPriority w:val="0"/>
    <w:pPr>
      <w:jc w:val="center"/>
    </w:pPr>
    <w:rPr>
      <w:rFonts w:ascii="Arial" w:hAnsi="Arial" w:eastAsia="宋体"/>
      <w:b/>
      <w:sz w:val="28"/>
      <w:szCs w:val="24"/>
    </w:rPr>
  </w:style>
  <w:style w:type="paragraph" w:customStyle="1" w:styleId="40">
    <w:name w:val="Table Text"/>
    <w:basedOn w:val="1"/>
    <w:semiHidden/>
    <w:qFormat/>
    <w:uiPriority w:val="0"/>
    <w:rPr>
      <w:rFonts w:ascii="仿宋" w:hAnsi="仿宋" w:eastAsia="仿宋" w:cs="仿宋"/>
      <w:sz w:val="24"/>
      <w:szCs w:val="24"/>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样式 首行缩进:  2 字符"/>
    <w:basedOn w:val="1"/>
    <w:qFormat/>
    <w:uiPriority w:val="0"/>
    <w:pPr>
      <w:spacing w:line="360" w:lineRule="auto"/>
      <w:ind w:firstLine="480" w:firstLineChars="200"/>
    </w:pPr>
    <w:rPr>
      <w:rFonts w:ascii="宋体" w:hAnsi="宋体" w:cs="宋体"/>
      <w:szCs w:val="20"/>
    </w:rPr>
  </w:style>
  <w:style w:type="character" w:customStyle="1" w:styleId="43">
    <w:name w:val="font31"/>
    <w:basedOn w:val="29"/>
    <w:qFormat/>
    <w:uiPriority w:val="0"/>
    <w:rPr>
      <w:rFonts w:hint="eastAsia" w:ascii="宋体" w:hAnsi="宋体" w:eastAsia="宋体" w:cs="宋体"/>
      <w:color w:val="000000"/>
      <w:sz w:val="21"/>
      <w:szCs w:val="21"/>
      <w:u w:val="none"/>
    </w:rPr>
  </w:style>
  <w:style w:type="character" w:customStyle="1" w:styleId="44">
    <w:name w:val="font21"/>
    <w:basedOn w:val="29"/>
    <w:qFormat/>
    <w:uiPriority w:val="0"/>
    <w:rPr>
      <w:rFonts w:hint="default" w:ascii="Calibri" w:hAnsi="Calibri" w:cs="Calibri"/>
      <w:color w:val="000000"/>
      <w:sz w:val="21"/>
      <w:szCs w:val="21"/>
      <w:u w:val="none"/>
    </w:rPr>
  </w:style>
  <w:style w:type="paragraph" w:customStyle="1" w:styleId="4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6">
    <w:name w:val="font51"/>
    <w:basedOn w:val="29"/>
    <w:qFormat/>
    <w:uiPriority w:val="0"/>
    <w:rPr>
      <w:rFonts w:hint="eastAsia" w:ascii="宋体" w:hAnsi="宋体" w:eastAsia="宋体" w:cs="宋体"/>
      <w:b/>
      <w:bCs/>
      <w:color w:val="FF0000"/>
      <w:sz w:val="20"/>
      <w:szCs w:val="20"/>
      <w:u w:val="none"/>
    </w:rPr>
  </w:style>
  <w:style w:type="character" w:customStyle="1" w:styleId="47">
    <w:name w:val="font171"/>
    <w:basedOn w:val="29"/>
    <w:qFormat/>
    <w:uiPriority w:val="0"/>
    <w:rPr>
      <w:rFonts w:hint="eastAsia" w:ascii="宋体" w:hAnsi="宋体" w:eastAsia="宋体" w:cs="宋体"/>
      <w:color w:val="000000"/>
      <w:sz w:val="22"/>
      <w:szCs w:val="22"/>
      <w:u w:val="none"/>
    </w:rPr>
  </w:style>
  <w:style w:type="character" w:customStyle="1" w:styleId="48">
    <w:name w:val="font11"/>
    <w:basedOn w:val="29"/>
    <w:qFormat/>
    <w:uiPriority w:val="0"/>
    <w:rPr>
      <w:rFonts w:hint="eastAsia" w:ascii="微软雅黑" w:hAnsi="微软雅黑" w:eastAsia="微软雅黑" w:cs="微软雅黑"/>
      <w:color w:val="000000"/>
      <w:sz w:val="22"/>
      <w:szCs w:val="22"/>
      <w:u w:val="none"/>
    </w:rPr>
  </w:style>
  <w:style w:type="character" w:customStyle="1" w:styleId="49">
    <w:name w:val="font181"/>
    <w:basedOn w:val="29"/>
    <w:qFormat/>
    <w:uiPriority w:val="0"/>
    <w:rPr>
      <w:rFonts w:hint="eastAsia" w:ascii="宋体" w:hAnsi="宋体" w:eastAsia="宋体" w:cs="宋体"/>
      <w:color w:val="000000"/>
      <w:sz w:val="18"/>
      <w:szCs w:val="18"/>
      <w:u w:val="none"/>
    </w:rPr>
  </w:style>
  <w:style w:type="character" w:customStyle="1" w:styleId="50">
    <w:name w:val="font191"/>
    <w:basedOn w:val="29"/>
    <w:qFormat/>
    <w:uiPriority w:val="0"/>
    <w:rPr>
      <w:rFonts w:ascii="等线" w:hAnsi="等线" w:eastAsia="等线" w:cs="等线"/>
      <w:color w:val="000000"/>
      <w:sz w:val="22"/>
      <w:szCs w:val="22"/>
      <w:u w:val="none"/>
    </w:rPr>
  </w:style>
  <w:style w:type="paragraph" w:customStyle="1" w:styleId="51">
    <w:name w:val="K&amp;W Body text"/>
    <w:basedOn w:val="52"/>
    <w:qFormat/>
    <w:uiPriority w:val="0"/>
    <w:pPr>
      <w:ind w:firstLine="567"/>
    </w:pPr>
    <w:rPr>
      <w:color w:val="auto"/>
    </w:rPr>
  </w:style>
  <w:style w:type="paragraph" w:customStyle="1" w:styleId="52">
    <w:name w:val="K&amp;W Normal"/>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3">
    <w:name w:val="K&amp;W heading 2"/>
    <w:basedOn w:val="52"/>
    <w:qFormat/>
    <w:uiPriority w:val="0"/>
    <w:pPr>
      <w:widowControl w:val="0"/>
      <w:numPr>
        <w:ilvl w:val="1"/>
        <w:numId w:val="1"/>
      </w:numPr>
      <w:spacing w:line="320" w:lineRule="exact"/>
      <w:outlineLvl w:val="1"/>
    </w:pPr>
    <w:rPr>
      <w:rFonts w:cs="Times New Roman"/>
      <w:kern w:val="0"/>
      <w:szCs w:val="20"/>
    </w:rPr>
  </w:style>
  <w:style w:type="character" w:customStyle="1" w:styleId="54">
    <w:name w:val="font81"/>
    <w:basedOn w:val="29"/>
    <w:qFormat/>
    <w:uiPriority w:val="0"/>
    <w:rPr>
      <w:rFonts w:hint="eastAsia" w:ascii="宋体" w:hAnsi="宋体" w:eastAsia="宋体" w:cs="宋体"/>
      <w:color w:val="FF0000"/>
      <w:sz w:val="20"/>
      <w:szCs w:val="20"/>
      <w:u w:val="none"/>
    </w:rPr>
  </w:style>
  <w:style w:type="character" w:customStyle="1" w:styleId="55">
    <w:name w:val="font91"/>
    <w:basedOn w:val="29"/>
    <w:qFormat/>
    <w:uiPriority w:val="0"/>
    <w:rPr>
      <w:rFonts w:hint="default" w:ascii="Arial" w:hAnsi="Arial" w:cs="Arial"/>
      <w:color w:val="000000"/>
      <w:sz w:val="22"/>
      <w:szCs w:val="22"/>
      <w:u w:val="none"/>
    </w:rPr>
  </w:style>
  <w:style w:type="character" w:customStyle="1" w:styleId="56">
    <w:name w:val="font61"/>
    <w:basedOn w:val="29"/>
    <w:qFormat/>
    <w:uiPriority w:val="0"/>
    <w:rPr>
      <w:rFonts w:hint="eastAsia" w:ascii="宋体" w:hAnsi="宋体" w:eastAsia="宋体" w:cs="宋体"/>
      <w:color w:val="000000"/>
      <w:sz w:val="22"/>
      <w:szCs w:val="22"/>
      <w:u w:val="none"/>
    </w:rPr>
  </w:style>
  <w:style w:type="character" w:customStyle="1" w:styleId="57">
    <w:name w:val="font212"/>
    <w:basedOn w:val="29"/>
    <w:qFormat/>
    <w:uiPriority w:val="0"/>
    <w:rPr>
      <w:rFonts w:hint="eastAsia" w:ascii="宋体" w:hAnsi="宋体" w:eastAsia="宋体" w:cs="宋体"/>
      <w:color w:val="333333"/>
      <w:sz w:val="20"/>
      <w:szCs w:val="20"/>
      <w:u w:val="none"/>
    </w:rPr>
  </w:style>
  <w:style w:type="character" w:customStyle="1" w:styleId="58">
    <w:name w:val="font221"/>
    <w:basedOn w:val="29"/>
    <w:qFormat/>
    <w:uiPriority w:val="0"/>
    <w:rPr>
      <w:rFonts w:hint="default" w:ascii="Tahoma" w:hAnsi="Tahoma" w:eastAsia="Tahoma" w:cs="Tahoma"/>
      <w:color w:val="000000"/>
      <w:sz w:val="20"/>
      <w:szCs w:val="20"/>
      <w:u w:val="none"/>
    </w:rPr>
  </w:style>
  <w:style w:type="paragraph" w:customStyle="1" w:styleId="59">
    <w:name w:val="Table Paragraph"/>
    <w:basedOn w:val="1"/>
    <w:qFormat/>
    <w:uiPriority w:val="1"/>
  </w:style>
  <w:style w:type="character" w:customStyle="1" w:styleId="60">
    <w:name w:val="NormalCharacter"/>
    <w:semiHidden/>
    <w:qFormat/>
    <w:uiPriority w:val="0"/>
  </w:style>
  <w:style w:type="character" w:customStyle="1" w:styleId="61">
    <w:name w:val="15"/>
    <w:basedOn w:val="29"/>
    <w:qFormat/>
    <w:uiPriority w:val="0"/>
    <w:rPr>
      <w:rFonts w:hint="default" w:ascii="Times New Roman" w:hAnsi="Times New Roman" w:cs="Times New Roman"/>
    </w:rPr>
  </w:style>
  <w:style w:type="paragraph" w:styleId="62">
    <w:name w:val="List Paragraph"/>
    <w:basedOn w:val="1"/>
    <w:qFormat/>
    <w:uiPriority w:val="99"/>
    <w:pPr>
      <w:ind w:firstLine="420" w:firstLineChars="200"/>
    </w:pPr>
  </w:style>
  <w:style w:type="paragraph" w:customStyle="1" w:styleId="63">
    <w:name w:val="WPSOffice手动目录 1"/>
    <w:qFormat/>
    <w:uiPriority w:val="0"/>
    <w:pPr>
      <w:ind w:leftChars="0"/>
    </w:pPr>
    <w:rPr>
      <w:rFonts w:ascii="Times New Roman" w:hAnsi="Times New Roman" w:eastAsia="宋体" w:cs="Times New Roman"/>
      <w:sz w:val="20"/>
      <w:szCs w:val="20"/>
    </w:rPr>
  </w:style>
  <w:style w:type="paragraph" w:customStyle="1" w:styleId="64">
    <w:name w:val="WPSOffice手动目录 2"/>
    <w:qFormat/>
    <w:uiPriority w:val="0"/>
    <w:pPr>
      <w:ind w:leftChars="200"/>
    </w:pPr>
    <w:rPr>
      <w:rFonts w:ascii="Times New Roman" w:hAnsi="Times New Roman" w:eastAsia="宋体" w:cs="Times New Roman"/>
      <w:sz w:val="20"/>
      <w:szCs w:val="20"/>
    </w:rPr>
  </w:style>
  <w:style w:type="paragraph" w:customStyle="1" w:styleId="65">
    <w:name w:val="WPSOffice手动目录 3"/>
    <w:qFormat/>
    <w:uiPriority w:val="0"/>
    <w:pPr>
      <w:ind w:leftChars="400"/>
    </w:pPr>
    <w:rPr>
      <w:rFonts w:ascii="Times New Roman" w:hAnsi="Times New Roman" w:eastAsia="宋体" w:cs="Times New Roman"/>
      <w:sz w:val="20"/>
      <w:szCs w:val="20"/>
    </w:rPr>
  </w:style>
  <w:style w:type="character" w:customStyle="1" w:styleId="66">
    <w:name w:val="font41"/>
    <w:basedOn w:val="29"/>
    <w:qFormat/>
    <w:uiPriority w:val="0"/>
    <w:rPr>
      <w:rFonts w:hint="default" w:ascii="方正仿宋简体" w:hAnsi="方正仿宋简体" w:eastAsia="方正仿宋简体" w:cs="方正仿宋简体"/>
      <w:color w:val="000000"/>
      <w:sz w:val="22"/>
      <w:szCs w:val="22"/>
      <w:u w:val="none"/>
    </w:rPr>
  </w:style>
  <w:style w:type="paragraph" w:styleId="67">
    <w:name w:val="Quote"/>
    <w:basedOn w:val="1"/>
    <w:next w:val="1"/>
    <w:qFormat/>
    <w:uiPriority w:val="29"/>
    <w:rPr>
      <w:i/>
      <w:iCs/>
      <w:color w:val="000000" w:themeColor="text1"/>
      <w14:textFill>
        <w14:solidFill>
          <w14:schemeClr w14:val="tx1"/>
        </w14:solidFill>
      </w14:textFill>
    </w:rPr>
  </w:style>
  <w:style w:type="character" w:customStyle="1" w:styleId="68">
    <w:name w:val="font101"/>
    <w:basedOn w:val="29"/>
    <w:qFormat/>
    <w:uiPriority w:val="0"/>
    <w:rPr>
      <w:rFonts w:hint="default" w:ascii="Times New Roman" w:hAnsi="Times New Roman" w:cs="Times New Roman"/>
      <w:color w:val="000000"/>
      <w:sz w:val="22"/>
      <w:szCs w:val="22"/>
      <w:u w:val="none"/>
    </w:rPr>
  </w:style>
  <w:style w:type="character" w:customStyle="1" w:styleId="69">
    <w:name w:val="font01"/>
    <w:basedOn w:val="29"/>
    <w:qFormat/>
    <w:uiPriority w:val="0"/>
    <w:rPr>
      <w:rFonts w:hint="eastAsia" w:ascii="宋体" w:hAnsi="宋体" w:eastAsia="宋体" w:cs="宋体"/>
      <w:color w:val="000000"/>
      <w:sz w:val="22"/>
      <w:szCs w:val="22"/>
      <w:u w:val="none"/>
    </w:rPr>
  </w:style>
  <w:style w:type="paragraph" w:customStyle="1" w:styleId="70">
    <w:name w:val="列表段落1"/>
    <w:basedOn w:val="1"/>
    <w:qFormat/>
    <w:uiPriority w:val="34"/>
    <w:pPr>
      <w:ind w:firstLine="420" w:firstLineChars="200"/>
    </w:pPr>
    <w:rPr>
      <w:rFonts w:ascii="宋体" w:hAnsi="宋体" w:cs="宋体"/>
      <w:sz w:val="24"/>
    </w:rPr>
  </w:style>
  <w:style w:type="character" w:customStyle="1" w:styleId="71">
    <w:name w:val="font71"/>
    <w:basedOn w:val="29"/>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header" Target="header14.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20221</Words>
  <Characters>21322</Characters>
  <Lines>0</Lines>
  <Paragraphs>0</Paragraphs>
  <TotalTime>38</TotalTime>
  <ScaleCrop>false</ScaleCrop>
  <LinksUpToDate>false</LinksUpToDate>
  <CharactersWithSpaces>24278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Administrator</cp:lastModifiedBy>
  <cp:lastPrinted>2025-03-21T09:47:00Z</cp:lastPrinted>
  <dcterms:modified xsi:type="dcterms:W3CDTF">2026-06-08T03:58:21Z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62585DF8EBA045AE9A1A86EC26020260_13</vt:lpwstr>
  </property>
  <property fmtid="{D5CDD505-2E9C-101B-9397-08002B2CF9AE}" pid="4" name="KSOTemplateDocerSaveRecord">
    <vt:lpwstr>eyJoZGlkIjoiMGM5ZjUwNTRmMmVmODAzY2U5NjFhNGY0N2JhN2QxZDIiLCJ1c2VySWQiOiI0MjE2NDg4MjQifQ==</vt:lpwstr>
  </property>
</Properties>
</file>