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B5B20">
      <w:pPr>
        <w:snapToGrid w:val="0"/>
        <w:spacing w:after="120" w:line="360" w:lineRule="auto"/>
        <w:jc w:val="left"/>
        <w:rPr>
          <w:rFonts w:hint="eastAsia" w:ascii="仿宋" w:hAnsi="仿宋" w:eastAsia="仿宋" w:cs="仿宋"/>
          <w:color w:val="auto"/>
          <w:sz w:val="44"/>
          <w:highlight w:val="none"/>
        </w:rPr>
      </w:pPr>
    </w:p>
    <w:p w14:paraId="57ADF8B9">
      <w:pPr>
        <w:snapToGrid w:val="0"/>
        <w:spacing w:line="360" w:lineRule="auto"/>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政 府 采 购 公 开 招 标</w:t>
      </w:r>
    </w:p>
    <w:p w14:paraId="6AFD7C51">
      <w:pPr>
        <w:snapToGrid w:val="0"/>
        <w:spacing w:line="360" w:lineRule="auto"/>
        <w:jc w:val="center"/>
        <w:rPr>
          <w:rStyle w:val="46"/>
          <w:rFonts w:hint="eastAsia" w:ascii="仿宋" w:hAnsi="仿宋" w:eastAsia="仿宋" w:cs="仿宋"/>
          <w:color w:val="auto"/>
          <w:sz w:val="36"/>
          <w:szCs w:val="36"/>
          <w:highlight w:val="none"/>
        </w:rPr>
      </w:pPr>
      <w:r>
        <w:rPr>
          <w:rFonts w:hint="eastAsia" w:ascii="仿宋" w:hAnsi="仿宋" w:eastAsia="仿宋" w:cs="仿宋"/>
          <w:b/>
          <w:color w:val="auto"/>
          <w:sz w:val="52"/>
          <w:szCs w:val="52"/>
          <w:highlight w:val="none"/>
        </w:rPr>
        <w:t>招 标 文 件</w:t>
      </w:r>
    </w:p>
    <w:p w14:paraId="15FFB0DC">
      <w:pPr>
        <w:snapToGrid w:val="0"/>
        <w:spacing w:line="360" w:lineRule="auto"/>
        <w:jc w:val="center"/>
        <w:rPr>
          <w:rStyle w:val="46"/>
          <w:rFonts w:hint="eastAsia" w:ascii="仿宋" w:hAnsi="仿宋" w:eastAsia="仿宋" w:cs="仿宋"/>
          <w:b w:val="0"/>
          <w:bCs/>
          <w:color w:val="auto"/>
          <w:highlight w:val="none"/>
        </w:rPr>
      </w:pPr>
    </w:p>
    <w:p w14:paraId="4AE8428F">
      <w:pPr>
        <w:snapToGrid w:val="0"/>
        <w:spacing w:line="360" w:lineRule="auto"/>
        <w:ind w:firstLine="357"/>
        <w:rPr>
          <w:rStyle w:val="44"/>
          <w:rFonts w:hint="eastAsia" w:ascii="仿宋" w:hAnsi="仿宋" w:eastAsia="仿宋" w:cs="仿宋"/>
          <w:bCs/>
          <w:color w:val="auto"/>
          <w:sz w:val="28"/>
          <w:szCs w:val="28"/>
          <w:highlight w:val="none"/>
        </w:rPr>
      </w:pPr>
    </w:p>
    <w:p w14:paraId="2DAA26F6">
      <w:pPr>
        <w:snapToGrid w:val="0"/>
        <w:spacing w:line="360" w:lineRule="auto"/>
        <w:ind w:firstLine="357"/>
        <w:jc w:val="left"/>
        <w:rPr>
          <w:rStyle w:val="44"/>
          <w:rFonts w:hint="eastAsia" w:ascii="仿宋" w:hAnsi="仿宋" w:eastAsia="仿宋" w:cs="仿宋"/>
          <w:bCs/>
          <w:color w:val="auto"/>
          <w:sz w:val="28"/>
          <w:szCs w:val="28"/>
          <w:highlight w:val="none"/>
          <w:lang w:eastAsia="zh-CN"/>
        </w:rPr>
      </w:pPr>
      <w:r>
        <w:rPr>
          <w:rStyle w:val="44"/>
          <w:rFonts w:hint="eastAsia" w:ascii="仿宋" w:hAnsi="仿宋" w:eastAsia="仿宋" w:cs="仿宋"/>
          <w:bCs/>
          <w:color w:val="auto"/>
          <w:sz w:val="28"/>
          <w:szCs w:val="28"/>
          <w:highlight w:val="none"/>
        </w:rPr>
        <w:t>项目名称：</w:t>
      </w:r>
      <w:r>
        <w:rPr>
          <w:rStyle w:val="44"/>
          <w:rFonts w:hint="eastAsia" w:ascii="仿宋" w:hAnsi="仿宋" w:eastAsia="仿宋" w:cs="仿宋"/>
          <w:bCs/>
          <w:color w:val="auto"/>
          <w:sz w:val="28"/>
          <w:szCs w:val="28"/>
          <w:highlight w:val="none"/>
          <w:lang w:eastAsia="zh-CN"/>
        </w:rPr>
        <w:t>新疆农业大学八一会堂明德礼堂采购音响、灯光、吊杆项目</w:t>
      </w:r>
    </w:p>
    <w:p w14:paraId="76B38661">
      <w:pPr>
        <w:snapToGrid w:val="0"/>
        <w:spacing w:line="360" w:lineRule="auto"/>
        <w:ind w:firstLine="357"/>
        <w:rPr>
          <w:rStyle w:val="44"/>
          <w:rFonts w:hint="eastAsia" w:ascii="仿宋" w:hAnsi="仿宋" w:eastAsia="仿宋" w:cs="仿宋"/>
          <w:bCs/>
          <w:color w:val="auto"/>
          <w:sz w:val="28"/>
          <w:szCs w:val="28"/>
          <w:highlight w:val="none"/>
          <w:lang w:eastAsia="zh-CN"/>
        </w:rPr>
      </w:pPr>
      <w:r>
        <w:rPr>
          <w:rStyle w:val="44"/>
          <w:rFonts w:hint="eastAsia" w:ascii="仿宋" w:hAnsi="仿宋" w:eastAsia="仿宋" w:cs="仿宋"/>
          <w:bCs/>
          <w:color w:val="auto"/>
          <w:sz w:val="28"/>
          <w:szCs w:val="28"/>
          <w:highlight w:val="none"/>
        </w:rPr>
        <w:t>项目编号：</w:t>
      </w:r>
      <w:r>
        <w:rPr>
          <w:rStyle w:val="44"/>
          <w:rFonts w:hint="eastAsia" w:ascii="仿宋" w:hAnsi="仿宋" w:eastAsia="仿宋" w:cs="仿宋"/>
          <w:bCs/>
          <w:color w:val="auto"/>
          <w:sz w:val="28"/>
          <w:szCs w:val="28"/>
          <w:highlight w:val="none"/>
          <w:lang w:eastAsia="zh-CN"/>
        </w:rPr>
        <w:t>[2026]9031号</w:t>
      </w:r>
    </w:p>
    <w:p w14:paraId="61DA1270">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z w:val="28"/>
          <w:szCs w:val="28"/>
          <w:highlight w:val="none"/>
        </w:rPr>
        <w:t>采购人（盖章）:新疆农业大学</w:t>
      </w:r>
    </w:p>
    <w:p w14:paraId="2C32D2D0">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z w:val="28"/>
          <w:szCs w:val="28"/>
          <w:highlight w:val="none"/>
        </w:rPr>
        <w:t>法定代表人（签章）:/</w:t>
      </w:r>
    </w:p>
    <w:p w14:paraId="377023C8">
      <w:pPr>
        <w:snapToGrid w:val="0"/>
        <w:spacing w:line="360" w:lineRule="auto"/>
        <w:ind w:firstLine="357"/>
        <w:jc w:val="left"/>
        <w:rPr>
          <w:rStyle w:val="44"/>
          <w:rFonts w:hint="eastAsia" w:ascii="仿宋" w:hAnsi="仿宋" w:eastAsia="仿宋" w:cs="仿宋"/>
          <w:bCs/>
          <w:color w:val="auto"/>
          <w:sz w:val="28"/>
          <w:szCs w:val="28"/>
          <w:highlight w:val="none"/>
          <w:lang w:eastAsia="zh-CN"/>
        </w:rPr>
      </w:pPr>
      <w:r>
        <w:rPr>
          <w:rStyle w:val="44"/>
          <w:rFonts w:hint="eastAsia" w:ascii="仿宋" w:hAnsi="仿宋" w:eastAsia="仿宋" w:cs="仿宋"/>
          <w:bCs/>
          <w:color w:val="auto"/>
          <w:sz w:val="28"/>
          <w:szCs w:val="28"/>
          <w:highlight w:val="none"/>
        </w:rPr>
        <w:t>联系人：</w:t>
      </w:r>
      <w:r>
        <w:rPr>
          <w:rStyle w:val="44"/>
          <w:rFonts w:hint="eastAsia" w:ascii="仿宋" w:hAnsi="仿宋" w:eastAsia="仿宋" w:cs="仿宋"/>
          <w:bCs/>
          <w:color w:val="auto"/>
          <w:sz w:val="28"/>
          <w:szCs w:val="28"/>
          <w:highlight w:val="none"/>
          <w:lang w:eastAsia="zh-CN"/>
        </w:rPr>
        <w:t>张老师</w:t>
      </w:r>
    </w:p>
    <w:p w14:paraId="49EE9766">
      <w:pPr>
        <w:snapToGrid w:val="0"/>
        <w:spacing w:line="360" w:lineRule="auto"/>
        <w:ind w:firstLine="357"/>
        <w:rPr>
          <w:rStyle w:val="44"/>
          <w:rFonts w:hint="eastAsia" w:ascii="仿宋" w:hAnsi="仿宋" w:eastAsia="仿宋" w:cs="仿宋"/>
          <w:bCs/>
          <w:color w:val="auto"/>
          <w:sz w:val="28"/>
          <w:szCs w:val="28"/>
          <w:highlight w:val="none"/>
          <w:lang w:eastAsia="zh-CN"/>
        </w:rPr>
      </w:pPr>
      <w:r>
        <w:rPr>
          <w:rStyle w:val="44"/>
          <w:rFonts w:hint="eastAsia" w:ascii="仿宋" w:hAnsi="仿宋" w:eastAsia="仿宋" w:cs="仿宋"/>
          <w:bCs/>
          <w:color w:val="auto"/>
          <w:sz w:val="28"/>
          <w:szCs w:val="28"/>
          <w:highlight w:val="none"/>
        </w:rPr>
        <w:t>电话：</w:t>
      </w:r>
      <w:r>
        <w:rPr>
          <w:rStyle w:val="44"/>
          <w:rFonts w:hint="eastAsia" w:ascii="仿宋" w:hAnsi="仿宋" w:eastAsia="仿宋" w:cs="仿宋"/>
          <w:bCs/>
          <w:color w:val="auto"/>
          <w:sz w:val="28"/>
          <w:szCs w:val="28"/>
          <w:highlight w:val="none"/>
          <w:lang w:eastAsia="zh-CN"/>
        </w:rPr>
        <w:t>13150335257</w:t>
      </w:r>
    </w:p>
    <w:p w14:paraId="7F99C2C1">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z w:val="28"/>
          <w:szCs w:val="28"/>
          <w:highlight w:val="none"/>
        </w:rPr>
        <w:t>详细地址：乌鲁木齐市沙依巴克区农大东路311号</w:t>
      </w:r>
    </w:p>
    <w:p w14:paraId="3CA038DC">
      <w:pPr>
        <w:snapToGrid w:val="0"/>
        <w:spacing w:line="360" w:lineRule="auto"/>
        <w:ind w:firstLine="357"/>
        <w:rPr>
          <w:rStyle w:val="44"/>
          <w:rFonts w:hint="eastAsia" w:ascii="仿宋" w:hAnsi="仿宋" w:eastAsia="仿宋" w:cs="仿宋"/>
          <w:bCs/>
          <w:color w:val="auto"/>
          <w:sz w:val="28"/>
          <w:szCs w:val="28"/>
          <w:highlight w:val="none"/>
        </w:rPr>
      </w:pPr>
    </w:p>
    <w:p w14:paraId="15658A4F">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z w:val="28"/>
          <w:szCs w:val="28"/>
          <w:highlight w:val="none"/>
        </w:rPr>
        <w:t>采购代理机构（盖章）:新疆拓源工程管理咨询有限公司</w:t>
      </w:r>
    </w:p>
    <w:p w14:paraId="29D7BF34">
      <w:pPr>
        <w:snapToGrid w:val="0"/>
        <w:spacing w:line="360" w:lineRule="auto"/>
        <w:ind w:firstLine="357"/>
        <w:rPr>
          <w:rFonts w:hint="eastAsia" w:ascii="仿宋" w:hAnsi="仿宋" w:eastAsia="仿宋" w:cs="仿宋"/>
          <w:bCs/>
          <w:color w:val="auto"/>
          <w:sz w:val="28"/>
          <w:szCs w:val="28"/>
          <w:highlight w:val="none"/>
        </w:rPr>
      </w:pPr>
      <w:r>
        <w:rPr>
          <w:rStyle w:val="44"/>
          <w:rFonts w:hint="eastAsia" w:ascii="仿宋" w:hAnsi="仿宋" w:eastAsia="仿宋" w:cs="仿宋"/>
          <w:bCs/>
          <w:color w:val="auto"/>
          <w:spacing w:val="35"/>
          <w:kern w:val="0"/>
          <w:sz w:val="28"/>
          <w:szCs w:val="28"/>
          <w:highlight w:val="none"/>
        </w:rPr>
        <w:t>法定代表</w:t>
      </w:r>
      <w:r>
        <w:rPr>
          <w:rStyle w:val="44"/>
          <w:rFonts w:hint="eastAsia" w:ascii="仿宋" w:hAnsi="仿宋" w:eastAsia="仿宋" w:cs="仿宋"/>
          <w:bCs/>
          <w:color w:val="auto"/>
          <w:spacing w:val="3"/>
          <w:kern w:val="0"/>
          <w:sz w:val="28"/>
          <w:szCs w:val="28"/>
          <w:highlight w:val="none"/>
        </w:rPr>
        <w:t>人</w:t>
      </w:r>
      <w:r>
        <w:rPr>
          <w:rStyle w:val="44"/>
          <w:rFonts w:hint="eastAsia" w:ascii="仿宋" w:hAnsi="仿宋" w:eastAsia="仿宋" w:cs="仿宋"/>
          <w:bCs/>
          <w:color w:val="auto"/>
          <w:sz w:val="28"/>
          <w:szCs w:val="28"/>
          <w:highlight w:val="none"/>
        </w:rPr>
        <w:t>（盖章）:石崇华</w:t>
      </w:r>
    </w:p>
    <w:p w14:paraId="0D4391DE">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pacing w:val="35"/>
          <w:kern w:val="0"/>
          <w:sz w:val="28"/>
          <w:szCs w:val="28"/>
          <w:highlight w:val="none"/>
        </w:rPr>
        <w:t>项 目 联系人</w:t>
      </w:r>
      <w:r>
        <w:rPr>
          <w:rStyle w:val="44"/>
          <w:rFonts w:hint="eastAsia" w:ascii="仿宋" w:hAnsi="仿宋" w:eastAsia="仿宋" w:cs="仿宋"/>
          <w:bCs/>
          <w:color w:val="auto"/>
          <w:sz w:val="28"/>
          <w:szCs w:val="28"/>
          <w:highlight w:val="none"/>
        </w:rPr>
        <w:t>：金山虎、黄莎莎</w:t>
      </w:r>
    </w:p>
    <w:p w14:paraId="245824D9">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pacing w:val="560"/>
          <w:kern w:val="0"/>
          <w:sz w:val="28"/>
          <w:szCs w:val="28"/>
          <w:highlight w:val="none"/>
        </w:rPr>
        <w:t>电</w:t>
      </w:r>
      <w:r>
        <w:rPr>
          <w:rStyle w:val="44"/>
          <w:rFonts w:hint="eastAsia" w:ascii="仿宋" w:hAnsi="仿宋" w:eastAsia="仿宋" w:cs="仿宋"/>
          <w:bCs/>
          <w:color w:val="auto"/>
          <w:kern w:val="0"/>
          <w:sz w:val="28"/>
          <w:szCs w:val="28"/>
          <w:highlight w:val="none"/>
        </w:rPr>
        <w:t>话</w:t>
      </w:r>
      <w:r>
        <w:rPr>
          <w:rStyle w:val="44"/>
          <w:rFonts w:hint="eastAsia" w:ascii="仿宋" w:hAnsi="仿宋" w:eastAsia="仿宋" w:cs="仿宋"/>
          <w:bCs/>
          <w:color w:val="auto"/>
          <w:sz w:val="28"/>
          <w:szCs w:val="28"/>
          <w:highlight w:val="none"/>
        </w:rPr>
        <w:t>：13209920205、15099530785</w:t>
      </w:r>
    </w:p>
    <w:p w14:paraId="0E1A0375">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pacing w:val="93"/>
          <w:kern w:val="0"/>
          <w:sz w:val="28"/>
          <w:szCs w:val="28"/>
          <w:highlight w:val="none"/>
        </w:rPr>
        <w:t>详细地</w:t>
      </w:r>
      <w:r>
        <w:rPr>
          <w:rStyle w:val="44"/>
          <w:rFonts w:hint="eastAsia" w:ascii="仿宋" w:hAnsi="仿宋" w:eastAsia="仿宋" w:cs="仿宋"/>
          <w:bCs/>
          <w:color w:val="auto"/>
          <w:spacing w:val="1"/>
          <w:kern w:val="0"/>
          <w:sz w:val="28"/>
          <w:szCs w:val="28"/>
          <w:highlight w:val="none"/>
        </w:rPr>
        <w:t>址：</w:t>
      </w:r>
      <w:r>
        <w:rPr>
          <w:rStyle w:val="44"/>
          <w:rFonts w:hint="eastAsia" w:ascii="仿宋" w:hAnsi="仿宋" w:eastAsia="仿宋" w:cs="仿宋"/>
          <w:bCs/>
          <w:color w:val="auto"/>
          <w:sz w:val="28"/>
          <w:szCs w:val="28"/>
          <w:highlight w:val="none"/>
        </w:rPr>
        <w:t>乌鲁木齐市水磨沟区龙盛街898号万科中央公园S6栋5层</w:t>
      </w:r>
    </w:p>
    <w:p w14:paraId="568EAA90">
      <w:pPr>
        <w:pStyle w:val="12"/>
        <w:spacing w:line="360" w:lineRule="auto"/>
        <w:rPr>
          <w:rStyle w:val="44"/>
          <w:rFonts w:hint="eastAsia" w:ascii="仿宋" w:hAnsi="仿宋" w:eastAsia="仿宋" w:cs="仿宋"/>
          <w:bCs/>
          <w:color w:val="auto"/>
          <w:sz w:val="28"/>
          <w:szCs w:val="28"/>
          <w:highlight w:val="none"/>
        </w:rPr>
      </w:pPr>
    </w:p>
    <w:p w14:paraId="1F18B94F">
      <w:pPr>
        <w:snapToGrid w:val="0"/>
        <w:spacing w:after="120" w:line="360" w:lineRule="auto"/>
        <w:jc w:val="left"/>
        <w:rPr>
          <w:rFonts w:hint="eastAsia" w:ascii="仿宋" w:hAnsi="仿宋" w:eastAsia="仿宋" w:cs="仿宋"/>
          <w:color w:val="auto"/>
          <w:sz w:val="28"/>
          <w:szCs w:val="28"/>
          <w:highlight w:val="none"/>
        </w:rPr>
      </w:pPr>
    </w:p>
    <w:p w14:paraId="36E4F62F">
      <w:pPr>
        <w:snapToGrid w:val="0"/>
        <w:spacing w:after="120" w:line="360" w:lineRule="auto"/>
        <w:jc w:val="left"/>
        <w:rPr>
          <w:rFonts w:hint="eastAsia" w:ascii="仿宋" w:hAnsi="仿宋" w:eastAsia="仿宋" w:cs="仿宋"/>
          <w:color w:val="auto"/>
          <w:sz w:val="28"/>
          <w:szCs w:val="28"/>
          <w:highlight w:val="none"/>
        </w:rPr>
      </w:pPr>
    </w:p>
    <w:p w14:paraId="0F8BE854">
      <w:pPr>
        <w:snapToGrid w:val="0"/>
        <w:spacing w:after="120" w:line="360" w:lineRule="auto"/>
        <w:jc w:val="center"/>
        <w:rPr>
          <w:rFonts w:hint="eastAsia" w:ascii="仿宋" w:hAnsi="仿宋" w:eastAsia="仿宋" w:cs="仿宋"/>
          <w:color w:val="auto"/>
          <w:sz w:val="28"/>
          <w:szCs w:val="28"/>
          <w:highlight w:val="none"/>
        </w:rPr>
      </w:pPr>
    </w:p>
    <w:p w14:paraId="431ABB8B">
      <w:pPr>
        <w:snapToGrid w:val="0"/>
        <w:spacing w:after="120" w:line="360" w:lineRule="auto"/>
        <w:jc w:val="center"/>
        <w:rPr>
          <w:rFonts w:hint="eastAsia" w:ascii="仿宋" w:hAnsi="仿宋" w:eastAsia="仿宋" w:cs="仿宋"/>
          <w:color w:val="auto"/>
          <w:sz w:val="28"/>
          <w:szCs w:val="28"/>
          <w:highlight w:val="none"/>
        </w:rPr>
      </w:pPr>
    </w:p>
    <w:p w14:paraId="1EAB1D9E">
      <w:pPr>
        <w:snapToGrid w:val="0"/>
        <w:spacing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文件编制:黄莎莎</w:t>
      </w:r>
    </w:p>
    <w:p w14:paraId="49B2DAAD">
      <w:pPr>
        <w:snapToGrid w:val="0"/>
        <w:spacing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文件复核:金山虎</w:t>
      </w:r>
    </w:p>
    <w:p w14:paraId="16AEC48D">
      <w:pPr>
        <w:snapToGrid w:val="0"/>
        <w:spacing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文件终审:田释月</w:t>
      </w:r>
    </w:p>
    <w:p w14:paraId="45A24B6A">
      <w:pPr>
        <w:snapToGrid w:val="0"/>
        <w:spacing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法律顾问:杜红</w:t>
      </w:r>
    </w:p>
    <w:p w14:paraId="7453C4DA">
      <w:pPr>
        <w:snapToGrid w:val="0"/>
        <w:spacing w:after="120" w:line="360" w:lineRule="auto"/>
        <w:jc w:val="left"/>
        <w:rPr>
          <w:rFonts w:hint="eastAsia" w:ascii="仿宋" w:hAnsi="仿宋" w:eastAsia="仿宋" w:cs="仿宋"/>
          <w:color w:val="auto"/>
          <w:sz w:val="28"/>
          <w:szCs w:val="28"/>
          <w:highlight w:val="none"/>
        </w:rPr>
      </w:pPr>
    </w:p>
    <w:p w14:paraId="6BB4D7B7">
      <w:pPr>
        <w:snapToGrid w:val="0"/>
        <w:spacing w:after="120" w:line="360" w:lineRule="auto"/>
        <w:jc w:val="left"/>
        <w:rPr>
          <w:rFonts w:hint="eastAsia" w:ascii="仿宋" w:hAnsi="仿宋" w:eastAsia="仿宋" w:cs="仿宋"/>
          <w:color w:val="auto"/>
          <w:sz w:val="28"/>
          <w:szCs w:val="28"/>
          <w:highlight w:val="none"/>
        </w:rPr>
      </w:pPr>
    </w:p>
    <w:p w14:paraId="3C1E1C96">
      <w:pPr>
        <w:snapToGrid w:val="0"/>
        <w:spacing w:after="120" w:line="360" w:lineRule="auto"/>
        <w:jc w:val="left"/>
        <w:rPr>
          <w:rFonts w:hint="eastAsia" w:ascii="仿宋" w:hAnsi="仿宋" w:eastAsia="仿宋" w:cs="仿宋"/>
          <w:color w:val="auto"/>
          <w:sz w:val="28"/>
          <w:szCs w:val="28"/>
          <w:highlight w:val="none"/>
        </w:rPr>
      </w:pPr>
    </w:p>
    <w:p w14:paraId="3C5D9088">
      <w:pPr>
        <w:snapToGrid w:val="0"/>
        <w:spacing w:after="120" w:line="360" w:lineRule="auto"/>
        <w:jc w:val="left"/>
        <w:rPr>
          <w:rFonts w:hint="eastAsia" w:ascii="仿宋" w:hAnsi="仿宋" w:eastAsia="仿宋" w:cs="仿宋"/>
          <w:color w:val="auto"/>
          <w:sz w:val="28"/>
          <w:szCs w:val="28"/>
          <w:highlight w:val="none"/>
        </w:rPr>
      </w:pPr>
    </w:p>
    <w:p w14:paraId="5BFCEE66">
      <w:pPr>
        <w:snapToGrid w:val="0"/>
        <w:spacing w:after="120" w:line="360" w:lineRule="auto"/>
        <w:jc w:val="left"/>
        <w:rPr>
          <w:rFonts w:hint="eastAsia" w:ascii="仿宋" w:hAnsi="仿宋" w:eastAsia="仿宋" w:cs="仿宋"/>
          <w:color w:val="auto"/>
          <w:sz w:val="28"/>
          <w:szCs w:val="28"/>
          <w:highlight w:val="none"/>
        </w:rPr>
      </w:pPr>
    </w:p>
    <w:p w14:paraId="5EA0DA0A">
      <w:pPr>
        <w:snapToGrid w:val="0"/>
        <w:spacing w:after="120" w:line="360" w:lineRule="auto"/>
        <w:jc w:val="left"/>
        <w:rPr>
          <w:rFonts w:hint="eastAsia" w:ascii="仿宋" w:hAnsi="仿宋" w:eastAsia="仿宋" w:cs="仿宋"/>
          <w:color w:val="auto"/>
          <w:sz w:val="44"/>
          <w:highlight w:val="none"/>
        </w:rPr>
      </w:pPr>
    </w:p>
    <w:p w14:paraId="191F0F34">
      <w:pPr>
        <w:spacing w:line="360" w:lineRule="auto"/>
        <w:rPr>
          <w:rFonts w:hint="eastAsia" w:ascii="仿宋" w:hAnsi="仿宋" w:eastAsia="仿宋" w:cs="仿宋"/>
          <w:color w:val="auto"/>
          <w:highlight w:val="none"/>
        </w:rPr>
        <w:sectPr>
          <w:headerReference r:id="rId5" w:type="first"/>
          <w:footerReference r:id="rId7" w:type="first"/>
          <w:headerReference r:id="rId3" w:type="default"/>
          <w:headerReference r:id="rId4" w:type="even"/>
          <w:footerReference r:id="rId6" w:type="even"/>
          <w:pgSz w:w="11906" w:h="16838"/>
          <w:pgMar w:top="1440" w:right="1080" w:bottom="1440" w:left="1080" w:header="851" w:footer="992" w:gutter="0"/>
          <w:cols w:space="425" w:num="1"/>
          <w:docGrid w:type="lines" w:linePitch="312" w:charSpace="0"/>
        </w:sectPr>
      </w:pPr>
    </w:p>
    <w:p w14:paraId="63379C37">
      <w:pPr>
        <w:spacing w:before="0" w:beforeLines="0" w:after="0" w:afterLines="0" w:line="480" w:lineRule="auto"/>
        <w:ind w:left="0" w:leftChars="0" w:right="0" w:rightChars="0" w:firstLine="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目录</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03D8E03F">
      <w:pPr>
        <w:pStyle w:val="26"/>
        <w:tabs>
          <w:tab w:val="right" w:leader="dot" w:pos="9747"/>
        </w:tabs>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_Toc23778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第一章  招标公告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_Toc23778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D967B57">
      <w:pPr>
        <w:pStyle w:val="26"/>
        <w:tabs>
          <w:tab w:val="right" w:leader="dot" w:pos="9747"/>
        </w:tabs>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_Toc14336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第二章  投标人须知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_Toc14336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0C623CA">
      <w:pPr>
        <w:pStyle w:val="26"/>
        <w:tabs>
          <w:tab w:val="right" w:leader="dot" w:pos="9747"/>
        </w:tabs>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_Toc2180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第三章  投标文件格式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_Toc2180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33195F6F">
      <w:pPr>
        <w:pStyle w:val="26"/>
        <w:tabs>
          <w:tab w:val="right" w:leader="dot" w:pos="9747"/>
        </w:tabs>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_Toc12340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第四章  招标项目技术要求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_Toc12340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436EE96">
      <w:pPr>
        <w:pStyle w:val="26"/>
        <w:tabs>
          <w:tab w:val="right" w:leader="dot" w:pos="9747"/>
        </w:tabs>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_Toc15595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第五章  评标办法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_Toc15595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70</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8319709">
      <w:pPr>
        <w:pStyle w:val="26"/>
        <w:tabs>
          <w:tab w:val="right" w:leader="dot" w:pos="9747"/>
        </w:tabs>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_Toc5999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第六章  拟签订的合同文本</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_Toc5999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86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32DA03A">
      <w:pPr>
        <w:pStyle w:val="4"/>
        <w:rPr>
          <w:rFonts w:hint="eastAsia" w:ascii="仿宋" w:hAnsi="仿宋" w:eastAsia="仿宋" w:cs="仿宋"/>
          <w:color w:val="auto"/>
          <w:sz w:val="32"/>
          <w:szCs w:val="32"/>
          <w:highlight w:val="none"/>
        </w:rPr>
        <w:sectPr>
          <w:headerReference r:id="rId8" w:type="default"/>
          <w:footerReference r:id="rId9" w:type="default"/>
          <w:pgSz w:w="11906" w:h="16838"/>
          <w:pgMar w:top="1304" w:right="1418" w:bottom="1304" w:left="1418" w:header="851" w:footer="992" w:gutter="0"/>
          <w:pgNumType w:start="1"/>
          <w:cols w:space="720" w:num="1"/>
          <w:docGrid w:type="lines" w:linePitch="312" w:charSpace="0"/>
        </w:sectPr>
      </w:pPr>
      <w:r>
        <w:rPr>
          <w:rFonts w:hint="eastAsia" w:ascii="仿宋" w:hAnsi="仿宋" w:eastAsia="仿宋" w:cs="仿宋"/>
          <w:color w:val="auto"/>
          <w:sz w:val="32"/>
          <w:szCs w:val="32"/>
          <w:highlight w:val="none"/>
        </w:rPr>
        <w:fldChar w:fldCharType="end"/>
      </w:r>
      <w:bookmarkStart w:id="0" w:name="_Toc647_WPSOffice_Level1"/>
      <w:bookmarkStart w:id="1" w:name="_Toc3427"/>
      <w:bookmarkStart w:id="2" w:name="_Toc15187"/>
      <w:bookmarkStart w:id="3" w:name="_Toc23778"/>
    </w:p>
    <w:p w14:paraId="494E6D87">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bookmarkEnd w:id="0"/>
      <w:r>
        <w:rPr>
          <w:rFonts w:hint="eastAsia" w:ascii="仿宋" w:hAnsi="仿宋" w:eastAsia="仿宋" w:cs="仿宋"/>
          <w:color w:val="auto"/>
          <w:sz w:val="24"/>
          <w:szCs w:val="24"/>
          <w:highlight w:val="none"/>
        </w:rPr>
        <w:t>招标公告</w:t>
      </w:r>
      <w:bookmarkEnd w:id="1"/>
      <w:bookmarkEnd w:id="2"/>
      <w:bookmarkEnd w:id="3"/>
    </w:p>
    <w:p w14:paraId="7DAF2EDA">
      <w:pPr>
        <w:pBdr>
          <w:top w:val="single" w:color="auto" w:sz="4" w:space="1"/>
          <w:left w:val="single" w:color="auto" w:sz="4" w:space="4"/>
          <w:bottom w:val="single" w:color="auto" w:sz="4" w:space="1"/>
          <w:right w:val="single" w:color="auto" w:sz="4" w:space="4"/>
        </w:pBdr>
        <w:spacing w:line="360" w:lineRule="auto"/>
        <w:ind w:firstLine="480" w:firstLineChars="200"/>
        <w:jc w:val="center"/>
        <w:rPr>
          <w:rFonts w:hint="eastAsia" w:ascii="仿宋" w:hAnsi="仿宋" w:eastAsia="仿宋" w:cs="仿宋"/>
          <w:color w:val="auto"/>
          <w:sz w:val="24"/>
          <w:highlight w:val="none"/>
        </w:rPr>
      </w:pPr>
      <w:bookmarkStart w:id="4" w:name="_Toc856_WPSOffice_Level1"/>
      <w:bookmarkStart w:id="5" w:name="_Toc213496267"/>
      <w:bookmarkStart w:id="6" w:name="_Toc213396945"/>
      <w:bookmarkStart w:id="7" w:name="_Toc213397009"/>
      <w:bookmarkStart w:id="8" w:name="_Toc213396759"/>
      <w:bookmarkStart w:id="9" w:name="_Toc217446031"/>
      <w:r>
        <w:rPr>
          <w:rFonts w:hint="eastAsia" w:ascii="仿宋" w:hAnsi="仿宋" w:eastAsia="仿宋" w:cs="仿宋"/>
          <w:color w:val="auto"/>
          <w:sz w:val="24"/>
          <w:highlight w:val="none"/>
        </w:rPr>
        <w:t>项目概况</w:t>
      </w:r>
    </w:p>
    <w:p w14:paraId="2A0575A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新疆农业大学八一会堂明德礼堂采购音响、灯光、吊杆项目</w:t>
      </w:r>
      <w:r>
        <w:rPr>
          <w:rFonts w:hint="eastAsia" w:ascii="仿宋" w:hAnsi="仿宋" w:eastAsia="仿宋" w:cs="仿宋"/>
          <w:color w:val="auto"/>
          <w:sz w:val="24"/>
          <w:highlight w:val="none"/>
        </w:rPr>
        <w:t>招标项目的潜在投标人应在</w:t>
      </w:r>
      <w:r>
        <w:rPr>
          <w:rFonts w:hint="eastAsia" w:ascii="仿宋" w:hAnsi="仿宋" w:eastAsia="仿宋" w:cs="仿宋"/>
          <w:bCs/>
          <w:color w:val="auto"/>
          <w:sz w:val="24"/>
          <w:highlight w:val="none"/>
          <w:u w:val="single"/>
        </w:rPr>
        <w:t>新疆政府采购云平台https://www.zcygov.cn/</w:t>
      </w:r>
      <w:r>
        <w:rPr>
          <w:rFonts w:hint="eastAsia" w:ascii="仿宋" w:hAnsi="仿宋" w:eastAsia="仿宋" w:cs="仿宋"/>
          <w:color w:val="auto"/>
          <w:sz w:val="24"/>
          <w:highlight w:val="none"/>
        </w:rPr>
        <w:t>获取招标文件，并于</w:t>
      </w:r>
      <w:r>
        <w:rPr>
          <w:rFonts w:hint="eastAsia" w:ascii="仿宋" w:hAnsi="仿宋" w:eastAsia="仿宋" w:cs="仿宋"/>
          <w:color w:val="auto"/>
          <w:sz w:val="24"/>
          <w:highlight w:val="none"/>
          <w:u w:val="single"/>
        </w:rPr>
        <w:t>2026</w:t>
      </w:r>
      <w:r>
        <w:rPr>
          <w:rFonts w:hint="eastAsia" w:ascii="仿宋" w:hAnsi="仿宋" w:eastAsia="仿宋" w:cs="仿宋"/>
          <w:bCs/>
          <w:color w:val="auto"/>
          <w:sz w:val="24"/>
          <w:highlight w:val="none"/>
          <w:u w:val="single"/>
        </w:rPr>
        <w:t>年</w:t>
      </w:r>
      <w:r>
        <w:rPr>
          <w:rFonts w:hint="eastAsia" w:ascii="仿宋" w:hAnsi="仿宋" w:eastAsia="仿宋" w:cs="仿宋"/>
          <w:bCs/>
          <w:color w:val="auto"/>
          <w:sz w:val="24"/>
          <w:highlight w:val="none"/>
          <w:u w:val="single"/>
          <w:lang w:eastAsia="zh-CN"/>
        </w:rPr>
        <w:t>06月</w:t>
      </w:r>
      <w:r>
        <w:rPr>
          <w:rFonts w:hint="eastAsia" w:ascii="仿宋" w:hAnsi="仿宋" w:eastAsia="仿宋" w:cs="仿宋"/>
          <w:bCs/>
          <w:color w:val="auto"/>
          <w:sz w:val="24"/>
          <w:highlight w:val="none"/>
          <w:u w:val="single"/>
          <w:lang w:val="en-US" w:eastAsia="zh-CN"/>
        </w:rPr>
        <w:t>24</w:t>
      </w:r>
      <w:r>
        <w:rPr>
          <w:rFonts w:hint="eastAsia" w:ascii="仿宋" w:hAnsi="仿宋" w:eastAsia="仿宋" w:cs="仿宋"/>
          <w:bCs/>
          <w:color w:val="auto"/>
          <w:sz w:val="24"/>
          <w:highlight w:val="none"/>
          <w:u w:val="single"/>
          <w:lang w:eastAsia="zh-CN"/>
        </w:rPr>
        <w:t>日</w:t>
      </w:r>
      <w:r>
        <w:rPr>
          <w:rFonts w:hint="eastAsia" w:ascii="仿宋" w:hAnsi="仿宋" w:eastAsia="仿宋" w:cs="仿宋"/>
          <w:bCs/>
          <w:color w:val="auto"/>
          <w:sz w:val="24"/>
          <w:highlight w:val="none"/>
          <w:u w:val="single"/>
        </w:rPr>
        <w:t>11点00分（</w:t>
      </w:r>
      <w:r>
        <w:rPr>
          <w:rFonts w:hint="eastAsia" w:ascii="仿宋" w:hAnsi="仿宋" w:eastAsia="仿宋" w:cs="仿宋"/>
          <w:bCs/>
          <w:color w:val="auto"/>
          <w:sz w:val="24"/>
          <w:highlight w:val="none"/>
        </w:rPr>
        <w:t>北京时间）前上传投标文件</w:t>
      </w:r>
      <w:r>
        <w:rPr>
          <w:rFonts w:hint="eastAsia" w:ascii="仿宋" w:hAnsi="仿宋" w:eastAsia="仿宋" w:cs="仿宋"/>
          <w:color w:val="auto"/>
          <w:sz w:val="24"/>
          <w:highlight w:val="none"/>
        </w:rPr>
        <w:t>。</w:t>
      </w:r>
    </w:p>
    <w:p w14:paraId="7EFF06D3">
      <w:pPr>
        <w:pStyle w:val="66"/>
        <w:widowControl/>
        <w:adjustRightInd/>
        <w:spacing w:line="360" w:lineRule="auto"/>
        <w:jc w:val="left"/>
        <w:textAlignment w:val="auto"/>
        <w:rPr>
          <w:rFonts w:hint="eastAsia" w:ascii="仿宋" w:hAnsi="仿宋" w:eastAsia="仿宋" w:cs="仿宋"/>
          <w:b/>
          <w:color w:val="auto"/>
          <w:sz w:val="24"/>
          <w:szCs w:val="24"/>
          <w:highlight w:val="none"/>
        </w:rPr>
      </w:pPr>
      <w:bookmarkStart w:id="10" w:name="_Toc28359003"/>
      <w:bookmarkStart w:id="11" w:name="_Toc35393622"/>
      <w:bookmarkStart w:id="12" w:name="_Toc35393791"/>
      <w:bookmarkStart w:id="13" w:name="_Toc28359080"/>
      <w:r>
        <w:rPr>
          <w:rFonts w:hint="eastAsia" w:ascii="仿宋" w:hAnsi="仿宋" w:eastAsia="仿宋" w:cs="仿宋"/>
          <w:b/>
          <w:color w:val="auto"/>
          <w:sz w:val="24"/>
          <w:szCs w:val="24"/>
          <w:highlight w:val="none"/>
        </w:rPr>
        <w:t>一、项目基本情况：</w:t>
      </w:r>
    </w:p>
    <w:p w14:paraId="59851B07">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项目编号：</w:t>
      </w:r>
      <w:r>
        <w:rPr>
          <w:rFonts w:hint="eastAsia" w:ascii="仿宋" w:hAnsi="仿宋" w:eastAsia="仿宋" w:cs="仿宋"/>
          <w:bCs/>
          <w:color w:val="auto"/>
          <w:sz w:val="24"/>
          <w:szCs w:val="24"/>
          <w:highlight w:val="none"/>
          <w:lang w:eastAsia="zh-CN"/>
        </w:rPr>
        <w:t>[2026]9031号</w:t>
      </w:r>
    </w:p>
    <w:p w14:paraId="1B73FB55">
      <w:pPr>
        <w:pStyle w:val="66"/>
        <w:widowControl/>
        <w:adjustRightIn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项目名称：</w:t>
      </w:r>
      <w:r>
        <w:rPr>
          <w:rFonts w:hint="eastAsia" w:ascii="仿宋" w:hAnsi="仿宋" w:eastAsia="仿宋" w:cs="仿宋"/>
          <w:color w:val="auto"/>
          <w:sz w:val="24"/>
          <w:szCs w:val="24"/>
          <w:highlight w:val="none"/>
          <w:lang w:eastAsia="zh-CN"/>
        </w:rPr>
        <w:t>新疆农业大学八一会堂明德礼堂采购音响、灯光、吊杆项目</w:t>
      </w:r>
    </w:p>
    <w:p w14:paraId="5138CB33">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采购方式：公开招标</w:t>
      </w:r>
    </w:p>
    <w:p w14:paraId="7A16C76C">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预算金额（元）：</w:t>
      </w:r>
      <w:r>
        <w:rPr>
          <w:rFonts w:hint="eastAsia" w:ascii="仿宋" w:hAnsi="仿宋" w:eastAsia="仿宋" w:cs="仿宋"/>
          <w:bCs/>
          <w:color w:val="auto"/>
          <w:sz w:val="24"/>
          <w:szCs w:val="24"/>
          <w:highlight w:val="none"/>
          <w:lang w:eastAsia="zh-CN"/>
        </w:rPr>
        <w:t>1480000.00</w:t>
      </w:r>
    </w:p>
    <w:p w14:paraId="7FA1A0B3">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第一包音响最高限价：480000.00元</w:t>
      </w:r>
    </w:p>
    <w:p w14:paraId="11066D53">
      <w:pPr>
        <w:pStyle w:val="66"/>
        <w:widowControl/>
        <w:adjustRightInd/>
        <w:spacing w:line="360" w:lineRule="auto"/>
        <w:ind w:firstLine="480" w:firstLineChars="200"/>
        <w:jc w:val="lef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第二包灯光、吊杆最高限价：1000000.00元</w:t>
      </w:r>
    </w:p>
    <w:p w14:paraId="64B2AD6E">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采购需求：</w:t>
      </w:r>
    </w:p>
    <w:p w14:paraId="08F7A4C1">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标项名称:</w:t>
      </w:r>
      <w:r>
        <w:rPr>
          <w:rFonts w:hint="eastAsia" w:ascii="仿宋" w:hAnsi="仿宋" w:eastAsia="仿宋" w:cs="仿宋"/>
          <w:bCs/>
          <w:color w:val="auto"/>
          <w:sz w:val="24"/>
          <w:szCs w:val="24"/>
          <w:highlight w:val="none"/>
          <w:lang w:eastAsia="zh-CN"/>
        </w:rPr>
        <w:t>新疆农业大学八一会堂明德礼堂采购音响、灯光、吊杆项目（</w:t>
      </w:r>
      <w:r>
        <w:rPr>
          <w:rFonts w:hint="eastAsia" w:ascii="仿宋" w:hAnsi="仿宋" w:eastAsia="仿宋" w:cs="仿宋"/>
          <w:bCs/>
          <w:color w:val="auto"/>
          <w:sz w:val="24"/>
          <w:szCs w:val="24"/>
          <w:highlight w:val="none"/>
          <w:lang w:val="en-US" w:eastAsia="zh-CN"/>
        </w:rPr>
        <w:t>第一包</w:t>
      </w:r>
      <w:r>
        <w:rPr>
          <w:rFonts w:hint="eastAsia" w:ascii="仿宋" w:hAnsi="仿宋" w:eastAsia="仿宋" w:cs="仿宋"/>
          <w:bCs/>
          <w:color w:val="auto"/>
          <w:sz w:val="24"/>
          <w:szCs w:val="24"/>
          <w:highlight w:val="none"/>
          <w:lang w:eastAsia="zh-CN"/>
        </w:rPr>
        <w:t>）</w:t>
      </w:r>
    </w:p>
    <w:p w14:paraId="698C22FE">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highlight w:val="none"/>
        </w:rPr>
      </w:pPr>
    </w:p>
    <w:p w14:paraId="688ACED3">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简要规格描述或项目基本概况介绍、用途：</w:t>
      </w:r>
      <w:r>
        <w:rPr>
          <w:rFonts w:hint="eastAsia" w:ascii="仿宋" w:hAnsi="仿宋" w:eastAsia="仿宋" w:cs="仿宋"/>
          <w:bCs/>
          <w:color w:val="auto"/>
          <w:sz w:val="24"/>
          <w:szCs w:val="24"/>
          <w:highlight w:val="none"/>
          <w:lang w:eastAsia="zh-CN"/>
        </w:rPr>
        <w:t>新疆农业大学八一会堂明德礼堂采购音响</w:t>
      </w:r>
      <w:r>
        <w:rPr>
          <w:rFonts w:hint="eastAsia" w:ascii="仿宋" w:hAnsi="仿宋" w:eastAsia="仿宋" w:cs="仿宋"/>
          <w:bCs/>
          <w:color w:val="auto"/>
          <w:sz w:val="24"/>
          <w:szCs w:val="24"/>
          <w:highlight w:val="none"/>
        </w:rPr>
        <w:t>，内容详见“第四章 招标项目技术要求”；</w:t>
      </w:r>
    </w:p>
    <w:p w14:paraId="08462187">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highlight w:val="none"/>
        </w:rPr>
      </w:pPr>
    </w:p>
    <w:p w14:paraId="74CECA41">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标项名称:</w:t>
      </w:r>
      <w:r>
        <w:rPr>
          <w:rFonts w:hint="eastAsia" w:ascii="仿宋" w:hAnsi="仿宋" w:eastAsia="仿宋" w:cs="仿宋"/>
          <w:bCs/>
          <w:color w:val="auto"/>
          <w:sz w:val="24"/>
          <w:szCs w:val="24"/>
          <w:highlight w:val="none"/>
          <w:lang w:eastAsia="zh-CN"/>
        </w:rPr>
        <w:t>新疆农业大学八一会堂明德礼堂采购音响、灯光、吊杆项目（</w:t>
      </w:r>
      <w:r>
        <w:rPr>
          <w:rFonts w:hint="eastAsia" w:ascii="仿宋" w:hAnsi="仿宋" w:eastAsia="仿宋" w:cs="仿宋"/>
          <w:bCs/>
          <w:color w:val="auto"/>
          <w:sz w:val="24"/>
          <w:szCs w:val="24"/>
          <w:highlight w:val="none"/>
          <w:lang w:val="en-US" w:eastAsia="zh-CN"/>
        </w:rPr>
        <w:t>第二包</w:t>
      </w:r>
      <w:r>
        <w:rPr>
          <w:rFonts w:hint="eastAsia" w:ascii="仿宋" w:hAnsi="仿宋" w:eastAsia="仿宋" w:cs="仿宋"/>
          <w:bCs/>
          <w:color w:val="auto"/>
          <w:sz w:val="24"/>
          <w:szCs w:val="24"/>
          <w:highlight w:val="none"/>
          <w:lang w:eastAsia="zh-CN"/>
        </w:rPr>
        <w:t>）</w:t>
      </w:r>
    </w:p>
    <w:p w14:paraId="65D11221">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简要规格描述或项目基本概况介绍、用途：</w:t>
      </w:r>
      <w:r>
        <w:rPr>
          <w:rFonts w:hint="eastAsia" w:ascii="仿宋" w:hAnsi="仿宋" w:eastAsia="仿宋" w:cs="仿宋"/>
          <w:bCs/>
          <w:color w:val="auto"/>
          <w:sz w:val="24"/>
          <w:szCs w:val="24"/>
          <w:highlight w:val="none"/>
          <w:lang w:eastAsia="zh-CN"/>
        </w:rPr>
        <w:t>新疆农业大学八一会堂明德礼堂采购</w:t>
      </w:r>
      <w:r>
        <w:rPr>
          <w:rFonts w:hint="eastAsia" w:ascii="仿宋" w:hAnsi="仿宋" w:eastAsia="仿宋" w:cs="仿宋"/>
          <w:bCs/>
          <w:color w:val="auto"/>
          <w:sz w:val="24"/>
          <w:szCs w:val="24"/>
          <w:highlight w:val="none"/>
          <w:lang w:val="en-US" w:eastAsia="zh-CN"/>
        </w:rPr>
        <w:t>灯光、吊杆</w:t>
      </w:r>
      <w:r>
        <w:rPr>
          <w:rFonts w:hint="eastAsia" w:ascii="仿宋" w:hAnsi="仿宋" w:eastAsia="仿宋" w:cs="仿宋"/>
          <w:bCs/>
          <w:color w:val="auto"/>
          <w:sz w:val="24"/>
          <w:szCs w:val="24"/>
          <w:highlight w:val="none"/>
        </w:rPr>
        <w:t>，内容详见“第四章 招标项目技术要求”；</w:t>
      </w:r>
    </w:p>
    <w:p w14:paraId="44059B4E">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highlight w:val="none"/>
        </w:rPr>
      </w:pPr>
    </w:p>
    <w:p w14:paraId="74245C6C">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r>
        <w:rPr>
          <w:rFonts w:hint="eastAsia" w:ascii="仿宋" w:hAnsi="仿宋" w:eastAsia="仿宋" w:cs="仿宋"/>
          <w:bCs/>
          <w:color w:val="auto"/>
          <w:sz w:val="24"/>
          <w:szCs w:val="24"/>
          <w:highlight w:val="none"/>
          <w:lang w:val="en-US" w:eastAsia="zh-CN"/>
        </w:rPr>
        <w:t>自合同签订之日起30个日历日</w:t>
      </w:r>
      <w:r>
        <w:rPr>
          <w:rFonts w:hint="eastAsia" w:ascii="仿宋" w:hAnsi="仿宋" w:eastAsia="仿宋" w:cs="仿宋"/>
          <w:bCs/>
          <w:color w:val="auto"/>
          <w:sz w:val="24"/>
          <w:szCs w:val="24"/>
          <w:highlight w:val="none"/>
          <w:lang w:eastAsia="zh-CN"/>
        </w:rPr>
        <w:t>完成设备的供货、安装、调试、培训等，且验收合格；</w:t>
      </w:r>
    </w:p>
    <w:p w14:paraId="2A4F1128">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本项目（否）接受联合体投标。</w:t>
      </w:r>
    </w:p>
    <w:p w14:paraId="53811B57">
      <w:pPr>
        <w:pStyle w:val="66"/>
        <w:widowControl/>
        <w:adjustRightIn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二、申请人的资格要求：</w:t>
      </w:r>
      <w:bookmarkEnd w:id="10"/>
      <w:bookmarkEnd w:id="11"/>
      <w:bookmarkEnd w:id="12"/>
      <w:bookmarkEnd w:id="13"/>
    </w:p>
    <w:p w14:paraId="584830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0286675F">
      <w:pPr>
        <w:spacing w:line="360" w:lineRule="auto"/>
        <w:ind w:firstLine="480" w:firstLineChars="200"/>
        <w:rPr>
          <w:rFonts w:hint="eastAsia" w:ascii="仿宋" w:hAnsi="仿宋" w:eastAsia="仿宋" w:cs="仿宋"/>
          <w:color w:val="auto"/>
          <w:sz w:val="24"/>
          <w:highlight w:val="none"/>
        </w:rPr>
      </w:pPr>
      <w:bookmarkStart w:id="14" w:name="_Toc28359004"/>
      <w:bookmarkStart w:id="15" w:name="_Toc28359081"/>
      <w:r>
        <w:rPr>
          <w:rFonts w:hint="eastAsia" w:ascii="仿宋" w:hAnsi="仿宋" w:eastAsia="仿宋" w:cs="仿宋"/>
          <w:color w:val="auto"/>
          <w:sz w:val="24"/>
          <w:highlight w:val="none"/>
        </w:rPr>
        <w:t>2.落实政府采购政策需满足的资格要求：本项目为专门面向中小企业（含中型、小型、微型企业）采购项目；</w:t>
      </w:r>
    </w:p>
    <w:p w14:paraId="67DA9D9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4B60CE52">
      <w:pPr>
        <w:pStyle w:val="66"/>
        <w:widowControl/>
        <w:adjustRightInd/>
        <w:spacing w:line="360" w:lineRule="auto"/>
        <w:jc w:val="left"/>
        <w:textAlignment w:val="auto"/>
        <w:rPr>
          <w:rFonts w:hint="eastAsia" w:ascii="仿宋" w:hAnsi="仿宋" w:eastAsia="仿宋" w:cs="仿宋"/>
          <w:b/>
          <w:color w:val="auto"/>
          <w:sz w:val="24"/>
          <w:szCs w:val="24"/>
          <w:highlight w:val="none"/>
        </w:rPr>
      </w:pPr>
      <w:bookmarkStart w:id="16" w:name="_Toc35393792"/>
      <w:bookmarkStart w:id="17" w:name="_Toc35393623"/>
      <w:r>
        <w:rPr>
          <w:rFonts w:hint="eastAsia" w:ascii="仿宋" w:hAnsi="仿宋" w:eastAsia="仿宋" w:cs="仿宋"/>
          <w:b/>
          <w:color w:val="auto"/>
          <w:sz w:val="24"/>
          <w:szCs w:val="24"/>
          <w:highlight w:val="none"/>
        </w:rPr>
        <w:t>三、获取招标文件</w:t>
      </w:r>
      <w:bookmarkEnd w:id="14"/>
      <w:bookmarkEnd w:id="15"/>
      <w:bookmarkEnd w:id="16"/>
      <w:bookmarkEnd w:id="17"/>
    </w:p>
    <w:p w14:paraId="22ACB6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时间：2026年0</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02</w:t>
      </w:r>
      <w:r>
        <w:rPr>
          <w:rFonts w:hint="eastAsia" w:ascii="仿宋" w:hAnsi="仿宋" w:eastAsia="仿宋" w:cs="仿宋"/>
          <w:color w:val="auto"/>
          <w:sz w:val="24"/>
          <w:highlight w:val="none"/>
        </w:rPr>
        <w:t>日至2026年0</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日，每天上午00:00至1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:00，下午1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：00至23:59（北京时间，线上获取法定节假日均可）</w:t>
      </w:r>
    </w:p>
    <w:p w14:paraId="5D5CFC35">
      <w:pPr>
        <w:spacing w:line="360" w:lineRule="auto"/>
        <w:ind w:firstLine="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点：投标人登陆政采云平台http://www.zcygov.cn/，在线申请获取招标文件（登录政府采购云平台→项目采购→获取招标文件→申请，审核通过后可下载招标文件，如有操作性问题，可与政采云在线客服进行咨询，咨询电话：95763）。</w:t>
      </w:r>
    </w:p>
    <w:p w14:paraId="097A6762">
      <w:pPr>
        <w:spacing w:line="360" w:lineRule="auto"/>
        <w:ind w:firstLine="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方式：投标人登录新疆政府采购云平台https://www.zcygov.cn/在线申请获取招标文件（登录政府采购云平台→项目采购→获取招标文件→申请，审核通过后可下载招标文件）。</w:t>
      </w:r>
    </w:p>
    <w:p w14:paraId="5E52F114">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售价：0元</w:t>
      </w:r>
    </w:p>
    <w:p w14:paraId="7298AF18">
      <w:pPr>
        <w:pStyle w:val="66"/>
        <w:widowControl/>
        <w:adjustRightInd/>
        <w:spacing w:line="360" w:lineRule="auto"/>
        <w:jc w:val="left"/>
        <w:textAlignment w:val="auto"/>
        <w:rPr>
          <w:rFonts w:hint="eastAsia" w:ascii="仿宋" w:hAnsi="仿宋" w:eastAsia="仿宋" w:cs="仿宋"/>
          <w:b/>
          <w:color w:val="auto"/>
          <w:sz w:val="24"/>
          <w:szCs w:val="24"/>
          <w:highlight w:val="none"/>
        </w:rPr>
      </w:pPr>
      <w:bookmarkStart w:id="18" w:name="_Toc28359005"/>
      <w:bookmarkStart w:id="19" w:name="_Toc28359082"/>
      <w:bookmarkStart w:id="20" w:name="_Toc35393624"/>
      <w:bookmarkStart w:id="21" w:name="_Toc35393793"/>
      <w:r>
        <w:rPr>
          <w:rFonts w:hint="eastAsia" w:ascii="仿宋" w:hAnsi="仿宋" w:eastAsia="仿宋" w:cs="仿宋"/>
          <w:b/>
          <w:color w:val="auto"/>
          <w:sz w:val="24"/>
          <w:szCs w:val="24"/>
          <w:highlight w:val="none"/>
        </w:rPr>
        <w:t>四、提交投标文件</w:t>
      </w:r>
      <w:bookmarkEnd w:id="18"/>
      <w:bookmarkEnd w:id="19"/>
      <w:r>
        <w:rPr>
          <w:rFonts w:hint="eastAsia" w:ascii="仿宋" w:hAnsi="仿宋" w:eastAsia="仿宋" w:cs="仿宋"/>
          <w:b/>
          <w:color w:val="auto"/>
          <w:sz w:val="24"/>
          <w:szCs w:val="24"/>
          <w:highlight w:val="none"/>
        </w:rPr>
        <w:t>截止时间、开标时间和地点</w:t>
      </w:r>
      <w:bookmarkEnd w:id="20"/>
      <w:bookmarkEnd w:id="21"/>
    </w:p>
    <w:p w14:paraId="19220A93">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提交投标文件截止时间：2026年</w:t>
      </w:r>
      <w:r>
        <w:rPr>
          <w:rFonts w:hint="eastAsia" w:ascii="仿宋" w:hAnsi="仿宋" w:eastAsia="仿宋" w:cs="仿宋"/>
          <w:color w:val="auto"/>
          <w:sz w:val="24"/>
          <w:highlight w:val="none"/>
          <w:lang w:eastAsia="zh-CN"/>
        </w:rPr>
        <w:t>06月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rPr>
        <w:t>11点00分（北京时间）</w:t>
      </w:r>
    </w:p>
    <w:p w14:paraId="4BD0431B">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开标时间：2026年</w:t>
      </w:r>
      <w:r>
        <w:rPr>
          <w:rFonts w:hint="eastAsia" w:ascii="仿宋" w:hAnsi="仿宋" w:eastAsia="仿宋" w:cs="仿宋"/>
          <w:color w:val="auto"/>
          <w:sz w:val="24"/>
          <w:highlight w:val="none"/>
          <w:lang w:eastAsia="zh-CN"/>
        </w:rPr>
        <w:t>06月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rPr>
        <w:t>11点00分（北京时间）</w:t>
      </w:r>
    </w:p>
    <w:p w14:paraId="037F8B3B">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bookmarkStart w:id="22" w:name="_Toc28359084"/>
      <w:bookmarkStart w:id="23" w:name="_Toc35393794"/>
      <w:bookmarkStart w:id="24" w:name="_Toc28359007"/>
      <w:bookmarkStart w:id="25" w:name="_Toc35393625"/>
      <w:r>
        <w:rPr>
          <w:rFonts w:hint="eastAsia" w:ascii="仿宋" w:hAnsi="仿宋" w:eastAsia="仿宋" w:cs="仿宋"/>
          <w:color w:val="auto"/>
          <w:sz w:val="24"/>
          <w:highlight w:val="none"/>
        </w:rPr>
        <w:t>政采云平台http://www.zcygov.cn/</w:t>
      </w:r>
    </w:p>
    <w:p w14:paraId="7026A30F">
      <w:pPr>
        <w:pStyle w:val="66"/>
        <w:widowControl/>
        <w:adjustRightIn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五、公告期限</w:t>
      </w:r>
      <w:bookmarkEnd w:id="22"/>
      <w:bookmarkEnd w:id="23"/>
      <w:bookmarkEnd w:id="24"/>
      <w:bookmarkEnd w:id="25"/>
    </w:p>
    <w:p w14:paraId="068DA0B3">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204EAF5E">
      <w:pPr>
        <w:pStyle w:val="66"/>
        <w:widowControl/>
        <w:adjustRightInd/>
        <w:spacing w:line="360" w:lineRule="auto"/>
        <w:jc w:val="left"/>
        <w:textAlignment w:val="auto"/>
        <w:rPr>
          <w:rFonts w:hint="eastAsia" w:ascii="仿宋" w:hAnsi="仿宋" w:eastAsia="仿宋" w:cs="仿宋"/>
          <w:b/>
          <w:color w:val="auto"/>
          <w:sz w:val="24"/>
          <w:szCs w:val="24"/>
          <w:highlight w:val="none"/>
        </w:rPr>
      </w:pPr>
      <w:bookmarkStart w:id="26" w:name="_Toc35393626"/>
      <w:bookmarkStart w:id="27" w:name="_Toc35393795"/>
      <w:r>
        <w:rPr>
          <w:rFonts w:hint="eastAsia" w:ascii="仿宋" w:hAnsi="仿宋" w:eastAsia="仿宋" w:cs="仿宋"/>
          <w:b/>
          <w:color w:val="auto"/>
          <w:sz w:val="24"/>
          <w:szCs w:val="24"/>
          <w:highlight w:val="none"/>
        </w:rPr>
        <w:t>六、其他补充事宜</w:t>
      </w:r>
      <w:bookmarkEnd w:id="26"/>
      <w:bookmarkEnd w:id="27"/>
    </w:p>
    <w:p w14:paraId="001CE500">
      <w:pPr>
        <w:pStyle w:val="66"/>
        <w:widowControl/>
        <w:adjustRightInd/>
        <w:spacing w:line="360" w:lineRule="auto"/>
        <w:ind w:left="420" w:leftChars="200"/>
        <w:jc w:val="left"/>
        <w:textAlignment w:val="auto"/>
        <w:rPr>
          <w:rFonts w:hint="eastAsia" w:ascii="仿宋" w:hAnsi="仿宋" w:eastAsia="仿宋" w:cs="仿宋"/>
          <w:bCs/>
          <w:color w:val="auto"/>
          <w:sz w:val="24"/>
          <w:szCs w:val="24"/>
          <w:highlight w:val="none"/>
        </w:rPr>
      </w:pPr>
      <w:bookmarkStart w:id="28" w:name="_Toc35393627"/>
      <w:bookmarkStart w:id="29" w:name="_Toc35393796"/>
      <w:bookmarkStart w:id="30" w:name="_Toc28359085"/>
      <w:bookmarkStart w:id="31" w:name="_Toc28359008"/>
      <w:r>
        <w:rPr>
          <w:rFonts w:hint="eastAsia" w:ascii="仿宋" w:hAnsi="仿宋" w:eastAsia="仿宋" w:cs="仿宋"/>
          <w:bCs/>
          <w:color w:val="auto"/>
          <w:sz w:val="24"/>
          <w:szCs w:val="24"/>
          <w:highlight w:val="none"/>
        </w:rPr>
        <w:t>1.本项目实行电子招投标，供应商须登录政采云平台申请获取采购文件，并需要使用CA锁，登录政采云电子投标客户端制作投标文件，若供应商参与投标,自行承担与投标有关的一切费用。</w:t>
      </w:r>
    </w:p>
    <w:p w14:paraId="02D52CB8">
      <w:pPr>
        <w:pStyle w:val="66"/>
        <w:widowControl/>
        <w:adjustRightInd/>
        <w:spacing w:line="360" w:lineRule="auto"/>
        <w:ind w:left="420" w:left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19574916">
      <w:pPr>
        <w:pStyle w:val="66"/>
        <w:widowControl/>
        <w:adjustRightInd/>
        <w:spacing w:line="360" w:lineRule="auto"/>
        <w:ind w:left="420" w:left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3.供应商可前往新疆政府采购网（http://www.ccgp-xinjiang.gov.cn/）下载专区，下载政采云电子投标客户端，安装完成后，可通过账号密码或CA登录客户端进行投标文件制作。</w:t>
      </w:r>
    </w:p>
    <w:p w14:paraId="54B716C6">
      <w:pPr>
        <w:pStyle w:val="66"/>
        <w:widowControl/>
        <w:adjustRightInd/>
        <w:spacing w:line="360" w:lineRule="auto"/>
        <w:ind w:left="420" w:left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4.供应商在开标时须携带制作加密电子投标文件所使用的CA锁，电脑须提前配置好浏览器，以便开标时在线解密。</w:t>
      </w:r>
    </w:p>
    <w:p w14:paraId="03EFFFCF">
      <w:pPr>
        <w:pStyle w:val="66"/>
        <w:widowControl/>
        <w:adjustRightInd/>
        <w:spacing w:line="360" w:lineRule="auto"/>
        <w:ind w:left="420" w:left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5.投标供应商应当在投标截止时间前，将生成的“电子加密投标文件”上传递交至“政府采购云平台”，投标截止时间以后上传递交的投标文件将被“政府采购云平台”拒收。</w:t>
      </w:r>
    </w:p>
    <w:p w14:paraId="7C8B7C31">
      <w:pPr>
        <w:pStyle w:val="66"/>
        <w:widowControl/>
        <w:adjustRightIn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七、对本次招标提出询问，请按以下方式联系</w:t>
      </w:r>
      <w:bookmarkEnd w:id="28"/>
      <w:bookmarkEnd w:id="29"/>
      <w:bookmarkEnd w:id="30"/>
      <w:bookmarkEnd w:id="31"/>
      <w:r>
        <w:rPr>
          <w:rFonts w:hint="eastAsia" w:ascii="仿宋" w:hAnsi="仿宋" w:eastAsia="仿宋" w:cs="仿宋"/>
          <w:b/>
          <w:color w:val="auto"/>
          <w:sz w:val="24"/>
          <w:szCs w:val="24"/>
          <w:highlight w:val="none"/>
        </w:rPr>
        <w:t>：</w:t>
      </w:r>
    </w:p>
    <w:p w14:paraId="1A6EA973">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25F11BE6">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称：新疆农业大学</w:t>
      </w:r>
    </w:p>
    <w:p w14:paraId="130D202D">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址：乌鲁木齐市沙依巴克区农大东路311号</w:t>
      </w:r>
    </w:p>
    <w:p w14:paraId="0FDDB614">
      <w:pPr>
        <w:spacing w:line="360" w:lineRule="auto"/>
        <w:ind w:firstLine="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张</w:t>
      </w:r>
      <w:r>
        <w:rPr>
          <w:rFonts w:hint="eastAsia" w:ascii="仿宋" w:hAnsi="仿宋" w:eastAsia="仿宋" w:cs="仿宋"/>
          <w:color w:val="auto"/>
          <w:sz w:val="24"/>
          <w:highlight w:val="none"/>
          <w:lang w:val="en-US" w:eastAsia="zh-CN"/>
        </w:rPr>
        <w:t>老师</w:t>
      </w:r>
    </w:p>
    <w:p w14:paraId="42F9B4F7">
      <w:pPr>
        <w:spacing w:line="360" w:lineRule="auto"/>
        <w:ind w:firstLine="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eastAsia="zh-CN"/>
        </w:rPr>
        <w:t>13150335257</w:t>
      </w:r>
    </w:p>
    <w:p w14:paraId="3EE1408F">
      <w:pPr>
        <w:spacing w:line="360" w:lineRule="auto"/>
        <w:ind w:firstLine="540"/>
        <w:rPr>
          <w:rFonts w:hint="eastAsia" w:ascii="仿宋" w:hAnsi="仿宋" w:eastAsia="仿宋" w:cs="仿宋"/>
          <w:color w:val="auto"/>
          <w:sz w:val="24"/>
          <w:highlight w:val="none"/>
        </w:rPr>
      </w:pPr>
      <w:bookmarkStart w:id="32" w:name="_Toc28359086"/>
      <w:bookmarkStart w:id="33" w:name="_Toc28359009"/>
    </w:p>
    <w:p w14:paraId="1E7AC2F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32"/>
      <w:bookmarkEnd w:id="33"/>
    </w:p>
    <w:p w14:paraId="2F1454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称：新疆拓源工程管理咨询有限公司</w:t>
      </w:r>
    </w:p>
    <w:p w14:paraId="56B8C0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址：乌鲁木齐市水磨沟区龙盛街898号万科中央公园S6栋5层</w:t>
      </w:r>
    </w:p>
    <w:p w14:paraId="0832711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项目联系人：金山虎、黄莎莎</w:t>
      </w:r>
    </w:p>
    <w:p w14:paraId="73B0150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话：13209920205、15099530785</w:t>
      </w:r>
    </w:p>
    <w:p w14:paraId="25F5C39E">
      <w:pPr>
        <w:pStyle w:val="4"/>
        <w:rPr>
          <w:rFonts w:hint="eastAsia" w:ascii="仿宋" w:hAnsi="仿宋" w:eastAsia="仿宋" w:cs="仿宋"/>
          <w:color w:val="auto"/>
          <w:highlight w:val="none"/>
        </w:rPr>
      </w:pPr>
      <w:r>
        <w:rPr>
          <w:rFonts w:hint="eastAsia" w:ascii="仿宋" w:hAnsi="仿宋" w:eastAsia="仿宋" w:cs="仿宋"/>
          <w:color w:val="auto"/>
          <w:szCs w:val="24"/>
          <w:highlight w:val="none"/>
        </w:rPr>
        <w:br w:type="page"/>
      </w:r>
      <w:bookmarkStart w:id="34" w:name="_Toc20968"/>
      <w:bookmarkStart w:id="35" w:name="_Toc28983"/>
      <w:bookmarkStart w:id="36" w:name="_Toc14336"/>
      <w:r>
        <w:rPr>
          <w:rFonts w:hint="eastAsia" w:ascii="仿宋" w:hAnsi="仿宋" w:eastAsia="仿宋" w:cs="仿宋"/>
          <w:color w:val="auto"/>
          <w:highlight w:val="none"/>
        </w:rPr>
        <w:t>第二章  投标人须知</w:t>
      </w:r>
      <w:bookmarkEnd w:id="4"/>
      <w:bookmarkEnd w:id="5"/>
      <w:bookmarkEnd w:id="6"/>
      <w:bookmarkEnd w:id="7"/>
      <w:bookmarkEnd w:id="8"/>
      <w:bookmarkEnd w:id="9"/>
      <w:bookmarkEnd w:id="34"/>
      <w:bookmarkEnd w:id="35"/>
      <w:bookmarkEnd w:id="36"/>
    </w:p>
    <w:p w14:paraId="19402268">
      <w:pPr>
        <w:keepNext/>
        <w:keepLines/>
        <w:spacing w:line="360" w:lineRule="auto"/>
        <w:jc w:val="center"/>
        <w:outlineLvl w:val="1"/>
        <w:rPr>
          <w:rFonts w:hint="eastAsia" w:ascii="仿宋" w:hAnsi="仿宋" w:eastAsia="仿宋" w:cs="仿宋"/>
          <w:b/>
          <w:bCs/>
          <w:color w:val="auto"/>
          <w:sz w:val="24"/>
          <w:highlight w:val="none"/>
        </w:rPr>
      </w:pPr>
      <w:bookmarkStart w:id="37" w:name="_Toc213396760"/>
      <w:bookmarkStart w:id="38" w:name="_Toc213396946"/>
      <w:bookmarkStart w:id="39" w:name="_Toc213496268"/>
      <w:bookmarkStart w:id="40" w:name="_Toc217446032"/>
      <w:bookmarkStart w:id="41" w:name="_Toc189727030"/>
      <w:bookmarkStart w:id="42" w:name="_Toc28950"/>
      <w:bookmarkStart w:id="43" w:name="_Toc213397010"/>
      <w:r>
        <w:rPr>
          <w:rFonts w:hint="eastAsia" w:ascii="仿宋" w:hAnsi="仿宋" w:eastAsia="仿宋" w:cs="仿宋"/>
          <w:b/>
          <w:bCs/>
          <w:color w:val="auto"/>
          <w:sz w:val="24"/>
          <w:highlight w:val="none"/>
        </w:rPr>
        <w:t>一、投标人须知前附表</w:t>
      </w:r>
      <w:bookmarkEnd w:id="37"/>
      <w:bookmarkEnd w:id="38"/>
      <w:bookmarkEnd w:id="39"/>
      <w:bookmarkEnd w:id="40"/>
      <w:bookmarkEnd w:id="41"/>
      <w:bookmarkEnd w:id="42"/>
      <w:bookmarkEnd w:id="43"/>
    </w:p>
    <w:tbl>
      <w:tblPr>
        <w:tblStyle w:val="3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311"/>
        <w:gridCol w:w="6645"/>
      </w:tblGrid>
      <w:tr w14:paraId="303D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4" w:type="dxa"/>
            <w:vAlign w:val="center"/>
          </w:tcPr>
          <w:p w14:paraId="2822E130">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11" w:type="dxa"/>
            <w:vAlign w:val="center"/>
          </w:tcPr>
          <w:p w14:paraId="7C47AC8E">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6645" w:type="dxa"/>
            <w:vAlign w:val="center"/>
          </w:tcPr>
          <w:p w14:paraId="5B940A3E">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内容</w:t>
            </w:r>
          </w:p>
        </w:tc>
      </w:tr>
      <w:tr w14:paraId="0447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F0897C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11" w:type="dxa"/>
            <w:vAlign w:val="center"/>
          </w:tcPr>
          <w:p w14:paraId="072E3B6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645" w:type="dxa"/>
            <w:vAlign w:val="center"/>
          </w:tcPr>
          <w:p w14:paraId="1D37EA52">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称：新疆农业大学</w:t>
            </w:r>
          </w:p>
          <w:p w14:paraId="1AEB0B7B">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址：乌鲁木齐市沙依巴克区农大东路311号</w:t>
            </w:r>
          </w:p>
          <w:p w14:paraId="45BAB4D3">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张</w:t>
            </w:r>
            <w:r>
              <w:rPr>
                <w:rFonts w:hint="eastAsia" w:ascii="仿宋" w:hAnsi="仿宋" w:eastAsia="仿宋" w:cs="仿宋"/>
                <w:color w:val="auto"/>
                <w:sz w:val="24"/>
                <w:highlight w:val="none"/>
                <w:lang w:val="en-US" w:eastAsia="zh-CN"/>
              </w:rPr>
              <w:t>老师</w:t>
            </w:r>
          </w:p>
          <w:p w14:paraId="0AC63BFC">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eastAsia="zh-CN"/>
              </w:rPr>
              <w:t>13150335257</w:t>
            </w:r>
          </w:p>
        </w:tc>
      </w:tr>
      <w:tr w14:paraId="2E5F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8CDB0B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11" w:type="dxa"/>
            <w:vAlign w:val="center"/>
          </w:tcPr>
          <w:p w14:paraId="6B270CF4">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6645" w:type="dxa"/>
            <w:vAlign w:val="center"/>
          </w:tcPr>
          <w:p w14:paraId="5D91667B">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称：新疆拓源工程管理咨询有限公司</w:t>
            </w:r>
          </w:p>
          <w:p w14:paraId="4A94D32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zh-CN"/>
              </w:rPr>
              <w:t>乌鲁木齐市水磨沟区龙盛街898号万科中央公园S6栋5层</w:t>
            </w:r>
          </w:p>
          <w:p w14:paraId="27182AEB">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项目联系人：金山虎、黄莎莎 </w:t>
            </w:r>
          </w:p>
          <w:p w14:paraId="47407B92">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  话：13209920205、15099530785 </w:t>
            </w:r>
          </w:p>
        </w:tc>
      </w:tr>
      <w:tr w14:paraId="2877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24D39F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311" w:type="dxa"/>
            <w:vAlign w:val="center"/>
          </w:tcPr>
          <w:p w14:paraId="6217D04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645" w:type="dxa"/>
            <w:vAlign w:val="center"/>
          </w:tcPr>
          <w:p w14:paraId="3BCD04F2">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新疆农业大学八一会堂明德礼堂采购音响、灯光、吊杆项目</w:t>
            </w:r>
          </w:p>
        </w:tc>
      </w:tr>
      <w:tr w14:paraId="6EFF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306A68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311" w:type="dxa"/>
            <w:vAlign w:val="center"/>
          </w:tcPr>
          <w:p w14:paraId="03D6A54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645" w:type="dxa"/>
            <w:vAlign w:val="center"/>
          </w:tcPr>
          <w:p w14:paraId="71E4F262">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[2026]9031号</w:t>
            </w:r>
          </w:p>
        </w:tc>
      </w:tr>
      <w:tr w14:paraId="21E1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2254E4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311" w:type="dxa"/>
            <w:vAlign w:val="center"/>
          </w:tcPr>
          <w:p w14:paraId="254340F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资金来源、预算金额及最高限价</w:t>
            </w:r>
          </w:p>
        </w:tc>
        <w:tc>
          <w:tcPr>
            <w:tcW w:w="6645" w:type="dxa"/>
            <w:vAlign w:val="center"/>
          </w:tcPr>
          <w:p w14:paraId="2D5E0AC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资金来源：中央支持地方高校改革发展资金</w:t>
            </w:r>
          </w:p>
          <w:p w14:paraId="3259504E">
            <w:pPr>
              <w:pStyle w:val="41"/>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bCs/>
                <w:color w:val="auto"/>
                <w:sz w:val="24"/>
                <w:szCs w:val="24"/>
                <w:highlight w:val="none"/>
                <w:lang w:eastAsia="zh-CN"/>
              </w:rPr>
              <w:t>1480000.00</w:t>
            </w:r>
            <w:r>
              <w:rPr>
                <w:rFonts w:hint="eastAsia" w:ascii="仿宋" w:hAnsi="仿宋" w:eastAsia="仿宋" w:cs="仿宋"/>
                <w:bCs/>
                <w:color w:val="auto"/>
                <w:sz w:val="24"/>
                <w:szCs w:val="24"/>
                <w:highlight w:val="none"/>
              </w:rPr>
              <w:t>元</w:t>
            </w:r>
          </w:p>
          <w:p w14:paraId="677E68BC">
            <w:pPr>
              <w:pStyle w:val="41"/>
              <w:snapToGrid w:val="0"/>
              <w:spacing w:line="360" w:lineRule="auto"/>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最高限价</w:t>
            </w:r>
            <w:r>
              <w:rPr>
                <w:rFonts w:hint="eastAsia" w:ascii="仿宋" w:hAnsi="仿宋" w:eastAsia="仿宋" w:cs="仿宋"/>
                <w:b/>
                <w:bCs/>
                <w:color w:val="auto"/>
                <w:sz w:val="24"/>
                <w:szCs w:val="24"/>
                <w:highlight w:val="none"/>
                <w:lang w:val="en-US" w:eastAsia="zh-CN"/>
              </w:rPr>
              <w:t>:</w:t>
            </w:r>
          </w:p>
          <w:p w14:paraId="23A7C4F4">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第一包：480000</w:t>
            </w:r>
            <w:r>
              <w:rPr>
                <w:rFonts w:hint="eastAsia" w:ascii="仿宋" w:hAnsi="仿宋" w:eastAsia="仿宋" w:cs="仿宋"/>
                <w:b/>
                <w:bCs/>
                <w:color w:val="auto"/>
                <w:sz w:val="24"/>
                <w:highlight w:val="none"/>
                <w:lang w:val="en-US" w:eastAsia="zh-CN"/>
              </w:rPr>
              <w:t>.00</w:t>
            </w:r>
            <w:r>
              <w:rPr>
                <w:rFonts w:hint="eastAsia" w:ascii="仿宋" w:hAnsi="仿宋" w:eastAsia="仿宋" w:cs="仿宋"/>
                <w:b/>
                <w:bCs/>
                <w:color w:val="auto"/>
                <w:sz w:val="24"/>
                <w:highlight w:val="none"/>
              </w:rPr>
              <w:t>元</w:t>
            </w:r>
          </w:p>
          <w:p w14:paraId="5993E8E4">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第二包</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1000000</w:t>
            </w:r>
            <w:r>
              <w:rPr>
                <w:rFonts w:hint="eastAsia" w:ascii="仿宋" w:hAnsi="仿宋" w:eastAsia="仿宋" w:cs="仿宋"/>
                <w:b/>
                <w:bCs/>
                <w:color w:val="auto"/>
                <w:sz w:val="24"/>
                <w:highlight w:val="none"/>
                <w:lang w:val="en-US" w:eastAsia="zh-CN"/>
              </w:rPr>
              <w:t>.00</w:t>
            </w:r>
            <w:r>
              <w:rPr>
                <w:rFonts w:hint="eastAsia" w:ascii="仿宋" w:hAnsi="仿宋" w:eastAsia="仿宋" w:cs="仿宋"/>
                <w:b/>
                <w:bCs/>
                <w:color w:val="auto"/>
                <w:sz w:val="24"/>
                <w:highlight w:val="none"/>
              </w:rPr>
              <w:t>元</w:t>
            </w:r>
          </w:p>
          <w:p w14:paraId="4A188032">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投标人报价不得高于最高投标限价，如超过上述最高投标限价的投标无效</w:t>
            </w:r>
            <w:r>
              <w:rPr>
                <w:rFonts w:hint="eastAsia" w:ascii="仿宋" w:hAnsi="仿宋" w:eastAsia="仿宋" w:cs="仿宋"/>
                <w:b/>
                <w:color w:val="auto"/>
                <w:sz w:val="24"/>
                <w:highlight w:val="none"/>
              </w:rPr>
              <w:t>。</w:t>
            </w:r>
          </w:p>
        </w:tc>
      </w:tr>
      <w:tr w14:paraId="2D99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B00638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311" w:type="dxa"/>
            <w:vAlign w:val="center"/>
          </w:tcPr>
          <w:p w14:paraId="0A7B695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tc>
        <w:tc>
          <w:tcPr>
            <w:tcW w:w="6645" w:type="dxa"/>
            <w:vAlign w:val="center"/>
          </w:tcPr>
          <w:p w14:paraId="0A9F063E">
            <w:pPr>
              <w:pStyle w:val="41"/>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新疆农业大学八一会堂明德礼堂采购音响，内容详见“第四章 招标项目技术要求”；</w:t>
            </w:r>
          </w:p>
          <w:p w14:paraId="29B3C935">
            <w:pPr>
              <w:pStyle w:val="41"/>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新疆农业大学八一会堂明德礼堂采购灯光、吊杆，内容详见“第四章 招标项目技术要求”；</w:t>
            </w:r>
          </w:p>
        </w:tc>
      </w:tr>
      <w:tr w14:paraId="6473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EC3EF7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311" w:type="dxa"/>
            <w:vAlign w:val="center"/>
          </w:tcPr>
          <w:p w14:paraId="64A8BB9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标段（包）划分</w:t>
            </w:r>
          </w:p>
        </w:tc>
        <w:tc>
          <w:tcPr>
            <w:tcW w:w="6645" w:type="dxa"/>
            <w:vAlign w:val="center"/>
          </w:tcPr>
          <w:p w14:paraId="10ECE643">
            <w:pPr>
              <w:pStyle w:val="66"/>
              <w:widowControl/>
              <w:adjustRightInd/>
              <w:spacing w:line="360" w:lineRule="auto"/>
              <w:ind w:firstLine="0" w:firstLine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本项目总共划分为</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个标段（包）</w:t>
            </w:r>
          </w:p>
        </w:tc>
      </w:tr>
      <w:tr w14:paraId="093F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E651C1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311" w:type="dxa"/>
            <w:vAlign w:val="center"/>
          </w:tcPr>
          <w:p w14:paraId="4F7FC21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合同履约期限</w:t>
            </w:r>
          </w:p>
        </w:tc>
        <w:tc>
          <w:tcPr>
            <w:tcW w:w="6645" w:type="dxa"/>
            <w:vAlign w:val="center"/>
          </w:tcPr>
          <w:p w14:paraId="4094AB04">
            <w:pPr>
              <w:pStyle w:val="41"/>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自合同签订之日起30个日历日</w:t>
            </w:r>
            <w:r>
              <w:rPr>
                <w:rFonts w:hint="eastAsia" w:ascii="仿宋" w:hAnsi="仿宋" w:eastAsia="仿宋" w:cs="仿宋"/>
                <w:bCs/>
                <w:color w:val="auto"/>
                <w:sz w:val="24"/>
                <w:szCs w:val="24"/>
                <w:highlight w:val="none"/>
                <w:lang w:eastAsia="zh-CN"/>
              </w:rPr>
              <w:t>完成设备的供货、安装、调试、培训等，且验收合格；</w:t>
            </w:r>
          </w:p>
        </w:tc>
      </w:tr>
      <w:tr w14:paraId="5EAF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C130EB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311" w:type="dxa"/>
            <w:vAlign w:val="center"/>
          </w:tcPr>
          <w:p w14:paraId="0F0F0ADA">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质保期</w:t>
            </w:r>
          </w:p>
        </w:tc>
        <w:tc>
          <w:tcPr>
            <w:tcW w:w="6645" w:type="dxa"/>
            <w:vAlign w:val="center"/>
          </w:tcPr>
          <w:p w14:paraId="1799814A">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货物综合验收合格之日起3年。</w:t>
            </w:r>
          </w:p>
        </w:tc>
      </w:tr>
      <w:tr w14:paraId="39F2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F9C6A3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311" w:type="dxa"/>
            <w:vAlign w:val="center"/>
          </w:tcPr>
          <w:p w14:paraId="101504A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落实的政府采购政策</w:t>
            </w:r>
          </w:p>
        </w:tc>
        <w:tc>
          <w:tcPr>
            <w:tcW w:w="6645" w:type="dxa"/>
            <w:vAlign w:val="center"/>
          </w:tcPr>
          <w:p w14:paraId="0BF5F909">
            <w:pPr>
              <w:numPr>
                <w:ilvl w:val="0"/>
                <w:numId w:val="0"/>
              </w:numPr>
              <w:snapToGrid w:val="0"/>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szCs w:val="24"/>
                <w:highlight w:val="none"/>
                <w:lang w:val="en-US" w:eastAsia="zh-CN" w:bidi="ar-SA"/>
              </w:rPr>
              <w:t>1、</w:t>
            </w:r>
            <w:r>
              <w:rPr>
                <w:rFonts w:hint="eastAsia" w:ascii="仿宋" w:hAnsi="仿宋" w:eastAsia="仿宋" w:cs="仿宋"/>
                <w:bCs/>
                <w:color w:val="auto"/>
                <w:kern w:val="0"/>
                <w:sz w:val="24"/>
                <w:highlight w:val="none"/>
              </w:rPr>
              <w:t>本项目为专门面向中小企业（含中型、小型、微型企业）采购项目，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投标人在投标文件中提交《中小企业声明函》、《残疾人福利性单位声明函》或省级以上监狱管理局、戒毒管理局（含新疆生产建设兵团）出具的属于监狱企业的证明文件</w:t>
            </w:r>
            <w:r>
              <w:rPr>
                <w:rFonts w:hint="eastAsia" w:ascii="仿宋" w:hAnsi="仿宋" w:eastAsia="仿宋" w:cs="仿宋"/>
                <w:bCs/>
                <w:color w:val="auto"/>
                <w:kern w:val="0"/>
                <w:sz w:val="24"/>
                <w:highlight w:val="none"/>
                <w:lang w:eastAsia="zh-CN"/>
              </w:rPr>
              <w:t>。</w:t>
            </w:r>
          </w:p>
          <w:p w14:paraId="1E22AFB3">
            <w:pPr>
              <w:numPr>
                <w:ilvl w:val="0"/>
                <w:numId w:val="0"/>
              </w:numPr>
              <w:snapToGrid w:val="0"/>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szCs w:val="24"/>
                <w:highlight w:val="none"/>
                <w:lang w:val="en-US" w:eastAsia="zh-CN" w:bidi="ar-SA"/>
              </w:rPr>
              <w:t>2、</w:t>
            </w:r>
            <w:r>
              <w:rPr>
                <w:rFonts w:hint="eastAsia" w:ascii="仿宋" w:hAnsi="仿宋" w:eastAsia="仿宋" w:cs="仿宋"/>
                <w:bCs/>
                <w:color w:val="auto"/>
                <w:kern w:val="0"/>
                <w:sz w:val="24"/>
                <w:highlight w:val="none"/>
              </w:rPr>
              <w:t>所属行业：</w:t>
            </w:r>
            <w:r>
              <w:rPr>
                <w:rFonts w:hint="eastAsia" w:ascii="仿宋" w:hAnsi="仿宋" w:eastAsia="仿宋" w:cs="仿宋"/>
                <w:color w:val="auto"/>
                <w:sz w:val="24"/>
                <w:highlight w:val="none"/>
              </w:rPr>
              <w:t>工业</w:t>
            </w:r>
          </w:p>
          <w:p w14:paraId="1B498B23">
            <w:pPr>
              <w:pStyle w:val="40"/>
              <w:ind w:firstLine="0" w:firstLineChars="0"/>
              <w:rPr>
                <w:rFonts w:hint="eastAsia" w:eastAsia="仿宋"/>
                <w:color w:val="auto"/>
                <w:highlight w:val="none"/>
              </w:rPr>
            </w:pPr>
            <w:r>
              <w:rPr>
                <w:rFonts w:hint="eastAsia" w:ascii="仿宋" w:hAnsi="仿宋" w:eastAsia="仿宋" w:cs="仿宋"/>
                <w:bCs/>
                <w:color w:val="auto"/>
                <w:sz w:val="24"/>
                <w:highlight w:val="none"/>
              </w:rPr>
              <w:t>3、项目属性：货物</w:t>
            </w:r>
          </w:p>
          <w:p w14:paraId="3067D6E6">
            <w:pPr>
              <w:snapToGrid w:val="0"/>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《中小企业声明函》中所列行业与采购文件所明确的行业不一致但不改变划型结果的不影响声明有效性。</w:t>
            </w:r>
          </w:p>
        </w:tc>
      </w:tr>
      <w:tr w14:paraId="5E15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9D60FF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11" w:type="dxa"/>
            <w:vAlign w:val="center"/>
          </w:tcPr>
          <w:p w14:paraId="74264D6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投标人资格要求</w:t>
            </w:r>
          </w:p>
        </w:tc>
        <w:tc>
          <w:tcPr>
            <w:tcW w:w="6645" w:type="dxa"/>
            <w:vAlign w:val="center"/>
          </w:tcPr>
          <w:p w14:paraId="5471AE8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5A09A467">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2.落实政府采购政策需满足的资格要求：本项目为专门面向中小企业（含中型、小型、微型企业）采购项目；</w:t>
            </w:r>
          </w:p>
          <w:p w14:paraId="417CC76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r>
      <w:tr w14:paraId="7694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8B51C2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311" w:type="dxa"/>
            <w:vAlign w:val="center"/>
          </w:tcPr>
          <w:p w14:paraId="254A398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6645" w:type="dxa"/>
            <w:vAlign w:val="center"/>
          </w:tcPr>
          <w:p w14:paraId="48122EB8">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投标保证金的金额：</w:t>
            </w:r>
          </w:p>
          <w:p w14:paraId="6F6E0E6E">
            <w:pPr>
              <w:pStyle w:val="66"/>
              <w:widowControl/>
              <w:adjustRightIn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第一包</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000.00元（大写：</w:t>
            </w:r>
            <w:r>
              <w:rPr>
                <w:rFonts w:hint="eastAsia" w:ascii="仿宋" w:hAnsi="仿宋" w:eastAsia="仿宋" w:cs="仿宋"/>
                <w:b/>
                <w:bCs/>
                <w:color w:val="auto"/>
                <w:sz w:val="24"/>
                <w:szCs w:val="24"/>
                <w:highlight w:val="none"/>
                <w:lang w:val="en-US" w:eastAsia="zh-CN"/>
              </w:rPr>
              <w:t>捌仟元整</w:t>
            </w:r>
            <w:r>
              <w:rPr>
                <w:rFonts w:hint="eastAsia" w:ascii="仿宋" w:hAnsi="仿宋" w:eastAsia="仿宋" w:cs="仿宋"/>
                <w:b/>
                <w:bCs/>
                <w:color w:val="auto"/>
                <w:sz w:val="24"/>
                <w:szCs w:val="24"/>
                <w:highlight w:val="none"/>
              </w:rPr>
              <w:t>）</w:t>
            </w:r>
          </w:p>
          <w:p w14:paraId="6AEC1AB6">
            <w:pPr>
              <w:pStyle w:val="66"/>
              <w:widowControl/>
              <w:adjustRightIn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第二包</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0000.00元（大写：</w:t>
            </w:r>
            <w:r>
              <w:rPr>
                <w:rFonts w:hint="eastAsia" w:ascii="仿宋" w:hAnsi="仿宋" w:eastAsia="仿宋" w:cs="仿宋"/>
                <w:b/>
                <w:bCs/>
                <w:color w:val="auto"/>
                <w:sz w:val="24"/>
                <w:szCs w:val="24"/>
                <w:highlight w:val="none"/>
                <w:lang w:val="en-US" w:eastAsia="zh-CN"/>
              </w:rPr>
              <w:t>贰</w:t>
            </w:r>
            <w:r>
              <w:rPr>
                <w:rFonts w:hint="eastAsia" w:ascii="仿宋" w:hAnsi="仿宋" w:eastAsia="仿宋" w:cs="仿宋"/>
                <w:b/>
                <w:bCs/>
                <w:color w:val="auto"/>
                <w:sz w:val="24"/>
                <w:szCs w:val="24"/>
                <w:highlight w:val="none"/>
              </w:rPr>
              <w:t>万元整）</w:t>
            </w:r>
          </w:p>
          <w:p w14:paraId="64843311">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投标保证金须在投标文件上传截止时间前确认到账。</w:t>
            </w:r>
          </w:p>
          <w:p w14:paraId="1BA10D5A">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一、投标保证金缴纳：</w:t>
            </w:r>
          </w:p>
          <w:p w14:paraId="55493645">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1.投标保证金应当以电汇、网银、保函等非现金形式提交；</w:t>
            </w:r>
          </w:p>
          <w:p w14:paraId="32659764">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2.缴纳投标保证金时需备注项目名称；</w:t>
            </w:r>
          </w:p>
          <w:p w14:paraId="4082DC18">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3.投标保证金上传截止时间：与投标文件上传截止时间相同；</w:t>
            </w:r>
          </w:p>
          <w:p w14:paraId="049301E9">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投标保证金缴纳账户：</w:t>
            </w:r>
          </w:p>
          <w:p w14:paraId="061F3BC7">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单位名称：新疆拓源工程管理咨询有限公司</w:t>
            </w:r>
          </w:p>
          <w:p w14:paraId="1FB07CFA">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账号：107675470537</w:t>
            </w:r>
          </w:p>
          <w:p w14:paraId="417CA988">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开户行名称：中国银行乌鲁木齐市银川路支行</w:t>
            </w:r>
          </w:p>
          <w:p w14:paraId="0CE5F204">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行号：104881006135</w:t>
            </w:r>
          </w:p>
          <w:p w14:paraId="482BB1CD">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二、投标保证金退还：</w:t>
            </w:r>
          </w:p>
          <w:p w14:paraId="4024E0CB">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1.未中标人的投标保证金将在中标通知书发出后5个工作日内退还；</w:t>
            </w:r>
          </w:p>
          <w:p w14:paraId="32D7C594">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2.中标人的投标保证金将在自采购合同签订之日起5个工作日内无息退还；</w:t>
            </w:r>
          </w:p>
          <w:p w14:paraId="33650BD0">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3.有下列情形之一的，投标保证金不予退还：详见总则第15.5条。</w:t>
            </w:r>
          </w:p>
          <w:p w14:paraId="682B69AA">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三、加盖公章的投标保证金缴纳凭证</w:t>
            </w:r>
            <w:r>
              <w:rPr>
                <w:rFonts w:hint="eastAsia" w:ascii="仿宋" w:hAnsi="仿宋" w:eastAsia="仿宋" w:cs="仿宋"/>
                <w:color w:val="auto"/>
                <w:kern w:val="0"/>
                <w:sz w:val="24"/>
                <w:szCs w:val="24"/>
                <w:highlight w:val="none"/>
                <w:lang w:bidi="ar"/>
              </w:rPr>
              <w:t>扫描件</w:t>
            </w:r>
            <w:r>
              <w:rPr>
                <w:rFonts w:hint="eastAsia" w:ascii="仿宋" w:hAnsi="仿宋" w:eastAsia="仿宋" w:cs="仿宋"/>
                <w:color w:val="auto"/>
                <w:sz w:val="24"/>
                <w:szCs w:val="24"/>
                <w:highlight w:val="none"/>
              </w:rPr>
              <w:t>需装订在投标文件中相应位置。</w:t>
            </w:r>
          </w:p>
          <w:p w14:paraId="0736226A">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注：投标人未按照招标文件的规定提交投标保证金的，将被视为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7041E7B4">
            <w:pPr>
              <w:pStyle w:val="33"/>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财务部联系电话：0991-2338817</w:t>
            </w:r>
          </w:p>
        </w:tc>
      </w:tr>
      <w:tr w14:paraId="7D7C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4FC178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311" w:type="dxa"/>
            <w:vAlign w:val="center"/>
          </w:tcPr>
          <w:p w14:paraId="7FF847A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是否接受联合体投标</w:t>
            </w:r>
          </w:p>
        </w:tc>
        <w:tc>
          <w:tcPr>
            <w:tcW w:w="6645" w:type="dxa"/>
            <w:vAlign w:val="center"/>
          </w:tcPr>
          <w:p w14:paraId="7006088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不接受/</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接受</w:t>
            </w:r>
          </w:p>
        </w:tc>
      </w:tr>
      <w:tr w14:paraId="12B8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268788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1311" w:type="dxa"/>
            <w:vAlign w:val="center"/>
          </w:tcPr>
          <w:p w14:paraId="5083FC7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645" w:type="dxa"/>
            <w:vAlign w:val="center"/>
          </w:tcPr>
          <w:p w14:paraId="468E8911">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不允许/</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允许</w:t>
            </w:r>
          </w:p>
        </w:tc>
      </w:tr>
      <w:tr w14:paraId="12F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B2F48A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1311" w:type="dxa"/>
            <w:vAlign w:val="center"/>
          </w:tcPr>
          <w:p w14:paraId="1684879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投标文件上传截止时间及地点</w:t>
            </w:r>
          </w:p>
        </w:tc>
        <w:tc>
          <w:tcPr>
            <w:tcW w:w="6645" w:type="dxa"/>
            <w:vAlign w:val="center"/>
          </w:tcPr>
          <w:p w14:paraId="0B15C9AC">
            <w:pPr>
              <w:snapToGrid w:val="0"/>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sz w:val="24"/>
                <w:highlight w:val="none"/>
              </w:rPr>
              <w:t>投标文件上传截止时间：2026年</w:t>
            </w:r>
            <w:r>
              <w:rPr>
                <w:rFonts w:hint="eastAsia" w:ascii="仿宋" w:hAnsi="仿宋" w:eastAsia="仿宋" w:cs="仿宋"/>
                <w:bCs/>
                <w:color w:val="auto"/>
                <w:sz w:val="24"/>
                <w:highlight w:val="none"/>
                <w:lang w:eastAsia="zh-CN"/>
              </w:rPr>
              <w:t>06月</w:t>
            </w:r>
            <w:r>
              <w:rPr>
                <w:rFonts w:hint="eastAsia" w:ascii="仿宋" w:hAnsi="仿宋" w:eastAsia="仿宋" w:cs="仿宋"/>
                <w:bCs/>
                <w:color w:val="auto"/>
                <w:sz w:val="24"/>
                <w:highlight w:val="none"/>
                <w:lang w:val="en-US" w:eastAsia="zh-CN"/>
              </w:rPr>
              <w:t>24</w:t>
            </w:r>
            <w:r>
              <w:rPr>
                <w:rFonts w:hint="eastAsia" w:ascii="仿宋" w:hAnsi="仿宋" w:eastAsia="仿宋" w:cs="仿宋"/>
                <w:bCs/>
                <w:color w:val="auto"/>
                <w:sz w:val="24"/>
                <w:highlight w:val="none"/>
                <w:lang w:eastAsia="zh-CN"/>
              </w:rPr>
              <w:t>日</w:t>
            </w:r>
            <w:r>
              <w:rPr>
                <w:rFonts w:hint="eastAsia" w:ascii="仿宋" w:hAnsi="仿宋" w:eastAsia="仿宋" w:cs="仿宋"/>
                <w:bCs/>
                <w:color w:val="auto"/>
                <w:sz w:val="24"/>
                <w:highlight w:val="none"/>
              </w:rPr>
              <w:t>11时00分</w:t>
            </w:r>
            <w:r>
              <w:rPr>
                <w:rFonts w:hint="eastAsia" w:ascii="仿宋" w:hAnsi="仿宋" w:eastAsia="仿宋" w:cs="仿宋"/>
                <w:bCs/>
                <w:color w:val="auto"/>
                <w:kern w:val="0"/>
                <w:sz w:val="24"/>
                <w:highlight w:val="none"/>
              </w:rPr>
              <w:t>（北京时间）；</w:t>
            </w:r>
          </w:p>
          <w:p w14:paraId="64925C50">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投标人应在投标截止时间前将“电子加密投标文件”成功上传至“政府采购云平台”，否则投标无效。</w:t>
            </w:r>
          </w:p>
        </w:tc>
      </w:tr>
      <w:tr w14:paraId="4561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8206D7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1311" w:type="dxa"/>
            <w:vAlign w:val="center"/>
          </w:tcPr>
          <w:p w14:paraId="5982B3F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采用电子招标投标</w:t>
            </w:r>
          </w:p>
        </w:tc>
        <w:tc>
          <w:tcPr>
            <w:tcW w:w="6645" w:type="dxa"/>
            <w:vAlign w:val="center"/>
          </w:tcPr>
          <w:p w14:paraId="79C2D447">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具体要求：</w:t>
            </w:r>
          </w:p>
          <w:p w14:paraId="0792A4E5">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1、投标文件解密时间：</w:t>
            </w:r>
            <w:r>
              <w:rPr>
                <w:rFonts w:hint="eastAsia" w:ascii="仿宋" w:hAnsi="仿宋" w:eastAsia="仿宋" w:cs="仿宋"/>
                <w:color w:val="auto"/>
                <w:sz w:val="24"/>
                <w:highlight w:val="none"/>
              </w:rPr>
              <w:t>投标文件解密时间30分钟，开标前需投标单位用CA证书登录政采云平台开标大厅签到，在30分钟解密时间内输入CA证书PIN码解密投标文件。在30分钟解密时间内未进行解密的投标单位将导致投标无效。（解密时间开始时政采云平台将以短信形式向投标人在政采云平台预留的手机号发送短信通知，请投标人及时关注。）</w:t>
            </w:r>
          </w:p>
          <w:p w14:paraId="2719A5F9">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2、投标人报价CA签字确认：</w:t>
            </w:r>
            <w:r>
              <w:rPr>
                <w:rFonts w:hint="eastAsia" w:ascii="仿宋" w:hAnsi="仿宋" w:eastAsia="仿宋" w:cs="仿宋"/>
                <w:color w:val="auto"/>
                <w:sz w:val="24"/>
                <w:highlight w:val="none"/>
              </w:rPr>
              <w:t>报价文件开启后将开启签字时段，投标人须在20分钟内用CA证书对报价进行签字确认。</w:t>
            </w:r>
          </w:p>
          <w:p w14:paraId="047127E0">
            <w:pPr>
              <w:adjustRightInd w:val="0"/>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rPr>
              <w:t>3、备注:</w:t>
            </w:r>
            <w:r>
              <w:rPr>
                <w:rFonts w:hint="eastAsia" w:ascii="仿宋" w:hAnsi="仿宋" w:eastAsia="仿宋" w:cs="仿宋"/>
                <w:color w:val="auto"/>
                <w:sz w:val="24"/>
                <w:highlight w:val="none"/>
              </w:rPr>
              <w:t>（1）本次采购采用电子交易方式，电子交易平台为“政府采购云平台（www.zcygov.cn）”。投标人参与本项目电子交易活动前，应注册成为政府采购平台投标人。编制电子投标文件前还需申领CA证书并绑定帐号</w:t>
            </w:r>
            <w:r>
              <w:rPr>
                <w:rFonts w:hint="eastAsia" w:ascii="仿宋" w:hAnsi="仿宋" w:eastAsia="仿宋" w:cs="仿宋"/>
                <w:color w:val="auto"/>
                <w:sz w:val="24"/>
                <w:highlight w:val="none"/>
                <w:lang w:eastAsia="zh-CN"/>
              </w:rPr>
              <w:t>。</w:t>
            </w:r>
          </w:p>
          <w:p w14:paraId="796B857E">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编制电子投标文件应安装“电子招投标投标人客户端”软件，并按照本招标文件和电子招投标投标人客户端的要求编制并加密投标文件。未按规定加密的投标文件，将被电子招投标投标人客户端拒收。“电子招投标投标人客户端”请投标人自行前往“新疆政府采购网—下载专区—新疆维吾尔自治区全流程电子招投标项目管理系统--电子招投标投标人客户端”版块获取。</w:t>
            </w:r>
          </w:p>
          <w:p w14:paraId="4DAF4EDB">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（3）投标人应当在投标截止时间前，将“电子招投标投标人客户端”生成的“电子加密投标文件”上传电子交易平台。</w:t>
            </w:r>
          </w:p>
          <w:p w14:paraId="4AF3AAA0">
            <w:pPr>
              <w:snapToGrid w:val="0"/>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（5）服务与支持。各政府采购代理机构（含集采机构）及投标人对不见面开评标系统的技术操作咨询，可通过</w:t>
            </w:r>
            <w:r>
              <w:rPr>
                <w:rFonts w:hint="eastAsia"/>
                <w:color w:val="auto"/>
                <w:highlight w:val="none"/>
              </w:rPr>
              <w:fldChar w:fldCharType="begin"/>
            </w:r>
            <w:r>
              <w:rPr>
                <w:color w:val="auto"/>
                <w:highlight w:val="none"/>
              </w:rPr>
              <w:instrText xml:space="preserve"> HYPERLINK "https://edu.zcygov.cn/luban/xinjiang-e-biding" </w:instrText>
            </w:r>
            <w:r>
              <w:rPr>
                <w:rFonts w:hint="eastAsia"/>
                <w:color w:val="auto"/>
                <w:highlight w:val="none"/>
              </w:rPr>
              <w:fldChar w:fldCharType="separate"/>
            </w:r>
            <w:r>
              <w:rPr>
                <w:rFonts w:hint="eastAsia" w:ascii="仿宋" w:hAnsi="仿宋" w:eastAsia="仿宋" w:cs="仿宋"/>
                <w:color w:val="auto"/>
                <w:sz w:val="24"/>
                <w:highlight w:val="none"/>
              </w:rPr>
              <w:t>https://edu.zcygov.cn/luban/xinjiang-e-biding</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自助查询，也可在政采云帮助中心常见问题解答和操作流程讲解视频中自助查询，网址为：</w:t>
            </w:r>
            <w:r>
              <w:rPr>
                <w:rFonts w:hint="eastAsia"/>
                <w:color w:val="auto"/>
                <w:highlight w:val="none"/>
              </w:rPr>
              <w:fldChar w:fldCharType="begin"/>
            </w:r>
            <w:r>
              <w:rPr>
                <w:color w:val="auto"/>
                <w:highlight w:val="none"/>
              </w:rPr>
              <w:instrText xml:space="preserve"> HYPERLINK "https://service.zcygov.cn/" \l "/help" </w:instrText>
            </w:r>
            <w:r>
              <w:rPr>
                <w:rFonts w:hint="eastAsia"/>
                <w:color w:val="auto"/>
                <w:highlight w:val="none"/>
              </w:rPr>
              <w:fldChar w:fldCharType="separate"/>
            </w:r>
            <w:r>
              <w:rPr>
                <w:rFonts w:hint="eastAsia" w:ascii="仿宋" w:hAnsi="仿宋" w:eastAsia="仿宋" w:cs="仿宋"/>
                <w:color w:val="auto"/>
                <w:sz w:val="24"/>
                <w:highlight w:val="none"/>
              </w:rPr>
              <w:t>https://service.zcygov.cn/#/help</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项目采购—操作流程—电子招投标—政府采购项目电子交易管理操作指南-投标人”版面获取操作指南，同时对自助查询无法解决的问题可通过钉钉群及政采云在线客服获取服务支持。政采云热线人工号码：400-881-7190（工作时间：工作日08:00~20：00）</w:t>
            </w:r>
          </w:p>
        </w:tc>
      </w:tr>
      <w:tr w14:paraId="2104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2967C0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1311" w:type="dxa"/>
            <w:vAlign w:val="center"/>
          </w:tcPr>
          <w:p w14:paraId="2C5F24D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645" w:type="dxa"/>
            <w:vAlign w:val="center"/>
          </w:tcPr>
          <w:p w14:paraId="0E0E3ACB">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1、报价合理性：采购评审中出现下列情形之一的，评标委员会启动异常低价响应审查程序：</w:t>
            </w:r>
          </w:p>
          <w:p w14:paraId="328BEE65">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1.投标(响应)报价低于全部通过符合性审查供应商投标(响应)报价「平均值」50%的，即投标(响应)报价&lt;全部通过符合性审查供应商投标（响应）报价平均值×50%；</w:t>
            </w:r>
          </w:p>
          <w:p w14:paraId="07754F65">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2.投标(响应)报价低于通过符合性审查的「次低报价」供应商投标(响应)报价50%的，即投标(响应)报价&lt;通过符合性审查供应商投标(响应)报价×50%；</w:t>
            </w:r>
          </w:p>
          <w:p w14:paraId="00C2FA1A">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3.投标(响应)报价低于采购项目「最高限价」45%的，即投标(响应)报价&lt;采购项目最高限价×45%；</w:t>
            </w:r>
          </w:p>
          <w:p w14:paraId="5508ED46">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4.评审委员会基于专业判断，认为供应商报价过低，有可能影响产品质量或者不能诚信履约的其他情形。</w:t>
            </w:r>
          </w:p>
          <w:p w14:paraId="4EDF6BFA">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12C4CAE">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C8C616">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2、投标人的报价包含提供的所有货物及相关工作范围内所有费用的总价。</w:t>
            </w:r>
          </w:p>
        </w:tc>
      </w:tr>
      <w:tr w14:paraId="6DDA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43EE51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p>
        </w:tc>
        <w:tc>
          <w:tcPr>
            <w:tcW w:w="1311" w:type="dxa"/>
            <w:vAlign w:val="center"/>
          </w:tcPr>
          <w:p w14:paraId="5A0A3B8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踏勘现场</w:t>
            </w:r>
          </w:p>
        </w:tc>
        <w:tc>
          <w:tcPr>
            <w:tcW w:w="6645" w:type="dxa"/>
            <w:vAlign w:val="center"/>
          </w:tcPr>
          <w:p w14:paraId="69BBEAD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F0FE"/>
            </w:r>
            <w:r>
              <w:rPr>
                <w:rFonts w:hint="eastAsia" w:ascii="仿宋" w:hAnsi="仿宋" w:eastAsia="仿宋" w:cs="仿宋"/>
                <w:color w:val="auto"/>
                <w:sz w:val="24"/>
                <w:highlight w:val="none"/>
              </w:rPr>
              <w:t>不组织，投标人自行踏勘，无论投标人对现场考察与否，都将被视为熟悉履行合同有关的一切情况，投标人现场踏勘发生的费用自理。</w:t>
            </w:r>
          </w:p>
        </w:tc>
      </w:tr>
      <w:tr w14:paraId="63FA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66FAC8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w:t>
            </w:r>
          </w:p>
        </w:tc>
        <w:tc>
          <w:tcPr>
            <w:tcW w:w="1311" w:type="dxa"/>
            <w:vAlign w:val="center"/>
          </w:tcPr>
          <w:p w14:paraId="765B148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投标答疑会</w:t>
            </w:r>
          </w:p>
        </w:tc>
        <w:tc>
          <w:tcPr>
            <w:tcW w:w="6645" w:type="dxa"/>
            <w:vAlign w:val="center"/>
          </w:tcPr>
          <w:p w14:paraId="4E5CA8AB">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F0FE"/>
            </w:r>
            <w:r>
              <w:rPr>
                <w:rFonts w:hint="eastAsia" w:ascii="仿宋" w:hAnsi="仿宋" w:eastAsia="仿宋" w:cs="仿宋"/>
                <w:color w:val="auto"/>
                <w:sz w:val="24"/>
                <w:highlight w:val="none"/>
              </w:rPr>
              <w:t>不召开</w:t>
            </w:r>
          </w:p>
        </w:tc>
      </w:tr>
      <w:tr w14:paraId="6F73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0ACA27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w:t>
            </w:r>
          </w:p>
        </w:tc>
        <w:tc>
          <w:tcPr>
            <w:tcW w:w="1311" w:type="dxa"/>
            <w:vAlign w:val="center"/>
          </w:tcPr>
          <w:p w14:paraId="14EE5C97">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近年财务状况年份要求</w:t>
            </w:r>
          </w:p>
        </w:tc>
        <w:tc>
          <w:tcPr>
            <w:tcW w:w="6645" w:type="dxa"/>
            <w:vAlign w:val="center"/>
          </w:tcPr>
          <w:p w14:paraId="55183E9E">
            <w:pPr>
              <w:pStyle w:val="25"/>
              <w:snapToGrid w:val="0"/>
              <w:spacing w:line="360" w:lineRule="auto"/>
              <w:ind w:left="0"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银行出具的近1年内资信证明或2025年度经审计并赋码的财务审计报告</w:t>
            </w:r>
          </w:p>
        </w:tc>
      </w:tr>
      <w:tr w14:paraId="50F4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57D025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p>
        </w:tc>
        <w:tc>
          <w:tcPr>
            <w:tcW w:w="1311" w:type="dxa"/>
            <w:vAlign w:val="center"/>
          </w:tcPr>
          <w:p w14:paraId="1DF4D20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6645" w:type="dxa"/>
            <w:vAlign w:val="center"/>
          </w:tcPr>
          <w:p w14:paraId="51D67606">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从开标之日起60日历天</w:t>
            </w:r>
          </w:p>
        </w:tc>
      </w:tr>
      <w:tr w14:paraId="358D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167A094">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1311" w:type="dxa"/>
            <w:vAlign w:val="center"/>
          </w:tcPr>
          <w:p w14:paraId="7AF12B0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评标委员会的组建</w:t>
            </w:r>
          </w:p>
        </w:tc>
        <w:tc>
          <w:tcPr>
            <w:tcW w:w="6645" w:type="dxa"/>
            <w:vAlign w:val="center"/>
          </w:tcPr>
          <w:p w14:paraId="596CC4B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评标委员会构成：5人；</w:t>
            </w:r>
          </w:p>
          <w:p w14:paraId="5BA49BF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评标专家确定方式：经济、技术专家不少于评标委员会组成人员的三分之二，按相关规定从政府采购专家库中随机抽取。</w:t>
            </w:r>
          </w:p>
        </w:tc>
      </w:tr>
      <w:tr w14:paraId="792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4E177B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p>
        </w:tc>
        <w:tc>
          <w:tcPr>
            <w:tcW w:w="1311" w:type="dxa"/>
            <w:vAlign w:val="center"/>
          </w:tcPr>
          <w:p w14:paraId="15FF44D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w:t>
            </w:r>
          </w:p>
        </w:tc>
        <w:tc>
          <w:tcPr>
            <w:tcW w:w="6645" w:type="dxa"/>
            <w:vAlign w:val="center"/>
          </w:tcPr>
          <w:p w14:paraId="3540702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综合评分法</w:t>
            </w:r>
          </w:p>
        </w:tc>
      </w:tr>
      <w:tr w14:paraId="20AE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2B0A3E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24</w:t>
            </w:r>
          </w:p>
        </w:tc>
        <w:tc>
          <w:tcPr>
            <w:tcW w:w="1311" w:type="dxa"/>
            <w:vAlign w:val="center"/>
          </w:tcPr>
          <w:p w14:paraId="5912486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是否授权评标委员会确定中标人</w:t>
            </w:r>
          </w:p>
        </w:tc>
        <w:tc>
          <w:tcPr>
            <w:tcW w:w="6645" w:type="dxa"/>
            <w:vAlign w:val="center"/>
          </w:tcPr>
          <w:p w14:paraId="41D56E22">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F0FE"/>
            </w:r>
            <w:r>
              <w:rPr>
                <w:rFonts w:hint="eastAsia" w:ascii="仿宋" w:hAnsi="仿宋" w:eastAsia="仿宋" w:cs="仿宋"/>
                <w:color w:val="auto"/>
                <w:sz w:val="24"/>
                <w:highlight w:val="none"/>
              </w:rPr>
              <w:t>否，推荐3名中标候选人。</w:t>
            </w:r>
          </w:p>
        </w:tc>
      </w:tr>
      <w:tr w14:paraId="5C5B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D91CD0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p>
        </w:tc>
        <w:tc>
          <w:tcPr>
            <w:tcW w:w="1311" w:type="dxa"/>
            <w:vAlign w:val="center"/>
          </w:tcPr>
          <w:p w14:paraId="3ED02FC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w:t>
            </w:r>
          </w:p>
        </w:tc>
        <w:tc>
          <w:tcPr>
            <w:tcW w:w="6645" w:type="dxa"/>
            <w:vAlign w:val="center"/>
          </w:tcPr>
          <w:p w14:paraId="1B630B67">
            <w:pPr>
              <w:snapToGrid w:val="0"/>
              <w:spacing w:line="360" w:lineRule="auto"/>
              <w:jc w:val="left"/>
              <w:rPr>
                <w:rFonts w:hint="eastAsia" w:ascii="仿宋" w:hAnsi="仿宋" w:eastAsia="仿宋" w:cs="仿宋"/>
                <w:color w:val="auto"/>
                <w:sz w:val="24"/>
                <w:highlight w:val="none"/>
              </w:rPr>
            </w:pPr>
            <w:r>
              <w:rPr>
                <w:rFonts w:ascii="仿宋" w:hAnsi="仿宋" w:eastAsia="仿宋" w:cs="仿宋"/>
                <w:color w:val="auto"/>
                <w:sz w:val="24"/>
                <w:highlight w:val="none"/>
              </w:rPr>
              <w:t>本项目无需缴纳履约保证金</w:t>
            </w:r>
            <w:r>
              <w:rPr>
                <w:rFonts w:hint="eastAsia" w:ascii="仿宋" w:hAnsi="仿宋" w:eastAsia="仿宋" w:cs="仿宋"/>
                <w:color w:val="auto"/>
                <w:sz w:val="24"/>
                <w:highlight w:val="none"/>
              </w:rPr>
              <w:t>。</w:t>
            </w:r>
          </w:p>
          <w:p w14:paraId="05EEE562">
            <w:pPr>
              <w:snapToGrid w:val="0"/>
              <w:spacing w:line="360" w:lineRule="auto"/>
              <w:jc w:val="left"/>
              <w:rPr>
                <w:color w:val="auto"/>
                <w:highlight w:val="none"/>
              </w:rPr>
            </w:pPr>
            <w:r>
              <w:rPr>
                <w:rFonts w:ascii="仿宋" w:hAnsi="仿宋" w:eastAsia="仿宋" w:cs="仿宋"/>
                <w:color w:val="auto"/>
                <w:sz w:val="24"/>
                <w:highlight w:val="none"/>
              </w:rPr>
              <w:t>履约保证金的</w:t>
            </w:r>
            <w:r>
              <w:rPr>
                <w:rFonts w:hint="eastAsia" w:ascii="仿宋" w:hAnsi="仿宋" w:eastAsia="仿宋" w:cs="仿宋"/>
                <w:color w:val="auto"/>
                <w:sz w:val="24"/>
                <w:highlight w:val="none"/>
              </w:rPr>
              <w:t>缴纳</w:t>
            </w:r>
            <w:r>
              <w:rPr>
                <w:rFonts w:ascii="仿宋" w:hAnsi="仿宋" w:eastAsia="仿宋" w:cs="仿宋"/>
                <w:color w:val="auto"/>
                <w:sz w:val="24"/>
                <w:highlight w:val="none"/>
              </w:rPr>
              <w:t>时间：中标人应于中标通知书发出之日起</w:t>
            </w:r>
            <w:r>
              <w:rPr>
                <w:rFonts w:hint="eastAsia" w:ascii="仿宋" w:hAnsi="仿宋" w:eastAsia="仿宋" w:cs="仿宋"/>
                <w:color w:val="auto"/>
                <w:sz w:val="24"/>
                <w:highlight w:val="none"/>
              </w:rPr>
              <w:t>/</w:t>
            </w:r>
            <w:r>
              <w:rPr>
                <w:rFonts w:ascii="仿宋" w:hAnsi="仿宋" w:eastAsia="仿宋" w:cs="仿宋"/>
                <w:color w:val="auto"/>
                <w:sz w:val="24"/>
                <w:highlight w:val="none"/>
              </w:rPr>
              <w:t>个工作日内；</w:t>
            </w:r>
          </w:p>
        </w:tc>
      </w:tr>
      <w:tr w14:paraId="73A4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FCD573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26</w:t>
            </w:r>
          </w:p>
        </w:tc>
        <w:tc>
          <w:tcPr>
            <w:tcW w:w="1311" w:type="dxa"/>
            <w:vAlign w:val="center"/>
          </w:tcPr>
          <w:p w14:paraId="14B1CFF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代理费用</w:t>
            </w:r>
          </w:p>
        </w:tc>
        <w:tc>
          <w:tcPr>
            <w:tcW w:w="6645" w:type="dxa"/>
            <w:vAlign w:val="center"/>
          </w:tcPr>
          <w:p w14:paraId="4E0B29D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本次招标代理服务费参照发改价格[2011]534号及计价格[2002]1980号文件计算下浮30%计取。由中标单位在中标通知书领取前一次性支付给招标代理公司。</w:t>
            </w:r>
          </w:p>
        </w:tc>
      </w:tr>
      <w:tr w14:paraId="6650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25E7A0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1311" w:type="dxa"/>
            <w:vAlign w:val="center"/>
          </w:tcPr>
          <w:p w14:paraId="1EF7E2B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6645" w:type="dxa"/>
            <w:vAlign w:val="center"/>
          </w:tcPr>
          <w:p w14:paraId="64554BF4">
            <w:pPr>
              <w:pStyle w:val="63"/>
              <w:widowControl/>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合同签订后，招标人支付30%的预付款，交货验收后支付剩余设备款，具体以合同签订为主</w:t>
            </w:r>
            <w:r>
              <w:rPr>
                <w:rFonts w:hint="eastAsia" w:ascii="仿宋" w:hAnsi="仿宋" w:eastAsia="仿宋" w:cs="仿宋"/>
                <w:color w:val="auto"/>
                <w:highlight w:val="none"/>
                <w:lang w:eastAsia="zh-CN"/>
              </w:rPr>
              <w:t>。</w:t>
            </w:r>
          </w:p>
        </w:tc>
      </w:tr>
      <w:tr w14:paraId="7118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89A052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28</w:t>
            </w:r>
          </w:p>
        </w:tc>
        <w:tc>
          <w:tcPr>
            <w:tcW w:w="1311" w:type="dxa"/>
            <w:vAlign w:val="center"/>
          </w:tcPr>
          <w:p w14:paraId="1D9E9EB2">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核心产品</w:t>
            </w:r>
          </w:p>
        </w:tc>
        <w:tc>
          <w:tcPr>
            <w:tcW w:w="6645" w:type="dxa"/>
            <w:vAlign w:val="center"/>
          </w:tcPr>
          <w:p w14:paraId="6C87ADAE">
            <w:pPr>
              <w:pStyle w:val="63"/>
              <w:widowControl/>
              <w:snapToGrid w:val="0"/>
              <w:spacing w:line="360" w:lineRule="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第一包：</w:t>
            </w:r>
            <w:r>
              <w:rPr>
                <w:rFonts w:hint="default" w:ascii="仿宋" w:hAnsi="仿宋" w:eastAsia="仿宋" w:cs="仿宋"/>
                <w:b/>
                <w:bCs/>
                <w:color w:val="auto"/>
                <w:highlight w:val="none"/>
                <w:lang w:val="en-US"/>
              </w:rPr>
              <w:t>线性阵列全频音箱</w:t>
            </w:r>
            <w:r>
              <w:rPr>
                <w:rFonts w:hint="eastAsia" w:ascii="仿宋" w:hAnsi="仿宋" w:eastAsia="仿宋" w:cs="仿宋"/>
                <w:b/>
                <w:bCs/>
                <w:color w:val="auto"/>
                <w:highlight w:val="none"/>
                <w:lang w:val="en-US" w:eastAsia="zh-CN"/>
              </w:rPr>
              <w:t>、 线阵全频数字DSP网络功放、 AI自适应声场处理器</w:t>
            </w:r>
          </w:p>
          <w:p w14:paraId="05DA72DB">
            <w:pPr>
              <w:pStyle w:val="63"/>
              <w:widowControl/>
              <w:snapToGrid w:val="0"/>
              <w:spacing w:line="360" w:lineRule="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highlight w:val="none"/>
                <w:lang w:val="en-US" w:eastAsia="zh-CN"/>
              </w:rPr>
              <w:t>第二包：切割灯、LED染色灯、三基色平板灯、电脑摇头灯、对开大幕机械部分、对开二道幕机械部分、顶光吊杆及机械部分、侧光吊杆及机械部分</w:t>
            </w:r>
          </w:p>
        </w:tc>
      </w:tr>
      <w:tr w14:paraId="0F98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2190CD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29</w:t>
            </w:r>
          </w:p>
        </w:tc>
        <w:tc>
          <w:tcPr>
            <w:tcW w:w="1311" w:type="dxa"/>
            <w:vAlign w:val="center"/>
          </w:tcPr>
          <w:p w14:paraId="0458FFBC">
            <w:pPr>
              <w:spacing w:line="400" w:lineRule="exact"/>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支持本国产品</w:t>
            </w:r>
          </w:p>
        </w:tc>
        <w:tc>
          <w:tcPr>
            <w:tcW w:w="6645" w:type="dxa"/>
            <w:vAlign w:val="center"/>
          </w:tcPr>
          <w:p w14:paraId="66A7117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1.支持本国产品</w:t>
            </w:r>
          </w:p>
          <w:p w14:paraId="7BF85A52">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1.1本国产品标准(依据《国务院办公厅关于在政府采购中实施本国产品标准及相关政策的通知》国办发〔2025〕34号)</w:t>
            </w:r>
          </w:p>
          <w:p w14:paraId="5E22B3A6">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本国产品应当符合以下条件：</w:t>
            </w:r>
          </w:p>
          <w:p w14:paraId="30F01C19">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（一）在中国境内生产</w:t>
            </w:r>
          </w:p>
          <w:p w14:paraId="41FE5349">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31AD8AD6">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1.为确保产品在运输或者储存期间保持某种状态而进行的操作；</w:t>
            </w:r>
          </w:p>
          <w:p w14:paraId="5A7D0F06">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2.为产品运输或者销售进行的包装或者展示；</w:t>
            </w:r>
          </w:p>
          <w:p w14:paraId="271CDFFA">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3.在产品或者其包装上粘贴或者印刷品牌、标志、标识以及其他用于区别的标记；</w:t>
            </w:r>
          </w:p>
          <w:p w14:paraId="1B47AF12">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4.简单的上漆、磨光和分装；</w:t>
            </w:r>
          </w:p>
          <w:p w14:paraId="5D1AB86B">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5.其他不属于属性改变的情形。</w:t>
            </w:r>
          </w:p>
          <w:p w14:paraId="1D59214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（二）在中国境内生产的组件成本占比达到规定比例产品在中国境内生产的组件成本占比应当达到规定比例，计算公式为：（产品在中国境内生产的组件成本/产品总成本）≥规定比例。</w:t>
            </w:r>
          </w:p>
          <w:p w14:paraId="48C8CC61">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A3A081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特定产品的关键组件、关键工序符合相关要求对特定产品，在符合本通知第一条第（一）项和第（二）项条件的基础上，应当符合财政部会同有关行业主管部门确定的其关键组件、关键工序在中国境内生产、完成等要求。</w:t>
            </w:r>
          </w:p>
          <w:p w14:paraId="256D452C">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635C8FB">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 本国产品标准的适用范围</w:t>
            </w:r>
          </w:p>
          <w:p w14:paraId="1AC8BDC1">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85193F">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 对本国产品的支持政策</w:t>
            </w:r>
          </w:p>
          <w:p w14:paraId="75C9C328">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政府采购活动中既有本国产品又有非本国产品参与竞争的，依法对本国产品给予价格评审优惠，对本国产品的报价给予20%的价格扣除，用扣除后的价格参与评审。</w:t>
            </w:r>
          </w:p>
          <w:p w14:paraId="019C5E38">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308795">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1.4有关证明文件</w:t>
            </w:r>
          </w:p>
          <w:p w14:paraId="124CCE40">
            <w:pPr>
              <w:spacing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tc>
      </w:tr>
      <w:tr w14:paraId="5AA5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65EB0D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w:t>
            </w:r>
          </w:p>
        </w:tc>
        <w:tc>
          <w:tcPr>
            <w:tcW w:w="1311" w:type="dxa"/>
            <w:vAlign w:val="center"/>
          </w:tcPr>
          <w:p w14:paraId="2B5FE8AA">
            <w:pPr>
              <w:widowControl/>
              <w:tabs>
                <w:tab w:val="left" w:pos="720"/>
                <w:tab w:val="left" w:pos="900"/>
                <w:tab w:val="left" w:pos="1080"/>
                <w:tab w:val="left" w:pos="1260"/>
                <w:tab w:val="left" w:pos="1440"/>
                <w:tab w:val="left" w:pos="1800"/>
              </w:tabs>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6645" w:type="dxa"/>
            <w:vAlign w:val="center"/>
          </w:tcPr>
          <w:p w14:paraId="05B8B554">
            <w:pPr>
              <w:pStyle w:val="8"/>
              <w:ind w:firstLine="0" w:firstLineChars="0"/>
              <w:rPr>
                <w:rFonts w:hint="eastAsia" w:ascii="仿宋" w:hAnsi="仿宋" w:eastAsia="仿宋" w:cs="仿宋"/>
                <w:b/>
                <w:bCs/>
                <w:color w:val="auto"/>
                <w:spacing w:val="-2"/>
                <w:sz w:val="24"/>
                <w:highlight w:val="none"/>
              </w:rPr>
            </w:pPr>
            <w:r>
              <w:rPr>
                <w:rFonts w:hint="eastAsia" w:ascii="仿宋" w:hAnsi="仿宋" w:eastAsia="仿宋" w:cs="仿宋"/>
                <w:b/>
                <w:bCs/>
                <w:color w:val="auto"/>
                <w:spacing w:val="-2"/>
                <w:sz w:val="24"/>
                <w:highlight w:val="none"/>
              </w:rPr>
              <w:t>特别说明：</w:t>
            </w:r>
          </w:p>
          <w:p w14:paraId="08586AEC">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（1）投标企业严格遵守国家的法律法规及招标纪律，无违法违纪及商业贿赂行为。</w:t>
            </w:r>
          </w:p>
          <w:p w14:paraId="1DD2166A">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不管投标结果如何，供应商均应自行承担投标所需一切费用(应包括：劳务、管理、材料、制作、安装、调试、维修、利润、税金及政策性文件规定的各项应有费用以及垃圾处理、环保费、保险费、检验费、仓储费等；现场安全措施、服务期保证、质量保证、各种不利因素的影响产生的措施和风险费用以及设备的装卸费)。</w:t>
            </w:r>
          </w:p>
          <w:p w14:paraId="7447463E">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（3）为保证本项目产品质量，良好的售后服务；最低报价不作为中标的唯一依据。</w:t>
            </w:r>
          </w:p>
          <w:p w14:paraId="5E8842EE">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（4）各供应商的调研费、差旅费等费用自理。无论投标结果如何，供应商均应自行承担投标所需一切费用。</w:t>
            </w:r>
          </w:p>
          <w:p w14:paraId="19AB6496">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5）采购文件中除（技术要求外）部分加标“★”、加粗、加下划线、废标、无效标、投标被拒绝字样的条款，为招标的实质性要求和条件，着重提醒各供应商注意，并认真查看采购文件中的每一个条款及要求，因误读采购文件而造成的后果，采购人概不负责。</w:t>
            </w:r>
          </w:p>
          <w:p w14:paraId="7926B405">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（6）</w:t>
            </w:r>
            <w:r>
              <w:rPr>
                <w:rFonts w:hint="eastAsia" w:ascii="仿宋" w:hAnsi="仿宋" w:eastAsia="仿宋" w:cs="仿宋"/>
                <w:b/>
                <w:bCs/>
                <w:color w:val="auto"/>
                <w:spacing w:val="-2"/>
                <w:sz w:val="24"/>
                <w:highlight w:val="none"/>
              </w:rPr>
              <w:t>投标文件中有弄虚作假的内容，是指</w:t>
            </w:r>
            <w:r>
              <w:rPr>
                <w:rFonts w:hint="eastAsia" w:ascii="仿宋" w:hAnsi="仿宋" w:eastAsia="仿宋" w:cs="仿宋"/>
                <w:b/>
                <w:bCs/>
                <w:color w:val="auto"/>
                <w:sz w:val="24"/>
                <w:highlight w:val="none"/>
              </w:rPr>
              <w:t>技术参数有负偏离的在偏离表中标注正偏离或无偏离的，</w:t>
            </w:r>
            <w:r>
              <w:rPr>
                <w:rFonts w:hint="eastAsia" w:ascii="仿宋" w:hAnsi="仿宋" w:eastAsia="仿宋" w:cs="仿宋"/>
                <w:b/>
                <w:bCs/>
                <w:color w:val="auto"/>
                <w:spacing w:val="-2"/>
                <w:sz w:val="24"/>
                <w:highlight w:val="none"/>
              </w:rPr>
              <w:t>其投标文件作废。</w:t>
            </w:r>
            <w:r>
              <w:rPr>
                <w:rFonts w:hint="eastAsia" w:ascii="仿宋" w:hAnsi="仿宋" w:eastAsia="仿宋" w:cs="仿宋"/>
                <w:color w:val="auto"/>
                <w:spacing w:val="-2"/>
                <w:sz w:val="24"/>
                <w:highlight w:val="none"/>
              </w:rPr>
              <w:t>在签订合同之前，采购人如发现供应商的投标文件有弄虚作假内容，采购人可拒绝与其签订合同。</w:t>
            </w:r>
          </w:p>
          <w:p w14:paraId="1F65F624">
            <w:pPr>
              <w:widowControl/>
              <w:tabs>
                <w:tab w:val="left" w:pos="720"/>
                <w:tab w:val="left" w:pos="900"/>
                <w:tab w:val="left" w:pos="1080"/>
                <w:tab w:val="left" w:pos="1260"/>
                <w:tab w:val="left" w:pos="1440"/>
                <w:tab w:val="left" w:pos="1800"/>
              </w:tabs>
              <w:snapToGrid w:val="0"/>
              <w:spacing w:line="360" w:lineRule="auto"/>
              <w:jc w:val="left"/>
              <w:rPr>
                <w:rFonts w:hint="eastAsia" w:ascii="仿宋" w:hAnsi="仿宋" w:eastAsia="仿宋" w:cs="仿宋"/>
                <w:color w:val="auto"/>
                <w:spacing w:val="-2"/>
                <w:sz w:val="24"/>
                <w:highlight w:val="none"/>
                <w:lang w:eastAsia="zh-CN"/>
              </w:rPr>
            </w:pPr>
            <w:r>
              <w:rPr>
                <w:rFonts w:hint="eastAsia" w:ascii="仿宋" w:hAnsi="仿宋" w:eastAsia="仿宋" w:cs="仿宋"/>
                <w:color w:val="auto"/>
                <w:spacing w:val="-2"/>
                <w:sz w:val="24"/>
                <w:highlight w:val="none"/>
              </w:rPr>
              <w:t>（7）采购文件前后如出现不一致情况，以前附表为准。</w:t>
            </w:r>
          </w:p>
        </w:tc>
      </w:tr>
    </w:tbl>
    <w:p w14:paraId="6CC3E69D">
      <w:pPr>
        <w:pStyle w:val="4"/>
        <w:spacing w:before="156" w:after="156"/>
        <w:jc w:val="left"/>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br w:type="page"/>
      </w:r>
      <w:bookmarkStart w:id="44" w:name="_Toc14518"/>
      <w:r>
        <w:rPr>
          <w:rFonts w:hint="eastAsia" w:ascii="仿宋" w:hAnsi="仿宋" w:eastAsia="仿宋" w:cs="仿宋"/>
          <w:bCs w:val="0"/>
          <w:color w:val="auto"/>
          <w:sz w:val="24"/>
          <w:szCs w:val="24"/>
          <w:highlight w:val="none"/>
        </w:rPr>
        <w:t>二、总  则</w:t>
      </w:r>
      <w:bookmarkEnd w:id="44"/>
    </w:p>
    <w:p w14:paraId="7C5C30A8">
      <w:pPr>
        <w:spacing w:line="360" w:lineRule="auto"/>
        <w:ind w:firstLine="480" w:firstLineChars="200"/>
        <w:rPr>
          <w:rFonts w:hint="eastAsia" w:ascii="仿宋" w:hAnsi="仿宋" w:eastAsia="仿宋" w:cs="仿宋"/>
          <w:color w:val="auto"/>
          <w:sz w:val="24"/>
          <w:highlight w:val="none"/>
        </w:rPr>
      </w:pPr>
      <w:bookmarkStart w:id="45" w:name="_Toc183682342"/>
      <w:bookmarkStart w:id="46" w:name="_Toc183582205"/>
      <w:bookmarkStart w:id="47" w:name="_Toc217446034"/>
      <w:r>
        <w:rPr>
          <w:rFonts w:hint="eastAsia" w:ascii="仿宋" w:hAnsi="仿宋" w:eastAsia="仿宋" w:cs="仿宋"/>
          <w:color w:val="auto"/>
          <w:sz w:val="24"/>
          <w:highlight w:val="none"/>
        </w:rPr>
        <w:t>1.</w:t>
      </w:r>
      <w:bookmarkEnd w:id="45"/>
      <w:bookmarkEnd w:id="46"/>
      <w:r>
        <w:rPr>
          <w:rFonts w:hint="eastAsia" w:ascii="仿宋" w:hAnsi="仿宋" w:eastAsia="仿宋" w:cs="仿宋"/>
          <w:color w:val="auto"/>
          <w:sz w:val="24"/>
          <w:highlight w:val="none"/>
        </w:rPr>
        <w:t xml:space="preserve"> 适用范围</w:t>
      </w:r>
      <w:bookmarkEnd w:id="47"/>
    </w:p>
    <w:p w14:paraId="13403BF2">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本招标文件仅适用于本次招标项目。</w:t>
      </w:r>
    </w:p>
    <w:p w14:paraId="7B04E417">
      <w:pPr>
        <w:spacing w:line="360" w:lineRule="auto"/>
        <w:ind w:firstLine="480" w:firstLineChars="200"/>
        <w:rPr>
          <w:rFonts w:hint="eastAsia" w:ascii="仿宋" w:hAnsi="仿宋" w:eastAsia="仿宋" w:cs="仿宋"/>
          <w:color w:val="auto"/>
          <w:sz w:val="24"/>
          <w:highlight w:val="none"/>
        </w:rPr>
      </w:pPr>
      <w:bookmarkStart w:id="48" w:name="_Toc183682343"/>
      <w:bookmarkStart w:id="49" w:name="_Toc183582206"/>
      <w:bookmarkStart w:id="50" w:name="_Toc217446035"/>
      <w:r>
        <w:rPr>
          <w:rFonts w:hint="eastAsia" w:ascii="仿宋" w:hAnsi="仿宋" w:eastAsia="仿宋" w:cs="仿宋"/>
          <w:color w:val="auto"/>
          <w:sz w:val="24"/>
          <w:highlight w:val="none"/>
        </w:rPr>
        <w:t xml:space="preserve">2. </w:t>
      </w:r>
      <w:bookmarkEnd w:id="48"/>
      <w:bookmarkEnd w:id="49"/>
      <w:r>
        <w:rPr>
          <w:rFonts w:hint="eastAsia" w:ascii="仿宋" w:hAnsi="仿宋" w:eastAsia="仿宋" w:cs="仿宋"/>
          <w:color w:val="auto"/>
          <w:sz w:val="24"/>
          <w:highlight w:val="none"/>
        </w:rPr>
        <w:t>有关定义</w:t>
      </w:r>
      <w:bookmarkEnd w:id="50"/>
    </w:p>
    <w:p w14:paraId="5F5EC56D">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“采购人”系指依法进行政府采购的国家机关、事业单位、团体组织。本项目采购人是</w:t>
      </w:r>
      <w:r>
        <w:rPr>
          <w:rFonts w:hint="eastAsia" w:ascii="仿宋" w:hAnsi="仿宋" w:eastAsia="仿宋" w:cs="仿宋"/>
          <w:color w:val="auto"/>
          <w:sz w:val="24"/>
          <w:highlight w:val="none"/>
          <w:u w:val="single"/>
        </w:rPr>
        <w:t>新疆农业大学</w:t>
      </w:r>
      <w:r>
        <w:rPr>
          <w:rFonts w:hint="eastAsia" w:ascii="仿宋" w:hAnsi="仿宋" w:eastAsia="仿宋" w:cs="仿宋"/>
          <w:color w:val="auto"/>
          <w:sz w:val="24"/>
          <w:highlight w:val="none"/>
        </w:rPr>
        <w:t>。</w:t>
      </w:r>
    </w:p>
    <w:p w14:paraId="63B2C4AF">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“采购代理机构”系指根据采购人的委托依法办理招标事宜的采购机构。本次招标的采购代理机构是</w:t>
      </w:r>
      <w:r>
        <w:rPr>
          <w:rFonts w:hint="eastAsia" w:ascii="仿宋" w:hAnsi="仿宋" w:eastAsia="仿宋" w:cs="仿宋"/>
          <w:color w:val="auto"/>
          <w:sz w:val="24"/>
          <w:highlight w:val="none"/>
          <w:u w:val="single"/>
        </w:rPr>
        <w:t>新疆拓源工程管理咨询有限公司</w:t>
      </w:r>
      <w:r>
        <w:rPr>
          <w:rFonts w:hint="eastAsia" w:ascii="仿宋" w:hAnsi="仿宋" w:eastAsia="仿宋" w:cs="仿宋"/>
          <w:color w:val="auto"/>
          <w:sz w:val="24"/>
          <w:highlight w:val="none"/>
        </w:rPr>
        <w:t>。</w:t>
      </w:r>
    </w:p>
    <w:p w14:paraId="4A3A68CF">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“采购单位”系指“采购人”和“采购代理机构”的统称。</w:t>
      </w:r>
    </w:p>
    <w:p w14:paraId="6160C32F">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“投标人”系指下载了招标文件拟参加投标和向采购人提供货物的投标人。</w:t>
      </w:r>
    </w:p>
    <w:p w14:paraId="6430D48C">
      <w:pPr>
        <w:spacing w:line="360" w:lineRule="auto"/>
        <w:ind w:firstLine="480" w:firstLineChars="200"/>
        <w:rPr>
          <w:rFonts w:hint="eastAsia" w:ascii="仿宋" w:hAnsi="仿宋" w:eastAsia="仿宋" w:cs="仿宋"/>
          <w:color w:val="auto"/>
          <w:sz w:val="24"/>
          <w:highlight w:val="none"/>
        </w:rPr>
      </w:pPr>
      <w:bookmarkStart w:id="51" w:name="_Toc217390843"/>
      <w:bookmarkStart w:id="52" w:name="_Toc183582207"/>
      <w:bookmarkStart w:id="53" w:name="_Toc217446036"/>
      <w:bookmarkStart w:id="54" w:name="_Toc183682344"/>
      <w:r>
        <w:rPr>
          <w:rFonts w:hint="eastAsia" w:ascii="仿宋" w:hAnsi="仿宋" w:eastAsia="仿宋" w:cs="仿宋"/>
          <w:color w:val="auto"/>
          <w:sz w:val="24"/>
          <w:highlight w:val="none"/>
        </w:rPr>
        <w:t>3. 合格的</w:t>
      </w:r>
      <w:bookmarkEnd w:id="51"/>
      <w:bookmarkEnd w:id="52"/>
      <w:bookmarkEnd w:id="53"/>
      <w:bookmarkEnd w:id="54"/>
      <w:r>
        <w:rPr>
          <w:rFonts w:hint="eastAsia" w:ascii="仿宋" w:hAnsi="仿宋" w:eastAsia="仿宋" w:cs="仿宋"/>
          <w:color w:val="auto"/>
          <w:sz w:val="24"/>
          <w:highlight w:val="none"/>
        </w:rPr>
        <w:t>投标人</w:t>
      </w:r>
    </w:p>
    <w:p w14:paraId="529167DC">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合格的投标人应具备以下条件：</w:t>
      </w:r>
    </w:p>
    <w:p w14:paraId="56EA8319">
      <w:pPr>
        <w:tabs>
          <w:tab w:val="left" w:pos="7665"/>
        </w:tabs>
        <w:spacing w:line="360" w:lineRule="auto"/>
        <w:ind w:firstLine="480" w:firstLineChars="200"/>
        <w:rPr>
          <w:rFonts w:hint="eastAsia" w:ascii="仿宋" w:hAnsi="仿宋" w:eastAsia="仿宋" w:cs="仿宋"/>
          <w:color w:val="auto"/>
          <w:spacing w:val="-4"/>
          <w:sz w:val="24"/>
          <w:highlight w:val="none"/>
        </w:rPr>
      </w:pPr>
      <w:r>
        <w:rPr>
          <w:rFonts w:hint="eastAsia" w:ascii="仿宋" w:hAnsi="仿宋" w:eastAsia="仿宋" w:cs="仿宋"/>
          <w:color w:val="auto"/>
          <w:sz w:val="24"/>
          <w:highlight w:val="none"/>
        </w:rPr>
        <w:t>（1）本招标文件“招标公告”第二条规定的条件</w:t>
      </w:r>
      <w:r>
        <w:rPr>
          <w:rFonts w:hint="eastAsia" w:ascii="仿宋" w:hAnsi="仿宋" w:eastAsia="仿宋" w:cs="仿宋"/>
          <w:color w:val="auto"/>
          <w:spacing w:val="-4"/>
          <w:sz w:val="24"/>
          <w:highlight w:val="none"/>
        </w:rPr>
        <w:t>；</w:t>
      </w:r>
    </w:p>
    <w:p w14:paraId="246B2FB1">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（2）遵守国家有关的法律、法规、规章和其他政策规定；</w:t>
      </w:r>
    </w:p>
    <w:p w14:paraId="629B798C">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（3）下载招标文件并参与竞争。</w:t>
      </w:r>
    </w:p>
    <w:p w14:paraId="7FBADA83">
      <w:pPr>
        <w:spacing w:line="360" w:lineRule="auto"/>
        <w:ind w:firstLine="480" w:firstLineChars="200"/>
        <w:rPr>
          <w:rFonts w:hint="eastAsia" w:ascii="仿宋" w:hAnsi="仿宋" w:eastAsia="仿宋" w:cs="仿宋"/>
          <w:color w:val="auto"/>
          <w:sz w:val="24"/>
          <w:highlight w:val="none"/>
        </w:rPr>
      </w:pPr>
      <w:bookmarkStart w:id="55" w:name="_Toc183582208"/>
      <w:bookmarkStart w:id="56" w:name="_Toc183682345"/>
      <w:bookmarkStart w:id="57" w:name="_Toc217446037"/>
      <w:r>
        <w:rPr>
          <w:rFonts w:hint="eastAsia" w:ascii="仿宋" w:hAnsi="仿宋" w:eastAsia="仿宋" w:cs="仿宋"/>
          <w:color w:val="auto"/>
          <w:sz w:val="24"/>
          <w:highlight w:val="none"/>
        </w:rPr>
        <w:t>4. 投标费用</w:t>
      </w:r>
      <w:bookmarkEnd w:id="55"/>
      <w:bookmarkEnd w:id="56"/>
      <w:bookmarkEnd w:id="57"/>
    </w:p>
    <w:p w14:paraId="43B465B0">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投标人参加投标的有关费用由投标人自行承担。</w:t>
      </w:r>
    </w:p>
    <w:p w14:paraId="76D77DC8">
      <w:pPr>
        <w:pStyle w:val="4"/>
        <w:spacing w:before="156" w:after="156"/>
        <w:ind w:firstLine="482" w:firstLineChars="200"/>
        <w:rPr>
          <w:rFonts w:hint="eastAsia" w:ascii="仿宋" w:hAnsi="仿宋" w:eastAsia="仿宋" w:cs="仿宋"/>
          <w:bCs w:val="0"/>
          <w:color w:val="auto"/>
          <w:sz w:val="24"/>
          <w:szCs w:val="24"/>
          <w:highlight w:val="none"/>
        </w:rPr>
      </w:pPr>
      <w:bookmarkStart w:id="58" w:name="_Toc183582209"/>
      <w:bookmarkStart w:id="59" w:name="_Toc217446038"/>
      <w:bookmarkStart w:id="60" w:name="_Toc89075875"/>
      <w:bookmarkStart w:id="61" w:name="_Toc77400779"/>
      <w:bookmarkStart w:id="62" w:name="_Toc183682346"/>
      <w:bookmarkStart w:id="63" w:name="_Toc21149"/>
      <w:r>
        <w:rPr>
          <w:rFonts w:hint="eastAsia" w:ascii="仿宋" w:hAnsi="仿宋" w:eastAsia="仿宋" w:cs="仿宋"/>
          <w:bCs w:val="0"/>
          <w:color w:val="auto"/>
          <w:sz w:val="24"/>
          <w:szCs w:val="24"/>
          <w:highlight w:val="none"/>
        </w:rPr>
        <w:t>三、</w:t>
      </w:r>
      <w:bookmarkEnd w:id="58"/>
      <w:bookmarkEnd w:id="59"/>
      <w:bookmarkEnd w:id="60"/>
      <w:bookmarkEnd w:id="61"/>
      <w:bookmarkEnd w:id="62"/>
      <w:r>
        <w:rPr>
          <w:rFonts w:hint="eastAsia" w:ascii="仿宋" w:hAnsi="仿宋" w:eastAsia="仿宋" w:cs="仿宋"/>
          <w:bCs w:val="0"/>
          <w:color w:val="auto"/>
          <w:sz w:val="24"/>
          <w:szCs w:val="24"/>
          <w:highlight w:val="none"/>
        </w:rPr>
        <w:t>招标文件</w:t>
      </w:r>
      <w:bookmarkEnd w:id="63"/>
    </w:p>
    <w:p w14:paraId="25F2105F">
      <w:pPr>
        <w:spacing w:line="360" w:lineRule="auto"/>
        <w:ind w:firstLine="480" w:firstLineChars="200"/>
        <w:rPr>
          <w:rFonts w:hint="eastAsia" w:ascii="仿宋" w:hAnsi="仿宋" w:eastAsia="仿宋" w:cs="仿宋"/>
          <w:color w:val="auto"/>
          <w:sz w:val="24"/>
          <w:highlight w:val="none"/>
        </w:rPr>
      </w:pPr>
      <w:bookmarkStart w:id="64" w:name="_Toc217446039"/>
      <w:bookmarkStart w:id="65" w:name="_Toc183582210"/>
      <w:bookmarkStart w:id="66" w:name="_Toc183682347"/>
      <w:r>
        <w:rPr>
          <w:rFonts w:hint="eastAsia" w:ascii="仿宋" w:hAnsi="仿宋" w:eastAsia="仿宋" w:cs="仿宋"/>
          <w:color w:val="auto"/>
          <w:sz w:val="24"/>
          <w:highlight w:val="none"/>
        </w:rPr>
        <w:t>5．招标文件的构成</w:t>
      </w:r>
      <w:bookmarkEnd w:id="64"/>
      <w:bookmarkEnd w:id="65"/>
      <w:bookmarkEnd w:id="66"/>
    </w:p>
    <w:p w14:paraId="0ADCB621">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2334AF6B">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（1）招标公告</w:t>
      </w:r>
      <w:r>
        <w:rPr>
          <w:rFonts w:hint="eastAsia" w:ascii="仿宋" w:hAnsi="仿宋" w:eastAsia="仿宋" w:cs="仿宋"/>
          <w:color w:val="auto"/>
          <w:sz w:val="24"/>
          <w:highlight w:val="none"/>
        </w:rPr>
        <w:tab/>
      </w:r>
    </w:p>
    <w:p w14:paraId="658682BB">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（2）投标人须知</w:t>
      </w:r>
      <w:r>
        <w:rPr>
          <w:rFonts w:hint="eastAsia" w:ascii="仿宋" w:hAnsi="仿宋" w:eastAsia="仿宋" w:cs="仿宋"/>
          <w:color w:val="auto"/>
          <w:sz w:val="24"/>
          <w:highlight w:val="none"/>
        </w:rPr>
        <w:tab/>
      </w:r>
    </w:p>
    <w:p w14:paraId="6EBFF4C5">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（3）投标文件格式</w:t>
      </w:r>
      <w:r>
        <w:rPr>
          <w:rFonts w:hint="eastAsia" w:ascii="仿宋" w:hAnsi="仿宋" w:eastAsia="仿宋" w:cs="仿宋"/>
          <w:color w:val="auto"/>
          <w:sz w:val="24"/>
          <w:highlight w:val="none"/>
        </w:rPr>
        <w:tab/>
      </w:r>
    </w:p>
    <w:p w14:paraId="2841E848">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（4）招标项目技术要求</w:t>
      </w:r>
      <w:r>
        <w:rPr>
          <w:rFonts w:hint="eastAsia" w:ascii="仿宋" w:hAnsi="仿宋" w:eastAsia="仿宋" w:cs="仿宋"/>
          <w:color w:val="auto"/>
          <w:sz w:val="24"/>
          <w:highlight w:val="none"/>
        </w:rPr>
        <w:tab/>
      </w:r>
    </w:p>
    <w:p w14:paraId="3DBB3340">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（5）评标办法</w:t>
      </w:r>
      <w:r>
        <w:rPr>
          <w:rFonts w:hint="eastAsia" w:ascii="仿宋" w:hAnsi="仿宋" w:eastAsia="仿宋" w:cs="仿宋"/>
          <w:color w:val="auto"/>
          <w:sz w:val="24"/>
          <w:highlight w:val="none"/>
        </w:rPr>
        <w:tab/>
      </w:r>
    </w:p>
    <w:p w14:paraId="240965EE">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（6）拟签订的合同文本</w:t>
      </w:r>
      <w:r>
        <w:rPr>
          <w:rFonts w:hint="eastAsia" w:ascii="仿宋" w:hAnsi="仿宋" w:eastAsia="仿宋" w:cs="仿宋"/>
          <w:color w:val="auto"/>
          <w:sz w:val="24"/>
          <w:highlight w:val="none"/>
        </w:rPr>
        <w:tab/>
      </w:r>
    </w:p>
    <w:p w14:paraId="00CD62F8">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仿宋" w:hAnsi="仿宋" w:eastAsia="仿宋" w:cs="仿宋"/>
          <w:b/>
          <w:bCs/>
          <w:color w:val="auto"/>
          <w:sz w:val="24"/>
          <w:highlight w:val="none"/>
        </w:rPr>
        <w:t>无效处理</w:t>
      </w:r>
      <w:r>
        <w:rPr>
          <w:rFonts w:hint="eastAsia" w:ascii="仿宋" w:hAnsi="仿宋" w:eastAsia="仿宋" w:cs="仿宋"/>
          <w:color w:val="auto"/>
          <w:sz w:val="24"/>
          <w:highlight w:val="none"/>
        </w:rPr>
        <w:t>。</w:t>
      </w:r>
    </w:p>
    <w:p w14:paraId="191F7E26">
      <w:pPr>
        <w:spacing w:line="360" w:lineRule="auto"/>
        <w:ind w:firstLine="480" w:firstLineChars="200"/>
        <w:rPr>
          <w:rFonts w:hint="eastAsia" w:ascii="仿宋" w:hAnsi="仿宋" w:eastAsia="仿宋" w:cs="仿宋"/>
          <w:color w:val="auto"/>
          <w:sz w:val="24"/>
          <w:highlight w:val="none"/>
        </w:rPr>
      </w:pPr>
      <w:bookmarkStart w:id="67" w:name="_Toc183582211"/>
      <w:bookmarkStart w:id="68" w:name="_Toc183682348"/>
      <w:bookmarkStart w:id="69" w:name="_Toc217446040"/>
      <w:r>
        <w:rPr>
          <w:rFonts w:hint="eastAsia" w:ascii="仿宋" w:hAnsi="仿宋" w:eastAsia="仿宋" w:cs="仿宋"/>
          <w:color w:val="auto"/>
          <w:sz w:val="24"/>
          <w:highlight w:val="none"/>
        </w:rPr>
        <w:t>6. 招标文件的澄清</w:t>
      </w:r>
      <w:bookmarkEnd w:id="67"/>
      <w:bookmarkEnd w:id="68"/>
      <w:r>
        <w:rPr>
          <w:rFonts w:hint="eastAsia" w:ascii="仿宋" w:hAnsi="仿宋" w:eastAsia="仿宋" w:cs="仿宋"/>
          <w:color w:val="auto"/>
          <w:sz w:val="24"/>
          <w:highlight w:val="none"/>
        </w:rPr>
        <w:t>和修改</w:t>
      </w:r>
      <w:bookmarkEnd w:id="69"/>
    </w:p>
    <w:p w14:paraId="027102C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6.1 </w:t>
      </w:r>
      <w:bookmarkStart w:id="70" w:name="_Toc208848971"/>
      <w:bookmarkStart w:id="71" w:name="_Toc217446041"/>
      <w:r>
        <w:rPr>
          <w:rFonts w:hint="eastAsia" w:ascii="仿宋" w:hAnsi="仿宋" w:eastAsia="仿宋" w:cs="仿宋"/>
          <w:color w:val="auto"/>
          <w:sz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9A0DE8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4BA159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 答疑会和现场考察</w:t>
      </w:r>
      <w:bookmarkEnd w:id="70"/>
      <w:bookmarkEnd w:id="71"/>
      <w:r>
        <w:rPr>
          <w:rFonts w:hint="eastAsia" w:ascii="仿宋" w:hAnsi="仿宋" w:eastAsia="仿宋" w:cs="仿宋"/>
          <w:color w:val="auto"/>
          <w:sz w:val="24"/>
          <w:highlight w:val="none"/>
        </w:rPr>
        <w:t>。</w:t>
      </w:r>
    </w:p>
    <w:p w14:paraId="7C8556E6">
      <w:pPr>
        <w:spacing w:line="360" w:lineRule="auto"/>
        <w:ind w:firstLine="480" w:firstLineChars="200"/>
        <w:rPr>
          <w:rFonts w:hint="eastAsia" w:ascii="仿宋" w:hAnsi="仿宋" w:eastAsia="仿宋" w:cs="仿宋"/>
          <w:color w:val="auto"/>
          <w:sz w:val="24"/>
          <w:highlight w:val="none"/>
        </w:rPr>
      </w:pPr>
      <w:bookmarkStart w:id="72" w:name="_Toc183682351"/>
      <w:bookmarkStart w:id="73" w:name="_Toc183582214"/>
      <w:bookmarkStart w:id="74" w:name="_Toc217446042"/>
      <w:bookmarkStart w:id="75" w:name="_Toc89075876"/>
      <w:bookmarkStart w:id="76" w:name="_Toc77400780"/>
      <w:r>
        <w:rPr>
          <w:rFonts w:hint="eastAsia" w:ascii="仿宋" w:hAnsi="仿宋" w:eastAsia="仿宋" w:cs="仿宋"/>
          <w:color w:val="auto"/>
          <w:sz w:val="24"/>
          <w:highlight w:val="none"/>
        </w:rPr>
        <w:t>7.1 本项目不组织答疑会和现场考察。</w:t>
      </w:r>
    </w:p>
    <w:p w14:paraId="6B7D6041">
      <w:pPr>
        <w:pStyle w:val="4"/>
        <w:spacing w:before="156" w:after="156"/>
        <w:ind w:firstLine="482" w:firstLineChars="200"/>
        <w:rPr>
          <w:rFonts w:hint="eastAsia" w:ascii="仿宋" w:hAnsi="仿宋" w:eastAsia="仿宋" w:cs="仿宋"/>
          <w:bCs w:val="0"/>
          <w:color w:val="auto"/>
          <w:sz w:val="24"/>
          <w:szCs w:val="24"/>
          <w:highlight w:val="none"/>
        </w:rPr>
      </w:pPr>
      <w:bookmarkStart w:id="77" w:name="_Toc5703"/>
      <w:r>
        <w:rPr>
          <w:rFonts w:hint="eastAsia" w:ascii="仿宋" w:hAnsi="仿宋" w:eastAsia="仿宋" w:cs="仿宋"/>
          <w:bCs w:val="0"/>
          <w:color w:val="auto"/>
          <w:sz w:val="24"/>
          <w:szCs w:val="24"/>
          <w:highlight w:val="none"/>
        </w:rPr>
        <w:t>四、</w:t>
      </w:r>
      <w:bookmarkEnd w:id="72"/>
      <w:bookmarkEnd w:id="73"/>
      <w:bookmarkEnd w:id="74"/>
      <w:bookmarkEnd w:id="75"/>
      <w:bookmarkEnd w:id="76"/>
      <w:r>
        <w:rPr>
          <w:rFonts w:hint="eastAsia" w:ascii="仿宋" w:hAnsi="仿宋" w:eastAsia="仿宋" w:cs="仿宋"/>
          <w:bCs w:val="0"/>
          <w:color w:val="auto"/>
          <w:sz w:val="24"/>
          <w:szCs w:val="24"/>
          <w:highlight w:val="none"/>
        </w:rPr>
        <w:t>投标文件</w:t>
      </w:r>
      <w:bookmarkEnd w:id="77"/>
    </w:p>
    <w:p w14:paraId="48230D7D">
      <w:pPr>
        <w:spacing w:line="360" w:lineRule="auto"/>
        <w:ind w:firstLine="480" w:firstLineChars="200"/>
        <w:rPr>
          <w:rFonts w:hint="eastAsia" w:ascii="仿宋" w:hAnsi="仿宋" w:eastAsia="仿宋" w:cs="仿宋"/>
          <w:color w:val="auto"/>
          <w:sz w:val="24"/>
          <w:highlight w:val="none"/>
        </w:rPr>
      </w:pPr>
      <w:bookmarkStart w:id="78" w:name="_Toc217446043"/>
      <w:bookmarkStart w:id="79" w:name="_Toc183582215"/>
      <w:bookmarkStart w:id="80" w:name="_Toc183682352"/>
      <w:r>
        <w:rPr>
          <w:rFonts w:hint="eastAsia" w:ascii="仿宋" w:hAnsi="仿宋" w:eastAsia="仿宋" w:cs="仿宋"/>
          <w:color w:val="auto"/>
          <w:sz w:val="24"/>
          <w:highlight w:val="none"/>
        </w:rPr>
        <w:t>8．投标文件的语言</w:t>
      </w:r>
      <w:bookmarkEnd w:id="78"/>
      <w:bookmarkEnd w:id="79"/>
      <w:bookmarkEnd w:id="80"/>
    </w:p>
    <w:p w14:paraId="3A05399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仿宋" w:hAnsi="仿宋" w:eastAsia="仿宋" w:cs="仿宋"/>
          <w:b/>
          <w:bCs/>
          <w:color w:val="auto"/>
          <w:sz w:val="24"/>
          <w:highlight w:val="none"/>
        </w:rPr>
        <w:t>无效投标处理</w:t>
      </w:r>
      <w:r>
        <w:rPr>
          <w:rFonts w:hint="eastAsia" w:ascii="仿宋" w:hAnsi="仿宋" w:eastAsia="仿宋" w:cs="仿宋"/>
          <w:color w:val="auto"/>
          <w:sz w:val="24"/>
          <w:highlight w:val="none"/>
        </w:rPr>
        <w:t>。</w:t>
      </w:r>
    </w:p>
    <w:p w14:paraId="108DED0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8.2 翻译的中文资料与外文资料如果出现差异和矛盾时，以中文为准。但不能故意错误翻译，否则，投标人的投标文件将作为</w:t>
      </w:r>
      <w:r>
        <w:rPr>
          <w:rFonts w:hint="eastAsia" w:ascii="仿宋" w:hAnsi="仿宋" w:eastAsia="仿宋" w:cs="仿宋"/>
          <w:b/>
          <w:bCs/>
          <w:color w:val="auto"/>
          <w:sz w:val="24"/>
          <w:highlight w:val="none"/>
        </w:rPr>
        <w:t>无效投标处理</w:t>
      </w:r>
      <w:r>
        <w:rPr>
          <w:rFonts w:hint="eastAsia" w:ascii="仿宋" w:hAnsi="仿宋" w:eastAsia="仿宋" w:cs="仿宋"/>
          <w:color w:val="auto"/>
          <w:sz w:val="24"/>
          <w:highlight w:val="none"/>
        </w:rPr>
        <w:t>。</w:t>
      </w:r>
    </w:p>
    <w:p w14:paraId="17EC27B1">
      <w:pPr>
        <w:spacing w:line="360" w:lineRule="auto"/>
        <w:ind w:firstLine="480" w:firstLineChars="200"/>
        <w:rPr>
          <w:rFonts w:hint="eastAsia" w:ascii="仿宋" w:hAnsi="仿宋" w:eastAsia="仿宋" w:cs="仿宋"/>
          <w:color w:val="auto"/>
          <w:sz w:val="24"/>
          <w:highlight w:val="none"/>
        </w:rPr>
      </w:pPr>
      <w:bookmarkStart w:id="81" w:name="_Toc183582216"/>
      <w:bookmarkStart w:id="82" w:name="_Toc183682353"/>
      <w:bookmarkStart w:id="83" w:name="_Toc217446044"/>
      <w:r>
        <w:rPr>
          <w:rFonts w:hint="eastAsia" w:ascii="仿宋" w:hAnsi="仿宋" w:eastAsia="仿宋" w:cs="仿宋"/>
          <w:color w:val="auto"/>
          <w:sz w:val="24"/>
          <w:highlight w:val="none"/>
        </w:rPr>
        <w:t>9．计量单位</w:t>
      </w:r>
      <w:bookmarkEnd w:id="81"/>
      <w:bookmarkEnd w:id="82"/>
      <w:bookmarkEnd w:id="83"/>
    </w:p>
    <w:p w14:paraId="32EFF30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除招标文件中另有规定外，本招标项下的投标均采用国家法定的计量单位。</w:t>
      </w:r>
    </w:p>
    <w:p w14:paraId="42094A39">
      <w:pPr>
        <w:spacing w:line="360" w:lineRule="auto"/>
        <w:ind w:firstLine="480" w:firstLineChars="200"/>
        <w:rPr>
          <w:rFonts w:hint="eastAsia" w:ascii="仿宋" w:hAnsi="仿宋" w:eastAsia="仿宋" w:cs="仿宋"/>
          <w:color w:val="auto"/>
          <w:sz w:val="24"/>
          <w:highlight w:val="none"/>
        </w:rPr>
      </w:pPr>
      <w:bookmarkStart w:id="84" w:name="_Toc217446045"/>
      <w:r>
        <w:rPr>
          <w:rFonts w:hint="eastAsia" w:ascii="仿宋" w:hAnsi="仿宋" w:eastAsia="仿宋" w:cs="仿宋"/>
          <w:color w:val="auto"/>
          <w:sz w:val="24"/>
          <w:highlight w:val="none"/>
        </w:rPr>
        <w:t>10. 投标货币</w:t>
      </w:r>
      <w:bookmarkEnd w:id="84"/>
    </w:p>
    <w:p w14:paraId="766C00F0">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本次招标项目的投标均以人民币报价。</w:t>
      </w:r>
    </w:p>
    <w:p w14:paraId="79930AD3">
      <w:pPr>
        <w:spacing w:line="360" w:lineRule="auto"/>
        <w:ind w:firstLine="480" w:firstLineChars="200"/>
        <w:rPr>
          <w:rFonts w:hint="eastAsia" w:ascii="仿宋" w:hAnsi="仿宋" w:eastAsia="仿宋" w:cs="仿宋"/>
          <w:color w:val="auto"/>
          <w:sz w:val="24"/>
          <w:highlight w:val="none"/>
        </w:rPr>
      </w:pPr>
      <w:bookmarkStart w:id="85" w:name="_Toc217446046"/>
      <w:r>
        <w:rPr>
          <w:rFonts w:hint="eastAsia" w:ascii="仿宋" w:hAnsi="仿宋" w:eastAsia="仿宋" w:cs="仿宋"/>
          <w:color w:val="auto"/>
          <w:sz w:val="24"/>
          <w:highlight w:val="none"/>
        </w:rPr>
        <w:t>11. 联合体投标</w:t>
      </w:r>
      <w:bookmarkEnd w:id="85"/>
    </w:p>
    <w:p w14:paraId="34CE3997">
      <w:pPr>
        <w:pStyle w:val="1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详见“投标人须知前附表”第13条。</w:t>
      </w:r>
    </w:p>
    <w:p w14:paraId="338E87A8">
      <w:pPr>
        <w:spacing w:line="360" w:lineRule="auto"/>
        <w:ind w:firstLine="480" w:firstLineChars="200"/>
        <w:rPr>
          <w:rFonts w:hint="eastAsia" w:ascii="仿宋" w:hAnsi="仿宋" w:eastAsia="仿宋" w:cs="仿宋"/>
          <w:color w:val="auto"/>
          <w:sz w:val="24"/>
          <w:highlight w:val="none"/>
        </w:rPr>
      </w:pPr>
      <w:bookmarkStart w:id="86" w:name="_Toc217446047"/>
      <w:r>
        <w:rPr>
          <w:rFonts w:hint="eastAsia" w:ascii="仿宋" w:hAnsi="仿宋" w:eastAsia="仿宋" w:cs="仿宋"/>
          <w:color w:val="auto"/>
          <w:sz w:val="24"/>
          <w:highlight w:val="none"/>
        </w:rPr>
        <w:t>12. 知识产权</w:t>
      </w:r>
      <w:bookmarkEnd w:id="86"/>
    </w:p>
    <w:p w14:paraId="5CFF8E8B">
      <w:pPr>
        <w:pStyle w:val="1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7D7F5172">
      <w:pPr>
        <w:pStyle w:val="1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采购人享有本项目实施过程中产生的知识成果及知识产权。</w:t>
      </w:r>
    </w:p>
    <w:p w14:paraId="422B3C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13A3D30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12.4 如采用投标人所不拥有的知识产权，则在投标报价中必须包括合法获取该知识产权的相关费用。 </w:t>
      </w:r>
    </w:p>
    <w:p w14:paraId="6DEBE180">
      <w:pPr>
        <w:spacing w:line="360" w:lineRule="auto"/>
        <w:ind w:firstLine="480" w:firstLineChars="200"/>
        <w:rPr>
          <w:rFonts w:hint="eastAsia" w:ascii="仿宋" w:hAnsi="仿宋" w:eastAsia="仿宋" w:cs="仿宋"/>
          <w:color w:val="auto"/>
          <w:sz w:val="24"/>
          <w:highlight w:val="none"/>
        </w:rPr>
      </w:pPr>
      <w:bookmarkStart w:id="87" w:name="_Toc183582217"/>
      <w:bookmarkStart w:id="88" w:name="_Toc183682354"/>
      <w:bookmarkStart w:id="89" w:name="_Toc217446048"/>
      <w:r>
        <w:rPr>
          <w:rFonts w:hint="eastAsia" w:ascii="仿宋" w:hAnsi="仿宋" w:eastAsia="仿宋" w:cs="仿宋"/>
          <w:color w:val="auto"/>
          <w:sz w:val="24"/>
          <w:highlight w:val="none"/>
        </w:rPr>
        <w:t>13．投标文件的组成</w:t>
      </w:r>
      <w:bookmarkEnd w:id="87"/>
      <w:bookmarkEnd w:id="88"/>
      <w:bookmarkEnd w:id="89"/>
    </w:p>
    <w:p w14:paraId="201F58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7A236457">
      <w:pPr>
        <w:tabs>
          <w:tab w:val="left" w:pos="3480"/>
        </w:tabs>
        <w:spacing w:line="360" w:lineRule="auto"/>
        <w:ind w:firstLine="480" w:firstLineChars="200"/>
        <w:rPr>
          <w:rFonts w:hint="eastAsia" w:ascii="仿宋" w:hAnsi="仿宋" w:eastAsia="仿宋" w:cs="仿宋"/>
          <w:color w:val="auto"/>
          <w:sz w:val="24"/>
          <w:highlight w:val="none"/>
        </w:rPr>
      </w:pPr>
      <w:bookmarkStart w:id="90" w:name="_Toc183582218"/>
      <w:bookmarkStart w:id="91" w:name="_Toc217446049"/>
      <w:bookmarkStart w:id="92" w:name="_Toc183682355"/>
      <w:r>
        <w:rPr>
          <w:rFonts w:hint="eastAsia" w:ascii="仿宋" w:hAnsi="仿宋" w:eastAsia="仿宋" w:cs="仿宋"/>
          <w:color w:val="auto"/>
          <w:sz w:val="24"/>
          <w:highlight w:val="none"/>
        </w:rPr>
        <w:t>一、投标函</w:t>
      </w:r>
    </w:p>
    <w:p w14:paraId="48908BD0">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二、身份证明书及授权委托书</w:t>
      </w:r>
    </w:p>
    <w:p w14:paraId="59EFBE35">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三、投标报价明细表</w:t>
      </w:r>
    </w:p>
    <w:p w14:paraId="382D8B7D">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四、投标人基本情况表</w:t>
      </w:r>
    </w:p>
    <w:p w14:paraId="37F21A6B">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五、投标人类似项目业绩一览表</w:t>
      </w:r>
    </w:p>
    <w:p w14:paraId="50D480EC">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六、商务、技术需求偏离表</w:t>
      </w:r>
    </w:p>
    <w:p w14:paraId="3FC9AFA8">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七、拟配备人员情况</w:t>
      </w:r>
    </w:p>
    <w:p w14:paraId="316A7DE3">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八、实施方案</w:t>
      </w:r>
    </w:p>
    <w:p w14:paraId="157B4FCF">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九、投标人认为需要提供的其他文件和资料</w:t>
      </w:r>
    </w:p>
    <w:p w14:paraId="6F5BEF67">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14．投标文件格式</w:t>
      </w:r>
      <w:bookmarkEnd w:id="90"/>
      <w:bookmarkEnd w:id="91"/>
      <w:bookmarkEnd w:id="92"/>
    </w:p>
    <w:p w14:paraId="223FB611">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14.1 投标人应严格按照招标文件第三章中提供的“投标文件格式”填写相关内容。除明确允许投标人可以自行编写的外，投标人不得以“投标文件格式”规定之外的方式填写相关内容。</w:t>
      </w:r>
    </w:p>
    <w:p w14:paraId="466DEFBE">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14.2 对于没有格式要求的投标文件由投标人自行编写。</w:t>
      </w:r>
    </w:p>
    <w:p w14:paraId="2254F6F9">
      <w:pPr>
        <w:spacing w:line="360" w:lineRule="auto"/>
        <w:ind w:firstLine="480" w:firstLineChars="200"/>
        <w:rPr>
          <w:rFonts w:hint="eastAsia" w:ascii="仿宋" w:hAnsi="仿宋" w:eastAsia="仿宋" w:cs="仿宋"/>
          <w:color w:val="auto"/>
          <w:sz w:val="24"/>
          <w:highlight w:val="none"/>
        </w:rPr>
      </w:pPr>
      <w:bookmarkStart w:id="93" w:name="_Toc183582223"/>
      <w:bookmarkStart w:id="94" w:name="_Toc183682360"/>
      <w:bookmarkStart w:id="95" w:name="_Toc217446050"/>
      <w:r>
        <w:rPr>
          <w:rFonts w:hint="eastAsia" w:ascii="仿宋" w:hAnsi="仿宋" w:eastAsia="仿宋" w:cs="仿宋"/>
          <w:color w:val="auto"/>
          <w:sz w:val="24"/>
          <w:highlight w:val="none"/>
        </w:rPr>
        <w:t>15．投标保证金</w:t>
      </w:r>
      <w:bookmarkEnd w:id="93"/>
      <w:bookmarkEnd w:id="94"/>
      <w:bookmarkEnd w:id="95"/>
    </w:p>
    <w:p w14:paraId="629B298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15.1 投标人投标时，必须按招标文件规定数额和形式缴纳投标保证金，并作为其投标文件的一部分。</w:t>
      </w:r>
    </w:p>
    <w:p w14:paraId="701162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15.2未按招标文件要求在规定时间前缴纳规定数额和形式的投标保证金，将被视为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518D4A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 投标人所缴纳的投标保证金不计利息。</w:t>
      </w:r>
    </w:p>
    <w:p w14:paraId="47C5B1B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15.4未中标人的投标保证金，将在中标通知书发出后五个工作日内全额退还。中标人的投标保证金，自采购合同签订之日起5个工作日内退还中标人的投标保证金。</w:t>
      </w:r>
    </w:p>
    <w:p w14:paraId="5FEB368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15.5发生下列情形之一的，采购代理机构将不予退还投标人缴纳的投标保证金：</w:t>
      </w:r>
    </w:p>
    <w:p w14:paraId="534D520C">
      <w:pPr>
        <w:spacing w:line="360" w:lineRule="auto"/>
        <w:ind w:firstLine="480" w:firstLineChars="200"/>
        <w:rPr>
          <w:rFonts w:hint="eastAsia" w:ascii="仿宋" w:hAnsi="仿宋" w:eastAsia="仿宋" w:cs="仿宋"/>
          <w:color w:val="auto"/>
          <w:sz w:val="24"/>
          <w:highlight w:val="none"/>
        </w:rPr>
      </w:pPr>
      <w:bookmarkStart w:id="96" w:name="_Toc217446051"/>
      <w:bookmarkStart w:id="97" w:name="_Toc183682361"/>
      <w:bookmarkStart w:id="98" w:name="_Toc183582224"/>
      <w:r>
        <w:rPr>
          <w:rFonts w:hint="eastAsia" w:ascii="仿宋" w:hAnsi="仿宋" w:eastAsia="仿宋" w:cs="仿宋"/>
          <w:color w:val="auto"/>
          <w:sz w:val="24"/>
          <w:highlight w:val="none"/>
        </w:rPr>
        <w:t>（1）投标人在提交投标文件截止时间后撤回投标文件的；</w:t>
      </w:r>
    </w:p>
    <w:p w14:paraId="4E6C98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（2）投标人在投标文件中提供虚假材料的；</w:t>
      </w:r>
    </w:p>
    <w:p w14:paraId="5C728DA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（3）投标人不接受按投标文件规定对其投标报价进行修正的；</w:t>
      </w:r>
    </w:p>
    <w:p w14:paraId="772AB1D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（4）除因不可抗力或投标文件认可的情形以外，中标人不履行与采购人签订合同的，在签订合同时向采购人提出附加条件；</w:t>
      </w:r>
    </w:p>
    <w:p w14:paraId="7932F4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（5）中标人未能在规定期限内与采购人签署合同协议书或提交履约保证金的；</w:t>
      </w:r>
    </w:p>
    <w:p w14:paraId="61FF9D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（6）投标人与采购人、其他投标人或者采购代理机构恶意串通的；</w:t>
      </w:r>
    </w:p>
    <w:p w14:paraId="2907B8B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（7）招标文件规定的其他情形；</w:t>
      </w:r>
    </w:p>
    <w:p w14:paraId="6CF363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（8）符合法律、法规规定的其他情形的。 </w:t>
      </w:r>
    </w:p>
    <w:p w14:paraId="5062DA0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16．投标有效期</w:t>
      </w:r>
      <w:bookmarkEnd w:id="96"/>
      <w:bookmarkEnd w:id="97"/>
      <w:bookmarkEnd w:id="98"/>
    </w:p>
    <w:p w14:paraId="2D90B473">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 投标有效期详见投标人须知前附表。投标有效期短于此规定期限的，</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F5D0B94">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特殊情况下，采购人可于投标有效期满之前要求投标人同意延长有效期，要求与答复均应为书面形式。投标人可以拒绝上述要求，其投标保证金</w:t>
      </w:r>
      <w:r>
        <w:rPr>
          <w:rFonts w:hint="eastAsia" w:ascii="仿宋" w:hAnsi="仿宋" w:eastAsia="仿宋" w:cs="仿宋"/>
          <w:color w:val="auto"/>
          <w:spacing w:val="8"/>
          <w:sz w:val="24"/>
          <w:highlight w:val="none"/>
        </w:rPr>
        <w:t>不被没收。</w:t>
      </w:r>
      <w:r>
        <w:rPr>
          <w:rFonts w:hint="eastAsia" w:ascii="仿宋" w:hAnsi="仿宋" w:eastAsia="仿宋" w:cs="仿宋"/>
          <w:color w:val="auto"/>
          <w:sz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569B926F">
      <w:pPr>
        <w:spacing w:line="360" w:lineRule="auto"/>
        <w:ind w:firstLine="480" w:firstLineChars="200"/>
        <w:rPr>
          <w:rFonts w:hint="eastAsia" w:ascii="仿宋" w:hAnsi="仿宋" w:eastAsia="仿宋" w:cs="仿宋"/>
          <w:b/>
          <w:color w:val="auto"/>
          <w:sz w:val="24"/>
          <w:highlight w:val="none"/>
        </w:rPr>
      </w:pPr>
      <w:bookmarkStart w:id="99" w:name="_Toc183682362"/>
      <w:bookmarkStart w:id="100" w:name="_Toc183582225"/>
      <w:bookmarkStart w:id="101" w:name="_Toc217446052"/>
      <w:bookmarkStart w:id="102" w:name="_Toc183582228"/>
      <w:bookmarkStart w:id="103" w:name="_Toc183682365"/>
      <w:bookmarkStart w:id="104" w:name="_Toc217446055"/>
      <w:r>
        <w:rPr>
          <w:rFonts w:hint="eastAsia" w:ascii="仿宋" w:hAnsi="仿宋" w:eastAsia="仿宋" w:cs="仿宋"/>
          <w:color w:val="auto"/>
          <w:sz w:val="24"/>
          <w:highlight w:val="none"/>
        </w:rPr>
        <w:t>17．投标文件的印制和签署</w:t>
      </w:r>
      <w:bookmarkEnd w:id="99"/>
      <w:bookmarkEnd w:id="100"/>
      <w:bookmarkEnd w:id="101"/>
    </w:p>
    <w:p w14:paraId="53EA88CE">
      <w:pPr>
        <w:tabs>
          <w:tab w:val="left" w:pos="10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招标文件要求供应商法定代表人或者被授权代表签字处，均须加盖其 个人电子印章，并逐页加盖单位公章的电子印章。</w:t>
      </w:r>
    </w:p>
    <w:p w14:paraId="40715490">
      <w:pPr>
        <w:spacing w:line="360" w:lineRule="auto"/>
        <w:ind w:firstLine="480" w:firstLineChars="200"/>
        <w:rPr>
          <w:rFonts w:hint="eastAsia" w:ascii="仿宋" w:hAnsi="仿宋" w:eastAsia="仿宋" w:cs="仿宋"/>
          <w:color w:val="auto"/>
          <w:sz w:val="24"/>
          <w:highlight w:val="none"/>
        </w:rPr>
      </w:pPr>
      <w:bookmarkStart w:id="105" w:name="_Toc183582226"/>
      <w:bookmarkStart w:id="106" w:name="_Toc183682363"/>
      <w:bookmarkStart w:id="107" w:name="_Toc77400781"/>
      <w:bookmarkStart w:id="108" w:name="_Toc89075877"/>
      <w:bookmarkStart w:id="109" w:name="_Toc217446053"/>
      <w:r>
        <w:rPr>
          <w:rFonts w:hint="eastAsia" w:ascii="仿宋" w:hAnsi="仿宋" w:eastAsia="仿宋" w:cs="仿宋"/>
          <w:color w:val="auto"/>
          <w:sz w:val="24"/>
          <w:highlight w:val="none"/>
        </w:rPr>
        <w:t>18. 投标文件的密封和标</w:t>
      </w:r>
      <w:bookmarkEnd w:id="105"/>
      <w:bookmarkEnd w:id="106"/>
      <w:bookmarkEnd w:id="107"/>
      <w:bookmarkEnd w:id="108"/>
      <w:r>
        <w:rPr>
          <w:rFonts w:hint="eastAsia" w:ascii="仿宋" w:hAnsi="仿宋" w:eastAsia="仿宋" w:cs="仿宋"/>
          <w:color w:val="auto"/>
          <w:sz w:val="24"/>
          <w:highlight w:val="none"/>
        </w:rPr>
        <w:t>注</w:t>
      </w:r>
      <w:bookmarkEnd w:id="109"/>
    </w:p>
    <w:p w14:paraId="455A5CC9">
      <w:pPr>
        <w:tabs>
          <w:tab w:val="left" w:pos="10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本项目采用不见面开标，供应商须在投标截止时间前，将生成的“电子加密 响应文件”上传递交至“政府采购云平台”，投标截止时间以后上传递交的响应 文件将被“政府采购云平台”拒收。</w:t>
      </w:r>
    </w:p>
    <w:p w14:paraId="30C11C50">
      <w:pPr>
        <w:spacing w:line="360" w:lineRule="auto"/>
        <w:ind w:firstLine="480" w:firstLineChars="200"/>
        <w:rPr>
          <w:rFonts w:hint="eastAsia" w:ascii="仿宋" w:hAnsi="仿宋" w:eastAsia="仿宋" w:cs="仿宋"/>
          <w:color w:val="auto"/>
          <w:sz w:val="24"/>
          <w:highlight w:val="none"/>
        </w:rPr>
      </w:pPr>
      <w:bookmarkStart w:id="110" w:name="_Toc183682364"/>
      <w:bookmarkStart w:id="111" w:name="_Toc183582227"/>
      <w:bookmarkStart w:id="112" w:name="_Toc217446054"/>
      <w:r>
        <w:rPr>
          <w:rFonts w:hint="eastAsia" w:ascii="仿宋" w:hAnsi="仿宋" w:eastAsia="仿宋" w:cs="仿宋"/>
          <w:color w:val="auto"/>
          <w:sz w:val="24"/>
          <w:highlight w:val="none"/>
        </w:rPr>
        <w:t>19．投标文件的</w:t>
      </w:r>
      <w:bookmarkEnd w:id="110"/>
      <w:bookmarkEnd w:id="111"/>
      <w:bookmarkEnd w:id="112"/>
      <w:r>
        <w:rPr>
          <w:rFonts w:hint="eastAsia" w:ascii="仿宋" w:hAnsi="仿宋" w:eastAsia="仿宋" w:cs="仿宋"/>
          <w:color w:val="auto"/>
          <w:sz w:val="24"/>
          <w:highlight w:val="none"/>
        </w:rPr>
        <w:t>上传</w:t>
      </w:r>
    </w:p>
    <w:p w14:paraId="3BCB8492">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供应商应在招标文件规定的投标截止时间前，将响应文件按供应商须 知第15条规定加密上传，投标截止时间以后上传递交的响应文件将被“政府采购云平台”拒收。</w:t>
      </w:r>
    </w:p>
    <w:p w14:paraId="4DD68CF2">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20．投标文件的修改和撤</w:t>
      </w:r>
      <w:bookmarkEnd w:id="102"/>
      <w:bookmarkEnd w:id="103"/>
      <w:r>
        <w:rPr>
          <w:rFonts w:hint="eastAsia" w:ascii="仿宋" w:hAnsi="仿宋" w:eastAsia="仿宋" w:cs="仿宋"/>
          <w:color w:val="auto"/>
          <w:sz w:val="24"/>
          <w:highlight w:val="none"/>
        </w:rPr>
        <w:t>回</w:t>
      </w:r>
      <w:bookmarkEnd w:id="104"/>
    </w:p>
    <w:p w14:paraId="095D01B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20.1 投标人在投标截止时间前，可以对所上传的投标文件进行补充、修改或者撤回。</w:t>
      </w:r>
    </w:p>
    <w:p w14:paraId="05B3BF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20.2 在投标截止时间之后，投标人不得对其上传的投标文件做任何修改或撤回投标。</w:t>
      </w:r>
    </w:p>
    <w:p w14:paraId="754360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20.3 投标文件中如果出现计算上或累加上的算术错误，可按以下原则进行修改：</w:t>
      </w:r>
    </w:p>
    <w:p w14:paraId="369B238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（1）投标文件中投标函内容与投标报价明细表不一致的，以投标函为准；</w:t>
      </w:r>
    </w:p>
    <w:p w14:paraId="7C16A9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（2）用小写金额和大写金额不一致，应以大写金额为准；</w:t>
      </w:r>
    </w:p>
    <w:p w14:paraId="5F49EC9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（3）总价金额与按单价汇总金额不一致的，以单价金额计算结果为准；</w:t>
      </w:r>
    </w:p>
    <w:p w14:paraId="3D9A34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（4）单价金额小数点或者百分比有明显错位的，以投标函的总价为准，并修改单价。</w:t>
      </w:r>
    </w:p>
    <w:p w14:paraId="1E9D38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同时出现两种以上不一致的，按照前款规定的顺序修正。修正后的投标报价经投标人确认后产生约束力，投标人不确认的，其</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9A96665">
      <w:pPr>
        <w:pStyle w:val="4"/>
        <w:spacing w:before="156" w:after="156"/>
        <w:ind w:firstLine="482" w:firstLineChars="200"/>
        <w:rPr>
          <w:rFonts w:hint="eastAsia" w:ascii="仿宋" w:hAnsi="仿宋" w:eastAsia="仿宋" w:cs="仿宋"/>
          <w:color w:val="auto"/>
          <w:sz w:val="24"/>
          <w:szCs w:val="24"/>
          <w:highlight w:val="none"/>
        </w:rPr>
      </w:pPr>
      <w:bookmarkStart w:id="113" w:name="_Toc89075878"/>
      <w:bookmarkStart w:id="114" w:name="_Toc77400782"/>
      <w:bookmarkStart w:id="115" w:name="_Toc217446056"/>
      <w:bookmarkStart w:id="116" w:name="_Toc183582231"/>
      <w:bookmarkStart w:id="117" w:name="_Toc183682368"/>
      <w:bookmarkStart w:id="118" w:name="_Toc11288"/>
      <w:r>
        <w:rPr>
          <w:rFonts w:hint="eastAsia" w:ascii="仿宋" w:hAnsi="仿宋" w:eastAsia="仿宋" w:cs="仿宋"/>
          <w:color w:val="auto"/>
          <w:sz w:val="24"/>
          <w:szCs w:val="24"/>
          <w:highlight w:val="none"/>
        </w:rPr>
        <w:t>五、开标和</w:t>
      </w:r>
      <w:bookmarkEnd w:id="113"/>
      <w:bookmarkEnd w:id="114"/>
      <w:bookmarkEnd w:id="115"/>
      <w:bookmarkEnd w:id="116"/>
      <w:bookmarkEnd w:id="117"/>
      <w:r>
        <w:rPr>
          <w:rFonts w:hint="eastAsia" w:ascii="仿宋" w:hAnsi="仿宋" w:eastAsia="仿宋" w:cs="仿宋"/>
          <w:color w:val="auto"/>
          <w:sz w:val="24"/>
          <w:szCs w:val="24"/>
          <w:highlight w:val="none"/>
        </w:rPr>
        <w:t>中标</w:t>
      </w:r>
      <w:bookmarkEnd w:id="118"/>
    </w:p>
    <w:p w14:paraId="5B3C4AB2">
      <w:pPr>
        <w:spacing w:line="360" w:lineRule="auto"/>
        <w:ind w:firstLine="480" w:firstLineChars="200"/>
        <w:rPr>
          <w:rFonts w:hint="eastAsia" w:ascii="仿宋" w:hAnsi="仿宋" w:eastAsia="仿宋" w:cs="仿宋"/>
          <w:color w:val="auto"/>
          <w:sz w:val="24"/>
          <w:highlight w:val="none"/>
        </w:rPr>
      </w:pPr>
      <w:bookmarkStart w:id="119" w:name="_Toc217446057"/>
      <w:bookmarkStart w:id="120" w:name="_Toc183582232"/>
      <w:bookmarkStart w:id="121" w:name="_Toc183682369"/>
      <w:r>
        <w:rPr>
          <w:rFonts w:hint="eastAsia" w:ascii="仿宋" w:hAnsi="仿宋" w:eastAsia="仿宋" w:cs="仿宋"/>
          <w:color w:val="auto"/>
          <w:sz w:val="24"/>
          <w:highlight w:val="none"/>
        </w:rPr>
        <w:t>21．开标</w:t>
      </w:r>
      <w:bookmarkEnd w:id="119"/>
      <w:bookmarkEnd w:id="120"/>
      <w:bookmarkEnd w:id="121"/>
    </w:p>
    <w:p w14:paraId="01CF39B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采购代理机构在招标文件规定的时间和地点组织招标活动，邀请下载招标文件并参与竞争的投标人参加开标，投标人未参加开标的，视同认可开标结果。</w:t>
      </w:r>
    </w:p>
    <w:p w14:paraId="5CDAF4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投标人不足3家的，不得开标。</w:t>
      </w:r>
    </w:p>
    <w:p w14:paraId="769EDCF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开标时，采购代理机构可以邀请有关监督管理部门对开标进行现场监督。</w:t>
      </w:r>
    </w:p>
    <w:p w14:paraId="250008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14:paraId="2A6E07C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21.4宣布会场纪律和有关注意事项。</w:t>
      </w:r>
    </w:p>
    <w:p w14:paraId="4776FA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21.5开标时，投标单位完成在线解密后，由工作人员开始唱标</w:t>
      </w:r>
    </w:p>
    <w:p w14:paraId="3A750CF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21.6唱标完毕后，如果投标人对所唱“报价一览表”内容有异议，应当立即提出。经现场监标人员确认，认为有必要重新唱标的，由唱标人员重新唱标。</w:t>
      </w:r>
    </w:p>
    <w:p w14:paraId="06C04C0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22.资格审查及组建评标委员会</w:t>
      </w:r>
    </w:p>
    <w:p w14:paraId="43A55C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22.1公开招标采购项目开标结束后，采购人或者采购代理机构应当依法对投标人的资格进行审查。合格投标人不足3家的，不得评标。</w:t>
      </w:r>
    </w:p>
    <w:p w14:paraId="00A3F32E">
      <w:pPr>
        <w:pStyle w:val="48"/>
        <w:rPr>
          <w:rFonts w:hint="eastAsia" w:ascii="仿宋" w:hAnsi="仿宋" w:cs="仿宋"/>
          <w:color w:val="auto"/>
          <w:highlight w:val="none"/>
        </w:rPr>
      </w:pPr>
      <w:r>
        <w:rPr>
          <w:rFonts w:hint="eastAsia" w:ascii="仿宋" w:hAnsi="仿宋" w:cs="仿宋"/>
          <w:color w:val="auto"/>
          <w:highlight w:val="none"/>
        </w:rPr>
        <w:t>22.2符合性审查。符合性审查是指依据招标文件的规定，从商务和技术角度对投标文件的有效性和完整性进行审查，以确定是否对招标文件的实质性要求做出响应。</w:t>
      </w:r>
    </w:p>
    <w:p w14:paraId="6F430686">
      <w:pPr>
        <w:pStyle w:val="48"/>
        <w:rPr>
          <w:rFonts w:hint="eastAsia" w:ascii="仿宋" w:hAnsi="仿宋" w:cs="仿宋"/>
          <w:color w:val="auto"/>
          <w:highlight w:val="none"/>
        </w:rPr>
      </w:pPr>
      <w:r>
        <w:rPr>
          <w:rFonts w:hint="eastAsia" w:ascii="仿宋" w:hAnsi="仿宋" w:cs="仿宋"/>
          <w:color w:val="auto"/>
          <w:highlight w:val="none"/>
        </w:rPr>
        <w:t>22.3评标委员会采用综合评分法对满足招标文件全部实质性要求的投标文件和投标报价进行综合评分。</w:t>
      </w:r>
    </w:p>
    <w:p w14:paraId="4C2A444A">
      <w:pPr>
        <w:pStyle w:val="48"/>
        <w:rPr>
          <w:rFonts w:hint="eastAsia" w:ascii="仿宋" w:hAnsi="仿宋" w:cs="仿宋"/>
          <w:color w:val="auto"/>
          <w:highlight w:val="none"/>
        </w:rPr>
      </w:pPr>
      <w:r>
        <w:rPr>
          <w:rFonts w:hint="eastAsia" w:ascii="仿宋" w:hAnsi="仿宋" w:cs="仿宋"/>
          <w:color w:val="auto"/>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14:paraId="48FA6AC0">
      <w:pPr>
        <w:pStyle w:val="48"/>
        <w:rPr>
          <w:rFonts w:hint="eastAsia" w:ascii="仿宋" w:hAnsi="仿宋" w:cs="仿宋"/>
          <w:color w:val="auto"/>
          <w:highlight w:val="none"/>
        </w:rPr>
      </w:pPr>
      <w:r>
        <w:rPr>
          <w:rFonts w:hint="eastAsia" w:ascii="仿宋" w:hAnsi="仿宋" w:cs="仿宋"/>
          <w:color w:val="auto"/>
          <w:highlight w:val="none"/>
        </w:rPr>
        <w:t>22.5采购代理机构在评标结果后2个工作日内将评标报告送采购人确认。</w:t>
      </w:r>
    </w:p>
    <w:p w14:paraId="41A629B0">
      <w:pPr>
        <w:spacing w:line="360" w:lineRule="auto"/>
        <w:ind w:firstLine="480" w:firstLineChars="200"/>
        <w:rPr>
          <w:rFonts w:hint="eastAsia" w:ascii="仿宋" w:hAnsi="仿宋" w:eastAsia="仿宋" w:cs="仿宋"/>
          <w:color w:val="auto"/>
          <w:sz w:val="24"/>
          <w:highlight w:val="none"/>
        </w:rPr>
      </w:pPr>
      <w:bookmarkStart w:id="122" w:name="_Toc183582238"/>
      <w:bookmarkStart w:id="123" w:name="_Toc183682375"/>
      <w:bookmarkStart w:id="124" w:name="_Toc217446063"/>
      <w:r>
        <w:rPr>
          <w:rFonts w:hint="eastAsia" w:ascii="仿宋" w:hAnsi="仿宋" w:eastAsia="仿宋" w:cs="仿宋"/>
          <w:color w:val="auto"/>
          <w:sz w:val="24"/>
          <w:highlight w:val="none"/>
        </w:rPr>
        <w:t>23．中标通知</w:t>
      </w:r>
      <w:bookmarkEnd w:id="122"/>
      <w:bookmarkEnd w:id="123"/>
      <w:r>
        <w:rPr>
          <w:rFonts w:hint="eastAsia" w:ascii="仿宋" w:hAnsi="仿宋" w:eastAsia="仿宋" w:cs="仿宋"/>
          <w:color w:val="auto"/>
          <w:sz w:val="24"/>
          <w:highlight w:val="none"/>
        </w:rPr>
        <w:t>书</w:t>
      </w:r>
      <w:bookmarkEnd w:id="124"/>
    </w:p>
    <w:p w14:paraId="4FE83E4D">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1 中标通知书为签订中标合同的依据，是合同的有效组成部分。</w:t>
      </w:r>
    </w:p>
    <w:p w14:paraId="3ADAEDB1">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中标通知书对采购人和中标人均具有法律效力。中标通知书发出后，采购人改变中标结果，或者中标人无正当理由放弃中标的，应当承担相应的法律责任。</w:t>
      </w:r>
    </w:p>
    <w:p w14:paraId="6861FB02">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2084A7BC">
      <w:pPr>
        <w:pStyle w:val="4"/>
        <w:spacing w:before="156" w:after="156"/>
        <w:ind w:firstLine="482" w:firstLineChars="200"/>
        <w:rPr>
          <w:rFonts w:hint="eastAsia" w:ascii="仿宋" w:hAnsi="仿宋" w:eastAsia="仿宋" w:cs="仿宋"/>
          <w:color w:val="auto"/>
          <w:sz w:val="24"/>
          <w:szCs w:val="24"/>
          <w:highlight w:val="none"/>
        </w:rPr>
      </w:pPr>
      <w:bookmarkStart w:id="125" w:name="_Toc18794"/>
      <w:bookmarkStart w:id="126" w:name="_Toc217446064"/>
      <w:bookmarkStart w:id="127" w:name="_Toc183682377"/>
      <w:bookmarkStart w:id="128" w:name="_Toc183582240"/>
      <w:r>
        <w:rPr>
          <w:rFonts w:hint="eastAsia" w:ascii="仿宋" w:hAnsi="仿宋" w:eastAsia="仿宋" w:cs="仿宋"/>
          <w:color w:val="auto"/>
          <w:sz w:val="24"/>
          <w:szCs w:val="24"/>
          <w:highlight w:val="none"/>
        </w:rPr>
        <w:t>六、签订及履行合同和验收</w:t>
      </w:r>
      <w:bookmarkEnd w:id="125"/>
      <w:bookmarkEnd w:id="126"/>
    </w:p>
    <w:p w14:paraId="1E05EDBD">
      <w:pPr>
        <w:spacing w:line="360" w:lineRule="auto"/>
        <w:ind w:firstLine="480" w:firstLineChars="200"/>
        <w:rPr>
          <w:rFonts w:hint="eastAsia" w:ascii="仿宋" w:hAnsi="仿宋" w:eastAsia="仿宋" w:cs="仿宋"/>
          <w:color w:val="auto"/>
          <w:sz w:val="24"/>
          <w:highlight w:val="none"/>
        </w:rPr>
      </w:pPr>
      <w:bookmarkStart w:id="129" w:name="_Toc217446065"/>
      <w:r>
        <w:rPr>
          <w:rFonts w:hint="eastAsia" w:ascii="仿宋" w:hAnsi="仿宋" w:eastAsia="仿宋" w:cs="仿宋"/>
          <w:color w:val="auto"/>
          <w:sz w:val="24"/>
          <w:highlight w:val="none"/>
        </w:rPr>
        <w:t>24. 签订合同</w:t>
      </w:r>
      <w:bookmarkEnd w:id="129"/>
    </w:p>
    <w:p w14:paraId="69D39C1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096CE45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14:paraId="0C744B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24.3 中标人因不可抗力原因不能履行招标合同或放弃中标的，采购人可以与排在中标人之后第一位的中标候选人签订采购合同，以此类推。</w:t>
      </w:r>
    </w:p>
    <w:p w14:paraId="350EEDF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24.4 中标人在合同签订之后三个工作日内，将签订的合同（扫描件）交至采购代理机构。</w:t>
      </w:r>
    </w:p>
    <w:p w14:paraId="2FD14A43">
      <w:pPr>
        <w:spacing w:line="360" w:lineRule="auto"/>
        <w:ind w:firstLine="480" w:firstLineChars="200"/>
        <w:rPr>
          <w:rFonts w:hint="eastAsia" w:ascii="仿宋" w:hAnsi="仿宋" w:eastAsia="仿宋" w:cs="仿宋"/>
          <w:color w:val="auto"/>
          <w:sz w:val="24"/>
          <w:highlight w:val="none"/>
        </w:rPr>
      </w:pPr>
      <w:bookmarkStart w:id="130" w:name="_Toc217446066"/>
      <w:r>
        <w:rPr>
          <w:rFonts w:hint="eastAsia" w:ascii="仿宋" w:hAnsi="仿宋" w:eastAsia="仿宋" w:cs="仿宋"/>
          <w:color w:val="auto"/>
          <w:sz w:val="24"/>
          <w:highlight w:val="none"/>
        </w:rPr>
        <w:t>25. 合同分包</w:t>
      </w:r>
      <w:bookmarkEnd w:id="130"/>
      <w:r>
        <w:rPr>
          <w:rFonts w:hint="eastAsia" w:ascii="仿宋" w:hAnsi="仿宋" w:eastAsia="仿宋" w:cs="仿宋"/>
          <w:color w:val="auto"/>
          <w:sz w:val="24"/>
          <w:highlight w:val="none"/>
        </w:rPr>
        <w:t>（如有）</w:t>
      </w:r>
    </w:p>
    <w:p w14:paraId="7C40B6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25.1 若本项目允许分包的，经采购人同意，中标人可以依法采取分包方式履行合同。这种要求应当在合同签订之前征得采购人同意，并且分包人履行分包项目的货物及技术要求等，必须与中标的一致。</w:t>
      </w:r>
    </w:p>
    <w:p w14:paraId="472F59B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 招标合同实行分包履行的，中标人就招标项目和分包项目向采购人负责，分包人就分包项目承担责任。</w:t>
      </w:r>
    </w:p>
    <w:p w14:paraId="23FBDA91">
      <w:pPr>
        <w:spacing w:line="360" w:lineRule="auto"/>
        <w:ind w:firstLine="480" w:firstLineChars="200"/>
        <w:rPr>
          <w:rFonts w:hint="eastAsia" w:ascii="仿宋" w:hAnsi="仿宋" w:eastAsia="仿宋" w:cs="仿宋"/>
          <w:color w:val="auto"/>
          <w:sz w:val="24"/>
          <w:highlight w:val="none"/>
        </w:rPr>
      </w:pPr>
      <w:bookmarkStart w:id="131" w:name="_Toc217446067"/>
      <w:r>
        <w:rPr>
          <w:rFonts w:hint="eastAsia" w:ascii="仿宋" w:hAnsi="仿宋" w:eastAsia="仿宋" w:cs="仿宋"/>
          <w:color w:val="auto"/>
          <w:sz w:val="24"/>
          <w:highlight w:val="none"/>
        </w:rPr>
        <w:t>26. 采购人增加合同标的权</w:t>
      </w:r>
      <w:bookmarkEnd w:id="131"/>
      <w:r>
        <w:rPr>
          <w:rFonts w:hint="eastAsia" w:ascii="仿宋" w:hAnsi="仿宋" w:eastAsia="仿宋" w:cs="仿宋"/>
          <w:color w:val="auto"/>
          <w:sz w:val="24"/>
          <w:highlight w:val="none"/>
        </w:rPr>
        <w:t>利</w:t>
      </w:r>
    </w:p>
    <w:p w14:paraId="084097C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66B20AC6">
      <w:pPr>
        <w:spacing w:line="360" w:lineRule="auto"/>
        <w:ind w:firstLine="482" w:firstLineChars="200"/>
        <w:rPr>
          <w:rFonts w:hint="eastAsia" w:ascii="仿宋" w:hAnsi="仿宋" w:eastAsia="仿宋" w:cs="仿宋"/>
          <w:b/>
          <w:bCs/>
          <w:color w:val="auto"/>
          <w:sz w:val="24"/>
          <w:highlight w:val="none"/>
        </w:rPr>
      </w:pPr>
      <w:bookmarkStart w:id="132" w:name="_Toc217446068"/>
      <w:r>
        <w:rPr>
          <w:rFonts w:hint="eastAsia" w:ascii="仿宋" w:hAnsi="仿宋" w:eastAsia="仿宋" w:cs="仿宋"/>
          <w:b/>
          <w:bCs/>
          <w:color w:val="auto"/>
          <w:sz w:val="24"/>
          <w:highlight w:val="none"/>
        </w:rPr>
        <w:t>27. 履约保证金</w:t>
      </w:r>
      <w:bookmarkEnd w:id="132"/>
    </w:p>
    <w:p w14:paraId="4ADA1E9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履约保证金金额：/</w:t>
      </w:r>
    </w:p>
    <w:p w14:paraId="71B2FC3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提交履约保证金的时间：中标人应于中标通知书发出之日起7个工作日内；</w:t>
      </w:r>
    </w:p>
    <w:p w14:paraId="639077D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履约保证金有效期：自履约保证金交付之日至货物验收合格，合同约定的全部货物验收合格后，采购人应在7个工作日内无息退还保证金；</w:t>
      </w:r>
    </w:p>
    <w:p w14:paraId="31D174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履约保证金提交方式：履约保证金应当以支票、汇票、本票或者金融机构、担保机构出具的保函等非现金形式提交。</w:t>
      </w:r>
    </w:p>
    <w:p w14:paraId="0B3096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不予退还情形：</w:t>
      </w:r>
    </w:p>
    <w:p w14:paraId="2D4F113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中标人出现以下行为时，采购人有权没收全部或部分履约保证金：</w:t>
      </w:r>
    </w:p>
    <w:p w14:paraId="3EEF44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无正当理由放弃中标/拒绝按照中标结果签订合同或不履行合同义务；</w:t>
      </w:r>
    </w:p>
    <w:p w14:paraId="645B9E0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未按合同约定完成服务或交付标的，经整改仍不合格；</w:t>
      </w:r>
    </w:p>
    <w:p w14:paraId="076460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 擅自转包、分包或改变合同实质性内容；</w:t>
      </w:r>
    </w:p>
    <w:p w14:paraId="65157919">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(4) 存在弄虚作假、围标串标等违法违规行为。 </w:t>
      </w:r>
    </w:p>
    <w:p w14:paraId="0390F159">
      <w:pPr>
        <w:spacing w:line="360" w:lineRule="auto"/>
        <w:ind w:firstLine="480" w:firstLineChars="200"/>
        <w:rPr>
          <w:rFonts w:hint="eastAsia" w:ascii="仿宋" w:hAnsi="仿宋" w:eastAsia="仿宋" w:cs="仿宋"/>
          <w:color w:val="auto"/>
          <w:sz w:val="24"/>
          <w:highlight w:val="none"/>
        </w:rPr>
      </w:pPr>
      <w:bookmarkStart w:id="133" w:name="_Toc217446069"/>
      <w:r>
        <w:rPr>
          <w:rFonts w:hint="eastAsia" w:ascii="仿宋" w:hAnsi="仿宋" w:eastAsia="仿宋" w:cs="仿宋"/>
          <w:color w:val="auto"/>
          <w:sz w:val="24"/>
          <w:highlight w:val="none"/>
        </w:rPr>
        <w:t>28. 履行合同</w:t>
      </w:r>
      <w:bookmarkEnd w:id="133"/>
    </w:p>
    <w:p w14:paraId="77DBB3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28.1 中标人与采购人签订合同后，合同双方应严格执行合同条款，履行合同规定的义务，保证合同的顺利完成。</w:t>
      </w:r>
    </w:p>
    <w:p w14:paraId="6EE1E74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28.2 在合同履行过程中，如发生合同纠纷，合同双方应按照《中华人民共和国民法典》的有关规定进行处理。</w:t>
      </w:r>
    </w:p>
    <w:p w14:paraId="4EFFA718">
      <w:pPr>
        <w:spacing w:line="360" w:lineRule="auto"/>
        <w:ind w:firstLine="480" w:firstLineChars="200"/>
        <w:rPr>
          <w:rFonts w:hint="eastAsia" w:ascii="仿宋" w:hAnsi="仿宋" w:eastAsia="仿宋" w:cs="仿宋"/>
          <w:color w:val="auto"/>
          <w:sz w:val="24"/>
          <w:highlight w:val="none"/>
        </w:rPr>
      </w:pPr>
      <w:bookmarkStart w:id="134" w:name="_Toc217446070"/>
      <w:r>
        <w:rPr>
          <w:rFonts w:hint="eastAsia" w:ascii="仿宋" w:hAnsi="仿宋" w:eastAsia="仿宋" w:cs="仿宋"/>
          <w:color w:val="auto"/>
          <w:sz w:val="24"/>
          <w:highlight w:val="none"/>
        </w:rPr>
        <w:t>29. 验收</w:t>
      </w:r>
      <w:bookmarkEnd w:id="134"/>
    </w:p>
    <w:p w14:paraId="3425DDC7">
      <w:pPr>
        <w:pStyle w:val="8"/>
        <w:spacing w:line="360" w:lineRule="auto"/>
        <w:ind w:firstLine="480"/>
        <w:rPr>
          <w:rFonts w:hint="eastAsia" w:ascii="仿宋" w:hAnsi="仿宋" w:eastAsia="仿宋" w:cs="仿宋"/>
          <w:color w:val="auto"/>
          <w:sz w:val="24"/>
          <w:highlight w:val="none"/>
        </w:rPr>
      </w:pPr>
      <w:bookmarkStart w:id="135" w:name="_Toc217446071"/>
      <w:r>
        <w:rPr>
          <w:rFonts w:hint="eastAsia" w:ascii="仿宋" w:hAnsi="仿宋" w:eastAsia="仿宋" w:cs="仿宋"/>
          <w:color w:val="auto"/>
          <w:sz w:val="24"/>
          <w:highlight w:val="none"/>
        </w:rPr>
        <w:t>中标人与采购人应严格按照国家财政部《关于进一步加强政府采购需求和履约验收管理的指导意见》（</w:t>
      </w:r>
      <w:r>
        <w:rPr>
          <w:rFonts w:hint="eastAsia" w:ascii="仿宋" w:hAnsi="仿宋" w:eastAsia="仿宋" w:cs="仿宋"/>
          <w:color w:val="auto"/>
          <w:sz w:val="24"/>
          <w:highlight w:val="none"/>
          <w:shd w:val="clear" w:color="auto" w:fill="FFFFFF"/>
        </w:rPr>
        <w:t>财库〔2016〕205号</w:t>
      </w:r>
      <w:r>
        <w:rPr>
          <w:rFonts w:hint="eastAsia" w:ascii="仿宋" w:hAnsi="仿宋" w:eastAsia="仿宋" w:cs="仿宋"/>
          <w:color w:val="auto"/>
          <w:sz w:val="24"/>
          <w:highlight w:val="none"/>
        </w:rPr>
        <w:t>）的要求进行验收。</w:t>
      </w:r>
    </w:p>
    <w:bookmarkEnd w:id="127"/>
    <w:bookmarkEnd w:id="128"/>
    <w:bookmarkEnd w:id="135"/>
    <w:p w14:paraId="6A38AC4A">
      <w:pPr>
        <w:pStyle w:val="4"/>
        <w:spacing w:before="156" w:after="156"/>
        <w:ind w:firstLine="482" w:firstLineChars="200"/>
        <w:rPr>
          <w:rFonts w:hint="eastAsia" w:ascii="仿宋" w:hAnsi="仿宋" w:eastAsia="仿宋" w:cs="仿宋"/>
          <w:color w:val="auto"/>
          <w:sz w:val="24"/>
          <w:szCs w:val="24"/>
          <w:highlight w:val="none"/>
        </w:rPr>
      </w:pPr>
      <w:bookmarkStart w:id="136" w:name="_Toc217446074"/>
      <w:bookmarkStart w:id="137" w:name="_Toc4503"/>
      <w:bookmarkStart w:id="138" w:name="_Toc183582243"/>
      <w:bookmarkStart w:id="139" w:name="_Toc183682380"/>
      <w:r>
        <w:rPr>
          <w:rFonts w:hint="eastAsia" w:ascii="仿宋" w:hAnsi="仿宋" w:eastAsia="仿宋" w:cs="仿宋"/>
          <w:color w:val="auto"/>
          <w:sz w:val="24"/>
          <w:szCs w:val="24"/>
          <w:highlight w:val="none"/>
        </w:rPr>
        <w:t>七、投标纪律要求</w:t>
      </w:r>
      <w:bookmarkEnd w:id="136"/>
      <w:bookmarkEnd w:id="137"/>
    </w:p>
    <w:p w14:paraId="6F14ACA1">
      <w:pPr>
        <w:spacing w:line="360" w:lineRule="auto"/>
        <w:ind w:firstLine="480" w:firstLineChars="200"/>
        <w:rPr>
          <w:rFonts w:hint="eastAsia" w:ascii="仿宋" w:hAnsi="仿宋" w:eastAsia="仿宋" w:cs="仿宋"/>
          <w:color w:val="auto"/>
          <w:sz w:val="24"/>
          <w:highlight w:val="none"/>
        </w:rPr>
      </w:pPr>
      <w:bookmarkStart w:id="140" w:name="_Toc217446075"/>
      <w:r>
        <w:rPr>
          <w:rFonts w:hint="eastAsia" w:ascii="仿宋" w:hAnsi="仿宋" w:eastAsia="仿宋" w:cs="仿宋"/>
          <w:color w:val="auto"/>
          <w:sz w:val="24"/>
          <w:highlight w:val="none"/>
        </w:rPr>
        <w:t>30. 投标人不得具有的情形</w:t>
      </w:r>
      <w:bookmarkEnd w:id="140"/>
    </w:p>
    <w:p w14:paraId="5DB70424">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投标人参加投标不得有下列情形：</w:t>
      </w:r>
    </w:p>
    <w:p w14:paraId="51AAE9F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（1）提供虚假材料谋取中标；</w:t>
      </w:r>
    </w:p>
    <w:p w14:paraId="01B47C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（2）采取不正当手段诋毁、排挤其他投标人；</w:t>
      </w:r>
    </w:p>
    <w:p w14:paraId="78B30E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（3）与采购人、其他投标人恶意串通；</w:t>
      </w:r>
    </w:p>
    <w:p w14:paraId="06EB2220">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（4）向采购人、评标委员会成员行贿或者提供其他不正当利益；</w:t>
      </w:r>
    </w:p>
    <w:p w14:paraId="6F0FC1A3">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（5）在招标过程中与采购人进行协商谈判；</w:t>
      </w:r>
    </w:p>
    <w:p w14:paraId="455D3608">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（6）拒绝有关部门的监督检查或者向监督检查部门提供虚假情况。</w:t>
      </w:r>
    </w:p>
    <w:p w14:paraId="57E859DC">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有上述情形之一的投标人，属于不合格投标人，其投标或中标资格将被取消。</w:t>
      </w:r>
    </w:p>
    <w:p w14:paraId="44284AE1">
      <w:pPr>
        <w:pStyle w:val="4"/>
        <w:spacing w:before="156" w:after="156"/>
        <w:ind w:firstLine="482" w:firstLineChars="200"/>
        <w:rPr>
          <w:rFonts w:hint="eastAsia" w:ascii="仿宋" w:hAnsi="仿宋" w:eastAsia="仿宋" w:cs="仿宋"/>
          <w:b w:val="0"/>
          <w:bCs w:val="0"/>
          <w:color w:val="auto"/>
          <w:sz w:val="24"/>
          <w:szCs w:val="24"/>
          <w:highlight w:val="none"/>
        </w:rPr>
      </w:pPr>
      <w:bookmarkStart w:id="141" w:name="_Toc217446076"/>
      <w:bookmarkStart w:id="142" w:name="_Toc25431"/>
      <w:r>
        <w:rPr>
          <w:rFonts w:hint="eastAsia" w:ascii="仿宋" w:hAnsi="仿宋" w:eastAsia="仿宋" w:cs="仿宋"/>
          <w:color w:val="auto"/>
          <w:sz w:val="24"/>
          <w:szCs w:val="24"/>
          <w:highlight w:val="none"/>
        </w:rPr>
        <w:t>八、</w:t>
      </w:r>
      <w:bookmarkEnd w:id="141"/>
      <w:r>
        <w:rPr>
          <w:rFonts w:hint="eastAsia" w:ascii="仿宋" w:hAnsi="仿宋" w:eastAsia="仿宋" w:cs="仿宋"/>
          <w:color w:val="auto"/>
          <w:sz w:val="24"/>
          <w:szCs w:val="24"/>
          <w:highlight w:val="none"/>
        </w:rPr>
        <w:t>合同价款支付</w:t>
      </w:r>
      <w:bookmarkEnd w:id="142"/>
    </w:p>
    <w:p w14:paraId="1CE3D7BE">
      <w:pPr>
        <w:spacing w:line="360" w:lineRule="auto"/>
        <w:ind w:firstLine="480" w:firstLineChars="200"/>
        <w:rPr>
          <w:rFonts w:hint="eastAsia" w:ascii="仿宋" w:hAnsi="仿宋" w:eastAsia="仿宋" w:cs="仿宋"/>
          <w:color w:val="auto"/>
          <w:sz w:val="24"/>
          <w:highlight w:val="none"/>
        </w:rPr>
      </w:pPr>
      <w:bookmarkStart w:id="143" w:name="_Toc217446077"/>
      <w:r>
        <w:rPr>
          <w:rFonts w:hint="eastAsia" w:ascii="仿宋" w:hAnsi="仿宋" w:eastAsia="仿宋" w:cs="仿宋"/>
          <w:color w:val="auto"/>
          <w:sz w:val="24"/>
          <w:highlight w:val="none"/>
        </w:rPr>
        <w:t>31. 申请支付</w:t>
      </w:r>
      <w:bookmarkEnd w:id="143"/>
    </w:p>
    <w:p w14:paraId="62563035">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31.1招标项目验收合格，采购人签署《验收结算书》后，向财政部门提出支付申请。采购人的自有资金，由采购人直接支付给中标人或者按照有关合同规定执行。</w:t>
      </w:r>
    </w:p>
    <w:p w14:paraId="76FB0F19">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31.2 财政部门根据采购人的支付申请，并对采购合同进行审核后，直接支付给中标人。</w:t>
      </w:r>
      <w:bookmarkStart w:id="144" w:name="_Toc217446078"/>
    </w:p>
    <w:p w14:paraId="76A87E30">
      <w:pPr>
        <w:pStyle w:val="4"/>
        <w:spacing w:before="156" w:after="156"/>
        <w:ind w:firstLine="482" w:firstLineChars="200"/>
        <w:rPr>
          <w:rFonts w:hint="eastAsia" w:ascii="仿宋" w:hAnsi="仿宋" w:eastAsia="仿宋" w:cs="仿宋"/>
          <w:color w:val="auto"/>
          <w:sz w:val="24"/>
          <w:szCs w:val="24"/>
          <w:highlight w:val="none"/>
        </w:rPr>
      </w:pPr>
      <w:bookmarkStart w:id="145" w:name="_Toc3889"/>
      <w:r>
        <w:rPr>
          <w:rFonts w:hint="eastAsia" w:ascii="仿宋" w:hAnsi="仿宋" w:eastAsia="仿宋" w:cs="仿宋"/>
          <w:color w:val="auto"/>
          <w:sz w:val="24"/>
          <w:szCs w:val="24"/>
          <w:highlight w:val="none"/>
        </w:rPr>
        <w:t>九、质疑和投诉</w:t>
      </w:r>
      <w:bookmarkEnd w:id="144"/>
      <w:bookmarkEnd w:id="145"/>
      <w:bookmarkStart w:id="146" w:name="_Toc217446079"/>
    </w:p>
    <w:p w14:paraId="51595910">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bookmarkEnd w:id="146"/>
      <w:r>
        <w:rPr>
          <w:rFonts w:hint="eastAsia" w:ascii="仿宋" w:hAnsi="仿宋" w:eastAsia="仿宋" w:cs="仿宋"/>
          <w:color w:val="auto"/>
          <w:sz w:val="24"/>
          <w:highlight w:val="none"/>
        </w:rPr>
        <w:t>2．质疑、投诉的接收和处理严格按照《中华人共和国政府采购法</w:t>
      </w:r>
      <w:bookmarkEnd w:id="138"/>
      <w:bookmarkEnd w:id="139"/>
      <w:r>
        <w:rPr>
          <w:rFonts w:hint="eastAsia" w:ascii="仿宋" w:hAnsi="仿宋" w:eastAsia="仿宋" w:cs="仿宋"/>
          <w:color w:val="auto"/>
          <w:sz w:val="24"/>
          <w:highlight w:val="none"/>
        </w:rPr>
        <w:t>》、《政府采购质疑和投诉办法》、《财政部关于加强政府采购投标人投诉受理审查工作的通知》的规定办理。</w:t>
      </w:r>
    </w:p>
    <w:p w14:paraId="5794B7CF">
      <w:pPr>
        <w:pStyle w:val="15"/>
        <w:spacing w:after="0" w:line="360" w:lineRule="auto"/>
        <w:ind w:left="0" w:leftChars="0"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rPr>
        <w:t>32.1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2A04DB31">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32.2潜在投标人已依法获取其可质疑的招标文件的，可以对该文件提出质疑。对招标文件提出质疑的，应当在获取招标文件或者招标文件公告期限届满之日起7个工作日内提出。</w:t>
      </w:r>
    </w:p>
    <w:p w14:paraId="343879DB">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061E2B5">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代理人提出质疑和投诉，应当提交投标人签署的授权委托书。</w:t>
      </w:r>
    </w:p>
    <w:p w14:paraId="1089C432">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32.4投标人提出质疑应当提交质疑函和必要的证明材料。质疑函应当包括下列内容：</w:t>
      </w:r>
    </w:p>
    <w:p w14:paraId="3CC09EFE">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（一）投标人的姓名或者名称、地址、邮编、联系人及联系电话；</w:t>
      </w:r>
    </w:p>
    <w:p w14:paraId="7D7C2CC0">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（二）质疑项目的名称、编号；</w:t>
      </w:r>
    </w:p>
    <w:p w14:paraId="349DF28B">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（三）具体、明确的质疑事项和与质疑事项相关的请求；</w:t>
      </w:r>
    </w:p>
    <w:p w14:paraId="41596E7D">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（四）事实依据；</w:t>
      </w:r>
    </w:p>
    <w:p w14:paraId="1CE96F87">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（五）必要的法律依据；</w:t>
      </w:r>
    </w:p>
    <w:p w14:paraId="1CA6102D">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（六）提出质疑的日期。</w:t>
      </w:r>
    </w:p>
    <w:p w14:paraId="34A9D46C">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投标人为自然人的，应当由本人签字；投标人为法人或者其他组织的，应当由法定代表人、主要负责人或者其被授权人签字或盖章，并加盖公章。</w:t>
      </w:r>
    </w:p>
    <w:p w14:paraId="2CD1FB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接收质疑函的方式：书面形式</w:t>
      </w:r>
    </w:p>
    <w:p w14:paraId="287E4113">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联系部门：新疆拓源工程管理咨询有限公司招标部</w:t>
      </w:r>
    </w:p>
    <w:p w14:paraId="34D5050C">
      <w:pPr>
        <w:pStyle w:val="8"/>
        <w:spacing w:line="360" w:lineRule="auto"/>
        <w:ind w:firstLine="480"/>
        <w:rPr>
          <w:rStyle w:val="44"/>
          <w:rFonts w:hint="eastAsia" w:ascii="仿宋" w:hAnsi="仿宋" w:eastAsia="仿宋" w:cs="仿宋"/>
          <w:bCs/>
          <w:color w:val="auto"/>
          <w:sz w:val="24"/>
          <w:highlight w:val="none"/>
        </w:rPr>
      </w:pPr>
      <w:r>
        <w:rPr>
          <w:rFonts w:hint="eastAsia" w:ascii="仿宋" w:hAnsi="仿宋" w:eastAsia="仿宋" w:cs="仿宋"/>
          <w:color w:val="auto"/>
          <w:sz w:val="24"/>
          <w:highlight w:val="none"/>
        </w:rPr>
        <w:t>联系人及联系电话：金山虎、黄莎莎</w:t>
      </w:r>
      <w:r>
        <w:rPr>
          <w:rStyle w:val="44"/>
          <w:rFonts w:hint="eastAsia" w:ascii="仿宋" w:hAnsi="仿宋" w:eastAsia="仿宋" w:cs="仿宋"/>
          <w:bCs/>
          <w:color w:val="auto"/>
          <w:sz w:val="24"/>
          <w:highlight w:val="none"/>
        </w:rPr>
        <w:t>13209920205、15099530785</w:t>
      </w:r>
    </w:p>
    <w:p w14:paraId="08DA9F04">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通讯地址：乌鲁木齐市水磨沟区龙盛街898号万科中央公园S6栋5层</w:t>
      </w:r>
    </w:p>
    <w:p w14:paraId="081D14B2">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32.5质疑投标人对采购人、采购代理机构的答复不满意，或者采购人、采购代理机构未在规定时间内作出答复的，可以在答复期满后15个工作日内向本办法第六条规定的财政部门提起投诉。</w:t>
      </w:r>
    </w:p>
    <w:p w14:paraId="0BF95DD1">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14:paraId="4E5A65C1">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（一）投诉人和被投诉人的姓名或者名称、通讯地址、邮编、联系人及联系电话；</w:t>
      </w:r>
    </w:p>
    <w:p w14:paraId="4B835218">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（二）质疑和质疑答复情况说明及相关证明材料；</w:t>
      </w:r>
    </w:p>
    <w:p w14:paraId="4267A3C0">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（三）具体、明确的投诉事项和与投诉事项相关的投诉请求；</w:t>
      </w:r>
    </w:p>
    <w:p w14:paraId="6500D2D6">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（四）事实依据；</w:t>
      </w:r>
    </w:p>
    <w:p w14:paraId="66274DF1">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（五）法律依据；</w:t>
      </w:r>
    </w:p>
    <w:p w14:paraId="56361AF0">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（六）提起投诉的日期。</w:t>
      </w:r>
    </w:p>
    <w:p w14:paraId="6F96608B">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投诉人为自然人的，应当由本人签字；投诉人为法人或者其他组织的，应当由法定代表人、主要负责人，或者其授权代表签字或者盖章，并加盖公章。</w:t>
      </w:r>
    </w:p>
    <w:p w14:paraId="40A6BF41">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32.7投诉人应当根据《政府采购质疑和投诉办法》第七条第二款规定的信息内容，并按照其规定的方式提起投诉。</w:t>
      </w:r>
    </w:p>
    <w:p w14:paraId="41A86D42">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投诉人提起投诉应当符合下列条件：</w:t>
      </w:r>
    </w:p>
    <w:p w14:paraId="7125A5BB">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（一）提起投诉前已依法进行质疑；</w:t>
      </w:r>
    </w:p>
    <w:p w14:paraId="09F1AE4C">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（二）投诉书内容符合本办法的规定；</w:t>
      </w:r>
    </w:p>
    <w:p w14:paraId="5EC79A89">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（三）在投诉有效期限内提起投诉；</w:t>
      </w:r>
    </w:p>
    <w:p w14:paraId="5D7E4F9C">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（四）同一投诉事项未经财政部门投诉处理；</w:t>
      </w:r>
    </w:p>
    <w:p w14:paraId="7516299E">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（五）财政部规定的其他条件。</w:t>
      </w:r>
    </w:p>
    <w:p w14:paraId="4E8AB197">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质疑函范本</w:t>
      </w:r>
    </w:p>
    <w:p w14:paraId="0C837E68">
      <w:pPr>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bCs/>
          <w:color w:val="auto"/>
          <w:sz w:val="24"/>
          <w:highlight w:val="none"/>
        </w:rPr>
        <w:t>基本信息</w:t>
      </w:r>
    </w:p>
    <w:p w14:paraId="1571C118">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dotted"/>
        </w:rPr>
        <w:t xml:space="preserve">                                        </w:t>
      </w:r>
    </w:p>
    <w:p w14:paraId="3A5FDE5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3FD71F9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15317EA7">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被授权人：</w:t>
      </w:r>
      <w:r>
        <w:rPr>
          <w:rFonts w:hint="eastAsia" w:ascii="仿宋" w:hAnsi="仿宋" w:eastAsia="仿宋" w:cs="仿宋"/>
          <w:color w:val="auto"/>
          <w:sz w:val="24"/>
          <w:highlight w:val="none"/>
          <w:u w:val="dotted"/>
        </w:rPr>
        <w:t xml:space="preserve">                                          </w:t>
      </w:r>
    </w:p>
    <w:p w14:paraId="0AB04DD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773E3D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1AA765C0">
      <w:pPr>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6193824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482F3F7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0CF14CCB">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690351B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招标文件获取日期：</w:t>
      </w:r>
      <w:r>
        <w:rPr>
          <w:rFonts w:hint="eastAsia" w:ascii="仿宋" w:hAnsi="仿宋" w:eastAsia="仿宋" w:cs="仿宋"/>
          <w:color w:val="auto"/>
          <w:sz w:val="24"/>
          <w:highlight w:val="none"/>
          <w:u w:val="dotted"/>
        </w:rPr>
        <w:t xml:space="preserve">                                           </w:t>
      </w:r>
    </w:p>
    <w:p w14:paraId="5925CCE5">
      <w:pPr>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22E047B1">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47CD2231">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349CB28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09700F3D">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213C9E76">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2C5EE0B0">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14080EF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752F148">
      <w:pPr>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1C19DE3F">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60CD08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4536EF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4DED3C1F">
      <w:pPr>
        <w:adjustRightInd w:val="0"/>
        <w:snapToGrid w:val="0"/>
        <w:spacing w:line="360" w:lineRule="auto"/>
        <w:ind w:firstLine="480" w:firstLineChars="200"/>
        <w:rPr>
          <w:rFonts w:hint="eastAsia" w:ascii="仿宋" w:hAnsi="仿宋" w:eastAsia="仿宋" w:cs="仿宋"/>
          <w:color w:val="auto"/>
          <w:sz w:val="24"/>
          <w:highlight w:val="none"/>
        </w:rPr>
      </w:pPr>
    </w:p>
    <w:p w14:paraId="03E4A6F7">
      <w:pPr>
        <w:spacing w:line="360" w:lineRule="auto"/>
        <w:ind w:firstLine="482" w:firstLineChars="200"/>
        <w:jc w:val="center"/>
        <w:rPr>
          <w:rFonts w:hint="eastAsia" w:ascii="仿宋" w:hAnsi="仿宋" w:eastAsia="仿宋" w:cs="仿宋"/>
          <w:b/>
          <w:bCs/>
          <w:color w:val="auto"/>
          <w:sz w:val="24"/>
          <w:highlight w:val="none"/>
        </w:rPr>
      </w:pPr>
    </w:p>
    <w:p w14:paraId="6DB1FC75">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0CC1FCBE">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2962F1A1">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提出质疑时，应提交质疑函和必要的证明材料。</w:t>
      </w:r>
    </w:p>
    <w:p w14:paraId="2B9F6F82">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若委托代理人进行质疑的，质疑函应按要求列明“被授权人”的有关内容，并在附件中提交由质疑</w:t>
      </w:r>
      <w:r>
        <w:rPr>
          <w:rFonts w:hint="eastAsia" w:ascii="仿宋" w:hAnsi="仿宋" w:eastAsia="仿宋" w:cs="仿宋"/>
          <w:color w:val="auto"/>
          <w:kern w:val="0"/>
          <w:sz w:val="24"/>
          <w:highlight w:val="none"/>
        </w:rPr>
        <w:t>投标人签署的授权委托书。授权委托书应载明代理人的姓名或者名称、代理事项、具体权限、期限和相关事项。</w:t>
      </w:r>
    </w:p>
    <w:p w14:paraId="11B65FD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若对项目的某一分包进行质疑，质疑函中应列明具体分包号。</w:t>
      </w:r>
    </w:p>
    <w:p w14:paraId="50098E2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1F4D6586">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14397720">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为自然人的，质疑函应由本人签字；质疑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为法人或者其他组织的，质疑函应由法定代表人、主要负责人或者其被授权人签字或者盖章，并加盖公章。</w:t>
      </w:r>
    </w:p>
    <w:p w14:paraId="21E3267C">
      <w:pPr>
        <w:pStyle w:val="33"/>
        <w:spacing w:line="360" w:lineRule="auto"/>
        <w:rPr>
          <w:rFonts w:hint="eastAsia" w:ascii="仿宋" w:hAnsi="仿宋" w:eastAsia="仿宋" w:cs="仿宋"/>
          <w:color w:val="auto"/>
          <w:sz w:val="24"/>
          <w:szCs w:val="24"/>
          <w:highlight w:val="none"/>
        </w:rPr>
      </w:pPr>
    </w:p>
    <w:p w14:paraId="5C9B942A">
      <w:pPr>
        <w:pStyle w:val="33"/>
        <w:spacing w:line="360" w:lineRule="auto"/>
        <w:rPr>
          <w:rFonts w:hint="eastAsia" w:ascii="仿宋" w:hAnsi="仿宋" w:eastAsia="仿宋" w:cs="仿宋"/>
          <w:color w:val="auto"/>
          <w:sz w:val="24"/>
          <w:szCs w:val="24"/>
          <w:highlight w:val="none"/>
        </w:rPr>
      </w:pPr>
    </w:p>
    <w:p w14:paraId="527A1A15">
      <w:pPr>
        <w:pStyle w:val="8"/>
        <w:spacing w:line="360" w:lineRule="auto"/>
        <w:ind w:firstLine="480"/>
        <w:rPr>
          <w:rFonts w:hint="eastAsia" w:ascii="仿宋" w:hAnsi="仿宋" w:eastAsia="仿宋" w:cs="仿宋"/>
          <w:color w:val="auto"/>
          <w:sz w:val="24"/>
          <w:highlight w:val="none"/>
        </w:rPr>
      </w:pPr>
    </w:p>
    <w:p w14:paraId="6EDF73D0">
      <w:pPr>
        <w:pStyle w:val="4"/>
        <w:rPr>
          <w:rFonts w:hint="eastAsia" w:ascii="仿宋" w:hAnsi="仿宋" w:eastAsia="仿宋" w:cs="仿宋"/>
          <w:color w:val="auto"/>
          <w:highlight w:val="none"/>
        </w:rPr>
      </w:pPr>
      <w:r>
        <w:rPr>
          <w:rFonts w:hint="eastAsia" w:ascii="仿宋" w:hAnsi="仿宋" w:eastAsia="仿宋" w:cs="仿宋"/>
          <w:color w:val="auto"/>
          <w:szCs w:val="24"/>
          <w:highlight w:val="none"/>
        </w:rPr>
        <w:br w:type="page"/>
      </w:r>
      <w:bookmarkStart w:id="147" w:name="_Toc21780"/>
      <w:bookmarkStart w:id="148" w:name="_Toc2180"/>
      <w:bookmarkStart w:id="149" w:name="_Toc5850_WPSOffice_Level1"/>
      <w:bookmarkStart w:id="150" w:name="_Toc19536"/>
      <w:r>
        <w:rPr>
          <w:rFonts w:hint="eastAsia" w:ascii="仿宋" w:hAnsi="仿宋" w:eastAsia="仿宋" w:cs="仿宋"/>
          <w:color w:val="auto"/>
          <w:highlight w:val="none"/>
        </w:rPr>
        <w:t>第三章  投标文件格式</w:t>
      </w:r>
      <w:bookmarkEnd w:id="147"/>
      <w:bookmarkEnd w:id="148"/>
      <w:bookmarkEnd w:id="149"/>
      <w:bookmarkEnd w:id="150"/>
    </w:p>
    <w:p w14:paraId="48B5899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投标文件封面示例</w:t>
      </w:r>
    </w:p>
    <w:p w14:paraId="5DD6892F">
      <w:pPr>
        <w:spacing w:line="360" w:lineRule="auto"/>
        <w:rPr>
          <w:rFonts w:hint="eastAsia" w:ascii="仿宋" w:hAnsi="仿宋" w:eastAsia="仿宋" w:cs="仿宋"/>
          <w:b/>
          <w:color w:val="auto"/>
          <w:sz w:val="24"/>
          <w:highlight w:val="none"/>
        </w:rPr>
      </w:pPr>
    </w:p>
    <w:p w14:paraId="732B6309">
      <w:pPr>
        <w:spacing w:line="360" w:lineRule="auto"/>
        <w:jc w:val="center"/>
        <w:rPr>
          <w:rFonts w:hint="eastAsia" w:ascii="仿宋" w:hAnsi="仿宋" w:eastAsia="仿宋" w:cs="仿宋"/>
          <w:b/>
          <w:color w:val="auto"/>
          <w:sz w:val="24"/>
          <w:highlight w:val="none"/>
        </w:rPr>
      </w:pPr>
    </w:p>
    <w:p w14:paraId="19EAFF9E">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w:t>
      </w:r>
    </w:p>
    <w:p w14:paraId="79481636">
      <w:pPr>
        <w:spacing w:line="360" w:lineRule="auto"/>
        <w:rPr>
          <w:rFonts w:hint="eastAsia" w:ascii="仿宋" w:hAnsi="仿宋" w:eastAsia="仿宋" w:cs="仿宋"/>
          <w:b/>
          <w:color w:val="auto"/>
          <w:sz w:val="24"/>
          <w:highlight w:val="none"/>
        </w:rPr>
      </w:pPr>
    </w:p>
    <w:p w14:paraId="329257F6">
      <w:pPr>
        <w:spacing w:line="360" w:lineRule="auto"/>
        <w:ind w:firstLine="504"/>
        <w:rPr>
          <w:rFonts w:hint="eastAsia" w:ascii="仿宋" w:hAnsi="仿宋" w:eastAsia="仿宋" w:cs="仿宋"/>
          <w:b/>
          <w:color w:val="auto"/>
          <w:sz w:val="24"/>
          <w:highlight w:val="none"/>
        </w:rPr>
      </w:pPr>
    </w:p>
    <w:p w14:paraId="3D24469B">
      <w:pPr>
        <w:spacing w:line="360" w:lineRule="auto"/>
        <w:ind w:firstLine="504"/>
        <w:rPr>
          <w:rFonts w:hint="eastAsia" w:ascii="仿宋" w:hAnsi="仿宋" w:eastAsia="仿宋" w:cs="仿宋"/>
          <w:b/>
          <w:color w:val="auto"/>
          <w:sz w:val="24"/>
          <w:highlight w:val="none"/>
        </w:rPr>
      </w:pPr>
    </w:p>
    <w:p w14:paraId="5A0E9893">
      <w:pPr>
        <w:spacing w:line="360" w:lineRule="auto"/>
        <w:ind w:firstLine="504"/>
        <w:rPr>
          <w:rFonts w:hint="eastAsia" w:ascii="仿宋" w:hAnsi="仿宋" w:eastAsia="仿宋" w:cs="仿宋"/>
          <w:b/>
          <w:color w:val="auto"/>
          <w:sz w:val="24"/>
          <w:highlight w:val="none"/>
        </w:rPr>
      </w:pPr>
    </w:p>
    <w:p w14:paraId="397B3ABF">
      <w:pPr>
        <w:spacing w:line="360" w:lineRule="auto"/>
        <w:ind w:firstLine="504"/>
        <w:rPr>
          <w:rFonts w:hint="eastAsia" w:ascii="仿宋" w:hAnsi="仿宋" w:eastAsia="仿宋" w:cs="仿宋"/>
          <w:b/>
          <w:color w:val="auto"/>
          <w:sz w:val="24"/>
          <w:highlight w:val="none"/>
        </w:rPr>
      </w:pPr>
    </w:p>
    <w:p w14:paraId="476A0686">
      <w:pPr>
        <w:spacing w:line="360" w:lineRule="auto"/>
        <w:ind w:firstLine="504"/>
        <w:rPr>
          <w:rFonts w:hint="eastAsia" w:ascii="仿宋" w:hAnsi="仿宋" w:eastAsia="仿宋" w:cs="仿宋"/>
          <w:b/>
          <w:color w:val="auto"/>
          <w:sz w:val="24"/>
          <w:highlight w:val="none"/>
        </w:rPr>
      </w:pPr>
    </w:p>
    <w:p w14:paraId="3C1190F9">
      <w:pPr>
        <w:spacing w:line="360" w:lineRule="auto"/>
        <w:rPr>
          <w:rFonts w:hint="eastAsia" w:ascii="仿宋" w:hAnsi="仿宋" w:eastAsia="仿宋" w:cs="仿宋"/>
          <w:b/>
          <w:color w:val="auto"/>
          <w:sz w:val="24"/>
          <w:highlight w:val="none"/>
        </w:rPr>
      </w:pPr>
    </w:p>
    <w:p w14:paraId="1CDC7FF9">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p w14:paraId="403A6F02">
      <w:pPr>
        <w:pStyle w:val="33"/>
        <w:spacing w:line="360" w:lineRule="auto"/>
        <w:rPr>
          <w:rFonts w:hint="eastAsia" w:ascii="仿宋" w:hAnsi="仿宋" w:eastAsia="仿宋" w:cs="仿宋"/>
          <w:color w:val="auto"/>
          <w:sz w:val="24"/>
          <w:szCs w:val="24"/>
          <w:highlight w:val="none"/>
        </w:rPr>
      </w:pPr>
    </w:p>
    <w:p w14:paraId="7F2BF0D8">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w:t>
      </w:r>
    </w:p>
    <w:p w14:paraId="2034C1AC">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000C162C">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投标人名称（盖章）：</w:t>
      </w:r>
    </w:p>
    <w:p w14:paraId="75250BF4">
      <w:pPr>
        <w:spacing w:line="360" w:lineRule="auto"/>
        <w:ind w:firstLine="504"/>
        <w:rPr>
          <w:rFonts w:hint="eastAsia" w:ascii="仿宋" w:hAnsi="仿宋" w:eastAsia="仿宋" w:cs="仿宋"/>
          <w:b/>
          <w:color w:val="auto"/>
          <w:sz w:val="24"/>
          <w:highlight w:val="none"/>
        </w:rPr>
      </w:pPr>
    </w:p>
    <w:p w14:paraId="4C29B5D4">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sz w:val="24"/>
        </w:rPr>
        <w:t>法定代表人或被授权人</w:t>
      </w:r>
      <w:r>
        <w:rPr>
          <w:rFonts w:hint="eastAsia" w:ascii="仿宋" w:hAnsi="仿宋" w:eastAsia="仿宋" w:cs="仿宋"/>
          <w:b/>
          <w:color w:val="auto"/>
          <w:sz w:val="24"/>
          <w:highlight w:val="none"/>
        </w:rPr>
        <w:t>（签字或盖章）：</w:t>
      </w:r>
    </w:p>
    <w:p w14:paraId="4DA21141">
      <w:pPr>
        <w:spacing w:line="360" w:lineRule="auto"/>
        <w:ind w:firstLine="504"/>
        <w:rPr>
          <w:rFonts w:hint="eastAsia" w:ascii="仿宋" w:hAnsi="仿宋" w:eastAsia="仿宋" w:cs="仿宋"/>
          <w:b/>
          <w:color w:val="auto"/>
          <w:sz w:val="24"/>
          <w:highlight w:val="none"/>
        </w:rPr>
      </w:pPr>
    </w:p>
    <w:p w14:paraId="63230315">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项目联系人： </w:t>
      </w:r>
    </w:p>
    <w:p w14:paraId="6013EB74">
      <w:pPr>
        <w:spacing w:line="360" w:lineRule="auto"/>
        <w:ind w:firstLine="504"/>
        <w:rPr>
          <w:rFonts w:hint="eastAsia" w:ascii="仿宋" w:hAnsi="仿宋" w:eastAsia="仿宋" w:cs="仿宋"/>
          <w:b/>
          <w:color w:val="auto"/>
          <w:sz w:val="24"/>
          <w:highlight w:val="none"/>
        </w:rPr>
      </w:pPr>
    </w:p>
    <w:p w14:paraId="5A01FE0F">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联系电话：</w:t>
      </w:r>
    </w:p>
    <w:p w14:paraId="3F5AAF21">
      <w:pPr>
        <w:spacing w:line="360" w:lineRule="auto"/>
        <w:ind w:firstLine="504"/>
        <w:rPr>
          <w:rFonts w:hint="eastAsia" w:ascii="仿宋" w:hAnsi="仿宋" w:eastAsia="仿宋" w:cs="仿宋"/>
          <w:b/>
          <w:color w:val="auto"/>
          <w:sz w:val="24"/>
          <w:highlight w:val="none"/>
        </w:rPr>
      </w:pPr>
    </w:p>
    <w:p w14:paraId="4E7EEA34">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编制时间：</w:t>
      </w:r>
    </w:p>
    <w:p w14:paraId="22E8DB43">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目录</w:t>
      </w:r>
    </w:p>
    <w:p w14:paraId="247324F1">
      <w:pPr>
        <w:tabs>
          <w:tab w:val="left" w:pos="3480"/>
        </w:tabs>
        <w:spacing w:line="360" w:lineRule="auto"/>
        <w:ind w:firstLine="480" w:firstLineChars="200"/>
        <w:rPr>
          <w:rFonts w:hint="eastAsia" w:ascii="仿宋" w:hAnsi="仿宋" w:eastAsia="仿宋" w:cs="仿宋"/>
          <w:color w:val="auto"/>
          <w:sz w:val="24"/>
          <w:highlight w:val="none"/>
        </w:rPr>
      </w:pPr>
      <w:bookmarkStart w:id="151" w:name="_Toc217446082"/>
    </w:p>
    <w:p w14:paraId="6C0AC2B6">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一、投标函</w:t>
      </w:r>
    </w:p>
    <w:p w14:paraId="00C10B86">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二、身份证明书及授权委托书</w:t>
      </w:r>
    </w:p>
    <w:p w14:paraId="106B869F">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三、投标报价明细表</w:t>
      </w:r>
    </w:p>
    <w:p w14:paraId="3A9CF3DF">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四、投标人基本情况表</w:t>
      </w:r>
    </w:p>
    <w:p w14:paraId="31EBD71C">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五、投标人类似项目业绩一览表</w:t>
      </w:r>
    </w:p>
    <w:p w14:paraId="151A3981">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六、商务、技术需求偏离表</w:t>
      </w:r>
    </w:p>
    <w:p w14:paraId="56DBEFAD">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七、拟配备人员情况</w:t>
      </w:r>
    </w:p>
    <w:p w14:paraId="181EA1CB">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八、实施方案</w:t>
      </w:r>
    </w:p>
    <w:p w14:paraId="5C4DBE2E">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九、投标人认为需要提供的其他文件和资料</w:t>
      </w:r>
    </w:p>
    <w:p w14:paraId="6F93B884">
      <w:pPr>
        <w:tabs>
          <w:tab w:val="left" w:pos="3480"/>
        </w:tabs>
        <w:spacing w:line="360" w:lineRule="auto"/>
        <w:ind w:firstLine="480" w:firstLineChars="200"/>
        <w:rPr>
          <w:rFonts w:hint="eastAsia" w:ascii="仿宋" w:hAnsi="仿宋" w:eastAsia="仿宋" w:cs="仿宋"/>
          <w:color w:val="auto"/>
          <w:sz w:val="24"/>
          <w:highlight w:val="none"/>
        </w:rPr>
      </w:pPr>
    </w:p>
    <w:p w14:paraId="510C0972">
      <w:pPr>
        <w:pStyle w:val="8"/>
        <w:spacing w:line="360" w:lineRule="auto"/>
        <w:ind w:firstLine="480"/>
        <w:rPr>
          <w:rFonts w:hint="eastAsia" w:ascii="仿宋" w:hAnsi="仿宋" w:eastAsia="仿宋" w:cs="仿宋"/>
          <w:color w:val="auto"/>
          <w:sz w:val="24"/>
          <w:highlight w:val="none"/>
        </w:rPr>
      </w:pPr>
    </w:p>
    <w:p w14:paraId="723324A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（备注：投标人应按以上目录顺序编排投标文件，并标注相应页码。）</w:t>
      </w:r>
    </w:p>
    <w:p w14:paraId="0CD5ADAD">
      <w:pPr>
        <w:spacing w:line="360" w:lineRule="auto"/>
        <w:rPr>
          <w:rFonts w:hint="eastAsia" w:ascii="仿宋" w:hAnsi="仿宋" w:eastAsia="仿宋" w:cs="仿宋"/>
          <w:color w:val="auto"/>
          <w:sz w:val="24"/>
          <w:highlight w:val="none"/>
        </w:rPr>
      </w:pPr>
    </w:p>
    <w:p w14:paraId="2B5B16BF">
      <w:pPr>
        <w:pStyle w:val="33"/>
        <w:spacing w:line="360" w:lineRule="auto"/>
        <w:rPr>
          <w:rFonts w:hint="eastAsia" w:ascii="仿宋" w:hAnsi="仿宋" w:eastAsia="仿宋" w:cs="仿宋"/>
          <w:color w:val="auto"/>
          <w:sz w:val="24"/>
          <w:szCs w:val="24"/>
          <w:highlight w:val="none"/>
        </w:rPr>
      </w:pPr>
    </w:p>
    <w:p w14:paraId="18144B68">
      <w:pPr>
        <w:spacing w:line="360" w:lineRule="auto"/>
        <w:rPr>
          <w:rFonts w:hint="eastAsia" w:ascii="仿宋" w:hAnsi="仿宋" w:eastAsia="仿宋" w:cs="仿宋"/>
          <w:color w:val="auto"/>
          <w:sz w:val="24"/>
          <w:highlight w:val="none"/>
        </w:rPr>
      </w:pPr>
    </w:p>
    <w:p w14:paraId="094B37B1">
      <w:pPr>
        <w:pStyle w:val="33"/>
        <w:spacing w:line="360" w:lineRule="auto"/>
        <w:rPr>
          <w:rFonts w:hint="eastAsia" w:ascii="仿宋" w:hAnsi="仿宋" w:eastAsia="仿宋" w:cs="仿宋"/>
          <w:color w:val="auto"/>
          <w:sz w:val="24"/>
          <w:szCs w:val="24"/>
          <w:highlight w:val="none"/>
        </w:rPr>
      </w:pPr>
    </w:p>
    <w:p w14:paraId="72EBBC01">
      <w:pPr>
        <w:spacing w:line="360" w:lineRule="auto"/>
        <w:rPr>
          <w:rFonts w:hint="eastAsia" w:ascii="仿宋" w:hAnsi="仿宋" w:eastAsia="仿宋" w:cs="仿宋"/>
          <w:color w:val="auto"/>
          <w:sz w:val="24"/>
          <w:highlight w:val="none"/>
        </w:rPr>
      </w:pPr>
    </w:p>
    <w:p w14:paraId="6B55FF6F">
      <w:pPr>
        <w:spacing w:line="360" w:lineRule="auto"/>
        <w:rPr>
          <w:rFonts w:hint="eastAsia" w:ascii="仿宋" w:hAnsi="仿宋" w:eastAsia="仿宋" w:cs="仿宋"/>
          <w:color w:val="auto"/>
          <w:sz w:val="24"/>
          <w:highlight w:val="none"/>
        </w:rPr>
      </w:pPr>
    </w:p>
    <w:p w14:paraId="1F69812D">
      <w:pPr>
        <w:spacing w:line="360" w:lineRule="auto"/>
        <w:jc w:val="center"/>
        <w:rPr>
          <w:rFonts w:hint="eastAsia" w:ascii="仿宋" w:hAnsi="仿宋" w:eastAsia="仿宋" w:cs="仿宋"/>
          <w:color w:val="auto"/>
          <w:sz w:val="24"/>
          <w:highlight w:val="none"/>
        </w:rPr>
      </w:pPr>
    </w:p>
    <w:p w14:paraId="288BBF70">
      <w:pPr>
        <w:spacing w:line="360" w:lineRule="auto"/>
        <w:rPr>
          <w:rFonts w:hint="eastAsia" w:ascii="仿宋" w:hAnsi="仿宋" w:eastAsia="仿宋" w:cs="仿宋"/>
          <w:color w:val="auto"/>
          <w:sz w:val="24"/>
          <w:highlight w:val="none"/>
        </w:rPr>
      </w:pPr>
    </w:p>
    <w:p w14:paraId="51AFD7A0">
      <w:pPr>
        <w:pStyle w:val="33"/>
        <w:spacing w:line="360" w:lineRule="auto"/>
        <w:rPr>
          <w:rFonts w:hint="eastAsia" w:ascii="仿宋" w:hAnsi="仿宋" w:eastAsia="仿宋" w:cs="仿宋"/>
          <w:color w:val="auto"/>
          <w:sz w:val="24"/>
          <w:szCs w:val="24"/>
          <w:highlight w:val="none"/>
        </w:rPr>
      </w:pPr>
    </w:p>
    <w:p w14:paraId="350D3C64">
      <w:pPr>
        <w:spacing w:line="360" w:lineRule="auto"/>
        <w:rPr>
          <w:rFonts w:hint="eastAsia" w:ascii="仿宋" w:hAnsi="仿宋" w:eastAsia="仿宋" w:cs="仿宋"/>
          <w:color w:val="auto"/>
          <w:sz w:val="24"/>
          <w:highlight w:val="none"/>
        </w:rPr>
      </w:pPr>
    </w:p>
    <w:p w14:paraId="59CAC5BB">
      <w:pPr>
        <w:pStyle w:val="33"/>
        <w:spacing w:line="360" w:lineRule="auto"/>
        <w:rPr>
          <w:rFonts w:hint="eastAsia" w:ascii="仿宋" w:hAnsi="仿宋" w:eastAsia="仿宋" w:cs="仿宋"/>
          <w:color w:val="auto"/>
          <w:sz w:val="24"/>
          <w:szCs w:val="24"/>
          <w:highlight w:val="none"/>
        </w:rPr>
      </w:pPr>
    </w:p>
    <w:p w14:paraId="7144BCE5">
      <w:pPr>
        <w:spacing w:line="360" w:lineRule="auto"/>
        <w:rPr>
          <w:rFonts w:hint="eastAsia" w:ascii="仿宋" w:hAnsi="仿宋" w:eastAsia="仿宋" w:cs="仿宋"/>
          <w:color w:val="auto"/>
          <w:sz w:val="24"/>
          <w:highlight w:val="none"/>
        </w:rPr>
      </w:pPr>
    </w:p>
    <w:p w14:paraId="10E2599B">
      <w:pPr>
        <w:pStyle w:val="33"/>
        <w:spacing w:line="360" w:lineRule="auto"/>
        <w:rPr>
          <w:rFonts w:hint="eastAsia" w:ascii="仿宋" w:hAnsi="仿宋" w:eastAsia="仿宋" w:cs="仿宋"/>
          <w:color w:val="auto"/>
          <w:sz w:val="24"/>
          <w:szCs w:val="24"/>
          <w:highlight w:val="none"/>
        </w:rPr>
      </w:pPr>
    </w:p>
    <w:p w14:paraId="2F268850">
      <w:pPr>
        <w:spacing w:line="360" w:lineRule="auto"/>
        <w:jc w:val="center"/>
        <w:rPr>
          <w:rFonts w:hint="eastAsia" w:ascii="仿宋" w:hAnsi="仿宋" w:eastAsia="仿宋" w:cs="仿宋"/>
          <w:color w:val="auto"/>
          <w:sz w:val="24"/>
          <w:highlight w:val="none"/>
        </w:rPr>
      </w:pPr>
    </w:p>
    <w:p w14:paraId="18DBC6A1">
      <w:pPr>
        <w:spacing w:line="360" w:lineRule="auto"/>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52" w:name="_Toc17753"/>
      <w:r>
        <w:rPr>
          <w:rFonts w:hint="eastAsia" w:ascii="仿宋" w:hAnsi="仿宋" w:eastAsia="仿宋" w:cs="仿宋"/>
          <w:b/>
          <w:bCs/>
          <w:color w:val="auto"/>
          <w:sz w:val="24"/>
          <w:highlight w:val="none"/>
        </w:rPr>
        <w:t>一、</w:t>
      </w:r>
      <w:bookmarkEnd w:id="151"/>
      <w:r>
        <w:rPr>
          <w:rFonts w:hint="eastAsia" w:ascii="仿宋" w:hAnsi="仿宋" w:eastAsia="仿宋" w:cs="仿宋"/>
          <w:b/>
          <w:bCs/>
          <w:color w:val="auto"/>
          <w:sz w:val="24"/>
          <w:highlight w:val="none"/>
        </w:rPr>
        <w:t>投标函</w:t>
      </w:r>
      <w:bookmarkEnd w:id="152"/>
    </w:p>
    <w:p w14:paraId="4DB25F50">
      <w:pPr>
        <w:pStyle w:val="15"/>
        <w:spacing w:after="0" w:line="360" w:lineRule="auto"/>
        <w:ind w:left="0" w:leftChars="0" w:firstLine="480" w:firstLineChars="200"/>
        <w:rPr>
          <w:rFonts w:hint="eastAsia" w:ascii="仿宋" w:hAnsi="仿宋" w:eastAsia="仿宋" w:cs="仿宋"/>
          <w:bCs/>
          <w:color w:val="auto"/>
          <w:sz w:val="24"/>
          <w:highlight w:val="none"/>
        </w:rPr>
      </w:pPr>
      <w:bookmarkStart w:id="153" w:name="_Toc217446083"/>
      <w:r>
        <w:rPr>
          <w:rFonts w:hint="eastAsia" w:ascii="仿宋" w:hAnsi="仿宋" w:eastAsia="仿宋" w:cs="仿宋"/>
          <w:bCs/>
          <w:color w:val="auto"/>
          <w:sz w:val="24"/>
          <w:highlight w:val="none"/>
        </w:rPr>
        <w:t>__________（采购人）：</w:t>
      </w:r>
    </w:p>
    <w:p w14:paraId="22F3406C">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我方全面研究了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（项目名称、项目编号）”项目招标文件，决定参加贵单位组织的本项目投标。我方授权</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（姓名、职务）代表我方</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（投标人的名称）全权处理本项目投标的有关事宜。</w:t>
      </w:r>
    </w:p>
    <w:p w14:paraId="37F2D7CD">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1、我方自愿按照招标文件规定的各项要求向采购人提供所需货物，总投标价为人民币</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元（大写：</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），投标有效期</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日历天。</w:t>
      </w:r>
    </w:p>
    <w:p w14:paraId="7F15327A">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2、一旦我方成交，我方将严格履行合同规定的责任和义务，合同履约期限：</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，并达到采购人要求。</w:t>
      </w:r>
    </w:p>
    <w:p w14:paraId="62A44518">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3、我方同意按照招标文件的要求，向贵单位缴纳人民币</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元（大写：</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）的投标保证金，并承诺如发生符合“第二章投标人须知”第15.5条的任何情况时，我方将不要求退还投标保证金。</w:t>
      </w:r>
    </w:p>
    <w:p w14:paraId="3069E7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4、我方承诺我方中标后将提供符合招标文件要求的检验检测报告。</w:t>
      </w:r>
    </w:p>
    <w:p w14:paraId="05E43AB6">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5、我方提交的投标文件满足招标文件实质性要求。</w:t>
      </w:r>
    </w:p>
    <w:p w14:paraId="53438336">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6、我方愿意提供采购人可能另外要求的，与投标有关的文件资料，并保证我方已提供和将要提供的文件资料是真实、准确的。</w:t>
      </w:r>
    </w:p>
    <w:p w14:paraId="2AA86A4D">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7、我方完全理解采购人不一定将合同授予最低报价的投标人。</w:t>
      </w:r>
    </w:p>
    <w:p w14:paraId="52CC2BF7">
      <w:pPr>
        <w:pStyle w:val="15"/>
        <w:spacing w:after="0" w:line="360" w:lineRule="auto"/>
        <w:ind w:left="0" w:leftChars="0" w:firstLine="480" w:firstLineChars="200"/>
        <w:jc w:val="center"/>
        <w:rPr>
          <w:rFonts w:hint="eastAsia" w:ascii="仿宋" w:hAnsi="仿宋" w:eastAsia="仿宋" w:cs="仿宋"/>
          <w:bCs/>
          <w:color w:val="auto"/>
          <w:sz w:val="24"/>
          <w:highlight w:val="none"/>
        </w:rPr>
      </w:pPr>
    </w:p>
    <w:p w14:paraId="17C993E6">
      <w:pPr>
        <w:pStyle w:val="15"/>
        <w:spacing w:after="0" w:line="360" w:lineRule="auto"/>
        <w:ind w:firstLine="3360" w:firstLineChars="14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投标人名称（盖章）：</w:t>
      </w:r>
    </w:p>
    <w:p w14:paraId="7DC7CE95">
      <w:pPr>
        <w:pStyle w:val="15"/>
        <w:spacing w:after="0" w:line="360" w:lineRule="auto"/>
        <w:ind w:left="0" w:leftChars="0" w:firstLine="480" w:firstLineChars="20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法定代表人或被授权人</w:t>
      </w:r>
      <w:r>
        <w:rPr>
          <w:rFonts w:hint="eastAsia" w:ascii="仿宋" w:hAnsi="仿宋" w:eastAsia="仿宋" w:cs="仿宋"/>
          <w:color w:val="auto"/>
          <w:sz w:val="24"/>
          <w:highlight w:val="none"/>
        </w:rPr>
        <w:t>（签字或盖章）</w:t>
      </w:r>
      <w:r>
        <w:rPr>
          <w:rFonts w:hint="eastAsia" w:ascii="仿宋" w:hAnsi="仿宋" w:eastAsia="仿宋" w:cs="仿宋"/>
          <w:bCs/>
          <w:color w:val="auto"/>
          <w:sz w:val="24"/>
          <w:highlight w:val="none"/>
        </w:rPr>
        <w:t>：</w:t>
      </w:r>
    </w:p>
    <w:p w14:paraId="4D9F6DC5">
      <w:pPr>
        <w:pStyle w:val="15"/>
        <w:spacing w:after="0" w:line="360" w:lineRule="auto"/>
        <w:ind w:firstLine="3360" w:firstLineChars="14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通讯地址：</w:t>
      </w:r>
    </w:p>
    <w:p w14:paraId="6EEFE2B7">
      <w:pPr>
        <w:pStyle w:val="15"/>
        <w:spacing w:after="0" w:line="360" w:lineRule="auto"/>
        <w:ind w:firstLine="3360" w:firstLineChars="14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联系电话：</w:t>
      </w:r>
    </w:p>
    <w:p w14:paraId="7D472A19">
      <w:pPr>
        <w:pStyle w:val="15"/>
        <w:spacing w:after="0" w:line="360" w:lineRule="auto"/>
        <w:ind w:firstLine="3360" w:firstLineChars="14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p>
    <w:p w14:paraId="5F0710DB">
      <w:pPr>
        <w:pStyle w:val="48"/>
        <w:ind w:firstLine="3360" w:firstLineChars="1400"/>
        <w:rPr>
          <w:rFonts w:hint="eastAsia" w:ascii="仿宋" w:hAnsi="仿宋" w:cs="仿宋"/>
          <w:bCs/>
          <w:color w:val="auto"/>
          <w:highlight w:val="none"/>
        </w:rPr>
      </w:pPr>
    </w:p>
    <w:p w14:paraId="06A3EFF0">
      <w:pPr>
        <w:pStyle w:val="48"/>
        <w:ind w:firstLine="3360" w:firstLineChars="1400"/>
        <w:rPr>
          <w:rFonts w:hint="eastAsia" w:ascii="仿宋" w:hAnsi="仿宋" w:cs="仿宋"/>
          <w:bCs/>
          <w:color w:val="auto"/>
          <w:highlight w:val="none"/>
        </w:rPr>
      </w:pPr>
    </w:p>
    <w:p w14:paraId="4EC2759B">
      <w:pPr>
        <w:pStyle w:val="48"/>
        <w:ind w:firstLine="3360" w:firstLineChars="1400"/>
        <w:rPr>
          <w:rFonts w:hint="eastAsia" w:ascii="仿宋" w:hAnsi="仿宋" w:cs="仿宋"/>
          <w:bCs/>
          <w:color w:val="auto"/>
          <w:highlight w:val="none"/>
        </w:rPr>
      </w:pPr>
    </w:p>
    <w:p w14:paraId="46094797">
      <w:pPr>
        <w:pStyle w:val="48"/>
        <w:ind w:firstLine="3360" w:firstLineChars="1400"/>
        <w:rPr>
          <w:rFonts w:hint="eastAsia" w:ascii="仿宋" w:hAnsi="仿宋" w:cs="仿宋"/>
          <w:bCs/>
          <w:color w:val="auto"/>
          <w:highlight w:val="none"/>
        </w:rPr>
      </w:pPr>
    </w:p>
    <w:p w14:paraId="587085A7">
      <w:pPr>
        <w:pStyle w:val="48"/>
        <w:ind w:firstLine="3360" w:firstLineChars="1400"/>
        <w:rPr>
          <w:rFonts w:hint="eastAsia" w:ascii="仿宋" w:hAnsi="仿宋" w:cs="仿宋"/>
          <w:bCs/>
          <w:color w:val="auto"/>
          <w:highlight w:val="none"/>
        </w:rPr>
      </w:pPr>
    </w:p>
    <w:p w14:paraId="06D20C9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7DAEF43">
      <w:pPr>
        <w:pStyle w:val="4"/>
        <w:numPr>
          <w:ilvl w:val="0"/>
          <w:numId w:val="4"/>
        </w:numPr>
        <w:spacing w:before="156" w:after="156"/>
        <w:ind w:firstLine="482" w:firstLineChars="200"/>
        <w:rPr>
          <w:rFonts w:hint="eastAsia" w:ascii="仿宋" w:hAnsi="仿宋" w:eastAsia="仿宋" w:cs="仿宋"/>
          <w:color w:val="auto"/>
          <w:sz w:val="24"/>
          <w:szCs w:val="24"/>
          <w:highlight w:val="none"/>
        </w:rPr>
      </w:pPr>
      <w:bookmarkStart w:id="154" w:name="_Toc30244"/>
      <w:r>
        <w:rPr>
          <w:rFonts w:hint="eastAsia" w:ascii="仿宋" w:hAnsi="仿宋" w:eastAsia="仿宋" w:cs="仿宋"/>
          <w:color w:val="auto"/>
          <w:sz w:val="24"/>
          <w:szCs w:val="24"/>
          <w:highlight w:val="none"/>
        </w:rPr>
        <w:t>身份证明书及授权委托书</w:t>
      </w:r>
      <w:bookmarkEnd w:id="154"/>
    </w:p>
    <w:p w14:paraId="6F1BA7F0">
      <w:pPr>
        <w:spacing w:line="360" w:lineRule="auto"/>
        <w:ind w:firstLine="482" w:firstLineChars="200"/>
        <w:jc w:val="center"/>
        <w:rPr>
          <w:rFonts w:hint="eastAsia" w:ascii="仿宋" w:hAnsi="仿宋" w:eastAsia="仿宋" w:cs="仿宋"/>
          <w:b/>
          <w:bCs/>
          <w:color w:val="auto"/>
          <w:sz w:val="24"/>
          <w:highlight w:val="none"/>
        </w:rPr>
      </w:pPr>
    </w:p>
    <w:p w14:paraId="26CC4A38">
      <w:pPr>
        <w:spacing w:line="360" w:lineRule="auto"/>
        <w:ind w:firstLine="482" w:firstLineChars="20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身份证明书</w:t>
      </w:r>
    </w:p>
    <w:p w14:paraId="6DD17F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 xml:space="preserve">                               。</w:t>
      </w:r>
    </w:p>
    <w:p w14:paraId="30B318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3862ED85">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 </w:t>
      </w:r>
    </w:p>
    <w:p w14:paraId="04E1D8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 </w:t>
      </w:r>
    </w:p>
    <w:p w14:paraId="3CC318B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的法定代表人，为参加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（项目名称）的投标、签署上述投标文件、进行合同谈判、签署合同和处理与之有关的一切事务权利的投标人。 </w:t>
      </w:r>
    </w:p>
    <w:p w14:paraId="269D1B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0A8EE3F6">
      <w:pPr>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93BB616">
      <w:pPr>
        <w:spacing w:line="360"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sz w:val="24"/>
          <w:highlight w:val="none"/>
        </w:rPr>
        <w:t>附：法定代表人身份证正反面扫描件。</w:t>
      </w:r>
    </w:p>
    <w:p w14:paraId="6F607700">
      <w:pPr>
        <w:spacing w:line="360" w:lineRule="auto"/>
        <w:ind w:firstLine="480" w:firstLineChars="200"/>
        <w:jc w:val="center"/>
        <w:rPr>
          <w:rFonts w:hint="eastAsia" w:ascii="仿宋" w:hAnsi="仿宋" w:eastAsia="仿宋" w:cs="仿宋"/>
          <w:color w:val="auto"/>
          <w:sz w:val="24"/>
          <w:highlight w:val="none"/>
        </w:rPr>
      </w:pPr>
    </w:p>
    <w:p w14:paraId="320DDF21">
      <w:pPr>
        <w:spacing w:line="360" w:lineRule="auto"/>
        <w:ind w:firstLine="480" w:firstLineChars="200"/>
        <w:jc w:val="center"/>
        <w:rPr>
          <w:rFonts w:hint="eastAsia" w:ascii="仿宋" w:hAnsi="仿宋" w:eastAsia="仿宋" w:cs="仿宋"/>
          <w:color w:val="auto"/>
          <w:sz w:val="24"/>
          <w:highlight w:val="none"/>
        </w:rPr>
      </w:pPr>
    </w:p>
    <w:p w14:paraId="732F48A6">
      <w:pPr>
        <w:spacing w:line="360" w:lineRule="auto"/>
        <w:ind w:firstLine="480" w:firstLineChars="200"/>
        <w:jc w:val="center"/>
        <w:rPr>
          <w:rFonts w:hint="eastAsia" w:ascii="仿宋" w:hAnsi="仿宋" w:eastAsia="仿宋" w:cs="仿宋"/>
          <w:color w:val="auto"/>
          <w:sz w:val="24"/>
          <w:highlight w:val="none"/>
        </w:rPr>
      </w:pPr>
    </w:p>
    <w:p w14:paraId="5EFCD9EA">
      <w:pPr>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 xml:space="preserve">                       投标人名称（盖章）：</w:t>
      </w:r>
      <w:r>
        <w:rPr>
          <w:rFonts w:hint="eastAsia" w:ascii="仿宋" w:hAnsi="仿宋" w:eastAsia="仿宋" w:cs="仿宋"/>
          <w:color w:val="auto"/>
          <w:sz w:val="24"/>
          <w:highlight w:val="none"/>
          <w:u w:val="single"/>
        </w:rPr>
        <w:t xml:space="preserve">                  </w:t>
      </w:r>
    </w:p>
    <w:p w14:paraId="2E2E310D">
      <w:pPr>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  </w:t>
      </w:r>
      <w:r>
        <w:rPr>
          <w:rFonts w:hint="eastAsia" w:ascii="仿宋" w:hAnsi="仿宋" w:eastAsia="仿宋" w:cs="仿宋"/>
          <w:bCs/>
          <w:color w:val="auto"/>
          <w:sz w:val="24"/>
          <w:highlight w:val="none"/>
        </w:rPr>
        <w:t>年   月   日</w:t>
      </w:r>
    </w:p>
    <w:p w14:paraId="096F27E3">
      <w:pPr>
        <w:snapToGrid w:val="0"/>
        <w:spacing w:line="360" w:lineRule="auto"/>
        <w:ind w:firstLine="482" w:firstLineChars="200"/>
        <w:jc w:val="center"/>
        <w:rPr>
          <w:rFonts w:hint="eastAsia" w:ascii="仿宋" w:hAnsi="仿宋" w:eastAsia="仿宋" w:cs="仿宋"/>
          <w:b/>
          <w:bCs/>
          <w:color w:val="auto"/>
          <w:sz w:val="24"/>
          <w:highlight w:val="none"/>
        </w:rPr>
      </w:pPr>
    </w:p>
    <w:p w14:paraId="5AFAD0DE">
      <w:pPr>
        <w:pStyle w:val="12"/>
        <w:spacing w:line="360" w:lineRule="auto"/>
        <w:rPr>
          <w:rFonts w:hint="eastAsia" w:ascii="仿宋" w:hAnsi="仿宋" w:eastAsia="仿宋" w:cs="仿宋"/>
          <w:b/>
          <w:bCs/>
          <w:color w:val="auto"/>
          <w:sz w:val="24"/>
          <w:highlight w:val="none"/>
        </w:rPr>
      </w:pPr>
    </w:p>
    <w:p w14:paraId="1BEE3A1A">
      <w:pPr>
        <w:spacing w:line="360" w:lineRule="auto"/>
        <w:ind w:firstLine="482" w:firstLineChars="200"/>
        <w:jc w:val="center"/>
        <w:rPr>
          <w:rFonts w:hint="eastAsia" w:ascii="仿宋" w:hAnsi="仿宋" w:eastAsia="仿宋" w:cs="仿宋"/>
          <w:b/>
          <w:bCs/>
          <w:color w:val="auto"/>
          <w:sz w:val="24"/>
          <w:highlight w:val="none"/>
        </w:rPr>
      </w:pPr>
    </w:p>
    <w:p w14:paraId="3951A886">
      <w:pPr>
        <w:spacing w:line="500" w:lineRule="exact"/>
        <w:ind w:firstLine="482" w:firstLineChars="20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授权委托书</w:t>
      </w:r>
    </w:p>
    <w:p w14:paraId="5E1CD1A5">
      <w:pPr>
        <w:pStyle w:val="33"/>
        <w:spacing w:line="500" w:lineRule="exact"/>
        <w:ind w:firstLine="480" w:firstLineChars="200"/>
        <w:rPr>
          <w:rFonts w:hint="eastAsia" w:ascii="仿宋" w:hAnsi="仿宋" w:eastAsia="仿宋" w:cs="仿宋"/>
          <w:color w:val="auto"/>
          <w:sz w:val="24"/>
          <w:szCs w:val="24"/>
          <w:highlight w:val="none"/>
        </w:rPr>
      </w:pPr>
    </w:p>
    <w:p w14:paraId="0CC4122F">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__________________（</w:t>
      </w:r>
      <w:r>
        <w:rPr>
          <w:rFonts w:hint="eastAsia" w:ascii="仿宋" w:hAnsi="仿宋" w:eastAsia="仿宋" w:cs="仿宋"/>
          <w:bCs/>
          <w:color w:val="auto"/>
          <w:sz w:val="24"/>
          <w:highlight w:val="none"/>
        </w:rPr>
        <w:t>采购人</w:t>
      </w:r>
      <w:r>
        <w:rPr>
          <w:rFonts w:hint="eastAsia" w:ascii="仿宋" w:hAnsi="仿宋" w:eastAsia="仿宋" w:cs="仿宋"/>
          <w:color w:val="auto"/>
          <w:sz w:val="24"/>
          <w:highlight w:val="none"/>
        </w:rPr>
        <w:t>）：</w:t>
      </w:r>
    </w:p>
    <w:p w14:paraId="13C8E122">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（法定代表人姓名、职务）授权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（被授权人姓名、职务）为我方 “ </w:t>
      </w:r>
      <w:r>
        <w:rPr>
          <w:rFonts w:hint="eastAsia" w:ascii="仿宋" w:hAnsi="仿宋" w:eastAsia="仿宋" w:cs="仿宋"/>
          <w:color w:val="auto"/>
          <w:sz w:val="24"/>
          <w:highlight w:val="none"/>
          <w:u w:val="single"/>
        </w:rPr>
        <w:t xml:space="preserve">             </w:t>
      </w:r>
      <w:r>
        <w:rPr>
          <w:rFonts w:hint="eastAsia" w:ascii="仿宋" w:hAnsi="仿宋" w:eastAsia="仿宋" w:cs="仿宋"/>
          <w:bCs/>
          <w:color w:val="auto"/>
          <w:sz w:val="24"/>
          <w:highlight w:val="none"/>
        </w:rPr>
        <w:t>（项目名称、项目编号）</w:t>
      </w:r>
      <w:r>
        <w:rPr>
          <w:rFonts w:hint="eastAsia" w:ascii="仿宋" w:hAnsi="仿宋" w:eastAsia="仿宋" w:cs="仿宋"/>
          <w:color w:val="auto"/>
          <w:sz w:val="24"/>
          <w:highlight w:val="none"/>
        </w:rPr>
        <w:t>” 项目投标活动的合法代表，以我方名义全权处理该项目有关投标、签订合同以及执行合同等一切事宜。</w:t>
      </w:r>
    </w:p>
    <w:p w14:paraId="0ADF7C45">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被授权人</w:t>
      </w:r>
      <w:r>
        <w:rPr>
          <w:rFonts w:hint="eastAsia" w:ascii="仿宋" w:hAnsi="仿宋" w:eastAsia="仿宋" w:cs="仿宋"/>
          <w:color w:val="auto"/>
          <w:sz w:val="24"/>
          <w:highlight w:val="none"/>
        </w:rPr>
        <w:t>无权转让本授权，特此声明。</w:t>
      </w:r>
    </w:p>
    <w:p w14:paraId="30C12702">
      <w:pPr>
        <w:spacing w:line="5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附：法定代表人及被授权人身份证正反面扫描件</w:t>
      </w:r>
    </w:p>
    <w:p w14:paraId="51B4E3CE">
      <w:pPr>
        <w:pStyle w:val="33"/>
        <w:spacing w:line="500" w:lineRule="exact"/>
        <w:ind w:firstLine="480" w:firstLineChars="200"/>
        <w:rPr>
          <w:rFonts w:hint="eastAsia" w:ascii="仿宋" w:hAnsi="仿宋" w:eastAsia="仿宋" w:cs="仿宋"/>
          <w:color w:val="auto"/>
          <w:sz w:val="24"/>
          <w:szCs w:val="24"/>
          <w:highlight w:val="none"/>
        </w:rPr>
      </w:pPr>
    </w:p>
    <w:p w14:paraId="7A63A7E6">
      <w:pPr>
        <w:spacing w:line="500" w:lineRule="exact"/>
        <w:ind w:firstLine="480" w:firstLineChars="200"/>
        <w:rPr>
          <w:rFonts w:hint="eastAsia" w:ascii="仿宋" w:hAnsi="仿宋" w:eastAsia="仿宋" w:cs="仿宋"/>
          <w:color w:val="auto"/>
          <w:sz w:val="24"/>
          <w:highlight w:val="none"/>
        </w:rPr>
      </w:pPr>
    </w:p>
    <w:p w14:paraId="03941DF0">
      <w:pPr>
        <w:spacing w:line="500" w:lineRule="exact"/>
        <w:ind w:firstLine="480" w:firstLineChars="200"/>
        <w:jc w:val="center"/>
        <w:rPr>
          <w:rFonts w:hint="eastAsia" w:ascii="仿宋" w:hAnsi="仿宋" w:eastAsia="仿宋" w:cs="仿宋"/>
          <w:sz w:val="24"/>
        </w:rPr>
      </w:pPr>
      <w:r>
        <w:rPr>
          <w:rFonts w:hint="eastAsia" w:ascii="仿宋" w:hAnsi="仿宋" w:eastAsia="仿宋" w:cs="仿宋"/>
          <w:color w:val="auto"/>
          <w:sz w:val="24"/>
          <w:highlight w:val="none"/>
        </w:rPr>
        <w:t xml:space="preserve">               </w:t>
      </w:r>
      <w:r>
        <w:rPr>
          <w:rFonts w:hint="eastAsia" w:ascii="仿宋" w:hAnsi="仿宋" w:eastAsia="仿宋" w:cs="仿宋"/>
          <w:sz w:val="24"/>
        </w:rPr>
        <w:t>投标人名称（盖章）：</w:t>
      </w:r>
    </w:p>
    <w:p w14:paraId="66715AE2">
      <w:pPr>
        <w:spacing w:line="5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sz w:val="24"/>
          <w:lang w:val="en-US" w:eastAsia="zh-CN"/>
        </w:rPr>
        <w:t xml:space="preserve">              </w:t>
      </w:r>
      <w:r>
        <w:rPr>
          <w:rFonts w:hint="eastAsia" w:ascii="仿宋" w:hAnsi="仿宋" w:eastAsia="仿宋" w:cs="仿宋"/>
          <w:sz w:val="24"/>
        </w:rPr>
        <w:t>法定代表人或被授权人（签字或盖章）</w:t>
      </w:r>
      <w:r>
        <w:rPr>
          <w:rFonts w:hint="eastAsia" w:ascii="仿宋" w:hAnsi="仿宋" w:eastAsia="仿宋" w:cs="仿宋"/>
          <w:color w:val="auto"/>
          <w:sz w:val="24"/>
          <w:highlight w:val="none"/>
        </w:rPr>
        <w:t xml:space="preserve">：   </w:t>
      </w:r>
    </w:p>
    <w:p w14:paraId="62FC9CD3">
      <w:pPr>
        <w:spacing w:line="5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  年   月   日</w:t>
      </w:r>
      <w:r>
        <w:rPr>
          <w:rFonts w:hint="eastAsia" w:ascii="仿宋" w:hAnsi="仿宋" w:eastAsia="仿宋" w:cs="仿宋"/>
          <w:b/>
          <w:bCs/>
          <w:color w:val="auto"/>
          <w:sz w:val="24"/>
          <w:highlight w:val="none"/>
        </w:rPr>
        <w:br w:type="page"/>
      </w:r>
    </w:p>
    <w:p w14:paraId="15A2A626">
      <w:pPr>
        <w:spacing w:line="360" w:lineRule="auto"/>
        <w:ind w:firstLine="482" w:firstLineChars="200"/>
        <w:jc w:val="center"/>
        <w:outlineLvl w:val="1"/>
        <w:rPr>
          <w:rFonts w:hint="eastAsia" w:ascii="仿宋" w:hAnsi="仿宋" w:eastAsia="仿宋" w:cs="仿宋"/>
          <w:color w:val="auto"/>
          <w:sz w:val="24"/>
          <w:highlight w:val="none"/>
        </w:rPr>
      </w:pPr>
      <w:bookmarkStart w:id="155" w:name="_Toc18644"/>
      <w:bookmarkStart w:id="156" w:name="_Toc217446088"/>
      <w:r>
        <w:rPr>
          <w:rFonts w:hint="eastAsia" w:ascii="仿宋" w:hAnsi="仿宋" w:eastAsia="仿宋" w:cs="仿宋"/>
          <w:b/>
          <w:bCs/>
          <w:color w:val="auto"/>
          <w:sz w:val="24"/>
          <w:highlight w:val="none"/>
        </w:rPr>
        <w:t>三、投标报价明细表</w:t>
      </w:r>
      <w:bookmarkEnd w:id="155"/>
    </w:p>
    <w:p w14:paraId="3D23FD37">
      <w:pPr>
        <w:snapToGrid w:val="0"/>
        <w:spacing w:line="360" w:lineRule="auto"/>
        <w:ind w:firstLine="357"/>
        <w:rPr>
          <w:rStyle w:val="44"/>
          <w:rFonts w:hint="eastAsia" w:ascii="仿宋" w:hAnsi="仿宋" w:eastAsia="仿宋" w:cs="仿宋"/>
          <w:bCs/>
          <w:color w:val="auto"/>
          <w:sz w:val="24"/>
          <w:highlight w:val="none"/>
        </w:rPr>
      </w:pPr>
      <w:r>
        <w:rPr>
          <w:rFonts w:hint="eastAsia" w:ascii="仿宋" w:hAnsi="仿宋" w:eastAsia="仿宋" w:cs="仿宋"/>
          <w:color w:val="auto"/>
          <w:sz w:val="24"/>
          <w:highlight w:val="none"/>
        </w:rPr>
        <w:t>项目名称：</w:t>
      </w:r>
    </w:p>
    <w:p w14:paraId="5AAA1E74">
      <w:pPr>
        <w:snapToGrid w:val="0"/>
        <w:spacing w:line="360" w:lineRule="auto"/>
        <w:ind w:firstLine="357"/>
        <w:rPr>
          <w:rFonts w:hint="eastAsia" w:ascii="仿宋" w:hAnsi="仿宋" w:eastAsia="仿宋" w:cs="仿宋"/>
          <w:color w:val="auto"/>
          <w:sz w:val="24"/>
          <w:highlight w:val="none"/>
        </w:rPr>
      </w:pPr>
      <w:r>
        <w:rPr>
          <w:rFonts w:hint="eastAsia" w:ascii="仿宋" w:hAnsi="仿宋" w:eastAsia="仿宋" w:cs="仿宋"/>
          <w:color w:val="auto"/>
          <w:sz w:val="24"/>
          <w:highlight w:val="none"/>
        </w:rPr>
        <w:t>货币单位：人民币元</w:t>
      </w:r>
    </w:p>
    <w:tbl>
      <w:tblPr>
        <w:tblStyle w:val="34"/>
        <w:tblW w:w="4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878"/>
        <w:gridCol w:w="723"/>
        <w:gridCol w:w="726"/>
        <w:gridCol w:w="985"/>
        <w:gridCol w:w="806"/>
        <w:gridCol w:w="1188"/>
        <w:gridCol w:w="1380"/>
        <w:gridCol w:w="1012"/>
      </w:tblGrid>
      <w:tr w14:paraId="4EF7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Align w:val="center"/>
          </w:tcPr>
          <w:p w14:paraId="7568F353">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14" w:type="pct"/>
            <w:vAlign w:val="center"/>
          </w:tcPr>
          <w:p w14:paraId="72AA5B6C">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424" w:type="pct"/>
            <w:vAlign w:val="center"/>
          </w:tcPr>
          <w:p w14:paraId="0FC55826">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426" w:type="pct"/>
            <w:vAlign w:val="center"/>
          </w:tcPr>
          <w:p w14:paraId="795A3A79">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tc>
        <w:tc>
          <w:tcPr>
            <w:tcW w:w="578" w:type="pct"/>
            <w:vAlign w:val="center"/>
          </w:tcPr>
          <w:p w14:paraId="3B40AE18">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73" w:type="pct"/>
            <w:vAlign w:val="center"/>
          </w:tcPr>
          <w:p w14:paraId="69876408">
            <w:pPr>
              <w:snapToGrid w:val="0"/>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697" w:type="pct"/>
            <w:vAlign w:val="center"/>
          </w:tcPr>
          <w:p w14:paraId="0F375F4A">
            <w:pPr>
              <w:snapToGrid w:val="0"/>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单价（元）</w:t>
            </w:r>
          </w:p>
        </w:tc>
        <w:tc>
          <w:tcPr>
            <w:tcW w:w="809" w:type="pct"/>
            <w:vAlign w:val="center"/>
          </w:tcPr>
          <w:p w14:paraId="5D84C36B">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总价（元）</w:t>
            </w:r>
          </w:p>
        </w:tc>
        <w:tc>
          <w:tcPr>
            <w:tcW w:w="591" w:type="pct"/>
            <w:vAlign w:val="center"/>
          </w:tcPr>
          <w:p w14:paraId="5B6E4A77">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r>
      <w:tr w14:paraId="06FF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Align w:val="center"/>
          </w:tcPr>
          <w:p w14:paraId="2F92DAC9">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14" w:type="pct"/>
            <w:vAlign w:val="center"/>
          </w:tcPr>
          <w:p w14:paraId="66FAB47A">
            <w:pPr>
              <w:widowControl/>
              <w:snapToGrid w:val="0"/>
              <w:jc w:val="center"/>
              <w:textAlignment w:val="center"/>
              <w:rPr>
                <w:rFonts w:hint="eastAsia" w:ascii="仿宋" w:hAnsi="仿宋" w:eastAsia="仿宋" w:cs="仿宋"/>
                <w:color w:val="auto"/>
                <w:sz w:val="24"/>
                <w:szCs w:val="24"/>
                <w:highlight w:val="none"/>
              </w:rPr>
            </w:pPr>
          </w:p>
        </w:tc>
        <w:tc>
          <w:tcPr>
            <w:tcW w:w="424" w:type="pct"/>
            <w:vAlign w:val="center"/>
          </w:tcPr>
          <w:p w14:paraId="0E3A96B6">
            <w:pPr>
              <w:snapToGrid w:val="0"/>
              <w:spacing w:line="500" w:lineRule="exact"/>
              <w:jc w:val="center"/>
              <w:rPr>
                <w:rFonts w:hint="eastAsia" w:ascii="仿宋" w:hAnsi="仿宋" w:eastAsia="仿宋" w:cs="仿宋"/>
                <w:color w:val="auto"/>
                <w:sz w:val="24"/>
                <w:szCs w:val="24"/>
                <w:highlight w:val="none"/>
              </w:rPr>
            </w:pPr>
          </w:p>
        </w:tc>
        <w:tc>
          <w:tcPr>
            <w:tcW w:w="426" w:type="pct"/>
            <w:vAlign w:val="center"/>
          </w:tcPr>
          <w:p w14:paraId="62F76559">
            <w:pPr>
              <w:snapToGrid w:val="0"/>
              <w:spacing w:line="500" w:lineRule="exact"/>
              <w:jc w:val="center"/>
              <w:rPr>
                <w:rFonts w:hint="eastAsia" w:ascii="仿宋" w:hAnsi="仿宋" w:eastAsia="仿宋" w:cs="仿宋"/>
                <w:color w:val="auto"/>
                <w:sz w:val="24"/>
                <w:szCs w:val="24"/>
                <w:highlight w:val="none"/>
              </w:rPr>
            </w:pPr>
          </w:p>
        </w:tc>
        <w:tc>
          <w:tcPr>
            <w:tcW w:w="578" w:type="pct"/>
            <w:vAlign w:val="center"/>
          </w:tcPr>
          <w:p w14:paraId="3CC776A3">
            <w:pPr>
              <w:snapToGrid w:val="0"/>
              <w:spacing w:line="500" w:lineRule="exact"/>
              <w:jc w:val="center"/>
              <w:rPr>
                <w:rFonts w:hint="eastAsia" w:ascii="仿宋" w:hAnsi="仿宋" w:eastAsia="仿宋" w:cs="仿宋"/>
                <w:color w:val="auto"/>
                <w:sz w:val="24"/>
                <w:szCs w:val="24"/>
                <w:highlight w:val="none"/>
              </w:rPr>
            </w:pPr>
          </w:p>
        </w:tc>
        <w:tc>
          <w:tcPr>
            <w:tcW w:w="473" w:type="pct"/>
            <w:vAlign w:val="center"/>
          </w:tcPr>
          <w:p w14:paraId="1A99B6F0">
            <w:pPr>
              <w:snapToGrid w:val="0"/>
              <w:spacing w:line="500" w:lineRule="exact"/>
              <w:jc w:val="center"/>
              <w:rPr>
                <w:rFonts w:hint="eastAsia" w:ascii="仿宋" w:hAnsi="仿宋" w:eastAsia="仿宋" w:cs="仿宋"/>
                <w:color w:val="auto"/>
                <w:sz w:val="24"/>
                <w:szCs w:val="24"/>
                <w:highlight w:val="none"/>
              </w:rPr>
            </w:pPr>
          </w:p>
        </w:tc>
        <w:tc>
          <w:tcPr>
            <w:tcW w:w="697" w:type="pct"/>
            <w:vAlign w:val="center"/>
          </w:tcPr>
          <w:p w14:paraId="06773F86">
            <w:pPr>
              <w:snapToGrid w:val="0"/>
              <w:spacing w:line="500" w:lineRule="exact"/>
              <w:jc w:val="center"/>
              <w:rPr>
                <w:rFonts w:hint="eastAsia" w:ascii="仿宋" w:hAnsi="仿宋" w:eastAsia="仿宋" w:cs="仿宋"/>
                <w:color w:val="auto"/>
                <w:sz w:val="24"/>
                <w:szCs w:val="24"/>
                <w:highlight w:val="none"/>
              </w:rPr>
            </w:pPr>
          </w:p>
        </w:tc>
        <w:tc>
          <w:tcPr>
            <w:tcW w:w="809" w:type="pct"/>
            <w:vAlign w:val="center"/>
          </w:tcPr>
          <w:p w14:paraId="06BB8311">
            <w:pPr>
              <w:snapToGrid w:val="0"/>
              <w:spacing w:line="500" w:lineRule="exact"/>
              <w:jc w:val="center"/>
              <w:rPr>
                <w:rFonts w:hint="eastAsia" w:ascii="仿宋" w:hAnsi="仿宋" w:eastAsia="仿宋" w:cs="仿宋"/>
                <w:color w:val="auto"/>
                <w:sz w:val="24"/>
                <w:szCs w:val="24"/>
                <w:highlight w:val="none"/>
              </w:rPr>
            </w:pPr>
          </w:p>
        </w:tc>
        <w:tc>
          <w:tcPr>
            <w:tcW w:w="591" w:type="pct"/>
            <w:vAlign w:val="center"/>
          </w:tcPr>
          <w:p w14:paraId="66CD8973">
            <w:pPr>
              <w:snapToGrid w:val="0"/>
              <w:spacing w:line="500" w:lineRule="exact"/>
              <w:jc w:val="center"/>
              <w:rPr>
                <w:rFonts w:hint="eastAsia" w:ascii="仿宋" w:hAnsi="仿宋" w:eastAsia="仿宋" w:cs="仿宋"/>
                <w:color w:val="auto"/>
                <w:sz w:val="24"/>
                <w:szCs w:val="24"/>
                <w:highlight w:val="none"/>
              </w:rPr>
            </w:pPr>
          </w:p>
        </w:tc>
      </w:tr>
      <w:tr w14:paraId="12EB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Align w:val="center"/>
          </w:tcPr>
          <w:p w14:paraId="547746D0">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14" w:type="pct"/>
            <w:vAlign w:val="center"/>
          </w:tcPr>
          <w:p w14:paraId="4EDDF4A2">
            <w:pPr>
              <w:widowControl/>
              <w:snapToGrid w:val="0"/>
              <w:jc w:val="center"/>
              <w:textAlignment w:val="center"/>
              <w:rPr>
                <w:rFonts w:hint="eastAsia" w:ascii="仿宋" w:hAnsi="仿宋" w:eastAsia="仿宋" w:cs="仿宋"/>
                <w:color w:val="auto"/>
                <w:sz w:val="24"/>
                <w:szCs w:val="24"/>
                <w:highlight w:val="none"/>
              </w:rPr>
            </w:pPr>
          </w:p>
        </w:tc>
        <w:tc>
          <w:tcPr>
            <w:tcW w:w="424" w:type="pct"/>
            <w:vAlign w:val="center"/>
          </w:tcPr>
          <w:p w14:paraId="3ED19E84">
            <w:pPr>
              <w:snapToGrid w:val="0"/>
              <w:spacing w:line="500" w:lineRule="exact"/>
              <w:jc w:val="center"/>
              <w:rPr>
                <w:rFonts w:hint="eastAsia" w:ascii="仿宋" w:hAnsi="仿宋" w:eastAsia="仿宋" w:cs="仿宋"/>
                <w:color w:val="auto"/>
                <w:sz w:val="24"/>
                <w:szCs w:val="24"/>
                <w:highlight w:val="none"/>
              </w:rPr>
            </w:pPr>
          </w:p>
        </w:tc>
        <w:tc>
          <w:tcPr>
            <w:tcW w:w="426" w:type="pct"/>
            <w:vAlign w:val="center"/>
          </w:tcPr>
          <w:p w14:paraId="01B0B4D4">
            <w:pPr>
              <w:snapToGrid w:val="0"/>
              <w:spacing w:line="500" w:lineRule="exact"/>
              <w:jc w:val="center"/>
              <w:rPr>
                <w:rFonts w:hint="eastAsia" w:ascii="仿宋" w:hAnsi="仿宋" w:eastAsia="仿宋" w:cs="仿宋"/>
                <w:color w:val="auto"/>
                <w:sz w:val="24"/>
                <w:szCs w:val="24"/>
                <w:highlight w:val="none"/>
              </w:rPr>
            </w:pPr>
          </w:p>
        </w:tc>
        <w:tc>
          <w:tcPr>
            <w:tcW w:w="578" w:type="pct"/>
            <w:vAlign w:val="center"/>
          </w:tcPr>
          <w:p w14:paraId="4363A059">
            <w:pPr>
              <w:snapToGrid w:val="0"/>
              <w:spacing w:line="500" w:lineRule="exact"/>
              <w:jc w:val="center"/>
              <w:rPr>
                <w:rFonts w:hint="eastAsia" w:ascii="仿宋" w:hAnsi="仿宋" w:eastAsia="仿宋" w:cs="仿宋"/>
                <w:color w:val="auto"/>
                <w:sz w:val="24"/>
                <w:szCs w:val="24"/>
                <w:highlight w:val="none"/>
              </w:rPr>
            </w:pPr>
          </w:p>
        </w:tc>
        <w:tc>
          <w:tcPr>
            <w:tcW w:w="473" w:type="pct"/>
            <w:vAlign w:val="center"/>
          </w:tcPr>
          <w:p w14:paraId="3026FDBD">
            <w:pPr>
              <w:snapToGrid w:val="0"/>
              <w:spacing w:line="500" w:lineRule="exact"/>
              <w:jc w:val="center"/>
              <w:rPr>
                <w:rFonts w:hint="eastAsia" w:ascii="仿宋" w:hAnsi="仿宋" w:eastAsia="仿宋" w:cs="仿宋"/>
                <w:color w:val="auto"/>
                <w:sz w:val="24"/>
                <w:szCs w:val="24"/>
                <w:highlight w:val="none"/>
              </w:rPr>
            </w:pPr>
          </w:p>
        </w:tc>
        <w:tc>
          <w:tcPr>
            <w:tcW w:w="697" w:type="pct"/>
            <w:vAlign w:val="center"/>
          </w:tcPr>
          <w:p w14:paraId="164AF937">
            <w:pPr>
              <w:snapToGrid w:val="0"/>
              <w:spacing w:line="500" w:lineRule="exact"/>
              <w:jc w:val="center"/>
              <w:rPr>
                <w:rFonts w:hint="eastAsia" w:ascii="仿宋" w:hAnsi="仿宋" w:eastAsia="仿宋" w:cs="仿宋"/>
                <w:color w:val="auto"/>
                <w:sz w:val="24"/>
                <w:szCs w:val="24"/>
                <w:highlight w:val="none"/>
              </w:rPr>
            </w:pPr>
          </w:p>
        </w:tc>
        <w:tc>
          <w:tcPr>
            <w:tcW w:w="809" w:type="pct"/>
            <w:vAlign w:val="center"/>
          </w:tcPr>
          <w:p w14:paraId="6D283D3F">
            <w:pPr>
              <w:snapToGrid w:val="0"/>
              <w:spacing w:line="500" w:lineRule="exact"/>
              <w:jc w:val="center"/>
              <w:rPr>
                <w:rFonts w:hint="eastAsia" w:ascii="仿宋" w:hAnsi="仿宋" w:eastAsia="仿宋" w:cs="仿宋"/>
                <w:color w:val="auto"/>
                <w:sz w:val="24"/>
                <w:szCs w:val="24"/>
                <w:highlight w:val="none"/>
              </w:rPr>
            </w:pPr>
          </w:p>
        </w:tc>
        <w:tc>
          <w:tcPr>
            <w:tcW w:w="591" w:type="pct"/>
            <w:vAlign w:val="center"/>
          </w:tcPr>
          <w:p w14:paraId="78477CFA">
            <w:pPr>
              <w:snapToGrid w:val="0"/>
              <w:spacing w:line="500" w:lineRule="exact"/>
              <w:jc w:val="center"/>
              <w:rPr>
                <w:rFonts w:hint="eastAsia" w:ascii="仿宋" w:hAnsi="仿宋" w:eastAsia="仿宋" w:cs="仿宋"/>
                <w:color w:val="auto"/>
                <w:sz w:val="24"/>
                <w:szCs w:val="24"/>
                <w:highlight w:val="none"/>
              </w:rPr>
            </w:pPr>
          </w:p>
        </w:tc>
      </w:tr>
      <w:tr w14:paraId="1858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Align w:val="center"/>
          </w:tcPr>
          <w:p w14:paraId="652E23A1">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14" w:type="pct"/>
            <w:vAlign w:val="center"/>
          </w:tcPr>
          <w:p w14:paraId="150FACB8">
            <w:pPr>
              <w:widowControl/>
              <w:snapToGrid w:val="0"/>
              <w:jc w:val="center"/>
              <w:textAlignment w:val="center"/>
              <w:rPr>
                <w:rFonts w:hint="eastAsia" w:ascii="仿宋" w:hAnsi="仿宋" w:eastAsia="仿宋" w:cs="仿宋"/>
                <w:color w:val="auto"/>
                <w:sz w:val="24"/>
                <w:szCs w:val="24"/>
                <w:highlight w:val="none"/>
              </w:rPr>
            </w:pPr>
          </w:p>
        </w:tc>
        <w:tc>
          <w:tcPr>
            <w:tcW w:w="424" w:type="pct"/>
            <w:vAlign w:val="center"/>
          </w:tcPr>
          <w:p w14:paraId="53547802">
            <w:pPr>
              <w:snapToGrid w:val="0"/>
              <w:spacing w:line="500" w:lineRule="exact"/>
              <w:jc w:val="center"/>
              <w:rPr>
                <w:rFonts w:hint="eastAsia" w:ascii="仿宋" w:hAnsi="仿宋" w:eastAsia="仿宋" w:cs="仿宋"/>
                <w:color w:val="auto"/>
                <w:sz w:val="24"/>
                <w:szCs w:val="24"/>
                <w:highlight w:val="none"/>
              </w:rPr>
            </w:pPr>
          </w:p>
        </w:tc>
        <w:tc>
          <w:tcPr>
            <w:tcW w:w="426" w:type="pct"/>
            <w:vAlign w:val="center"/>
          </w:tcPr>
          <w:p w14:paraId="5B813090">
            <w:pPr>
              <w:snapToGrid w:val="0"/>
              <w:spacing w:line="500" w:lineRule="exact"/>
              <w:jc w:val="center"/>
              <w:rPr>
                <w:rFonts w:hint="eastAsia" w:ascii="仿宋" w:hAnsi="仿宋" w:eastAsia="仿宋" w:cs="仿宋"/>
                <w:color w:val="auto"/>
                <w:sz w:val="24"/>
                <w:szCs w:val="24"/>
                <w:highlight w:val="none"/>
              </w:rPr>
            </w:pPr>
          </w:p>
        </w:tc>
        <w:tc>
          <w:tcPr>
            <w:tcW w:w="578" w:type="pct"/>
            <w:vAlign w:val="center"/>
          </w:tcPr>
          <w:p w14:paraId="0D2616D1">
            <w:pPr>
              <w:snapToGrid w:val="0"/>
              <w:spacing w:line="500" w:lineRule="exact"/>
              <w:jc w:val="center"/>
              <w:rPr>
                <w:rFonts w:hint="eastAsia" w:ascii="仿宋" w:hAnsi="仿宋" w:eastAsia="仿宋" w:cs="仿宋"/>
                <w:color w:val="auto"/>
                <w:sz w:val="24"/>
                <w:szCs w:val="24"/>
                <w:highlight w:val="none"/>
              </w:rPr>
            </w:pPr>
          </w:p>
        </w:tc>
        <w:tc>
          <w:tcPr>
            <w:tcW w:w="473" w:type="pct"/>
            <w:vAlign w:val="center"/>
          </w:tcPr>
          <w:p w14:paraId="76E793E3">
            <w:pPr>
              <w:snapToGrid w:val="0"/>
              <w:spacing w:line="500" w:lineRule="exact"/>
              <w:jc w:val="center"/>
              <w:rPr>
                <w:rFonts w:hint="eastAsia" w:ascii="仿宋" w:hAnsi="仿宋" w:eastAsia="仿宋" w:cs="仿宋"/>
                <w:color w:val="auto"/>
                <w:sz w:val="24"/>
                <w:szCs w:val="24"/>
                <w:highlight w:val="none"/>
              </w:rPr>
            </w:pPr>
          </w:p>
        </w:tc>
        <w:tc>
          <w:tcPr>
            <w:tcW w:w="697" w:type="pct"/>
            <w:vAlign w:val="center"/>
          </w:tcPr>
          <w:p w14:paraId="4D7D0132">
            <w:pPr>
              <w:snapToGrid w:val="0"/>
              <w:spacing w:line="500" w:lineRule="exact"/>
              <w:jc w:val="center"/>
              <w:rPr>
                <w:rFonts w:hint="eastAsia" w:ascii="仿宋" w:hAnsi="仿宋" w:eastAsia="仿宋" w:cs="仿宋"/>
                <w:color w:val="auto"/>
                <w:sz w:val="24"/>
                <w:szCs w:val="24"/>
                <w:highlight w:val="none"/>
              </w:rPr>
            </w:pPr>
          </w:p>
        </w:tc>
        <w:tc>
          <w:tcPr>
            <w:tcW w:w="809" w:type="pct"/>
            <w:vAlign w:val="center"/>
          </w:tcPr>
          <w:p w14:paraId="65B4694F">
            <w:pPr>
              <w:snapToGrid w:val="0"/>
              <w:spacing w:line="500" w:lineRule="exact"/>
              <w:jc w:val="center"/>
              <w:rPr>
                <w:rFonts w:hint="eastAsia" w:ascii="仿宋" w:hAnsi="仿宋" w:eastAsia="仿宋" w:cs="仿宋"/>
                <w:color w:val="auto"/>
                <w:sz w:val="24"/>
                <w:szCs w:val="24"/>
                <w:highlight w:val="none"/>
              </w:rPr>
            </w:pPr>
          </w:p>
        </w:tc>
        <w:tc>
          <w:tcPr>
            <w:tcW w:w="591" w:type="pct"/>
            <w:vAlign w:val="center"/>
          </w:tcPr>
          <w:p w14:paraId="161FCDB9">
            <w:pPr>
              <w:snapToGrid w:val="0"/>
              <w:spacing w:line="500" w:lineRule="exact"/>
              <w:jc w:val="center"/>
              <w:rPr>
                <w:rFonts w:hint="eastAsia" w:ascii="仿宋" w:hAnsi="仿宋" w:eastAsia="仿宋" w:cs="仿宋"/>
                <w:color w:val="auto"/>
                <w:sz w:val="24"/>
                <w:szCs w:val="24"/>
                <w:highlight w:val="none"/>
              </w:rPr>
            </w:pPr>
          </w:p>
        </w:tc>
      </w:tr>
      <w:tr w14:paraId="2A03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Align w:val="center"/>
          </w:tcPr>
          <w:p w14:paraId="594C0C5F">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14" w:type="pct"/>
            <w:vAlign w:val="center"/>
          </w:tcPr>
          <w:p w14:paraId="34D2B92C">
            <w:pPr>
              <w:widowControl/>
              <w:snapToGrid w:val="0"/>
              <w:jc w:val="center"/>
              <w:textAlignment w:val="center"/>
              <w:rPr>
                <w:rFonts w:hint="eastAsia" w:ascii="仿宋" w:hAnsi="仿宋" w:eastAsia="仿宋" w:cs="仿宋"/>
                <w:color w:val="auto"/>
                <w:sz w:val="24"/>
                <w:szCs w:val="24"/>
                <w:highlight w:val="none"/>
              </w:rPr>
            </w:pPr>
          </w:p>
        </w:tc>
        <w:tc>
          <w:tcPr>
            <w:tcW w:w="424" w:type="pct"/>
            <w:vAlign w:val="center"/>
          </w:tcPr>
          <w:p w14:paraId="6BB4FA81">
            <w:pPr>
              <w:snapToGrid w:val="0"/>
              <w:spacing w:line="500" w:lineRule="exact"/>
              <w:jc w:val="center"/>
              <w:rPr>
                <w:rFonts w:hint="eastAsia" w:ascii="仿宋" w:hAnsi="仿宋" w:eastAsia="仿宋" w:cs="仿宋"/>
                <w:color w:val="auto"/>
                <w:sz w:val="24"/>
                <w:szCs w:val="24"/>
                <w:highlight w:val="none"/>
              </w:rPr>
            </w:pPr>
          </w:p>
        </w:tc>
        <w:tc>
          <w:tcPr>
            <w:tcW w:w="426" w:type="pct"/>
            <w:vAlign w:val="center"/>
          </w:tcPr>
          <w:p w14:paraId="76DA4201">
            <w:pPr>
              <w:snapToGrid w:val="0"/>
              <w:spacing w:line="500" w:lineRule="exact"/>
              <w:jc w:val="center"/>
              <w:rPr>
                <w:rFonts w:hint="eastAsia" w:ascii="仿宋" w:hAnsi="仿宋" w:eastAsia="仿宋" w:cs="仿宋"/>
                <w:color w:val="auto"/>
                <w:sz w:val="24"/>
                <w:szCs w:val="24"/>
                <w:highlight w:val="none"/>
              </w:rPr>
            </w:pPr>
          </w:p>
        </w:tc>
        <w:tc>
          <w:tcPr>
            <w:tcW w:w="578" w:type="pct"/>
            <w:vAlign w:val="center"/>
          </w:tcPr>
          <w:p w14:paraId="52921FD8">
            <w:pPr>
              <w:snapToGrid w:val="0"/>
              <w:spacing w:line="500" w:lineRule="exact"/>
              <w:jc w:val="center"/>
              <w:rPr>
                <w:rFonts w:hint="eastAsia" w:ascii="仿宋" w:hAnsi="仿宋" w:eastAsia="仿宋" w:cs="仿宋"/>
                <w:color w:val="auto"/>
                <w:sz w:val="24"/>
                <w:szCs w:val="24"/>
                <w:highlight w:val="none"/>
              </w:rPr>
            </w:pPr>
          </w:p>
        </w:tc>
        <w:tc>
          <w:tcPr>
            <w:tcW w:w="473" w:type="pct"/>
            <w:vAlign w:val="center"/>
          </w:tcPr>
          <w:p w14:paraId="085F45AF">
            <w:pPr>
              <w:snapToGrid w:val="0"/>
              <w:spacing w:line="500" w:lineRule="exact"/>
              <w:jc w:val="center"/>
              <w:rPr>
                <w:rFonts w:hint="eastAsia" w:ascii="仿宋" w:hAnsi="仿宋" w:eastAsia="仿宋" w:cs="仿宋"/>
                <w:color w:val="auto"/>
                <w:sz w:val="24"/>
                <w:szCs w:val="24"/>
                <w:highlight w:val="none"/>
              </w:rPr>
            </w:pPr>
          </w:p>
        </w:tc>
        <w:tc>
          <w:tcPr>
            <w:tcW w:w="697" w:type="pct"/>
            <w:vAlign w:val="center"/>
          </w:tcPr>
          <w:p w14:paraId="5D674355">
            <w:pPr>
              <w:snapToGrid w:val="0"/>
              <w:spacing w:line="500" w:lineRule="exact"/>
              <w:jc w:val="center"/>
              <w:rPr>
                <w:rFonts w:hint="eastAsia" w:ascii="仿宋" w:hAnsi="仿宋" w:eastAsia="仿宋" w:cs="仿宋"/>
                <w:color w:val="auto"/>
                <w:sz w:val="24"/>
                <w:szCs w:val="24"/>
                <w:highlight w:val="none"/>
              </w:rPr>
            </w:pPr>
          </w:p>
        </w:tc>
        <w:tc>
          <w:tcPr>
            <w:tcW w:w="809" w:type="pct"/>
            <w:vAlign w:val="center"/>
          </w:tcPr>
          <w:p w14:paraId="2086487E">
            <w:pPr>
              <w:snapToGrid w:val="0"/>
              <w:spacing w:line="500" w:lineRule="exact"/>
              <w:jc w:val="center"/>
              <w:rPr>
                <w:rFonts w:hint="eastAsia" w:ascii="仿宋" w:hAnsi="仿宋" w:eastAsia="仿宋" w:cs="仿宋"/>
                <w:color w:val="auto"/>
                <w:sz w:val="24"/>
                <w:szCs w:val="24"/>
                <w:highlight w:val="none"/>
              </w:rPr>
            </w:pPr>
          </w:p>
        </w:tc>
        <w:tc>
          <w:tcPr>
            <w:tcW w:w="591" w:type="pct"/>
            <w:vAlign w:val="center"/>
          </w:tcPr>
          <w:p w14:paraId="60205061">
            <w:pPr>
              <w:snapToGrid w:val="0"/>
              <w:spacing w:line="500" w:lineRule="exact"/>
              <w:jc w:val="center"/>
              <w:rPr>
                <w:rFonts w:hint="eastAsia" w:ascii="仿宋" w:hAnsi="仿宋" w:eastAsia="仿宋" w:cs="仿宋"/>
                <w:color w:val="auto"/>
                <w:sz w:val="24"/>
                <w:szCs w:val="24"/>
                <w:highlight w:val="none"/>
              </w:rPr>
            </w:pPr>
          </w:p>
        </w:tc>
      </w:tr>
      <w:tr w14:paraId="093C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Align w:val="center"/>
          </w:tcPr>
          <w:p w14:paraId="539FC437">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14" w:type="pct"/>
            <w:vAlign w:val="center"/>
          </w:tcPr>
          <w:p w14:paraId="220F0E12">
            <w:pPr>
              <w:widowControl/>
              <w:snapToGrid w:val="0"/>
              <w:jc w:val="center"/>
              <w:textAlignment w:val="center"/>
              <w:rPr>
                <w:rFonts w:hint="eastAsia" w:ascii="仿宋" w:hAnsi="仿宋" w:eastAsia="仿宋" w:cs="仿宋"/>
                <w:color w:val="auto"/>
                <w:sz w:val="24"/>
                <w:szCs w:val="24"/>
                <w:highlight w:val="none"/>
              </w:rPr>
            </w:pPr>
          </w:p>
        </w:tc>
        <w:tc>
          <w:tcPr>
            <w:tcW w:w="424" w:type="pct"/>
            <w:vAlign w:val="center"/>
          </w:tcPr>
          <w:p w14:paraId="51FB15B5">
            <w:pPr>
              <w:snapToGrid w:val="0"/>
              <w:spacing w:line="500" w:lineRule="exact"/>
              <w:jc w:val="center"/>
              <w:rPr>
                <w:rFonts w:hint="eastAsia" w:ascii="仿宋" w:hAnsi="仿宋" w:eastAsia="仿宋" w:cs="仿宋"/>
                <w:color w:val="auto"/>
                <w:sz w:val="24"/>
                <w:szCs w:val="24"/>
                <w:highlight w:val="none"/>
              </w:rPr>
            </w:pPr>
          </w:p>
        </w:tc>
        <w:tc>
          <w:tcPr>
            <w:tcW w:w="426" w:type="pct"/>
            <w:vAlign w:val="center"/>
          </w:tcPr>
          <w:p w14:paraId="32012029">
            <w:pPr>
              <w:snapToGrid w:val="0"/>
              <w:spacing w:line="500" w:lineRule="exact"/>
              <w:jc w:val="center"/>
              <w:rPr>
                <w:rFonts w:hint="eastAsia" w:ascii="仿宋" w:hAnsi="仿宋" w:eastAsia="仿宋" w:cs="仿宋"/>
                <w:color w:val="auto"/>
                <w:sz w:val="24"/>
                <w:szCs w:val="24"/>
                <w:highlight w:val="none"/>
              </w:rPr>
            </w:pPr>
          </w:p>
        </w:tc>
        <w:tc>
          <w:tcPr>
            <w:tcW w:w="578" w:type="pct"/>
            <w:vAlign w:val="center"/>
          </w:tcPr>
          <w:p w14:paraId="48F0BA31">
            <w:pPr>
              <w:snapToGrid w:val="0"/>
              <w:spacing w:line="500" w:lineRule="exact"/>
              <w:jc w:val="center"/>
              <w:rPr>
                <w:rFonts w:hint="eastAsia" w:ascii="仿宋" w:hAnsi="仿宋" w:eastAsia="仿宋" w:cs="仿宋"/>
                <w:color w:val="auto"/>
                <w:sz w:val="24"/>
                <w:szCs w:val="24"/>
                <w:highlight w:val="none"/>
              </w:rPr>
            </w:pPr>
          </w:p>
        </w:tc>
        <w:tc>
          <w:tcPr>
            <w:tcW w:w="473" w:type="pct"/>
            <w:vAlign w:val="center"/>
          </w:tcPr>
          <w:p w14:paraId="18655ACF">
            <w:pPr>
              <w:snapToGrid w:val="0"/>
              <w:spacing w:line="500" w:lineRule="exact"/>
              <w:jc w:val="center"/>
              <w:rPr>
                <w:rFonts w:hint="eastAsia" w:ascii="仿宋" w:hAnsi="仿宋" w:eastAsia="仿宋" w:cs="仿宋"/>
                <w:color w:val="auto"/>
                <w:sz w:val="24"/>
                <w:szCs w:val="24"/>
                <w:highlight w:val="none"/>
              </w:rPr>
            </w:pPr>
          </w:p>
        </w:tc>
        <w:tc>
          <w:tcPr>
            <w:tcW w:w="697" w:type="pct"/>
            <w:vAlign w:val="center"/>
          </w:tcPr>
          <w:p w14:paraId="76E79C18">
            <w:pPr>
              <w:snapToGrid w:val="0"/>
              <w:spacing w:line="500" w:lineRule="exact"/>
              <w:jc w:val="center"/>
              <w:rPr>
                <w:rFonts w:hint="eastAsia" w:ascii="仿宋" w:hAnsi="仿宋" w:eastAsia="仿宋" w:cs="仿宋"/>
                <w:color w:val="auto"/>
                <w:sz w:val="24"/>
                <w:szCs w:val="24"/>
                <w:highlight w:val="none"/>
              </w:rPr>
            </w:pPr>
          </w:p>
        </w:tc>
        <w:tc>
          <w:tcPr>
            <w:tcW w:w="809" w:type="pct"/>
            <w:vAlign w:val="center"/>
          </w:tcPr>
          <w:p w14:paraId="4D377AC0">
            <w:pPr>
              <w:snapToGrid w:val="0"/>
              <w:spacing w:line="500" w:lineRule="exact"/>
              <w:jc w:val="center"/>
              <w:rPr>
                <w:rFonts w:hint="eastAsia" w:ascii="仿宋" w:hAnsi="仿宋" w:eastAsia="仿宋" w:cs="仿宋"/>
                <w:color w:val="auto"/>
                <w:sz w:val="24"/>
                <w:szCs w:val="24"/>
                <w:highlight w:val="none"/>
              </w:rPr>
            </w:pPr>
          </w:p>
        </w:tc>
        <w:tc>
          <w:tcPr>
            <w:tcW w:w="591" w:type="pct"/>
            <w:vAlign w:val="center"/>
          </w:tcPr>
          <w:p w14:paraId="12D3211E">
            <w:pPr>
              <w:snapToGrid w:val="0"/>
              <w:spacing w:line="500" w:lineRule="exact"/>
              <w:jc w:val="center"/>
              <w:rPr>
                <w:rFonts w:hint="eastAsia" w:ascii="仿宋" w:hAnsi="仿宋" w:eastAsia="仿宋" w:cs="仿宋"/>
                <w:color w:val="auto"/>
                <w:sz w:val="24"/>
                <w:szCs w:val="24"/>
                <w:highlight w:val="none"/>
              </w:rPr>
            </w:pPr>
          </w:p>
        </w:tc>
      </w:tr>
      <w:tr w14:paraId="2F66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Align w:val="center"/>
          </w:tcPr>
          <w:p w14:paraId="703FF622">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514" w:type="pct"/>
            <w:vAlign w:val="center"/>
          </w:tcPr>
          <w:p w14:paraId="453B052D">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424" w:type="pct"/>
            <w:vAlign w:val="center"/>
          </w:tcPr>
          <w:p w14:paraId="5DDEC758">
            <w:pPr>
              <w:snapToGrid w:val="0"/>
              <w:spacing w:line="500" w:lineRule="exact"/>
              <w:jc w:val="center"/>
              <w:rPr>
                <w:rFonts w:hint="eastAsia" w:ascii="仿宋" w:hAnsi="仿宋" w:eastAsia="仿宋" w:cs="仿宋"/>
                <w:color w:val="auto"/>
                <w:sz w:val="24"/>
                <w:szCs w:val="24"/>
                <w:highlight w:val="none"/>
              </w:rPr>
            </w:pPr>
          </w:p>
        </w:tc>
        <w:tc>
          <w:tcPr>
            <w:tcW w:w="426" w:type="pct"/>
            <w:vAlign w:val="center"/>
          </w:tcPr>
          <w:p w14:paraId="18D11D0E">
            <w:pPr>
              <w:snapToGrid w:val="0"/>
              <w:spacing w:line="500" w:lineRule="exact"/>
              <w:jc w:val="center"/>
              <w:rPr>
                <w:rFonts w:hint="eastAsia" w:ascii="仿宋" w:hAnsi="仿宋" w:eastAsia="仿宋" w:cs="仿宋"/>
                <w:color w:val="auto"/>
                <w:sz w:val="24"/>
                <w:szCs w:val="24"/>
                <w:highlight w:val="none"/>
              </w:rPr>
            </w:pPr>
          </w:p>
        </w:tc>
        <w:tc>
          <w:tcPr>
            <w:tcW w:w="578" w:type="pct"/>
            <w:vAlign w:val="center"/>
          </w:tcPr>
          <w:p w14:paraId="6C6769E9">
            <w:pPr>
              <w:snapToGrid w:val="0"/>
              <w:spacing w:line="500" w:lineRule="exact"/>
              <w:jc w:val="center"/>
              <w:rPr>
                <w:rFonts w:hint="eastAsia" w:ascii="仿宋" w:hAnsi="仿宋" w:eastAsia="仿宋" w:cs="仿宋"/>
                <w:color w:val="auto"/>
                <w:sz w:val="24"/>
                <w:szCs w:val="24"/>
                <w:highlight w:val="none"/>
              </w:rPr>
            </w:pPr>
          </w:p>
        </w:tc>
        <w:tc>
          <w:tcPr>
            <w:tcW w:w="473" w:type="pct"/>
            <w:vAlign w:val="center"/>
          </w:tcPr>
          <w:p w14:paraId="70BFAAF0">
            <w:pPr>
              <w:snapToGrid w:val="0"/>
              <w:spacing w:line="500" w:lineRule="exact"/>
              <w:jc w:val="center"/>
              <w:rPr>
                <w:rFonts w:hint="eastAsia" w:ascii="仿宋" w:hAnsi="仿宋" w:eastAsia="仿宋" w:cs="仿宋"/>
                <w:color w:val="auto"/>
                <w:sz w:val="24"/>
                <w:szCs w:val="24"/>
                <w:highlight w:val="none"/>
              </w:rPr>
            </w:pPr>
          </w:p>
        </w:tc>
        <w:tc>
          <w:tcPr>
            <w:tcW w:w="697" w:type="pct"/>
            <w:vAlign w:val="center"/>
          </w:tcPr>
          <w:p w14:paraId="2959B01A">
            <w:pPr>
              <w:snapToGrid w:val="0"/>
              <w:spacing w:line="500" w:lineRule="exact"/>
              <w:jc w:val="center"/>
              <w:rPr>
                <w:rFonts w:hint="eastAsia" w:ascii="仿宋" w:hAnsi="仿宋" w:eastAsia="仿宋" w:cs="仿宋"/>
                <w:color w:val="auto"/>
                <w:sz w:val="24"/>
                <w:szCs w:val="24"/>
                <w:highlight w:val="none"/>
              </w:rPr>
            </w:pPr>
          </w:p>
        </w:tc>
        <w:tc>
          <w:tcPr>
            <w:tcW w:w="809" w:type="pct"/>
            <w:vAlign w:val="center"/>
          </w:tcPr>
          <w:p w14:paraId="3AFCD5F3">
            <w:pPr>
              <w:snapToGrid w:val="0"/>
              <w:spacing w:line="500" w:lineRule="exact"/>
              <w:jc w:val="center"/>
              <w:rPr>
                <w:rFonts w:hint="eastAsia" w:ascii="仿宋" w:hAnsi="仿宋" w:eastAsia="仿宋" w:cs="仿宋"/>
                <w:color w:val="auto"/>
                <w:sz w:val="24"/>
                <w:szCs w:val="24"/>
                <w:highlight w:val="none"/>
              </w:rPr>
            </w:pPr>
          </w:p>
        </w:tc>
        <w:tc>
          <w:tcPr>
            <w:tcW w:w="591" w:type="pct"/>
            <w:vAlign w:val="center"/>
          </w:tcPr>
          <w:p w14:paraId="41B773DD">
            <w:pPr>
              <w:snapToGrid w:val="0"/>
              <w:spacing w:line="500" w:lineRule="exact"/>
              <w:jc w:val="center"/>
              <w:rPr>
                <w:rFonts w:hint="eastAsia" w:ascii="仿宋" w:hAnsi="仿宋" w:eastAsia="仿宋" w:cs="仿宋"/>
                <w:color w:val="auto"/>
                <w:sz w:val="24"/>
                <w:szCs w:val="24"/>
                <w:highlight w:val="none"/>
              </w:rPr>
            </w:pPr>
          </w:p>
        </w:tc>
      </w:tr>
      <w:tr w14:paraId="3D2A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gridSpan w:val="2"/>
            <w:vAlign w:val="center"/>
          </w:tcPr>
          <w:p w14:paraId="5DA040B7">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合计总价（元）：</w:t>
            </w:r>
          </w:p>
        </w:tc>
        <w:tc>
          <w:tcPr>
            <w:tcW w:w="4000" w:type="pct"/>
            <w:gridSpan w:val="7"/>
            <w:vAlign w:val="center"/>
          </w:tcPr>
          <w:p w14:paraId="3A566A89">
            <w:pPr>
              <w:snapToGrid w:val="0"/>
              <w:spacing w:line="500" w:lineRule="exact"/>
              <w:jc w:val="center"/>
              <w:rPr>
                <w:rFonts w:hint="eastAsia" w:ascii="仿宋" w:hAnsi="仿宋" w:eastAsia="仿宋" w:cs="仿宋"/>
                <w:color w:val="auto"/>
                <w:sz w:val="24"/>
                <w:szCs w:val="24"/>
                <w:highlight w:val="none"/>
              </w:rPr>
            </w:pPr>
          </w:p>
        </w:tc>
      </w:tr>
    </w:tbl>
    <w:p w14:paraId="0BE8404A">
      <w:pPr>
        <w:spacing w:line="360" w:lineRule="auto"/>
        <w:jc w:val="left"/>
        <w:rPr>
          <w:rFonts w:hint="eastAsia" w:ascii="仿宋" w:hAnsi="仿宋" w:eastAsia="仿宋" w:cs="仿宋"/>
          <w:color w:val="auto"/>
          <w:sz w:val="24"/>
          <w:highlight w:val="none"/>
        </w:rPr>
      </w:pPr>
    </w:p>
    <w:p w14:paraId="2B7904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A41C0E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kern w:val="0"/>
          <w:sz w:val="24"/>
          <w:highlight w:val="none"/>
        </w:rPr>
        <w:t>项目</w:t>
      </w:r>
      <w:r>
        <w:rPr>
          <w:rFonts w:hint="eastAsia" w:ascii="仿宋" w:hAnsi="仿宋" w:eastAsia="仿宋" w:cs="仿宋"/>
          <w:color w:val="auto"/>
          <w:sz w:val="24"/>
          <w:highlight w:val="none"/>
        </w:rPr>
        <w:t>和数量满足本项目招标范围，内容由投标人结合自身情况填写。</w:t>
      </w:r>
    </w:p>
    <w:p w14:paraId="36D2FFDB">
      <w:pPr>
        <w:spacing w:line="360" w:lineRule="auto"/>
        <w:jc w:val="left"/>
        <w:rPr>
          <w:rFonts w:hint="eastAsia" w:ascii="仿宋" w:hAnsi="仿宋" w:eastAsia="仿宋" w:cs="仿宋"/>
          <w:strike/>
          <w:color w:val="auto"/>
          <w:sz w:val="24"/>
          <w:highlight w:val="none"/>
        </w:rPr>
      </w:pPr>
      <w:r>
        <w:rPr>
          <w:rFonts w:hint="eastAsia" w:ascii="仿宋" w:hAnsi="仿宋" w:eastAsia="仿宋" w:cs="仿宋"/>
          <w:color w:val="auto"/>
          <w:sz w:val="24"/>
          <w:highlight w:val="none"/>
        </w:rPr>
        <w:t>2、投标人填报价格总价应与投标函载明价格一致，若不一致，以投标函为准。</w:t>
      </w:r>
    </w:p>
    <w:p w14:paraId="3A3CFC76">
      <w:pPr>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3、报价货币为人民币报价,投标人的报价应包含货物及其包装、运输、安装、调试、培训费、人工费、管理费、税费等货物交付正常使用前的全部费用，采购人无需再另外支付任何费用。</w:t>
      </w:r>
    </w:p>
    <w:p w14:paraId="6C033F1E">
      <w:pPr>
        <w:spacing w:line="360" w:lineRule="auto"/>
        <w:rPr>
          <w:rFonts w:hint="eastAsia" w:ascii="仿宋" w:hAnsi="仿宋" w:eastAsia="仿宋" w:cs="仿宋"/>
          <w:color w:val="auto"/>
          <w:sz w:val="24"/>
          <w:highlight w:val="none"/>
        </w:rPr>
      </w:pPr>
    </w:p>
    <w:p w14:paraId="30545989">
      <w:pPr>
        <w:adjustRightInd w:val="0"/>
        <w:spacing w:line="360" w:lineRule="auto"/>
        <w:ind w:firstLine="480" w:firstLineChars="200"/>
        <w:jc w:val="center"/>
        <w:rPr>
          <w:rFonts w:hint="eastAsia" w:ascii="仿宋" w:hAnsi="仿宋" w:eastAsia="仿宋" w:cs="仿宋"/>
          <w:sz w:val="24"/>
        </w:rPr>
      </w:pPr>
      <w:r>
        <w:rPr>
          <w:rFonts w:hint="eastAsia" w:ascii="仿宋" w:hAnsi="仿宋" w:eastAsia="仿宋" w:cs="仿宋"/>
          <w:color w:val="auto"/>
          <w:sz w:val="24"/>
          <w:highlight w:val="none"/>
        </w:rPr>
        <w:t xml:space="preserve">       </w:t>
      </w:r>
      <w:r>
        <w:rPr>
          <w:rFonts w:hint="eastAsia" w:ascii="仿宋" w:hAnsi="仿宋" w:eastAsia="仿宋" w:cs="仿宋"/>
          <w:sz w:val="24"/>
        </w:rPr>
        <w:t xml:space="preserve">投标人名称（盖章）：         </w:t>
      </w:r>
    </w:p>
    <w:p w14:paraId="3420FDB9">
      <w:pPr>
        <w:adjustRightInd w:val="0"/>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sz w:val="24"/>
        </w:rPr>
        <w:t xml:space="preserve">                   法定代表人或被授权人（签字或盖章）</w:t>
      </w:r>
      <w:r>
        <w:rPr>
          <w:rFonts w:hint="eastAsia" w:ascii="仿宋" w:hAnsi="仿宋" w:eastAsia="仿宋" w:cs="仿宋"/>
          <w:bCs/>
          <w:color w:val="auto"/>
          <w:sz w:val="24"/>
          <w:highlight w:val="none"/>
        </w:rPr>
        <w:t>：</w:t>
      </w:r>
    </w:p>
    <w:p w14:paraId="33D05041">
      <w:pPr>
        <w:adjustRightInd w:val="0"/>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   年   月   日</w:t>
      </w:r>
    </w:p>
    <w:p w14:paraId="4C6DC6F9">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59C3D927">
      <w:pPr>
        <w:pStyle w:val="4"/>
        <w:spacing w:before="156" w:after="156"/>
        <w:ind w:firstLine="482" w:firstLineChars="200"/>
        <w:rPr>
          <w:rFonts w:hint="eastAsia" w:ascii="仿宋" w:hAnsi="仿宋" w:eastAsia="仿宋" w:cs="仿宋"/>
          <w:bCs w:val="0"/>
          <w:color w:val="auto"/>
          <w:kern w:val="0"/>
          <w:sz w:val="24"/>
          <w:szCs w:val="24"/>
          <w:highlight w:val="none"/>
        </w:rPr>
      </w:pPr>
      <w:bookmarkStart w:id="157" w:name="_Toc4284"/>
      <w:r>
        <w:rPr>
          <w:rFonts w:hint="eastAsia" w:ascii="仿宋" w:hAnsi="仿宋" w:eastAsia="仿宋" w:cs="仿宋"/>
          <w:bCs w:val="0"/>
          <w:color w:val="auto"/>
          <w:kern w:val="0"/>
          <w:sz w:val="24"/>
          <w:szCs w:val="24"/>
          <w:highlight w:val="none"/>
        </w:rPr>
        <w:t>四、投标人基本情况表</w:t>
      </w:r>
      <w:bookmarkEnd w:id="156"/>
      <w:bookmarkEnd w:id="157"/>
    </w:p>
    <w:tbl>
      <w:tblPr>
        <w:tblStyle w:val="34"/>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21F56E3E">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22BE04D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5F387DCD">
            <w:pPr>
              <w:spacing w:line="360" w:lineRule="auto"/>
              <w:jc w:val="center"/>
              <w:rPr>
                <w:rFonts w:hint="eastAsia" w:ascii="仿宋" w:hAnsi="仿宋" w:eastAsia="仿宋" w:cs="仿宋"/>
                <w:strike/>
                <w:color w:val="auto"/>
                <w:sz w:val="24"/>
                <w:highlight w:val="none"/>
              </w:rPr>
            </w:pPr>
          </w:p>
        </w:tc>
      </w:tr>
      <w:tr w14:paraId="6E0B985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EBF9B6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4CCD8CE5">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5867181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2139" w:type="dxa"/>
            <w:tcBorders>
              <w:top w:val="nil"/>
              <w:left w:val="nil"/>
              <w:bottom w:val="single" w:color="auto" w:sz="4" w:space="0"/>
              <w:right w:val="single" w:color="auto" w:sz="4" w:space="0"/>
            </w:tcBorders>
            <w:vAlign w:val="center"/>
          </w:tcPr>
          <w:p w14:paraId="25D8C7A0">
            <w:pPr>
              <w:spacing w:line="360" w:lineRule="auto"/>
              <w:jc w:val="center"/>
              <w:rPr>
                <w:rFonts w:hint="eastAsia" w:ascii="仿宋" w:hAnsi="仿宋" w:eastAsia="仿宋" w:cs="仿宋"/>
                <w:color w:val="auto"/>
                <w:sz w:val="24"/>
                <w:highlight w:val="none"/>
              </w:rPr>
            </w:pPr>
          </w:p>
        </w:tc>
      </w:tr>
      <w:tr w14:paraId="14F4943F">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ADBE9A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0C40914E">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2308151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企业性质</w:t>
            </w:r>
          </w:p>
        </w:tc>
        <w:tc>
          <w:tcPr>
            <w:tcW w:w="2139" w:type="dxa"/>
            <w:tcBorders>
              <w:top w:val="nil"/>
              <w:left w:val="nil"/>
              <w:bottom w:val="single" w:color="auto" w:sz="4" w:space="0"/>
              <w:right w:val="single" w:color="auto" w:sz="4" w:space="0"/>
            </w:tcBorders>
            <w:vAlign w:val="center"/>
          </w:tcPr>
          <w:p w14:paraId="5459666E">
            <w:pPr>
              <w:spacing w:line="360" w:lineRule="auto"/>
              <w:jc w:val="center"/>
              <w:rPr>
                <w:rFonts w:hint="eastAsia" w:ascii="仿宋" w:hAnsi="仿宋" w:eastAsia="仿宋" w:cs="仿宋"/>
                <w:color w:val="auto"/>
                <w:sz w:val="24"/>
                <w:highlight w:val="none"/>
              </w:rPr>
            </w:pPr>
          </w:p>
        </w:tc>
      </w:tr>
      <w:tr w14:paraId="7A657A05">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2B5D86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15A1DE9F">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19512A2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注册资金</w:t>
            </w:r>
          </w:p>
        </w:tc>
        <w:tc>
          <w:tcPr>
            <w:tcW w:w="2139" w:type="dxa"/>
            <w:tcBorders>
              <w:top w:val="nil"/>
              <w:left w:val="nil"/>
              <w:bottom w:val="single" w:color="auto" w:sz="4" w:space="0"/>
              <w:right w:val="single" w:color="auto" w:sz="4" w:space="0"/>
            </w:tcBorders>
            <w:vAlign w:val="center"/>
          </w:tcPr>
          <w:p w14:paraId="193F1C00">
            <w:pPr>
              <w:spacing w:line="360" w:lineRule="auto"/>
              <w:jc w:val="center"/>
              <w:rPr>
                <w:rFonts w:hint="eastAsia" w:ascii="仿宋" w:hAnsi="仿宋" w:eastAsia="仿宋" w:cs="仿宋"/>
                <w:color w:val="auto"/>
                <w:sz w:val="24"/>
                <w:highlight w:val="none"/>
              </w:rPr>
            </w:pPr>
          </w:p>
        </w:tc>
      </w:tr>
      <w:tr w14:paraId="4EE0BF0C">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067DC0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1050" w:type="dxa"/>
            <w:tcBorders>
              <w:top w:val="nil"/>
              <w:left w:val="nil"/>
              <w:bottom w:val="single" w:color="auto" w:sz="4" w:space="0"/>
              <w:right w:val="single" w:color="auto" w:sz="4" w:space="0"/>
            </w:tcBorders>
            <w:vAlign w:val="center"/>
          </w:tcPr>
          <w:p w14:paraId="7441749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2525" w:type="dxa"/>
            <w:tcBorders>
              <w:top w:val="nil"/>
              <w:left w:val="nil"/>
              <w:bottom w:val="single" w:color="auto" w:sz="4" w:space="0"/>
              <w:right w:val="single" w:color="auto" w:sz="4" w:space="0"/>
            </w:tcBorders>
            <w:vAlign w:val="center"/>
          </w:tcPr>
          <w:p w14:paraId="6F99A09F">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79AB22B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2139" w:type="dxa"/>
            <w:tcBorders>
              <w:top w:val="nil"/>
              <w:left w:val="nil"/>
              <w:bottom w:val="single" w:color="auto" w:sz="4" w:space="0"/>
              <w:right w:val="single" w:color="auto" w:sz="4" w:space="0"/>
            </w:tcBorders>
            <w:vAlign w:val="center"/>
          </w:tcPr>
          <w:p w14:paraId="25DF1307">
            <w:pPr>
              <w:spacing w:line="360" w:lineRule="auto"/>
              <w:jc w:val="center"/>
              <w:rPr>
                <w:rFonts w:hint="eastAsia" w:ascii="仿宋" w:hAnsi="仿宋" w:eastAsia="仿宋" w:cs="仿宋"/>
                <w:color w:val="auto"/>
                <w:sz w:val="24"/>
                <w:highlight w:val="none"/>
              </w:rPr>
            </w:pPr>
          </w:p>
        </w:tc>
      </w:tr>
      <w:tr w14:paraId="00ADC2C8">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6B977E1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1050" w:type="dxa"/>
            <w:tcBorders>
              <w:top w:val="nil"/>
              <w:left w:val="nil"/>
              <w:bottom w:val="single" w:color="auto" w:sz="4" w:space="0"/>
              <w:right w:val="single" w:color="auto" w:sz="4" w:space="0"/>
            </w:tcBorders>
            <w:vAlign w:val="center"/>
          </w:tcPr>
          <w:p w14:paraId="171A803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14:paraId="74F5A228">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771846C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2139" w:type="dxa"/>
            <w:tcBorders>
              <w:top w:val="nil"/>
              <w:left w:val="nil"/>
              <w:bottom w:val="single" w:color="auto" w:sz="4" w:space="0"/>
              <w:right w:val="single" w:color="auto" w:sz="4" w:space="0"/>
            </w:tcBorders>
            <w:vAlign w:val="center"/>
          </w:tcPr>
          <w:p w14:paraId="510A62F0">
            <w:pPr>
              <w:spacing w:line="360" w:lineRule="auto"/>
              <w:jc w:val="center"/>
              <w:rPr>
                <w:rFonts w:hint="eastAsia" w:ascii="仿宋" w:hAnsi="仿宋" w:eastAsia="仿宋" w:cs="仿宋"/>
                <w:color w:val="auto"/>
                <w:sz w:val="24"/>
                <w:highlight w:val="none"/>
              </w:rPr>
            </w:pPr>
          </w:p>
        </w:tc>
      </w:tr>
      <w:tr w14:paraId="0F12D7C0">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44F2E191">
            <w:pPr>
              <w:spacing w:line="360" w:lineRule="auto"/>
              <w:jc w:val="center"/>
              <w:rPr>
                <w:rFonts w:hint="eastAsia" w:ascii="仿宋" w:hAnsi="仿宋" w:eastAsia="仿宋" w:cs="仿宋"/>
                <w:color w:val="auto"/>
                <w:sz w:val="24"/>
                <w:highlight w:val="none"/>
              </w:rPr>
            </w:pPr>
          </w:p>
        </w:tc>
        <w:tc>
          <w:tcPr>
            <w:tcW w:w="1050" w:type="dxa"/>
            <w:tcBorders>
              <w:top w:val="nil"/>
              <w:left w:val="nil"/>
              <w:bottom w:val="single" w:color="auto" w:sz="4" w:space="0"/>
              <w:right w:val="single" w:color="auto" w:sz="4" w:space="0"/>
            </w:tcBorders>
            <w:vAlign w:val="center"/>
          </w:tcPr>
          <w:p w14:paraId="361962D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邮箱</w:t>
            </w:r>
          </w:p>
        </w:tc>
        <w:tc>
          <w:tcPr>
            <w:tcW w:w="2525" w:type="dxa"/>
            <w:tcBorders>
              <w:top w:val="single" w:color="auto" w:sz="4" w:space="0"/>
              <w:left w:val="nil"/>
              <w:bottom w:val="single" w:color="auto" w:sz="4" w:space="0"/>
              <w:right w:val="single" w:color="000000" w:sz="4" w:space="0"/>
            </w:tcBorders>
            <w:vAlign w:val="center"/>
          </w:tcPr>
          <w:p w14:paraId="6B4C2859">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1E8E4D8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网址</w:t>
            </w:r>
          </w:p>
        </w:tc>
        <w:tc>
          <w:tcPr>
            <w:tcW w:w="2139" w:type="dxa"/>
            <w:tcBorders>
              <w:top w:val="nil"/>
              <w:left w:val="nil"/>
              <w:bottom w:val="single" w:color="auto" w:sz="4" w:space="0"/>
              <w:right w:val="single" w:color="auto" w:sz="4" w:space="0"/>
            </w:tcBorders>
            <w:vAlign w:val="center"/>
          </w:tcPr>
          <w:p w14:paraId="1275A936">
            <w:pPr>
              <w:spacing w:line="360" w:lineRule="auto"/>
              <w:jc w:val="center"/>
              <w:rPr>
                <w:rFonts w:hint="eastAsia" w:ascii="仿宋" w:hAnsi="仿宋" w:eastAsia="仿宋" w:cs="仿宋"/>
                <w:color w:val="auto"/>
                <w:sz w:val="24"/>
                <w:highlight w:val="none"/>
              </w:rPr>
            </w:pPr>
          </w:p>
        </w:tc>
      </w:tr>
      <w:tr w14:paraId="7EF1A0F1">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7AFF1F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38E1C8C4">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2DD72B3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2139" w:type="dxa"/>
            <w:tcBorders>
              <w:top w:val="nil"/>
              <w:left w:val="nil"/>
              <w:bottom w:val="single" w:color="auto" w:sz="4" w:space="0"/>
              <w:right w:val="single" w:color="auto" w:sz="4" w:space="0"/>
            </w:tcBorders>
            <w:vAlign w:val="center"/>
          </w:tcPr>
          <w:p w14:paraId="23745833">
            <w:pPr>
              <w:spacing w:line="360" w:lineRule="auto"/>
              <w:jc w:val="center"/>
              <w:rPr>
                <w:rFonts w:hint="eastAsia" w:ascii="仿宋" w:hAnsi="仿宋" w:eastAsia="仿宋" w:cs="仿宋"/>
                <w:color w:val="auto"/>
                <w:sz w:val="24"/>
                <w:highlight w:val="none"/>
              </w:rPr>
            </w:pPr>
          </w:p>
        </w:tc>
      </w:tr>
      <w:tr w14:paraId="77ADDCAC">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0C26492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0A1EFBB7">
            <w:pPr>
              <w:spacing w:line="360" w:lineRule="auto"/>
              <w:jc w:val="center"/>
              <w:rPr>
                <w:rFonts w:hint="eastAsia" w:ascii="仿宋" w:hAnsi="仿宋" w:eastAsia="仿宋" w:cs="仿宋"/>
                <w:color w:val="auto"/>
                <w:sz w:val="24"/>
                <w:highlight w:val="none"/>
              </w:rPr>
            </w:pPr>
          </w:p>
        </w:tc>
      </w:tr>
      <w:tr w14:paraId="71A18A9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E66A75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55ACCDD7">
            <w:pPr>
              <w:spacing w:line="360" w:lineRule="auto"/>
              <w:jc w:val="center"/>
              <w:rPr>
                <w:rFonts w:hint="eastAsia" w:ascii="仿宋" w:hAnsi="仿宋" w:eastAsia="仿宋" w:cs="仿宋"/>
                <w:color w:val="auto"/>
                <w:sz w:val="24"/>
                <w:highlight w:val="none"/>
              </w:rPr>
            </w:pPr>
          </w:p>
        </w:tc>
      </w:tr>
    </w:tbl>
    <w:p w14:paraId="3742AF44">
      <w:pPr>
        <w:adjustRightInd w:val="0"/>
        <w:spacing w:line="360" w:lineRule="auto"/>
        <w:ind w:firstLine="480" w:firstLineChars="200"/>
        <w:jc w:val="left"/>
        <w:rPr>
          <w:rFonts w:hint="eastAsia" w:ascii="仿宋" w:hAnsi="仿宋" w:eastAsia="仿宋" w:cs="仿宋"/>
          <w:bCs/>
          <w:color w:val="auto"/>
          <w:sz w:val="24"/>
          <w:highlight w:val="none"/>
        </w:rPr>
      </w:pPr>
    </w:p>
    <w:p w14:paraId="3772494A">
      <w:pPr>
        <w:rPr>
          <w:rFonts w:hint="eastAsia" w:ascii="仿宋" w:hAnsi="仿宋" w:eastAsia="仿宋" w:cs="仿宋"/>
          <w:bCs/>
          <w:color w:val="auto"/>
          <w:sz w:val="24"/>
          <w:highlight w:val="none"/>
        </w:rPr>
      </w:pPr>
      <w:bookmarkStart w:id="158" w:name="_Toc217446089"/>
      <w:r>
        <w:rPr>
          <w:rFonts w:hint="eastAsia" w:ascii="仿宋" w:hAnsi="仿宋" w:eastAsia="仿宋" w:cs="仿宋"/>
          <w:bCs/>
          <w:color w:val="auto"/>
          <w:sz w:val="24"/>
          <w:highlight w:val="none"/>
        </w:rPr>
        <w:br w:type="page"/>
      </w:r>
    </w:p>
    <w:p w14:paraId="30036C7E">
      <w:pPr>
        <w:spacing w:line="360" w:lineRule="auto"/>
        <w:jc w:val="center"/>
        <w:outlineLvl w:val="1"/>
        <w:rPr>
          <w:rFonts w:hint="eastAsia" w:ascii="仿宋" w:hAnsi="仿宋" w:eastAsia="仿宋" w:cs="仿宋"/>
          <w:b/>
          <w:color w:val="auto"/>
          <w:sz w:val="24"/>
          <w:highlight w:val="none"/>
        </w:rPr>
      </w:pPr>
      <w:bookmarkStart w:id="159" w:name="_Toc27527"/>
      <w:bookmarkStart w:id="160" w:name="_Toc128476878"/>
      <w:bookmarkStart w:id="161" w:name="_Toc28946"/>
      <w:bookmarkStart w:id="162" w:name="_Toc3020"/>
      <w:bookmarkStart w:id="163" w:name="_Toc113901849"/>
      <w:bookmarkStart w:id="164" w:name="_Toc142664978"/>
      <w:r>
        <w:rPr>
          <w:rFonts w:hint="eastAsia" w:ascii="仿宋" w:hAnsi="仿宋" w:eastAsia="仿宋" w:cs="仿宋"/>
          <w:b/>
          <w:color w:val="auto"/>
          <w:sz w:val="24"/>
          <w:highlight w:val="none"/>
        </w:rPr>
        <w:t>4.1、具有独立承担民事责任的能力；</w:t>
      </w:r>
      <w:bookmarkEnd w:id="159"/>
    </w:p>
    <w:bookmarkEnd w:id="160"/>
    <w:bookmarkEnd w:id="161"/>
    <w:bookmarkEnd w:id="162"/>
    <w:bookmarkEnd w:id="163"/>
    <w:bookmarkEnd w:id="164"/>
    <w:p w14:paraId="6F9A68F0">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提供：法人或者其他组织的营业执照等证明文件，自然人的身份证明</w:t>
      </w:r>
    </w:p>
    <w:p w14:paraId="5F6CE1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一、如供应商是企业（包括合伙企业)，应提供在工商部门注册的有效“企业法人营业执照”或“营业执照”;</w:t>
      </w:r>
    </w:p>
    <w:p w14:paraId="53E8C3F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二、如供应商是事业单位，应提供有效的“事业单位法人证书”;</w:t>
      </w:r>
    </w:p>
    <w:p w14:paraId="09484D6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三、供应商是非企业专业服务机构的，应提供执业许可证等证明文件;</w:t>
      </w:r>
    </w:p>
    <w:p w14:paraId="1E4AE1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四、如供应商是个体工商户，应提供有效的“个体工商户营业执照”;</w:t>
      </w:r>
    </w:p>
    <w:p w14:paraId="222EE2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五、如供应商是自然人，应提供有效的自然人身份证明。</w:t>
      </w:r>
    </w:p>
    <w:p w14:paraId="688A6C40">
      <w:pPr>
        <w:spacing w:line="360" w:lineRule="auto"/>
        <w:rPr>
          <w:rFonts w:hint="eastAsia" w:ascii="仿宋" w:hAnsi="仿宋" w:eastAsia="仿宋" w:cs="仿宋"/>
          <w:color w:val="auto"/>
          <w:sz w:val="24"/>
          <w:highlight w:val="none"/>
        </w:rPr>
      </w:pPr>
    </w:p>
    <w:p w14:paraId="294FEA0C">
      <w:pPr>
        <w:spacing w:line="360" w:lineRule="auto"/>
        <w:rPr>
          <w:rFonts w:hint="eastAsia" w:ascii="仿宋" w:hAnsi="仿宋" w:eastAsia="仿宋" w:cs="仿宋"/>
          <w:color w:val="auto"/>
          <w:sz w:val="24"/>
          <w:highlight w:val="none"/>
        </w:rPr>
      </w:pPr>
    </w:p>
    <w:p w14:paraId="191DFC62">
      <w:pPr>
        <w:widowControl/>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2609561D">
      <w:pPr>
        <w:spacing w:line="360" w:lineRule="auto"/>
        <w:jc w:val="center"/>
        <w:outlineLvl w:val="1"/>
        <w:rPr>
          <w:rFonts w:hint="eastAsia" w:ascii="仿宋" w:hAnsi="仿宋" w:eastAsia="仿宋" w:cs="仿宋"/>
          <w:b/>
          <w:color w:val="auto"/>
          <w:sz w:val="24"/>
          <w:highlight w:val="none"/>
        </w:rPr>
      </w:pPr>
      <w:bookmarkStart w:id="165" w:name="_Toc113901850"/>
      <w:bookmarkStart w:id="166" w:name="_Toc142664979"/>
      <w:bookmarkStart w:id="167" w:name="_Toc128476879"/>
      <w:bookmarkStart w:id="168" w:name="_Toc29872"/>
      <w:bookmarkStart w:id="169" w:name="_Toc29355"/>
      <w:bookmarkStart w:id="170" w:name="_Toc11344"/>
      <w:r>
        <w:rPr>
          <w:rFonts w:hint="eastAsia" w:ascii="仿宋" w:hAnsi="仿宋" w:eastAsia="仿宋" w:cs="仿宋"/>
          <w:b/>
          <w:color w:val="auto"/>
          <w:sz w:val="24"/>
          <w:highlight w:val="none"/>
        </w:rPr>
        <w:t>4.2、</w:t>
      </w:r>
      <w:bookmarkEnd w:id="165"/>
      <w:bookmarkEnd w:id="166"/>
      <w:bookmarkEnd w:id="167"/>
      <w:bookmarkEnd w:id="168"/>
      <w:bookmarkEnd w:id="169"/>
      <w:r>
        <w:rPr>
          <w:rFonts w:hint="eastAsia" w:ascii="仿宋" w:hAnsi="仿宋" w:eastAsia="仿宋" w:cs="仿宋"/>
          <w:b/>
          <w:color w:val="auto"/>
          <w:sz w:val="24"/>
          <w:highlight w:val="none"/>
        </w:rPr>
        <w:t>具有良好的商业信誉和健全的财务会计制度；</w:t>
      </w:r>
      <w:bookmarkEnd w:id="170"/>
    </w:p>
    <w:p w14:paraId="2C19DA1D">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提供：（1）以开标截止时间点投标人未列入“信用中国”&lt;www.creditchina.gov.cn&gt;网站的“失信被执行人”和“重大税收违法失信主体”及“中国政府采购网”&lt;www.ccgp.gov.cn&gt;网站的“政府采购严重违法失信行为记录名单”，投标人提供网址查询截图，如未提供，开标截止时间后，由采购代理公司统一登陆网站查询上传投标文件的投标人信誉情况，并以保存的网页查询截图为准；</w:t>
      </w:r>
    </w:p>
    <w:p w14:paraId="0EDF1564">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（2）银行出具的近1年内资信证明或2025年度经审计并赋码的财务报告，新成立企业无需提供。</w:t>
      </w:r>
    </w:p>
    <w:p w14:paraId="1A74861E">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新成立企业是指：营业执照申领时间至今未满</w:t>
      </w:r>
      <w:bookmarkStart w:id="230" w:name="_GoBack"/>
      <w:bookmarkEnd w:id="230"/>
      <w:r>
        <w:rPr>
          <w:rFonts w:hint="eastAsia" w:ascii="仿宋" w:hAnsi="仿宋" w:eastAsia="仿宋" w:cs="仿宋"/>
          <w:color w:val="auto"/>
          <w:kern w:val="0"/>
          <w:sz w:val="24"/>
          <w:highlight w:val="none"/>
        </w:rPr>
        <w:t>一年的企业，新成立企业仅需提供近3个月内任意1个月银行出具的资信证明即可</w:t>
      </w:r>
    </w:p>
    <w:p w14:paraId="1CB5E2A8">
      <w:pPr>
        <w:autoSpaceDE w:val="0"/>
        <w:autoSpaceDN w:val="0"/>
        <w:adjustRightInd w:val="0"/>
        <w:spacing w:line="360" w:lineRule="auto"/>
        <w:jc w:val="left"/>
        <w:rPr>
          <w:rFonts w:hint="eastAsia" w:ascii="仿宋" w:hAnsi="仿宋" w:eastAsia="仿宋" w:cs="仿宋"/>
          <w:color w:val="auto"/>
          <w:kern w:val="0"/>
          <w:sz w:val="24"/>
          <w:highlight w:val="none"/>
        </w:rPr>
      </w:pPr>
    </w:p>
    <w:p w14:paraId="7AC951BB">
      <w:pPr>
        <w:autoSpaceDE w:val="0"/>
        <w:autoSpaceDN w:val="0"/>
        <w:adjustRightInd w:val="0"/>
        <w:spacing w:line="360" w:lineRule="auto"/>
        <w:ind w:firstLine="482" w:firstLineChars="200"/>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财务状况报告（满足下述一条要求即可）：</w:t>
      </w:r>
    </w:p>
    <w:p w14:paraId="0CE12C17">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要求1、经审计并赋码的财务报告（2025年度，包括“四表-注”，即资产负债表、利润表、现金流量表、所有者权益变动表及其附注）或</w:t>
      </w:r>
      <w:r>
        <w:rPr>
          <w:rFonts w:hint="eastAsia" w:ascii="仿宋" w:hAnsi="仿宋" w:eastAsia="仿宋" w:cs="仿宋"/>
          <w:color w:val="auto"/>
          <w:sz w:val="24"/>
          <w:highlight w:val="none"/>
        </w:rPr>
        <w:t>银行出具的资信/金证明。</w:t>
      </w:r>
    </w:p>
    <w:p w14:paraId="5604E5BD">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要求2、财政部门认可的政府采购专业担保机构出具的有效期内的投标担保函。</w:t>
      </w:r>
    </w:p>
    <w:p w14:paraId="51464097">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要求3、成立不足一个月（以响应文件递交截止之日为期限）的供应商无需提供。</w:t>
      </w:r>
    </w:p>
    <w:p w14:paraId="17E3ED54">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8A22652">
      <w:pPr>
        <w:tabs>
          <w:tab w:val="center" w:pos="4832"/>
          <w:tab w:val="left" w:pos="7140"/>
        </w:tabs>
        <w:spacing w:line="360" w:lineRule="auto"/>
        <w:jc w:val="center"/>
        <w:outlineLvl w:val="1"/>
        <w:rPr>
          <w:rFonts w:hint="eastAsia" w:ascii="仿宋" w:hAnsi="仿宋" w:eastAsia="仿宋" w:cs="仿宋"/>
          <w:b/>
          <w:color w:val="auto"/>
          <w:sz w:val="24"/>
          <w:highlight w:val="none"/>
        </w:rPr>
      </w:pPr>
      <w:bookmarkStart w:id="171" w:name="_Toc6233"/>
      <w:bookmarkStart w:id="172" w:name="_Toc16867"/>
      <w:bookmarkStart w:id="173" w:name="_Toc128476880"/>
      <w:bookmarkStart w:id="174" w:name="_Toc113901851"/>
      <w:bookmarkStart w:id="175" w:name="_Toc142664980"/>
      <w:bookmarkStart w:id="176" w:name="_Toc31849"/>
      <w:bookmarkStart w:id="177" w:name="_Toc111556488"/>
      <w:r>
        <w:rPr>
          <w:rFonts w:hint="eastAsia" w:ascii="仿宋" w:hAnsi="仿宋" w:eastAsia="仿宋" w:cs="仿宋"/>
          <w:b/>
          <w:color w:val="auto"/>
          <w:sz w:val="24"/>
          <w:highlight w:val="none"/>
        </w:rPr>
        <w:t>4.3、</w:t>
      </w:r>
      <w:bookmarkEnd w:id="171"/>
      <w:bookmarkEnd w:id="172"/>
      <w:bookmarkEnd w:id="173"/>
      <w:bookmarkEnd w:id="174"/>
      <w:bookmarkEnd w:id="175"/>
      <w:r>
        <w:rPr>
          <w:rFonts w:hint="eastAsia" w:ascii="仿宋" w:hAnsi="仿宋" w:eastAsia="仿宋" w:cs="仿宋"/>
          <w:b/>
          <w:color w:val="auto"/>
          <w:sz w:val="24"/>
          <w:highlight w:val="none"/>
        </w:rPr>
        <w:t>有依法缴纳税收和社会保障资金的良好记录；</w:t>
      </w:r>
      <w:bookmarkEnd w:id="176"/>
    </w:p>
    <w:p w14:paraId="104D279D">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提供：①近6个月内任意1个月已依法缴纳税收的凭据；②近6个月内任意1个月已依法缴纳社会保险的凭据（依法免税的投标人，应提供相应证明文件，新成立企业或自然人无需提供）</w:t>
      </w:r>
    </w:p>
    <w:p w14:paraId="1F03B1EE">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p>
    <w:p w14:paraId="25814E59">
      <w:pPr>
        <w:autoSpaceDE w:val="0"/>
        <w:autoSpaceDN w:val="0"/>
        <w:adjustRightInd w:val="0"/>
        <w:spacing w:line="360" w:lineRule="auto"/>
        <w:ind w:firstLine="482" w:firstLineChars="200"/>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依法缴纳税收和社会保障资金的相关材料：</w:t>
      </w:r>
    </w:p>
    <w:p w14:paraId="768B142C">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1、依法缴纳税收的证明材料：</w:t>
      </w:r>
    </w:p>
    <w:p w14:paraId="46F7FFD0">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供应商参加政府采购活动前一段时间（响应文件递交截止之日前六个月内任一个月）内缴纳税收的完税凭证（指各种完税证、缴款书、印花税票、扣（收）税凭证以及其他完税证明）。</w:t>
      </w:r>
    </w:p>
    <w:p w14:paraId="0C0BC83D">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2、依法缴纳社会保障资金的证明材料：</w:t>
      </w:r>
    </w:p>
    <w:p w14:paraId="11929188">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供应商参加政府采购活动前一段时间（响应文件递交截止之日前六个月内任一个月）内缴纳社会保险的凭据，其他组织和自然人也需要提供缴纳税收的凭据和缴纳社会保险的凭据。</w:t>
      </w:r>
    </w:p>
    <w:p w14:paraId="46CEC2B2">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3、依法免税或不需要缴纳社会保障资金的供应商，应提供相应文件证明其依法免税或不需要缴纳社会保障资金。</w:t>
      </w:r>
    </w:p>
    <w:p w14:paraId="4D166915">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p>
    <w:p w14:paraId="635BEAF3">
      <w:pPr>
        <w:autoSpaceDE w:val="0"/>
        <w:autoSpaceDN w:val="0"/>
        <w:adjustRightIn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001D69B4">
      <w:pPr>
        <w:tabs>
          <w:tab w:val="center" w:pos="4832"/>
          <w:tab w:val="left" w:pos="7140"/>
        </w:tabs>
        <w:spacing w:line="360" w:lineRule="auto"/>
        <w:jc w:val="center"/>
        <w:outlineLvl w:val="1"/>
        <w:rPr>
          <w:rFonts w:hint="eastAsia" w:ascii="仿宋" w:hAnsi="仿宋" w:eastAsia="仿宋" w:cs="仿宋"/>
          <w:b/>
          <w:color w:val="auto"/>
          <w:sz w:val="24"/>
          <w:highlight w:val="none"/>
        </w:rPr>
      </w:pPr>
      <w:bookmarkStart w:id="178" w:name="_Toc749"/>
      <w:r>
        <w:rPr>
          <w:rFonts w:hint="eastAsia" w:ascii="仿宋" w:hAnsi="仿宋" w:eastAsia="仿宋" w:cs="仿宋"/>
          <w:b/>
          <w:color w:val="auto"/>
          <w:sz w:val="24"/>
          <w:highlight w:val="none"/>
        </w:rPr>
        <w:t>4.4、具有履行合同所必需的设备和专业技术能力；</w:t>
      </w:r>
      <w:bookmarkEnd w:id="178"/>
    </w:p>
    <w:p w14:paraId="3AB25F92">
      <w:pPr>
        <w:spacing w:line="360" w:lineRule="auto"/>
        <w:rPr>
          <w:rFonts w:hint="eastAsia" w:ascii="仿宋" w:hAnsi="仿宋" w:eastAsia="仿宋" w:cs="仿宋"/>
          <w:color w:val="auto"/>
          <w:sz w:val="24"/>
          <w:highlight w:val="none"/>
        </w:rPr>
      </w:pPr>
    </w:p>
    <w:p w14:paraId="020EBEA0">
      <w:pPr>
        <w:spacing w:line="360" w:lineRule="auto"/>
        <w:rPr>
          <w:rFonts w:hint="eastAsia" w:ascii="仿宋" w:hAnsi="仿宋" w:eastAsia="仿宋" w:cs="仿宋"/>
          <w:color w:val="auto"/>
          <w:sz w:val="24"/>
          <w:highlight w:val="none"/>
        </w:rPr>
      </w:pPr>
    </w:p>
    <w:p w14:paraId="089FC71F">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具有履行合同所必需的设备和专业技术能力的承诺</w:t>
      </w:r>
      <w:bookmarkEnd w:id="177"/>
      <w:r>
        <w:rPr>
          <w:rFonts w:hint="eastAsia" w:ascii="仿宋" w:hAnsi="仿宋" w:eastAsia="仿宋" w:cs="仿宋"/>
          <w:b/>
          <w:color w:val="auto"/>
          <w:sz w:val="24"/>
          <w:highlight w:val="none"/>
        </w:rPr>
        <w:t>函</w:t>
      </w:r>
    </w:p>
    <w:p w14:paraId="76FA12DA">
      <w:pPr>
        <w:adjustRightInd w:val="0"/>
        <w:snapToGrid w:val="0"/>
        <w:spacing w:line="360" w:lineRule="auto"/>
        <w:ind w:firstLine="480" w:firstLineChars="200"/>
        <w:jc w:val="center"/>
        <w:rPr>
          <w:rFonts w:hint="eastAsia" w:ascii="仿宋" w:hAnsi="仿宋" w:eastAsia="仿宋" w:cs="仿宋"/>
          <w:color w:val="auto"/>
          <w:sz w:val="24"/>
          <w:highlight w:val="none"/>
        </w:rPr>
      </w:pPr>
    </w:p>
    <w:p w14:paraId="4BC1A29F">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（采购人名称）</w:t>
      </w:r>
    </w:p>
    <w:p w14:paraId="30E523AC">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p>
    <w:p w14:paraId="117C93F8">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我单位郑重承诺： </w:t>
      </w:r>
    </w:p>
    <w:p w14:paraId="2275A86A">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我单位具备履行</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（项目名称）合同所必需的设备和专业技术能力；</w:t>
      </w:r>
    </w:p>
    <w:p w14:paraId="26313C32">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特此承诺。 </w:t>
      </w:r>
    </w:p>
    <w:p w14:paraId="26AF69FE">
      <w:pPr>
        <w:autoSpaceDE w:val="0"/>
        <w:autoSpaceDN w:val="0"/>
        <w:adjustRightInd w:val="0"/>
        <w:spacing w:line="360" w:lineRule="auto"/>
        <w:jc w:val="left"/>
        <w:rPr>
          <w:rFonts w:hint="eastAsia" w:ascii="仿宋" w:hAnsi="仿宋" w:eastAsia="仿宋" w:cs="仿宋"/>
          <w:color w:val="auto"/>
          <w:kern w:val="0"/>
          <w:sz w:val="24"/>
          <w:highlight w:val="none"/>
        </w:rPr>
      </w:pPr>
    </w:p>
    <w:p w14:paraId="66EBAD45">
      <w:pPr>
        <w:autoSpaceDE w:val="0"/>
        <w:autoSpaceDN w:val="0"/>
        <w:adjustRightInd w:val="0"/>
        <w:spacing w:line="360" w:lineRule="auto"/>
        <w:jc w:val="left"/>
        <w:rPr>
          <w:rFonts w:hint="eastAsia" w:ascii="仿宋" w:hAnsi="仿宋" w:eastAsia="仿宋" w:cs="仿宋"/>
          <w:color w:val="auto"/>
          <w:kern w:val="0"/>
          <w:sz w:val="24"/>
          <w:highlight w:val="none"/>
        </w:rPr>
      </w:pPr>
    </w:p>
    <w:p w14:paraId="0D5EB761">
      <w:pPr>
        <w:autoSpaceDE w:val="0"/>
        <w:autoSpaceDN w:val="0"/>
        <w:adjustRightInd w:val="0"/>
        <w:spacing w:line="360" w:lineRule="auto"/>
        <w:jc w:val="left"/>
        <w:rPr>
          <w:rFonts w:hint="eastAsia" w:ascii="仿宋" w:hAnsi="仿宋" w:eastAsia="仿宋" w:cs="仿宋"/>
          <w:color w:val="auto"/>
          <w:kern w:val="0"/>
          <w:sz w:val="24"/>
          <w:highlight w:val="none"/>
        </w:rPr>
      </w:pPr>
    </w:p>
    <w:p w14:paraId="7730A562">
      <w:pPr>
        <w:autoSpaceDE w:val="0"/>
        <w:autoSpaceDN w:val="0"/>
        <w:adjustRightInd w:val="0"/>
        <w:spacing w:line="360" w:lineRule="auto"/>
        <w:jc w:val="left"/>
        <w:rPr>
          <w:rFonts w:hint="eastAsia" w:ascii="仿宋" w:hAnsi="仿宋" w:eastAsia="仿宋" w:cs="仿宋"/>
          <w:color w:val="auto"/>
          <w:kern w:val="0"/>
          <w:sz w:val="24"/>
          <w:highlight w:val="none"/>
        </w:rPr>
      </w:pPr>
    </w:p>
    <w:p w14:paraId="762EB0E6">
      <w:pPr>
        <w:widowControl/>
        <w:shd w:val="clear" w:color="auto" w:fill="FFFFFF"/>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sz w:val="24"/>
        </w:rPr>
        <w:t>投标人名称</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759D967B">
      <w:pPr>
        <w:widowControl/>
        <w:shd w:val="clear" w:color="auto" w:fill="FFFFFF"/>
        <w:snapToGrid w:val="0"/>
        <w:spacing w:line="360" w:lineRule="auto"/>
        <w:jc w:val="left"/>
        <w:rPr>
          <w:rFonts w:hint="eastAsia" w:ascii="仿宋" w:hAnsi="仿宋" w:eastAsia="仿宋" w:cs="仿宋"/>
          <w:color w:val="auto"/>
          <w:kern w:val="0"/>
          <w:sz w:val="24"/>
          <w:highlight w:val="none"/>
        </w:rPr>
      </w:pPr>
    </w:p>
    <w:p w14:paraId="17519926">
      <w:pPr>
        <w:widowControl/>
        <w:shd w:val="clear" w:color="auto" w:fill="FFFFFF"/>
        <w:snapToGrid w:val="0"/>
        <w:spacing w:line="360" w:lineRule="auto"/>
        <w:jc w:val="left"/>
        <w:rPr>
          <w:rFonts w:hint="eastAsia" w:ascii="仿宋" w:hAnsi="仿宋" w:eastAsia="仿宋" w:cs="仿宋"/>
          <w:color w:val="auto"/>
          <w:kern w:val="0"/>
          <w:sz w:val="24"/>
          <w:highlight w:val="none"/>
        </w:rPr>
      </w:pPr>
    </w:p>
    <w:p w14:paraId="7F9D2E55">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61EF2A0C">
      <w:pPr>
        <w:adjustRightInd w:val="0"/>
        <w:snapToGrid w:val="0"/>
        <w:spacing w:line="360" w:lineRule="auto"/>
        <w:rPr>
          <w:rFonts w:hint="eastAsia" w:ascii="仿宋" w:hAnsi="仿宋" w:eastAsia="仿宋" w:cs="仿宋"/>
          <w:bCs/>
          <w:color w:val="auto"/>
          <w:sz w:val="24"/>
          <w:highlight w:val="none"/>
        </w:rPr>
      </w:pPr>
    </w:p>
    <w:p w14:paraId="7223C4B6">
      <w:pPr>
        <w:spacing w:line="360" w:lineRule="auto"/>
        <w:rPr>
          <w:rFonts w:hint="eastAsia" w:ascii="仿宋" w:hAnsi="仿宋" w:eastAsia="仿宋" w:cs="仿宋"/>
          <w:color w:val="auto"/>
          <w:sz w:val="24"/>
          <w:highlight w:val="none"/>
        </w:rPr>
      </w:pPr>
    </w:p>
    <w:p w14:paraId="3680DB89">
      <w:pPr>
        <w:spacing w:line="360" w:lineRule="auto"/>
        <w:rPr>
          <w:rFonts w:hint="eastAsia" w:ascii="仿宋" w:hAnsi="仿宋" w:eastAsia="仿宋" w:cs="仿宋"/>
          <w:color w:val="auto"/>
          <w:sz w:val="24"/>
          <w:highlight w:val="none"/>
        </w:rPr>
      </w:pPr>
    </w:p>
    <w:p w14:paraId="13F9BFD7">
      <w:pPr>
        <w:spacing w:line="360" w:lineRule="auto"/>
        <w:rPr>
          <w:rFonts w:hint="eastAsia" w:ascii="仿宋" w:hAnsi="仿宋" w:eastAsia="仿宋" w:cs="仿宋"/>
          <w:color w:val="auto"/>
          <w:sz w:val="24"/>
          <w:highlight w:val="none"/>
        </w:rPr>
      </w:pPr>
    </w:p>
    <w:p w14:paraId="7B9EC36A">
      <w:pPr>
        <w:spacing w:line="360" w:lineRule="auto"/>
        <w:rPr>
          <w:rFonts w:hint="eastAsia" w:ascii="仿宋" w:hAnsi="仿宋" w:eastAsia="仿宋" w:cs="仿宋"/>
          <w:color w:val="auto"/>
          <w:sz w:val="24"/>
          <w:highlight w:val="none"/>
        </w:rPr>
      </w:pPr>
    </w:p>
    <w:p w14:paraId="7B6F9670">
      <w:pPr>
        <w:spacing w:line="360" w:lineRule="auto"/>
        <w:rPr>
          <w:rFonts w:hint="eastAsia" w:ascii="仿宋" w:hAnsi="仿宋" w:eastAsia="仿宋" w:cs="仿宋"/>
          <w:color w:val="auto"/>
          <w:sz w:val="24"/>
          <w:highlight w:val="none"/>
        </w:rPr>
      </w:pPr>
    </w:p>
    <w:p w14:paraId="6D9B2A4A">
      <w:pPr>
        <w:spacing w:line="360" w:lineRule="auto"/>
        <w:rPr>
          <w:rFonts w:hint="eastAsia" w:ascii="仿宋" w:hAnsi="仿宋" w:eastAsia="仿宋" w:cs="仿宋"/>
          <w:color w:val="auto"/>
          <w:sz w:val="24"/>
          <w:highlight w:val="none"/>
        </w:rPr>
      </w:pPr>
    </w:p>
    <w:p w14:paraId="32A7D5AC">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E1E8CF2">
      <w:pPr>
        <w:adjustRightInd w:val="0"/>
        <w:snapToGrid w:val="0"/>
        <w:spacing w:line="360" w:lineRule="auto"/>
        <w:jc w:val="center"/>
        <w:outlineLvl w:val="1"/>
        <w:rPr>
          <w:rFonts w:hint="eastAsia" w:ascii="仿宋" w:hAnsi="仿宋" w:eastAsia="仿宋" w:cs="仿宋"/>
          <w:b/>
          <w:color w:val="auto"/>
          <w:sz w:val="24"/>
          <w:highlight w:val="none"/>
        </w:rPr>
      </w:pPr>
      <w:bookmarkStart w:id="179" w:name="_Toc128476881"/>
      <w:bookmarkStart w:id="180" w:name="_Toc113901852"/>
      <w:bookmarkStart w:id="181" w:name="_Toc32430"/>
      <w:bookmarkStart w:id="182" w:name="_Toc4038"/>
      <w:bookmarkStart w:id="183" w:name="_Toc16485"/>
      <w:bookmarkStart w:id="184" w:name="_Toc142664981"/>
      <w:bookmarkStart w:id="185" w:name="_Toc111556490"/>
      <w:r>
        <w:rPr>
          <w:rFonts w:hint="eastAsia" w:ascii="仿宋" w:hAnsi="仿宋" w:eastAsia="仿宋" w:cs="仿宋"/>
          <w:b/>
          <w:color w:val="auto"/>
          <w:sz w:val="24"/>
          <w:highlight w:val="none"/>
        </w:rPr>
        <w:t>4.5、参加政府采购活动前3年内在经营活动中没有重大违法记录的书面声明</w:t>
      </w:r>
      <w:bookmarkEnd w:id="179"/>
      <w:bookmarkEnd w:id="180"/>
      <w:bookmarkEnd w:id="181"/>
      <w:bookmarkEnd w:id="182"/>
      <w:bookmarkEnd w:id="183"/>
      <w:bookmarkEnd w:id="184"/>
    </w:p>
    <w:bookmarkEnd w:id="185"/>
    <w:p w14:paraId="40CC31B5">
      <w:pPr>
        <w:widowControl/>
        <w:adjustRightInd w:val="0"/>
        <w:snapToGrid w:val="0"/>
        <w:spacing w:line="360" w:lineRule="auto"/>
        <w:rPr>
          <w:rFonts w:hint="eastAsia" w:ascii="仿宋" w:hAnsi="仿宋" w:eastAsia="仿宋" w:cs="仿宋"/>
          <w:color w:val="auto"/>
          <w:sz w:val="24"/>
          <w:highlight w:val="none"/>
        </w:rPr>
      </w:pPr>
    </w:p>
    <w:p w14:paraId="36763B65">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（采购人名称）</w:t>
      </w:r>
    </w:p>
    <w:p w14:paraId="57B50273">
      <w:pPr>
        <w:adjustRightInd w:val="0"/>
        <w:snapToGrid w:val="0"/>
        <w:spacing w:line="360" w:lineRule="auto"/>
        <w:ind w:firstLine="480" w:firstLineChars="200"/>
        <w:rPr>
          <w:rFonts w:hint="eastAsia" w:ascii="仿宋" w:hAnsi="仿宋" w:eastAsia="仿宋" w:cs="仿宋"/>
          <w:color w:val="auto"/>
          <w:sz w:val="24"/>
          <w:highlight w:val="none"/>
        </w:rPr>
      </w:pPr>
    </w:p>
    <w:p w14:paraId="008B7630">
      <w:pPr>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我单位在参与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rPr>
        <w:t>前三年内（以</w:t>
      </w:r>
      <w:r>
        <w:rPr>
          <w:rFonts w:hint="eastAsia" w:ascii="仿宋" w:hAnsi="仿宋" w:eastAsia="仿宋" w:cs="仿宋"/>
          <w:color w:val="auto"/>
          <w:sz w:val="24"/>
          <w:highlight w:val="none"/>
        </w:rPr>
        <w:t>响应文件递交截止之日为期限</w:t>
      </w:r>
      <w:r>
        <w:rPr>
          <w:rFonts w:hint="eastAsia" w:ascii="仿宋" w:hAnsi="仿宋" w:eastAsia="仿宋" w:cs="仿宋"/>
          <w:color w:val="auto"/>
          <w:kern w:val="0"/>
          <w:sz w:val="24"/>
          <w:highlight w:val="none"/>
        </w:rPr>
        <w:t>）在经营活动中没有重大违法记录。</w:t>
      </w:r>
    </w:p>
    <w:p w14:paraId="4AFA3DE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若贵方在本项目采购过程中发现我方参加政府采购活动前三年内有重大违法记录；</w:t>
      </w:r>
      <w:r>
        <w:rPr>
          <w:rFonts w:hint="eastAsia" w:ascii="仿宋" w:hAnsi="仿宋" w:eastAsia="仿宋" w:cs="仿宋"/>
          <w:color w:val="auto"/>
          <w:kern w:val="0"/>
          <w:sz w:val="24"/>
          <w:highlight w:val="none"/>
        </w:rPr>
        <w:t>我单位</w:t>
      </w:r>
      <w:r>
        <w:rPr>
          <w:rFonts w:hint="eastAsia" w:ascii="仿宋" w:hAnsi="仿宋" w:eastAsia="仿宋" w:cs="仿宋"/>
          <w:color w:val="auto"/>
          <w:sz w:val="24"/>
          <w:highlight w:val="none"/>
        </w:rPr>
        <w:t>将无条件退出本项目的投标，并承担因此引起的一切后果。我方对此声明负全部法律责任。</w:t>
      </w:r>
    </w:p>
    <w:p w14:paraId="2E9732D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27E92323">
      <w:pPr>
        <w:adjustRightInd w:val="0"/>
        <w:snapToGrid w:val="0"/>
        <w:spacing w:line="360" w:lineRule="auto"/>
        <w:ind w:firstLine="480" w:firstLineChars="200"/>
        <w:rPr>
          <w:rFonts w:hint="eastAsia" w:ascii="仿宋" w:hAnsi="仿宋" w:eastAsia="仿宋" w:cs="仿宋"/>
          <w:color w:val="auto"/>
          <w:sz w:val="24"/>
          <w:highlight w:val="none"/>
        </w:rPr>
      </w:pPr>
    </w:p>
    <w:p w14:paraId="77E19870">
      <w:pPr>
        <w:adjustRightInd w:val="0"/>
        <w:snapToGrid w:val="0"/>
        <w:spacing w:line="360" w:lineRule="auto"/>
        <w:ind w:firstLine="480" w:firstLineChars="200"/>
        <w:rPr>
          <w:rFonts w:hint="eastAsia" w:ascii="仿宋" w:hAnsi="仿宋" w:eastAsia="仿宋" w:cs="仿宋"/>
          <w:color w:val="auto"/>
          <w:sz w:val="24"/>
          <w:highlight w:val="none"/>
        </w:rPr>
      </w:pPr>
    </w:p>
    <w:p w14:paraId="1752900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18297AB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若供应商在响应文件递交截止之日成立时间不足三年，以自成立以来的时间计取。</w:t>
      </w:r>
    </w:p>
    <w:p w14:paraId="679BF72E">
      <w:pPr>
        <w:adjustRightInd w:val="0"/>
        <w:snapToGrid w:val="0"/>
        <w:spacing w:line="360" w:lineRule="auto"/>
        <w:ind w:firstLine="480" w:firstLineChars="200"/>
        <w:rPr>
          <w:rFonts w:hint="eastAsia" w:ascii="仿宋" w:hAnsi="仿宋" w:eastAsia="仿宋" w:cs="仿宋"/>
          <w:color w:val="auto"/>
          <w:kern w:val="0"/>
          <w:sz w:val="24"/>
          <w:highlight w:val="none"/>
        </w:rPr>
      </w:pPr>
    </w:p>
    <w:p w14:paraId="0C6277DB">
      <w:pPr>
        <w:adjustRightInd w:val="0"/>
        <w:snapToGrid w:val="0"/>
        <w:spacing w:line="360" w:lineRule="auto"/>
        <w:ind w:firstLine="3112" w:firstLineChars="1297"/>
        <w:rPr>
          <w:rFonts w:hint="eastAsia" w:ascii="仿宋" w:hAnsi="仿宋" w:eastAsia="仿宋" w:cs="仿宋"/>
          <w:color w:val="auto"/>
          <w:sz w:val="24"/>
          <w:highlight w:val="none"/>
        </w:rPr>
      </w:pPr>
    </w:p>
    <w:p w14:paraId="65CBC133">
      <w:pPr>
        <w:widowControl/>
        <w:shd w:val="clear" w:color="auto" w:fill="FFFFFF"/>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sz w:val="24"/>
        </w:rPr>
        <w:t>投标人名称</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73A549DF">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rPr>
      </w:pPr>
    </w:p>
    <w:p w14:paraId="6DBD3922">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rPr>
      </w:pPr>
    </w:p>
    <w:p w14:paraId="651904F5">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35DD1E24">
      <w:pPr>
        <w:widowControl/>
        <w:shd w:val="clear" w:color="auto" w:fill="FFFFFF"/>
        <w:snapToGrid w:val="0"/>
        <w:spacing w:line="360" w:lineRule="auto"/>
        <w:ind w:firstLine="420"/>
        <w:rPr>
          <w:rFonts w:hint="eastAsia" w:ascii="仿宋" w:hAnsi="仿宋" w:eastAsia="仿宋" w:cs="仿宋"/>
          <w:color w:val="auto"/>
          <w:kern w:val="0"/>
          <w:sz w:val="24"/>
          <w:highlight w:val="none"/>
        </w:rPr>
      </w:pPr>
    </w:p>
    <w:p w14:paraId="283FD3E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7A06B18F">
      <w:pPr>
        <w:adjustRightInd w:val="0"/>
        <w:snapToGrid w:val="0"/>
        <w:spacing w:line="360" w:lineRule="auto"/>
        <w:jc w:val="center"/>
        <w:outlineLvl w:val="1"/>
        <w:rPr>
          <w:rFonts w:hint="eastAsia" w:ascii="仿宋" w:hAnsi="仿宋" w:eastAsia="仿宋" w:cs="仿宋"/>
          <w:b/>
          <w:color w:val="auto"/>
          <w:sz w:val="24"/>
          <w:highlight w:val="none"/>
        </w:rPr>
      </w:pPr>
      <w:bookmarkStart w:id="186" w:name="_Toc13474"/>
      <w:r>
        <w:rPr>
          <w:rFonts w:hint="eastAsia" w:ascii="仿宋" w:hAnsi="仿宋" w:eastAsia="仿宋" w:cs="仿宋"/>
          <w:b/>
          <w:color w:val="auto"/>
          <w:sz w:val="24"/>
          <w:highlight w:val="none"/>
        </w:rPr>
        <w:t>4.6、不存在与参加本项目的其它供应商单位负责人为同一人或者存在直接控股、管理关系承诺函</w:t>
      </w:r>
      <w:bookmarkEnd w:id="186"/>
    </w:p>
    <w:p w14:paraId="30CD28CB">
      <w:pPr>
        <w:widowControl/>
        <w:adjustRightInd w:val="0"/>
        <w:snapToGrid w:val="0"/>
        <w:spacing w:line="360" w:lineRule="auto"/>
        <w:jc w:val="left"/>
        <w:rPr>
          <w:rFonts w:hint="eastAsia" w:ascii="仿宋" w:hAnsi="仿宋" w:eastAsia="仿宋" w:cs="仿宋"/>
          <w:color w:val="auto"/>
          <w:spacing w:val="6"/>
          <w:kern w:val="0"/>
          <w:sz w:val="24"/>
          <w:highlight w:val="none"/>
        </w:rPr>
      </w:pPr>
    </w:p>
    <w:p w14:paraId="6926BBA1">
      <w:pPr>
        <w:widowControl/>
        <w:adjustRightInd w:val="0"/>
        <w:snapToGrid w:val="0"/>
        <w:spacing w:line="360" w:lineRule="auto"/>
        <w:jc w:val="left"/>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u w:val="single"/>
        </w:rPr>
        <w:t xml:space="preserve">    采购人    </w:t>
      </w:r>
      <w:r>
        <w:rPr>
          <w:rFonts w:hint="eastAsia" w:ascii="仿宋" w:hAnsi="仿宋" w:eastAsia="仿宋" w:cs="仿宋"/>
          <w:color w:val="auto"/>
          <w:spacing w:val="6"/>
          <w:kern w:val="0"/>
          <w:sz w:val="24"/>
          <w:highlight w:val="none"/>
        </w:rPr>
        <w:t>：</w:t>
      </w:r>
    </w:p>
    <w:p w14:paraId="71A070A4">
      <w:pPr>
        <w:spacing w:line="360" w:lineRule="auto"/>
        <w:ind w:firstLine="480" w:firstLineChars="200"/>
        <w:rPr>
          <w:rFonts w:hint="eastAsia" w:ascii="仿宋" w:hAnsi="仿宋" w:eastAsia="仿宋" w:cs="仿宋"/>
          <w:bCs/>
          <w:color w:val="auto"/>
          <w:sz w:val="24"/>
          <w:highlight w:val="none"/>
          <w:shd w:val="clear" w:color="auto" w:fill="FFFFFF" w:themeFill="background1"/>
        </w:rPr>
      </w:pPr>
      <w:r>
        <w:rPr>
          <w:rFonts w:hint="eastAsia" w:ascii="仿宋" w:hAnsi="仿宋" w:eastAsia="仿宋" w:cs="仿宋"/>
          <w:bCs/>
          <w:color w:val="auto"/>
          <w:sz w:val="24"/>
          <w:highlight w:val="none"/>
          <w:shd w:val="clear" w:color="auto" w:fill="FFFFFF" w:themeFill="background1"/>
        </w:rPr>
        <w:t>我公司参加贵单位组织的</w:t>
      </w:r>
      <w:r>
        <w:rPr>
          <w:rFonts w:hint="eastAsia" w:ascii="仿宋" w:hAnsi="仿宋" w:eastAsia="仿宋" w:cs="仿宋"/>
          <w:bCs/>
          <w:color w:val="auto"/>
          <w:sz w:val="24"/>
          <w:highlight w:val="none"/>
          <w:u w:val="single"/>
          <w:shd w:val="clear" w:color="auto" w:fill="FFFFFF" w:themeFill="background1"/>
        </w:rPr>
        <w:t xml:space="preserve">      </w:t>
      </w:r>
      <w:r>
        <w:rPr>
          <w:rFonts w:hint="eastAsia" w:ascii="仿宋" w:hAnsi="仿宋" w:eastAsia="仿宋" w:cs="仿宋"/>
          <w:bCs/>
          <w:color w:val="auto"/>
          <w:sz w:val="24"/>
          <w:highlight w:val="none"/>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73E493CE">
      <w:pPr>
        <w:widowControl/>
        <w:adjustRightInd w:val="0"/>
        <w:snapToGrid w:val="0"/>
        <w:spacing w:line="360" w:lineRule="auto"/>
        <w:ind w:firstLine="504" w:firstLineChars="200"/>
        <w:rPr>
          <w:rFonts w:hint="eastAsia" w:ascii="仿宋" w:hAnsi="仿宋" w:eastAsia="仿宋" w:cs="仿宋"/>
          <w:color w:val="auto"/>
          <w:spacing w:val="6"/>
          <w:kern w:val="0"/>
          <w:sz w:val="24"/>
          <w:highlight w:val="none"/>
        </w:rPr>
      </w:pPr>
    </w:p>
    <w:p w14:paraId="01BBACA5">
      <w:pPr>
        <w:widowControl/>
        <w:adjustRightInd w:val="0"/>
        <w:snapToGrid w:val="0"/>
        <w:spacing w:line="360" w:lineRule="auto"/>
        <w:ind w:firstLine="504" w:firstLineChars="200"/>
        <w:rPr>
          <w:rFonts w:hint="eastAsia" w:ascii="仿宋" w:hAnsi="仿宋" w:eastAsia="仿宋" w:cs="仿宋"/>
          <w:color w:val="auto"/>
          <w:spacing w:val="6"/>
          <w:kern w:val="0"/>
          <w:sz w:val="24"/>
          <w:highlight w:val="none"/>
        </w:rPr>
      </w:pPr>
    </w:p>
    <w:p w14:paraId="7930C88F">
      <w:pPr>
        <w:widowControl/>
        <w:adjustRightInd w:val="0"/>
        <w:snapToGrid w:val="0"/>
        <w:spacing w:line="360" w:lineRule="auto"/>
        <w:ind w:firstLine="504" w:firstLineChars="200"/>
        <w:rPr>
          <w:rFonts w:hint="eastAsia" w:ascii="仿宋" w:hAnsi="仿宋" w:eastAsia="仿宋" w:cs="仿宋"/>
          <w:color w:val="auto"/>
          <w:spacing w:val="6"/>
          <w:kern w:val="0"/>
          <w:sz w:val="24"/>
          <w:highlight w:val="none"/>
        </w:rPr>
      </w:pPr>
    </w:p>
    <w:p w14:paraId="7E6C00F3">
      <w:pPr>
        <w:widowControl/>
        <w:adjustRightInd w:val="0"/>
        <w:snapToGrid w:val="0"/>
        <w:spacing w:line="360" w:lineRule="auto"/>
        <w:ind w:firstLine="504" w:firstLineChars="200"/>
        <w:rPr>
          <w:rFonts w:hint="eastAsia" w:ascii="仿宋" w:hAnsi="仿宋" w:eastAsia="仿宋" w:cs="仿宋"/>
          <w:color w:val="auto"/>
          <w:spacing w:val="6"/>
          <w:kern w:val="0"/>
          <w:sz w:val="24"/>
          <w:highlight w:val="none"/>
        </w:rPr>
      </w:pPr>
    </w:p>
    <w:p w14:paraId="7F7D435B">
      <w:pPr>
        <w:widowControl/>
        <w:shd w:val="clear" w:color="auto" w:fill="FFFFFF"/>
        <w:snapToGrid w:val="0"/>
        <w:spacing w:line="360" w:lineRule="auto"/>
        <w:jc w:val="left"/>
        <w:rPr>
          <w:rFonts w:hint="eastAsia" w:ascii="仿宋" w:hAnsi="仿宋" w:eastAsia="仿宋" w:cs="仿宋"/>
          <w:color w:val="auto"/>
          <w:kern w:val="0"/>
          <w:sz w:val="24"/>
          <w:highlight w:val="none"/>
          <w:shd w:val="clear" w:color="auto" w:fill="FFFFFF" w:themeFill="background1"/>
        </w:rPr>
      </w:pPr>
      <w:r>
        <w:rPr>
          <w:rFonts w:hint="eastAsia" w:ascii="仿宋" w:hAnsi="仿宋" w:eastAsia="仿宋" w:cs="仿宋"/>
          <w:sz w:val="24"/>
        </w:rPr>
        <w:t>投标人名称</w:t>
      </w:r>
      <w:r>
        <w:rPr>
          <w:rFonts w:hint="eastAsia" w:ascii="仿宋" w:hAnsi="仿宋" w:eastAsia="仿宋" w:cs="仿宋"/>
          <w:color w:val="auto"/>
          <w:kern w:val="0"/>
          <w:sz w:val="24"/>
          <w:highlight w:val="none"/>
          <w:shd w:val="clear" w:color="auto" w:fill="FFFFFF" w:themeFill="background1"/>
        </w:rPr>
        <w:t>：</w:t>
      </w:r>
      <w:r>
        <w:rPr>
          <w:rFonts w:hint="eastAsia" w:ascii="仿宋" w:hAnsi="仿宋" w:eastAsia="仿宋" w:cs="仿宋"/>
          <w:color w:val="auto"/>
          <w:kern w:val="0"/>
          <w:sz w:val="24"/>
          <w:highlight w:val="none"/>
          <w:u w:val="single"/>
          <w:shd w:val="clear" w:color="auto" w:fill="FFFFFF" w:themeFill="background1"/>
        </w:rPr>
        <w:t xml:space="preserve">               </w:t>
      </w:r>
      <w:r>
        <w:rPr>
          <w:rFonts w:hint="eastAsia" w:ascii="仿宋" w:hAnsi="仿宋" w:eastAsia="仿宋" w:cs="仿宋"/>
          <w:color w:val="auto"/>
          <w:kern w:val="0"/>
          <w:sz w:val="24"/>
          <w:highlight w:val="none"/>
          <w:shd w:val="clear" w:color="auto" w:fill="FFFFFF" w:themeFill="background1"/>
        </w:rPr>
        <w:t>（盖章）</w:t>
      </w:r>
    </w:p>
    <w:p w14:paraId="40A137AF">
      <w:pPr>
        <w:widowControl/>
        <w:shd w:val="clear" w:color="auto" w:fill="FFFFFF"/>
        <w:snapToGrid w:val="0"/>
        <w:spacing w:line="360" w:lineRule="auto"/>
        <w:jc w:val="left"/>
        <w:rPr>
          <w:rFonts w:hint="eastAsia" w:ascii="仿宋" w:hAnsi="仿宋" w:eastAsia="仿宋" w:cs="仿宋"/>
          <w:color w:val="auto"/>
          <w:kern w:val="0"/>
          <w:sz w:val="24"/>
          <w:highlight w:val="none"/>
          <w:shd w:val="clear" w:color="auto" w:fill="FFFFFF" w:themeFill="background1"/>
        </w:rPr>
      </w:pPr>
    </w:p>
    <w:p w14:paraId="09669A4B">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 xml:space="preserve">                                               日期： 年  月  日</w:t>
      </w:r>
    </w:p>
    <w:p w14:paraId="5C8B007B">
      <w:pPr>
        <w:widowControl/>
        <w:adjustRightInd w:val="0"/>
        <w:snapToGrid w:val="0"/>
        <w:spacing w:line="360" w:lineRule="auto"/>
        <w:ind w:firstLine="504" w:firstLineChars="200"/>
        <w:rPr>
          <w:rFonts w:hint="eastAsia" w:ascii="仿宋" w:hAnsi="仿宋" w:eastAsia="仿宋" w:cs="仿宋"/>
          <w:color w:val="auto"/>
          <w:spacing w:val="6"/>
          <w:kern w:val="0"/>
          <w:sz w:val="24"/>
          <w:highlight w:val="none"/>
        </w:rPr>
        <w:sectPr>
          <w:footerReference r:id="rId10" w:type="default"/>
          <w:pgSz w:w="11906" w:h="16838"/>
          <w:pgMar w:top="1304" w:right="1418" w:bottom="1304" w:left="1418" w:header="851" w:footer="992" w:gutter="0"/>
          <w:pgNumType w:fmt="decimal" w:start="1"/>
          <w:cols w:space="720" w:num="1"/>
          <w:docGrid w:type="lines" w:linePitch="312" w:charSpace="0"/>
        </w:sectPr>
      </w:pPr>
    </w:p>
    <w:p w14:paraId="0EFBC9E9">
      <w:pPr>
        <w:adjustRightInd w:val="0"/>
        <w:snapToGrid w:val="0"/>
        <w:spacing w:line="360" w:lineRule="auto"/>
        <w:jc w:val="center"/>
        <w:outlineLvl w:val="1"/>
        <w:rPr>
          <w:rFonts w:hint="eastAsia" w:ascii="仿宋" w:hAnsi="仿宋" w:eastAsia="仿宋" w:cs="仿宋"/>
          <w:b/>
          <w:color w:val="auto"/>
          <w:sz w:val="24"/>
          <w:highlight w:val="none"/>
        </w:rPr>
      </w:pPr>
      <w:bookmarkStart w:id="187" w:name="_Toc13040"/>
      <w:r>
        <w:rPr>
          <w:rFonts w:hint="eastAsia" w:ascii="仿宋" w:hAnsi="仿宋" w:eastAsia="仿宋" w:cs="仿宋"/>
          <w:b/>
          <w:color w:val="auto"/>
          <w:sz w:val="24"/>
          <w:highlight w:val="none"/>
        </w:rPr>
        <w:t>4.7、未提供本采购项目的整体设计、规范编制或者项目管理、监理、检测等服务的承诺函</w:t>
      </w:r>
      <w:bookmarkEnd w:id="187"/>
    </w:p>
    <w:p w14:paraId="2590ABFA">
      <w:pPr>
        <w:spacing w:line="360" w:lineRule="auto"/>
        <w:ind w:firstLine="480" w:firstLineChars="200"/>
        <w:rPr>
          <w:rFonts w:hint="eastAsia" w:ascii="仿宋" w:hAnsi="仿宋" w:eastAsia="仿宋" w:cs="仿宋"/>
          <w:color w:val="auto"/>
          <w:sz w:val="24"/>
          <w:highlight w:val="none"/>
          <w:shd w:val="clear" w:color="auto" w:fill="FFFFFF" w:themeFill="background1"/>
        </w:rPr>
      </w:pPr>
    </w:p>
    <w:p w14:paraId="3F966898">
      <w:pPr>
        <w:widowControl/>
        <w:adjustRightInd w:val="0"/>
        <w:snapToGrid w:val="0"/>
        <w:spacing w:line="360" w:lineRule="auto"/>
        <w:jc w:val="left"/>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u w:val="single"/>
        </w:rPr>
        <w:t xml:space="preserve">   采购人    </w:t>
      </w:r>
      <w:r>
        <w:rPr>
          <w:rFonts w:hint="eastAsia" w:ascii="仿宋" w:hAnsi="仿宋" w:eastAsia="仿宋" w:cs="仿宋"/>
          <w:color w:val="auto"/>
          <w:spacing w:val="6"/>
          <w:kern w:val="0"/>
          <w:sz w:val="24"/>
          <w:highlight w:val="none"/>
        </w:rPr>
        <w:t>：</w:t>
      </w:r>
    </w:p>
    <w:p w14:paraId="17FC34AD">
      <w:pPr>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bCs/>
          <w:color w:val="auto"/>
          <w:sz w:val="24"/>
          <w:highlight w:val="none"/>
          <w:shd w:val="clear" w:color="auto" w:fill="FFFFFF" w:themeFill="background1"/>
        </w:rPr>
        <w:t xml:space="preserve">我公司承诺在 </w:t>
      </w:r>
      <w:r>
        <w:rPr>
          <w:rFonts w:hint="eastAsia" w:ascii="仿宋" w:hAnsi="仿宋" w:eastAsia="仿宋" w:cs="仿宋"/>
          <w:bCs/>
          <w:color w:val="auto"/>
          <w:sz w:val="24"/>
          <w:highlight w:val="none"/>
          <w:u w:val="single"/>
          <w:shd w:val="clear" w:color="auto" w:fill="FFFFFF" w:themeFill="background1"/>
        </w:rPr>
        <w:t xml:space="preserve">    </w:t>
      </w:r>
      <w:r>
        <w:rPr>
          <w:rFonts w:hint="eastAsia" w:ascii="仿宋" w:hAnsi="仿宋" w:eastAsia="仿宋" w:cs="仿宋"/>
          <w:bCs/>
          <w:color w:val="auto"/>
          <w:sz w:val="24"/>
          <w:highlight w:val="none"/>
          <w:shd w:val="clear" w:color="auto" w:fill="FFFFFF" w:themeFill="background1"/>
        </w:rPr>
        <w:t>（项目名称）招标活动中，除单一来源采购项目外，未提供本项目整体设计、规范编制或者项目管理、监理、检测等服务。我公司对上述承诺的真实性负责。如有虚假，将依法承担相应责任。特此承诺！</w:t>
      </w:r>
    </w:p>
    <w:p w14:paraId="3C6DA157">
      <w:pPr>
        <w:widowControl/>
        <w:adjustRightInd w:val="0"/>
        <w:snapToGrid w:val="0"/>
        <w:spacing w:line="360" w:lineRule="auto"/>
        <w:rPr>
          <w:rFonts w:hint="eastAsia" w:ascii="仿宋" w:hAnsi="仿宋" w:eastAsia="仿宋" w:cs="仿宋"/>
          <w:color w:val="auto"/>
          <w:spacing w:val="6"/>
          <w:kern w:val="0"/>
          <w:sz w:val="24"/>
          <w:highlight w:val="none"/>
        </w:rPr>
      </w:pPr>
    </w:p>
    <w:p w14:paraId="1F087129">
      <w:pPr>
        <w:widowControl/>
        <w:adjustRightInd w:val="0"/>
        <w:snapToGrid w:val="0"/>
        <w:spacing w:line="360" w:lineRule="auto"/>
        <w:rPr>
          <w:rFonts w:hint="eastAsia" w:ascii="仿宋" w:hAnsi="仿宋" w:eastAsia="仿宋" w:cs="仿宋"/>
          <w:color w:val="auto"/>
          <w:spacing w:val="6"/>
          <w:kern w:val="0"/>
          <w:sz w:val="24"/>
          <w:highlight w:val="none"/>
        </w:rPr>
      </w:pPr>
    </w:p>
    <w:p w14:paraId="5ABF93D8">
      <w:pPr>
        <w:widowControl/>
        <w:adjustRightInd w:val="0"/>
        <w:snapToGrid w:val="0"/>
        <w:spacing w:line="360" w:lineRule="auto"/>
        <w:rPr>
          <w:rFonts w:hint="eastAsia" w:ascii="仿宋" w:hAnsi="仿宋" w:eastAsia="仿宋" w:cs="仿宋"/>
          <w:color w:val="auto"/>
          <w:spacing w:val="6"/>
          <w:kern w:val="0"/>
          <w:sz w:val="24"/>
          <w:highlight w:val="none"/>
        </w:rPr>
      </w:pPr>
    </w:p>
    <w:p w14:paraId="5D405A6E">
      <w:pPr>
        <w:widowControl/>
        <w:shd w:val="clear" w:color="auto" w:fill="FFFFFF"/>
        <w:snapToGrid w:val="0"/>
        <w:spacing w:line="360" w:lineRule="auto"/>
        <w:jc w:val="left"/>
        <w:rPr>
          <w:rFonts w:hint="eastAsia" w:ascii="仿宋" w:hAnsi="仿宋" w:eastAsia="仿宋" w:cs="仿宋"/>
          <w:color w:val="auto"/>
          <w:kern w:val="0"/>
          <w:sz w:val="24"/>
          <w:highlight w:val="none"/>
          <w:shd w:val="clear" w:color="auto" w:fill="FFFFFF" w:themeFill="background1"/>
        </w:rPr>
      </w:pPr>
      <w:r>
        <w:rPr>
          <w:rFonts w:hint="eastAsia" w:ascii="仿宋" w:hAnsi="仿宋" w:eastAsia="仿宋" w:cs="仿宋"/>
          <w:sz w:val="24"/>
        </w:rPr>
        <w:t>投标人名称</w:t>
      </w:r>
      <w:r>
        <w:rPr>
          <w:rFonts w:hint="eastAsia" w:ascii="仿宋" w:hAnsi="仿宋" w:eastAsia="仿宋" w:cs="仿宋"/>
          <w:color w:val="auto"/>
          <w:kern w:val="0"/>
          <w:sz w:val="24"/>
          <w:highlight w:val="none"/>
          <w:shd w:val="clear" w:color="auto" w:fill="FFFFFF" w:themeFill="background1"/>
        </w:rPr>
        <w:t>：</w:t>
      </w:r>
      <w:r>
        <w:rPr>
          <w:rFonts w:hint="eastAsia" w:ascii="仿宋" w:hAnsi="仿宋" w:eastAsia="仿宋" w:cs="仿宋"/>
          <w:color w:val="auto"/>
          <w:kern w:val="0"/>
          <w:sz w:val="24"/>
          <w:highlight w:val="none"/>
          <w:u w:val="single"/>
          <w:shd w:val="clear" w:color="auto" w:fill="FFFFFF" w:themeFill="background1"/>
        </w:rPr>
        <w:t xml:space="preserve">               </w:t>
      </w:r>
      <w:r>
        <w:rPr>
          <w:rFonts w:hint="eastAsia" w:ascii="仿宋" w:hAnsi="仿宋" w:eastAsia="仿宋" w:cs="仿宋"/>
          <w:color w:val="auto"/>
          <w:kern w:val="0"/>
          <w:sz w:val="24"/>
          <w:highlight w:val="none"/>
          <w:shd w:val="clear" w:color="auto" w:fill="FFFFFF" w:themeFill="background1"/>
        </w:rPr>
        <w:t>（盖章）</w:t>
      </w:r>
    </w:p>
    <w:p w14:paraId="7ADBB6A1">
      <w:pPr>
        <w:widowControl/>
        <w:shd w:val="clear" w:color="auto" w:fill="FFFFFF"/>
        <w:snapToGrid w:val="0"/>
        <w:spacing w:line="360" w:lineRule="auto"/>
        <w:jc w:val="left"/>
        <w:rPr>
          <w:rFonts w:hint="eastAsia" w:ascii="仿宋" w:hAnsi="仿宋" w:eastAsia="仿宋" w:cs="仿宋"/>
          <w:color w:val="auto"/>
          <w:kern w:val="0"/>
          <w:sz w:val="24"/>
          <w:highlight w:val="none"/>
          <w:shd w:val="clear" w:color="auto" w:fill="FFFFFF" w:themeFill="background1"/>
        </w:rPr>
      </w:pPr>
    </w:p>
    <w:p w14:paraId="6BBADAD9">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 xml:space="preserve">                                               日期： 年  月  日</w:t>
      </w:r>
    </w:p>
    <w:p w14:paraId="586802FA">
      <w:pPr>
        <w:adjustRightInd w:val="0"/>
        <w:spacing w:line="360" w:lineRule="auto"/>
        <w:ind w:firstLine="480" w:firstLineChars="200"/>
        <w:jc w:val="center"/>
        <w:rPr>
          <w:rFonts w:hint="eastAsia" w:ascii="仿宋" w:hAnsi="仿宋" w:eastAsia="仿宋" w:cs="仿宋"/>
          <w:bCs/>
          <w:color w:val="auto"/>
          <w:sz w:val="24"/>
          <w:highlight w:val="none"/>
        </w:rPr>
      </w:pPr>
    </w:p>
    <w:p w14:paraId="2028D0D1">
      <w:pPr>
        <w:adjustRightInd w:val="0"/>
        <w:spacing w:line="360" w:lineRule="auto"/>
        <w:ind w:firstLine="480" w:firstLineChars="200"/>
        <w:jc w:val="center"/>
        <w:rPr>
          <w:rFonts w:hint="eastAsia" w:ascii="仿宋" w:hAnsi="仿宋" w:eastAsia="仿宋" w:cs="仿宋"/>
          <w:bCs/>
          <w:color w:val="auto"/>
          <w:sz w:val="24"/>
          <w:highlight w:val="none"/>
        </w:rPr>
      </w:pPr>
    </w:p>
    <w:p w14:paraId="5D34EBE4">
      <w:pPr>
        <w:adjustRightInd w:val="0"/>
        <w:spacing w:line="360" w:lineRule="auto"/>
        <w:ind w:firstLine="480" w:firstLineChars="200"/>
        <w:jc w:val="center"/>
        <w:outlineLvl w:val="1"/>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br w:type="page"/>
      </w:r>
      <w:bookmarkStart w:id="188" w:name="_Toc17444"/>
      <w:r>
        <w:rPr>
          <w:rFonts w:hint="eastAsia" w:ascii="仿宋" w:hAnsi="仿宋" w:eastAsia="仿宋" w:cs="仿宋"/>
          <w:b/>
          <w:color w:val="auto"/>
          <w:sz w:val="24"/>
          <w:highlight w:val="none"/>
        </w:rPr>
        <w:t>五、投标人类似项目业绩一览表</w:t>
      </w:r>
      <w:bookmarkEnd w:id="158"/>
      <w:bookmarkEnd w:id="188"/>
    </w:p>
    <w:p w14:paraId="75D96FD3">
      <w:pPr>
        <w:spacing w:line="360" w:lineRule="auto"/>
        <w:rPr>
          <w:rFonts w:hint="eastAsia" w:ascii="仿宋" w:hAnsi="仿宋" w:eastAsia="仿宋" w:cs="仿宋"/>
          <w:color w:val="auto"/>
          <w:sz w:val="24"/>
          <w:highlight w:val="none"/>
        </w:rPr>
      </w:pPr>
    </w:p>
    <w:tbl>
      <w:tblPr>
        <w:tblStyle w:val="34"/>
        <w:tblW w:w="84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5F0984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227F688B">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960" w:type="dxa"/>
            <w:vAlign w:val="center"/>
          </w:tcPr>
          <w:p w14:paraId="3605EF3B">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采购人</w:t>
            </w:r>
          </w:p>
        </w:tc>
        <w:tc>
          <w:tcPr>
            <w:tcW w:w="1113" w:type="dxa"/>
            <w:vAlign w:val="center"/>
          </w:tcPr>
          <w:p w14:paraId="6869221E">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联系人</w:t>
            </w:r>
          </w:p>
        </w:tc>
        <w:tc>
          <w:tcPr>
            <w:tcW w:w="1151" w:type="dxa"/>
            <w:vAlign w:val="center"/>
          </w:tcPr>
          <w:p w14:paraId="219EC52B">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联系电话</w:t>
            </w:r>
          </w:p>
        </w:tc>
        <w:tc>
          <w:tcPr>
            <w:tcW w:w="1162" w:type="dxa"/>
            <w:vAlign w:val="center"/>
          </w:tcPr>
          <w:p w14:paraId="48A7FDA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tc>
        <w:tc>
          <w:tcPr>
            <w:tcW w:w="1180" w:type="dxa"/>
            <w:vAlign w:val="center"/>
          </w:tcPr>
          <w:p w14:paraId="57D79B7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完成时间</w:t>
            </w:r>
          </w:p>
        </w:tc>
        <w:tc>
          <w:tcPr>
            <w:tcW w:w="1158" w:type="dxa"/>
            <w:vAlign w:val="center"/>
          </w:tcPr>
          <w:p w14:paraId="561855AE">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合同金额</w:t>
            </w:r>
          </w:p>
        </w:tc>
        <w:tc>
          <w:tcPr>
            <w:tcW w:w="1079" w:type="dxa"/>
            <w:gridSpan w:val="2"/>
            <w:tcBorders>
              <w:right w:val="single" w:color="auto" w:sz="4" w:space="0"/>
            </w:tcBorders>
            <w:vAlign w:val="center"/>
          </w:tcPr>
          <w:p w14:paraId="73F24DA6">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项目描述</w:t>
            </w:r>
          </w:p>
        </w:tc>
      </w:tr>
      <w:tr w14:paraId="0819CE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076E672">
            <w:pPr>
              <w:spacing w:line="360" w:lineRule="auto"/>
              <w:jc w:val="center"/>
              <w:rPr>
                <w:rFonts w:hint="eastAsia" w:ascii="仿宋" w:hAnsi="仿宋" w:eastAsia="仿宋" w:cs="仿宋"/>
                <w:color w:val="auto"/>
                <w:sz w:val="24"/>
                <w:highlight w:val="none"/>
              </w:rPr>
            </w:pPr>
          </w:p>
        </w:tc>
        <w:tc>
          <w:tcPr>
            <w:tcW w:w="960" w:type="dxa"/>
            <w:vAlign w:val="center"/>
          </w:tcPr>
          <w:p w14:paraId="37BC506D">
            <w:pPr>
              <w:spacing w:line="360" w:lineRule="auto"/>
              <w:jc w:val="center"/>
              <w:rPr>
                <w:rFonts w:hint="eastAsia" w:ascii="仿宋" w:hAnsi="仿宋" w:eastAsia="仿宋" w:cs="仿宋"/>
                <w:color w:val="auto"/>
                <w:sz w:val="24"/>
                <w:highlight w:val="none"/>
              </w:rPr>
            </w:pPr>
          </w:p>
        </w:tc>
        <w:tc>
          <w:tcPr>
            <w:tcW w:w="1113" w:type="dxa"/>
            <w:vAlign w:val="center"/>
          </w:tcPr>
          <w:p w14:paraId="3E025C93">
            <w:pPr>
              <w:spacing w:line="360" w:lineRule="auto"/>
              <w:jc w:val="center"/>
              <w:rPr>
                <w:rFonts w:hint="eastAsia" w:ascii="仿宋" w:hAnsi="仿宋" w:eastAsia="仿宋" w:cs="仿宋"/>
                <w:color w:val="auto"/>
                <w:sz w:val="24"/>
                <w:highlight w:val="none"/>
              </w:rPr>
            </w:pPr>
          </w:p>
        </w:tc>
        <w:tc>
          <w:tcPr>
            <w:tcW w:w="1151" w:type="dxa"/>
            <w:vAlign w:val="center"/>
          </w:tcPr>
          <w:p w14:paraId="26212985">
            <w:pPr>
              <w:spacing w:line="360" w:lineRule="auto"/>
              <w:jc w:val="center"/>
              <w:rPr>
                <w:rFonts w:hint="eastAsia" w:ascii="仿宋" w:hAnsi="仿宋" w:eastAsia="仿宋" w:cs="仿宋"/>
                <w:color w:val="auto"/>
                <w:sz w:val="24"/>
                <w:highlight w:val="none"/>
              </w:rPr>
            </w:pPr>
          </w:p>
        </w:tc>
        <w:tc>
          <w:tcPr>
            <w:tcW w:w="1162" w:type="dxa"/>
            <w:vAlign w:val="center"/>
          </w:tcPr>
          <w:p w14:paraId="39F489E6">
            <w:pPr>
              <w:spacing w:line="360" w:lineRule="auto"/>
              <w:jc w:val="center"/>
              <w:rPr>
                <w:rFonts w:hint="eastAsia" w:ascii="仿宋" w:hAnsi="仿宋" w:eastAsia="仿宋" w:cs="仿宋"/>
                <w:color w:val="auto"/>
                <w:sz w:val="24"/>
                <w:highlight w:val="none"/>
              </w:rPr>
            </w:pPr>
          </w:p>
        </w:tc>
        <w:tc>
          <w:tcPr>
            <w:tcW w:w="1180" w:type="dxa"/>
            <w:vAlign w:val="center"/>
          </w:tcPr>
          <w:p w14:paraId="09E5D641">
            <w:pPr>
              <w:spacing w:line="360" w:lineRule="auto"/>
              <w:jc w:val="center"/>
              <w:rPr>
                <w:rFonts w:hint="eastAsia" w:ascii="仿宋" w:hAnsi="仿宋" w:eastAsia="仿宋" w:cs="仿宋"/>
                <w:color w:val="auto"/>
                <w:sz w:val="24"/>
                <w:highlight w:val="none"/>
              </w:rPr>
            </w:pPr>
          </w:p>
        </w:tc>
        <w:tc>
          <w:tcPr>
            <w:tcW w:w="1158" w:type="dxa"/>
            <w:vAlign w:val="center"/>
          </w:tcPr>
          <w:p w14:paraId="370324B5">
            <w:pPr>
              <w:spacing w:line="360" w:lineRule="auto"/>
              <w:jc w:val="center"/>
              <w:rPr>
                <w:rFonts w:hint="eastAsia" w:ascii="仿宋" w:hAnsi="仿宋" w:eastAsia="仿宋" w:cs="仿宋"/>
                <w:color w:val="auto"/>
                <w:sz w:val="24"/>
                <w:highlight w:val="none"/>
              </w:rPr>
            </w:pPr>
          </w:p>
        </w:tc>
        <w:tc>
          <w:tcPr>
            <w:tcW w:w="1079" w:type="dxa"/>
            <w:gridSpan w:val="2"/>
            <w:tcBorders>
              <w:right w:val="single" w:color="auto" w:sz="4" w:space="0"/>
            </w:tcBorders>
            <w:vAlign w:val="center"/>
          </w:tcPr>
          <w:p w14:paraId="14BCE761">
            <w:pPr>
              <w:spacing w:line="360" w:lineRule="auto"/>
              <w:jc w:val="center"/>
              <w:rPr>
                <w:rFonts w:hint="eastAsia" w:ascii="仿宋" w:hAnsi="仿宋" w:eastAsia="仿宋" w:cs="仿宋"/>
                <w:color w:val="auto"/>
                <w:sz w:val="24"/>
                <w:highlight w:val="none"/>
              </w:rPr>
            </w:pPr>
          </w:p>
        </w:tc>
      </w:tr>
      <w:tr w14:paraId="5F76B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40B80E2B">
            <w:pPr>
              <w:spacing w:line="360" w:lineRule="auto"/>
              <w:jc w:val="center"/>
              <w:rPr>
                <w:rFonts w:hint="eastAsia" w:ascii="仿宋" w:hAnsi="仿宋" w:eastAsia="仿宋" w:cs="仿宋"/>
                <w:color w:val="auto"/>
                <w:sz w:val="24"/>
                <w:highlight w:val="none"/>
              </w:rPr>
            </w:pPr>
          </w:p>
        </w:tc>
        <w:tc>
          <w:tcPr>
            <w:tcW w:w="960" w:type="dxa"/>
            <w:vAlign w:val="center"/>
          </w:tcPr>
          <w:p w14:paraId="79A08394">
            <w:pPr>
              <w:spacing w:line="360" w:lineRule="auto"/>
              <w:jc w:val="center"/>
              <w:rPr>
                <w:rFonts w:hint="eastAsia" w:ascii="仿宋" w:hAnsi="仿宋" w:eastAsia="仿宋" w:cs="仿宋"/>
                <w:color w:val="auto"/>
                <w:sz w:val="24"/>
                <w:highlight w:val="none"/>
              </w:rPr>
            </w:pPr>
          </w:p>
        </w:tc>
        <w:tc>
          <w:tcPr>
            <w:tcW w:w="1113" w:type="dxa"/>
            <w:vAlign w:val="center"/>
          </w:tcPr>
          <w:p w14:paraId="106D9FA6">
            <w:pPr>
              <w:spacing w:line="360" w:lineRule="auto"/>
              <w:jc w:val="center"/>
              <w:rPr>
                <w:rFonts w:hint="eastAsia" w:ascii="仿宋" w:hAnsi="仿宋" w:eastAsia="仿宋" w:cs="仿宋"/>
                <w:color w:val="auto"/>
                <w:sz w:val="24"/>
                <w:highlight w:val="none"/>
              </w:rPr>
            </w:pPr>
          </w:p>
        </w:tc>
        <w:tc>
          <w:tcPr>
            <w:tcW w:w="1151" w:type="dxa"/>
            <w:vAlign w:val="center"/>
          </w:tcPr>
          <w:p w14:paraId="3E80BD3A">
            <w:pPr>
              <w:spacing w:line="360" w:lineRule="auto"/>
              <w:jc w:val="center"/>
              <w:rPr>
                <w:rFonts w:hint="eastAsia" w:ascii="仿宋" w:hAnsi="仿宋" w:eastAsia="仿宋" w:cs="仿宋"/>
                <w:color w:val="auto"/>
                <w:sz w:val="24"/>
                <w:highlight w:val="none"/>
              </w:rPr>
            </w:pPr>
          </w:p>
        </w:tc>
        <w:tc>
          <w:tcPr>
            <w:tcW w:w="1162" w:type="dxa"/>
            <w:vAlign w:val="center"/>
          </w:tcPr>
          <w:p w14:paraId="5B08AD58">
            <w:pPr>
              <w:spacing w:line="360" w:lineRule="auto"/>
              <w:jc w:val="center"/>
              <w:rPr>
                <w:rFonts w:hint="eastAsia" w:ascii="仿宋" w:hAnsi="仿宋" w:eastAsia="仿宋" w:cs="仿宋"/>
                <w:color w:val="auto"/>
                <w:sz w:val="24"/>
                <w:highlight w:val="none"/>
              </w:rPr>
            </w:pPr>
          </w:p>
        </w:tc>
        <w:tc>
          <w:tcPr>
            <w:tcW w:w="1180" w:type="dxa"/>
            <w:vAlign w:val="center"/>
          </w:tcPr>
          <w:p w14:paraId="3ADF4722">
            <w:pPr>
              <w:spacing w:line="360" w:lineRule="auto"/>
              <w:jc w:val="center"/>
              <w:rPr>
                <w:rFonts w:hint="eastAsia" w:ascii="仿宋" w:hAnsi="仿宋" w:eastAsia="仿宋" w:cs="仿宋"/>
                <w:color w:val="auto"/>
                <w:sz w:val="24"/>
                <w:highlight w:val="none"/>
              </w:rPr>
            </w:pPr>
          </w:p>
        </w:tc>
        <w:tc>
          <w:tcPr>
            <w:tcW w:w="1158" w:type="dxa"/>
            <w:vAlign w:val="center"/>
          </w:tcPr>
          <w:p w14:paraId="28C875C2">
            <w:pPr>
              <w:spacing w:line="360" w:lineRule="auto"/>
              <w:jc w:val="center"/>
              <w:rPr>
                <w:rFonts w:hint="eastAsia" w:ascii="仿宋" w:hAnsi="仿宋" w:eastAsia="仿宋" w:cs="仿宋"/>
                <w:color w:val="auto"/>
                <w:sz w:val="24"/>
                <w:highlight w:val="none"/>
              </w:rPr>
            </w:pPr>
          </w:p>
        </w:tc>
        <w:tc>
          <w:tcPr>
            <w:tcW w:w="1079" w:type="dxa"/>
            <w:gridSpan w:val="2"/>
            <w:tcBorders>
              <w:right w:val="single" w:color="auto" w:sz="4" w:space="0"/>
            </w:tcBorders>
            <w:vAlign w:val="center"/>
          </w:tcPr>
          <w:p w14:paraId="14B9CE56">
            <w:pPr>
              <w:spacing w:line="360" w:lineRule="auto"/>
              <w:jc w:val="center"/>
              <w:rPr>
                <w:rFonts w:hint="eastAsia" w:ascii="仿宋" w:hAnsi="仿宋" w:eastAsia="仿宋" w:cs="仿宋"/>
                <w:color w:val="auto"/>
                <w:sz w:val="24"/>
                <w:highlight w:val="none"/>
              </w:rPr>
            </w:pPr>
          </w:p>
        </w:tc>
      </w:tr>
      <w:tr w14:paraId="2C885B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BF63E96">
            <w:pPr>
              <w:spacing w:line="360" w:lineRule="auto"/>
              <w:jc w:val="center"/>
              <w:rPr>
                <w:rFonts w:hint="eastAsia" w:ascii="仿宋" w:hAnsi="仿宋" w:eastAsia="仿宋" w:cs="仿宋"/>
                <w:color w:val="auto"/>
                <w:sz w:val="24"/>
                <w:highlight w:val="none"/>
              </w:rPr>
            </w:pPr>
          </w:p>
        </w:tc>
        <w:tc>
          <w:tcPr>
            <w:tcW w:w="960" w:type="dxa"/>
            <w:vAlign w:val="center"/>
          </w:tcPr>
          <w:p w14:paraId="6C47DE74">
            <w:pPr>
              <w:spacing w:line="360" w:lineRule="auto"/>
              <w:jc w:val="center"/>
              <w:rPr>
                <w:rFonts w:hint="eastAsia" w:ascii="仿宋" w:hAnsi="仿宋" w:eastAsia="仿宋" w:cs="仿宋"/>
                <w:color w:val="auto"/>
                <w:sz w:val="24"/>
                <w:highlight w:val="none"/>
              </w:rPr>
            </w:pPr>
          </w:p>
        </w:tc>
        <w:tc>
          <w:tcPr>
            <w:tcW w:w="1113" w:type="dxa"/>
            <w:vAlign w:val="center"/>
          </w:tcPr>
          <w:p w14:paraId="5B335D82">
            <w:pPr>
              <w:spacing w:line="360" w:lineRule="auto"/>
              <w:jc w:val="center"/>
              <w:rPr>
                <w:rFonts w:hint="eastAsia" w:ascii="仿宋" w:hAnsi="仿宋" w:eastAsia="仿宋" w:cs="仿宋"/>
                <w:color w:val="auto"/>
                <w:sz w:val="24"/>
                <w:highlight w:val="none"/>
              </w:rPr>
            </w:pPr>
          </w:p>
        </w:tc>
        <w:tc>
          <w:tcPr>
            <w:tcW w:w="1151" w:type="dxa"/>
            <w:vAlign w:val="center"/>
          </w:tcPr>
          <w:p w14:paraId="15BBABD7">
            <w:pPr>
              <w:spacing w:line="360" w:lineRule="auto"/>
              <w:jc w:val="center"/>
              <w:rPr>
                <w:rFonts w:hint="eastAsia" w:ascii="仿宋" w:hAnsi="仿宋" w:eastAsia="仿宋" w:cs="仿宋"/>
                <w:color w:val="auto"/>
                <w:sz w:val="24"/>
                <w:highlight w:val="none"/>
              </w:rPr>
            </w:pPr>
          </w:p>
        </w:tc>
        <w:tc>
          <w:tcPr>
            <w:tcW w:w="1162" w:type="dxa"/>
            <w:vAlign w:val="center"/>
          </w:tcPr>
          <w:p w14:paraId="2FEA57A1">
            <w:pPr>
              <w:spacing w:line="360" w:lineRule="auto"/>
              <w:jc w:val="center"/>
              <w:rPr>
                <w:rFonts w:hint="eastAsia" w:ascii="仿宋" w:hAnsi="仿宋" w:eastAsia="仿宋" w:cs="仿宋"/>
                <w:color w:val="auto"/>
                <w:sz w:val="24"/>
                <w:highlight w:val="none"/>
              </w:rPr>
            </w:pPr>
          </w:p>
        </w:tc>
        <w:tc>
          <w:tcPr>
            <w:tcW w:w="1180" w:type="dxa"/>
            <w:vAlign w:val="center"/>
          </w:tcPr>
          <w:p w14:paraId="3DBCD847">
            <w:pPr>
              <w:spacing w:line="360" w:lineRule="auto"/>
              <w:jc w:val="center"/>
              <w:rPr>
                <w:rFonts w:hint="eastAsia" w:ascii="仿宋" w:hAnsi="仿宋" w:eastAsia="仿宋" w:cs="仿宋"/>
                <w:color w:val="auto"/>
                <w:sz w:val="24"/>
                <w:highlight w:val="none"/>
              </w:rPr>
            </w:pPr>
          </w:p>
        </w:tc>
        <w:tc>
          <w:tcPr>
            <w:tcW w:w="1158" w:type="dxa"/>
            <w:vAlign w:val="center"/>
          </w:tcPr>
          <w:p w14:paraId="7DDD838C">
            <w:pPr>
              <w:spacing w:line="360" w:lineRule="auto"/>
              <w:jc w:val="center"/>
              <w:rPr>
                <w:rFonts w:hint="eastAsia" w:ascii="仿宋" w:hAnsi="仿宋" w:eastAsia="仿宋" w:cs="仿宋"/>
                <w:color w:val="auto"/>
                <w:sz w:val="24"/>
                <w:highlight w:val="none"/>
              </w:rPr>
            </w:pPr>
          </w:p>
        </w:tc>
        <w:tc>
          <w:tcPr>
            <w:tcW w:w="1079" w:type="dxa"/>
            <w:gridSpan w:val="2"/>
            <w:tcBorders>
              <w:right w:val="single" w:color="auto" w:sz="4" w:space="0"/>
            </w:tcBorders>
            <w:vAlign w:val="center"/>
          </w:tcPr>
          <w:p w14:paraId="5D05BF07">
            <w:pPr>
              <w:spacing w:line="360" w:lineRule="auto"/>
              <w:jc w:val="center"/>
              <w:rPr>
                <w:rFonts w:hint="eastAsia" w:ascii="仿宋" w:hAnsi="仿宋" w:eastAsia="仿宋" w:cs="仿宋"/>
                <w:color w:val="auto"/>
                <w:sz w:val="24"/>
                <w:highlight w:val="none"/>
              </w:rPr>
            </w:pPr>
          </w:p>
        </w:tc>
      </w:tr>
      <w:tr w14:paraId="494FD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7112DD62">
            <w:pPr>
              <w:spacing w:line="360" w:lineRule="auto"/>
              <w:jc w:val="center"/>
              <w:rPr>
                <w:rFonts w:hint="eastAsia" w:ascii="仿宋" w:hAnsi="仿宋" w:eastAsia="仿宋" w:cs="仿宋"/>
                <w:color w:val="auto"/>
                <w:sz w:val="24"/>
                <w:highlight w:val="none"/>
              </w:rPr>
            </w:pPr>
          </w:p>
        </w:tc>
        <w:tc>
          <w:tcPr>
            <w:tcW w:w="960" w:type="dxa"/>
            <w:tcBorders>
              <w:right w:val="single" w:color="auto" w:sz="4" w:space="0"/>
            </w:tcBorders>
            <w:vAlign w:val="center"/>
          </w:tcPr>
          <w:p w14:paraId="12AAD25A">
            <w:pPr>
              <w:spacing w:line="360" w:lineRule="auto"/>
              <w:jc w:val="center"/>
              <w:rPr>
                <w:rFonts w:hint="eastAsia" w:ascii="仿宋" w:hAnsi="仿宋" w:eastAsia="仿宋" w:cs="仿宋"/>
                <w:color w:val="auto"/>
                <w:sz w:val="24"/>
                <w:highlight w:val="none"/>
              </w:rPr>
            </w:pPr>
          </w:p>
        </w:tc>
        <w:tc>
          <w:tcPr>
            <w:tcW w:w="1113" w:type="dxa"/>
            <w:tcBorders>
              <w:left w:val="single" w:color="auto" w:sz="4" w:space="0"/>
            </w:tcBorders>
            <w:vAlign w:val="center"/>
          </w:tcPr>
          <w:p w14:paraId="08295987">
            <w:pPr>
              <w:spacing w:line="360" w:lineRule="auto"/>
              <w:jc w:val="center"/>
              <w:rPr>
                <w:rFonts w:hint="eastAsia" w:ascii="仿宋" w:hAnsi="仿宋" w:eastAsia="仿宋" w:cs="仿宋"/>
                <w:color w:val="auto"/>
                <w:sz w:val="24"/>
                <w:highlight w:val="none"/>
              </w:rPr>
            </w:pPr>
          </w:p>
        </w:tc>
        <w:tc>
          <w:tcPr>
            <w:tcW w:w="1151" w:type="dxa"/>
            <w:tcBorders>
              <w:left w:val="single" w:color="auto" w:sz="4" w:space="0"/>
            </w:tcBorders>
            <w:vAlign w:val="center"/>
          </w:tcPr>
          <w:p w14:paraId="1F89F130">
            <w:pPr>
              <w:spacing w:line="360" w:lineRule="auto"/>
              <w:jc w:val="center"/>
              <w:rPr>
                <w:rFonts w:hint="eastAsia" w:ascii="仿宋" w:hAnsi="仿宋" w:eastAsia="仿宋" w:cs="仿宋"/>
                <w:color w:val="auto"/>
                <w:sz w:val="24"/>
                <w:highlight w:val="none"/>
              </w:rPr>
            </w:pPr>
          </w:p>
        </w:tc>
        <w:tc>
          <w:tcPr>
            <w:tcW w:w="1162" w:type="dxa"/>
            <w:tcBorders>
              <w:left w:val="single" w:color="auto" w:sz="4" w:space="0"/>
            </w:tcBorders>
            <w:vAlign w:val="center"/>
          </w:tcPr>
          <w:p w14:paraId="38FCB4E4">
            <w:pPr>
              <w:spacing w:line="360" w:lineRule="auto"/>
              <w:jc w:val="center"/>
              <w:rPr>
                <w:rFonts w:hint="eastAsia" w:ascii="仿宋" w:hAnsi="仿宋" w:eastAsia="仿宋" w:cs="仿宋"/>
                <w:color w:val="auto"/>
                <w:sz w:val="24"/>
                <w:highlight w:val="none"/>
              </w:rPr>
            </w:pPr>
          </w:p>
        </w:tc>
        <w:tc>
          <w:tcPr>
            <w:tcW w:w="1180" w:type="dxa"/>
            <w:vAlign w:val="center"/>
          </w:tcPr>
          <w:p w14:paraId="7B38FE9C">
            <w:pPr>
              <w:spacing w:line="360" w:lineRule="auto"/>
              <w:jc w:val="center"/>
              <w:rPr>
                <w:rFonts w:hint="eastAsia" w:ascii="仿宋" w:hAnsi="仿宋" w:eastAsia="仿宋" w:cs="仿宋"/>
                <w:color w:val="auto"/>
                <w:sz w:val="24"/>
                <w:highlight w:val="none"/>
              </w:rPr>
            </w:pPr>
          </w:p>
        </w:tc>
        <w:tc>
          <w:tcPr>
            <w:tcW w:w="1158" w:type="dxa"/>
            <w:vAlign w:val="center"/>
          </w:tcPr>
          <w:p w14:paraId="07E13C14">
            <w:pPr>
              <w:spacing w:line="360" w:lineRule="auto"/>
              <w:jc w:val="center"/>
              <w:rPr>
                <w:rFonts w:hint="eastAsia" w:ascii="仿宋" w:hAnsi="仿宋" w:eastAsia="仿宋" w:cs="仿宋"/>
                <w:color w:val="auto"/>
                <w:sz w:val="24"/>
                <w:highlight w:val="none"/>
              </w:rPr>
            </w:pPr>
          </w:p>
        </w:tc>
        <w:tc>
          <w:tcPr>
            <w:tcW w:w="1079" w:type="dxa"/>
            <w:gridSpan w:val="2"/>
            <w:tcBorders>
              <w:right w:val="single" w:color="auto" w:sz="4" w:space="0"/>
            </w:tcBorders>
            <w:vAlign w:val="center"/>
          </w:tcPr>
          <w:p w14:paraId="34D4ECBC">
            <w:pPr>
              <w:spacing w:line="360" w:lineRule="auto"/>
              <w:jc w:val="center"/>
              <w:rPr>
                <w:rFonts w:hint="eastAsia" w:ascii="仿宋" w:hAnsi="仿宋" w:eastAsia="仿宋" w:cs="仿宋"/>
                <w:color w:val="auto"/>
                <w:sz w:val="24"/>
                <w:highlight w:val="none"/>
              </w:rPr>
            </w:pPr>
          </w:p>
        </w:tc>
      </w:tr>
      <w:tr w14:paraId="323B23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51EBC2E5">
            <w:pPr>
              <w:spacing w:line="360" w:lineRule="auto"/>
              <w:rPr>
                <w:rFonts w:hint="eastAsia" w:ascii="仿宋" w:hAnsi="仿宋" w:eastAsia="仿宋" w:cs="仿宋"/>
                <w:color w:val="auto"/>
                <w:sz w:val="24"/>
                <w:highlight w:val="none"/>
              </w:rPr>
            </w:pPr>
          </w:p>
        </w:tc>
        <w:tc>
          <w:tcPr>
            <w:tcW w:w="960" w:type="dxa"/>
            <w:tcBorders>
              <w:left w:val="single" w:color="auto" w:sz="4" w:space="0"/>
              <w:right w:val="single" w:color="auto" w:sz="4" w:space="0"/>
            </w:tcBorders>
            <w:vAlign w:val="center"/>
          </w:tcPr>
          <w:p w14:paraId="61CBC988">
            <w:pPr>
              <w:spacing w:line="360" w:lineRule="auto"/>
              <w:rPr>
                <w:rFonts w:hint="eastAsia" w:ascii="仿宋" w:hAnsi="仿宋" w:eastAsia="仿宋" w:cs="仿宋"/>
                <w:color w:val="auto"/>
                <w:sz w:val="24"/>
                <w:highlight w:val="none"/>
              </w:rPr>
            </w:pPr>
          </w:p>
        </w:tc>
        <w:tc>
          <w:tcPr>
            <w:tcW w:w="1113" w:type="dxa"/>
            <w:tcBorders>
              <w:left w:val="single" w:color="auto" w:sz="4" w:space="0"/>
              <w:right w:val="single" w:color="auto" w:sz="4" w:space="0"/>
            </w:tcBorders>
            <w:vAlign w:val="center"/>
          </w:tcPr>
          <w:p w14:paraId="71589620">
            <w:pPr>
              <w:spacing w:line="360" w:lineRule="auto"/>
              <w:rPr>
                <w:rFonts w:hint="eastAsia" w:ascii="仿宋" w:hAnsi="仿宋" w:eastAsia="仿宋" w:cs="仿宋"/>
                <w:color w:val="auto"/>
                <w:sz w:val="24"/>
                <w:highlight w:val="none"/>
              </w:rPr>
            </w:pPr>
          </w:p>
        </w:tc>
        <w:tc>
          <w:tcPr>
            <w:tcW w:w="1151" w:type="dxa"/>
            <w:tcBorders>
              <w:left w:val="single" w:color="auto" w:sz="4" w:space="0"/>
              <w:right w:val="single" w:color="auto" w:sz="4" w:space="0"/>
            </w:tcBorders>
            <w:vAlign w:val="center"/>
          </w:tcPr>
          <w:p w14:paraId="5C3F2AFB">
            <w:pPr>
              <w:spacing w:line="360" w:lineRule="auto"/>
              <w:rPr>
                <w:rFonts w:hint="eastAsia" w:ascii="仿宋" w:hAnsi="仿宋" w:eastAsia="仿宋" w:cs="仿宋"/>
                <w:color w:val="auto"/>
                <w:sz w:val="24"/>
                <w:highlight w:val="none"/>
              </w:rPr>
            </w:pPr>
          </w:p>
        </w:tc>
        <w:tc>
          <w:tcPr>
            <w:tcW w:w="1162" w:type="dxa"/>
            <w:tcBorders>
              <w:left w:val="single" w:color="auto" w:sz="4" w:space="0"/>
              <w:right w:val="single" w:color="auto" w:sz="4" w:space="0"/>
            </w:tcBorders>
            <w:vAlign w:val="center"/>
          </w:tcPr>
          <w:p w14:paraId="11CA5206">
            <w:pPr>
              <w:spacing w:line="360" w:lineRule="auto"/>
              <w:rPr>
                <w:rFonts w:hint="eastAsia" w:ascii="仿宋" w:hAnsi="仿宋" w:eastAsia="仿宋" w:cs="仿宋"/>
                <w:color w:val="auto"/>
                <w:sz w:val="24"/>
                <w:highlight w:val="none"/>
              </w:rPr>
            </w:pPr>
          </w:p>
        </w:tc>
        <w:tc>
          <w:tcPr>
            <w:tcW w:w="1180" w:type="dxa"/>
            <w:tcBorders>
              <w:left w:val="single" w:color="auto" w:sz="4" w:space="0"/>
              <w:right w:val="single" w:color="auto" w:sz="4" w:space="0"/>
            </w:tcBorders>
            <w:vAlign w:val="center"/>
          </w:tcPr>
          <w:p w14:paraId="11836909">
            <w:pPr>
              <w:spacing w:line="360" w:lineRule="auto"/>
              <w:rPr>
                <w:rFonts w:hint="eastAsia" w:ascii="仿宋" w:hAnsi="仿宋" w:eastAsia="仿宋" w:cs="仿宋"/>
                <w:color w:val="auto"/>
                <w:sz w:val="24"/>
                <w:highlight w:val="none"/>
              </w:rPr>
            </w:pPr>
          </w:p>
        </w:tc>
        <w:tc>
          <w:tcPr>
            <w:tcW w:w="1158" w:type="dxa"/>
            <w:tcBorders>
              <w:left w:val="single" w:color="auto" w:sz="4" w:space="0"/>
              <w:right w:val="single" w:color="auto" w:sz="4" w:space="0"/>
            </w:tcBorders>
            <w:vAlign w:val="center"/>
          </w:tcPr>
          <w:p w14:paraId="5612F872">
            <w:pPr>
              <w:spacing w:line="360" w:lineRule="auto"/>
              <w:rPr>
                <w:rFonts w:hint="eastAsia" w:ascii="仿宋" w:hAnsi="仿宋" w:eastAsia="仿宋" w:cs="仿宋"/>
                <w:color w:val="auto"/>
                <w:sz w:val="24"/>
                <w:highlight w:val="none"/>
              </w:rPr>
            </w:pPr>
          </w:p>
        </w:tc>
        <w:tc>
          <w:tcPr>
            <w:tcW w:w="1079" w:type="dxa"/>
            <w:gridSpan w:val="2"/>
            <w:tcBorders>
              <w:left w:val="single" w:color="auto" w:sz="4" w:space="0"/>
              <w:right w:val="single" w:color="auto" w:sz="4" w:space="0"/>
            </w:tcBorders>
            <w:vAlign w:val="center"/>
          </w:tcPr>
          <w:p w14:paraId="182AD2BA">
            <w:pPr>
              <w:spacing w:line="360" w:lineRule="auto"/>
              <w:rPr>
                <w:rFonts w:hint="eastAsia" w:ascii="仿宋" w:hAnsi="仿宋" w:eastAsia="仿宋" w:cs="仿宋"/>
                <w:color w:val="auto"/>
                <w:sz w:val="24"/>
                <w:highlight w:val="none"/>
              </w:rPr>
            </w:pPr>
          </w:p>
        </w:tc>
      </w:tr>
      <w:tr w14:paraId="04F252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332D813F">
            <w:pPr>
              <w:spacing w:line="360" w:lineRule="auto"/>
              <w:rPr>
                <w:rFonts w:hint="eastAsia" w:ascii="仿宋" w:hAnsi="仿宋" w:eastAsia="仿宋" w:cs="仿宋"/>
                <w:color w:val="auto"/>
                <w:sz w:val="24"/>
                <w:highlight w:val="none"/>
              </w:rPr>
            </w:pPr>
          </w:p>
        </w:tc>
        <w:tc>
          <w:tcPr>
            <w:tcW w:w="960" w:type="dxa"/>
            <w:vAlign w:val="center"/>
          </w:tcPr>
          <w:p w14:paraId="57D7634F">
            <w:pPr>
              <w:spacing w:line="360" w:lineRule="auto"/>
              <w:rPr>
                <w:rFonts w:hint="eastAsia" w:ascii="仿宋" w:hAnsi="仿宋" w:eastAsia="仿宋" w:cs="仿宋"/>
                <w:color w:val="auto"/>
                <w:sz w:val="24"/>
                <w:highlight w:val="none"/>
              </w:rPr>
            </w:pPr>
          </w:p>
        </w:tc>
        <w:tc>
          <w:tcPr>
            <w:tcW w:w="1113" w:type="dxa"/>
            <w:vAlign w:val="center"/>
          </w:tcPr>
          <w:p w14:paraId="6BD7C98F">
            <w:pPr>
              <w:spacing w:line="360" w:lineRule="auto"/>
              <w:rPr>
                <w:rFonts w:hint="eastAsia" w:ascii="仿宋" w:hAnsi="仿宋" w:eastAsia="仿宋" w:cs="仿宋"/>
                <w:color w:val="auto"/>
                <w:sz w:val="24"/>
                <w:highlight w:val="none"/>
              </w:rPr>
            </w:pPr>
          </w:p>
        </w:tc>
        <w:tc>
          <w:tcPr>
            <w:tcW w:w="1151" w:type="dxa"/>
            <w:vAlign w:val="center"/>
          </w:tcPr>
          <w:p w14:paraId="446F6731">
            <w:pPr>
              <w:spacing w:line="360" w:lineRule="auto"/>
              <w:rPr>
                <w:rFonts w:hint="eastAsia" w:ascii="仿宋" w:hAnsi="仿宋" w:eastAsia="仿宋" w:cs="仿宋"/>
                <w:color w:val="auto"/>
                <w:sz w:val="24"/>
                <w:highlight w:val="none"/>
              </w:rPr>
            </w:pPr>
          </w:p>
        </w:tc>
        <w:tc>
          <w:tcPr>
            <w:tcW w:w="1162" w:type="dxa"/>
            <w:vAlign w:val="center"/>
          </w:tcPr>
          <w:p w14:paraId="345DB66C">
            <w:pPr>
              <w:spacing w:line="360" w:lineRule="auto"/>
              <w:rPr>
                <w:rFonts w:hint="eastAsia" w:ascii="仿宋" w:hAnsi="仿宋" w:eastAsia="仿宋" w:cs="仿宋"/>
                <w:color w:val="auto"/>
                <w:sz w:val="24"/>
                <w:highlight w:val="none"/>
              </w:rPr>
            </w:pPr>
          </w:p>
        </w:tc>
        <w:tc>
          <w:tcPr>
            <w:tcW w:w="1180" w:type="dxa"/>
            <w:vAlign w:val="center"/>
          </w:tcPr>
          <w:p w14:paraId="67198805">
            <w:pPr>
              <w:spacing w:line="360" w:lineRule="auto"/>
              <w:rPr>
                <w:rFonts w:hint="eastAsia" w:ascii="仿宋" w:hAnsi="仿宋" w:eastAsia="仿宋" w:cs="仿宋"/>
                <w:color w:val="auto"/>
                <w:sz w:val="24"/>
                <w:highlight w:val="none"/>
              </w:rPr>
            </w:pPr>
          </w:p>
        </w:tc>
        <w:tc>
          <w:tcPr>
            <w:tcW w:w="1158" w:type="dxa"/>
            <w:tcBorders>
              <w:right w:val="single" w:color="auto" w:sz="4" w:space="0"/>
            </w:tcBorders>
            <w:vAlign w:val="center"/>
          </w:tcPr>
          <w:p w14:paraId="599C563F">
            <w:pPr>
              <w:spacing w:line="360" w:lineRule="auto"/>
              <w:rPr>
                <w:rFonts w:hint="eastAsia" w:ascii="仿宋" w:hAnsi="仿宋" w:eastAsia="仿宋" w:cs="仿宋"/>
                <w:color w:val="auto"/>
                <w:sz w:val="24"/>
                <w:highlight w:val="none"/>
              </w:rPr>
            </w:pPr>
          </w:p>
        </w:tc>
        <w:tc>
          <w:tcPr>
            <w:tcW w:w="1069" w:type="dxa"/>
            <w:tcBorders>
              <w:left w:val="single" w:color="auto" w:sz="4" w:space="0"/>
              <w:right w:val="single" w:color="auto" w:sz="4" w:space="0"/>
            </w:tcBorders>
            <w:vAlign w:val="center"/>
          </w:tcPr>
          <w:p w14:paraId="612D94C8">
            <w:pPr>
              <w:spacing w:line="360" w:lineRule="auto"/>
              <w:rPr>
                <w:rFonts w:hint="eastAsia" w:ascii="仿宋" w:hAnsi="仿宋" w:eastAsia="仿宋" w:cs="仿宋"/>
                <w:color w:val="auto"/>
                <w:sz w:val="24"/>
                <w:highlight w:val="none"/>
              </w:rPr>
            </w:pPr>
          </w:p>
        </w:tc>
      </w:tr>
      <w:tr w14:paraId="70DDBC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642D0892">
            <w:pPr>
              <w:spacing w:line="360" w:lineRule="auto"/>
              <w:jc w:val="center"/>
              <w:rPr>
                <w:rFonts w:hint="eastAsia" w:ascii="仿宋" w:hAnsi="仿宋" w:eastAsia="仿宋" w:cs="仿宋"/>
                <w:color w:val="auto"/>
                <w:sz w:val="24"/>
                <w:highlight w:val="none"/>
              </w:rPr>
            </w:pPr>
          </w:p>
        </w:tc>
        <w:tc>
          <w:tcPr>
            <w:tcW w:w="960" w:type="dxa"/>
            <w:vAlign w:val="center"/>
          </w:tcPr>
          <w:p w14:paraId="2699B6D8">
            <w:pPr>
              <w:spacing w:line="360" w:lineRule="auto"/>
              <w:jc w:val="center"/>
              <w:rPr>
                <w:rFonts w:hint="eastAsia" w:ascii="仿宋" w:hAnsi="仿宋" w:eastAsia="仿宋" w:cs="仿宋"/>
                <w:color w:val="auto"/>
                <w:sz w:val="24"/>
                <w:highlight w:val="none"/>
              </w:rPr>
            </w:pPr>
          </w:p>
        </w:tc>
        <w:tc>
          <w:tcPr>
            <w:tcW w:w="1113" w:type="dxa"/>
            <w:vAlign w:val="center"/>
          </w:tcPr>
          <w:p w14:paraId="3C6B711F">
            <w:pPr>
              <w:spacing w:line="360" w:lineRule="auto"/>
              <w:jc w:val="center"/>
              <w:rPr>
                <w:rFonts w:hint="eastAsia" w:ascii="仿宋" w:hAnsi="仿宋" w:eastAsia="仿宋" w:cs="仿宋"/>
                <w:color w:val="auto"/>
                <w:sz w:val="24"/>
                <w:highlight w:val="none"/>
              </w:rPr>
            </w:pPr>
          </w:p>
        </w:tc>
        <w:tc>
          <w:tcPr>
            <w:tcW w:w="1151" w:type="dxa"/>
            <w:vAlign w:val="center"/>
          </w:tcPr>
          <w:p w14:paraId="52A2AC9E">
            <w:pPr>
              <w:spacing w:line="360" w:lineRule="auto"/>
              <w:jc w:val="center"/>
              <w:rPr>
                <w:rFonts w:hint="eastAsia" w:ascii="仿宋" w:hAnsi="仿宋" w:eastAsia="仿宋" w:cs="仿宋"/>
                <w:color w:val="auto"/>
                <w:sz w:val="24"/>
                <w:highlight w:val="none"/>
              </w:rPr>
            </w:pPr>
          </w:p>
        </w:tc>
        <w:tc>
          <w:tcPr>
            <w:tcW w:w="1162" w:type="dxa"/>
            <w:vAlign w:val="center"/>
          </w:tcPr>
          <w:p w14:paraId="06E8322A">
            <w:pPr>
              <w:spacing w:line="360" w:lineRule="auto"/>
              <w:jc w:val="center"/>
              <w:rPr>
                <w:rFonts w:hint="eastAsia" w:ascii="仿宋" w:hAnsi="仿宋" w:eastAsia="仿宋" w:cs="仿宋"/>
                <w:color w:val="auto"/>
                <w:sz w:val="24"/>
                <w:highlight w:val="none"/>
              </w:rPr>
            </w:pPr>
          </w:p>
        </w:tc>
        <w:tc>
          <w:tcPr>
            <w:tcW w:w="1180" w:type="dxa"/>
            <w:vAlign w:val="center"/>
          </w:tcPr>
          <w:p w14:paraId="1A26F3D1">
            <w:pPr>
              <w:spacing w:line="360" w:lineRule="auto"/>
              <w:jc w:val="center"/>
              <w:rPr>
                <w:rFonts w:hint="eastAsia" w:ascii="仿宋" w:hAnsi="仿宋" w:eastAsia="仿宋" w:cs="仿宋"/>
                <w:color w:val="auto"/>
                <w:sz w:val="24"/>
                <w:highlight w:val="none"/>
              </w:rPr>
            </w:pPr>
          </w:p>
        </w:tc>
        <w:tc>
          <w:tcPr>
            <w:tcW w:w="1158" w:type="dxa"/>
            <w:tcBorders>
              <w:right w:val="single" w:color="auto" w:sz="4" w:space="0"/>
            </w:tcBorders>
            <w:vAlign w:val="center"/>
          </w:tcPr>
          <w:p w14:paraId="7B9B7997">
            <w:pPr>
              <w:spacing w:line="360" w:lineRule="auto"/>
              <w:jc w:val="center"/>
              <w:rPr>
                <w:rFonts w:hint="eastAsia" w:ascii="仿宋" w:hAnsi="仿宋" w:eastAsia="仿宋" w:cs="仿宋"/>
                <w:color w:val="auto"/>
                <w:sz w:val="24"/>
                <w:highlight w:val="none"/>
              </w:rPr>
            </w:pPr>
          </w:p>
        </w:tc>
        <w:tc>
          <w:tcPr>
            <w:tcW w:w="1069" w:type="dxa"/>
            <w:tcBorders>
              <w:left w:val="single" w:color="auto" w:sz="4" w:space="0"/>
              <w:right w:val="single" w:color="auto" w:sz="4" w:space="0"/>
            </w:tcBorders>
            <w:vAlign w:val="center"/>
          </w:tcPr>
          <w:p w14:paraId="30D4467C">
            <w:pPr>
              <w:spacing w:line="360" w:lineRule="auto"/>
              <w:jc w:val="center"/>
              <w:rPr>
                <w:rFonts w:hint="eastAsia" w:ascii="仿宋" w:hAnsi="仿宋" w:eastAsia="仿宋" w:cs="仿宋"/>
                <w:color w:val="auto"/>
                <w:sz w:val="24"/>
                <w:highlight w:val="none"/>
              </w:rPr>
            </w:pPr>
          </w:p>
        </w:tc>
      </w:tr>
      <w:tr w14:paraId="465981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1457FDA7">
            <w:pPr>
              <w:spacing w:line="360" w:lineRule="auto"/>
              <w:jc w:val="center"/>
              <w:rPr>
                <w:rFonts w:hint="eastAsia" w:ascii="仿宋" w:hAnsi="仿宋" w:eastAsia="仿宋" w:cs="仿宋"/>
                <w:color w:val="auto"/>
                <w:sz w:val="24"/>
                <w:highlight w:val="none"/>
              </w:rPr>
            </w:pPr>
          </w:p>
        </w:tc>
        <w:tc>
          <w:tcPr>
            <w:tcW w:w="960" w:type="dxa"/>
            <w:vAlign w:val="center"/>
          </w:tcPr>
          <w:p w14:paraId="5F3DDBBB">
            <w:pPr>
              <w:spacing w:line="360" w:lineRule="auto"/>
              <w:jc w:val="center"/>
              <w:rPr>
                <w:rFonts w:hint="eastAsia" w:ascii="仿宋" w:hAnsi="仿宋" w:eastAsia="仿宋" w:cs="仿宋"/>
                <w:color w:val="auto"/>
                <w:sz w:val="24"/>
                <w:highlight w:val="none"/>
              </w:rPr>
            </w:pPr>
          </w:p>
        </w:tc>
        <w:tc>
          <w:tcPr>
            <w:tcW w:w="1113" w:type="dxa"/>
            <w:vAlign w:val="center"/>
          </w:tcPr>
          <w:p w14:paraId="748A7A4E">
            <w:pPr>
              <w:spacing w:line="360" w:lineRule="auto"/>
              <w:jc w:val="center"/>
              <w:rPr>
                <w:rFonts w:hint="eastAsia" w:ascii="仿宋" w:hAnsi="仿宋" w:eastAsia="仿宋" w:cs="仿宋"/>
                <w:color w:val="auto"/>
                <w:sz w:val="24"/>
                <w:highlight w:val="none"/>
              </w:rPr>
            </w:pPr>
          </w:p>
        </w:tc>
        <w:tc>
          <w:tcPr>
            <w:tcW w:w="1151" w:type="dxa"/>
            <w:vAlign w:val="center"/>
          </w:tcPr>
          <w:p w14:paraId="359431F2">
            <w:pPr>
              <w:spacing w:line="360" w:lineRule="auto"/>
              <w:jc w:val="center"/>
              <w:rPr>
                <w:rFonts w:hint="eastAsia" w:ascii="仿宋" w:hAnsi="仿宋" w:eastAsia="仿宋" w:cs="仿宋"/>
                <w:color w:val="auto"/>
                <w:sz w:val="24"/>
                <w:highlight w:val="none"/>
              </w:rPr>
            </w:pPr>
          </w:p>
        </w:tc>
        <w:tc>
          <w:tcPr>
            <w:tcW w:w="1162" w:type="dxa"/>
            <w:vAlign w:val="center"/>
          </w:tcPr>
          <w:p w14:paraId="530E6987">
            <w:pPr>
              <w:spacing w:line="360" w:lineRule="auto"/>
              <w:jc w:val="center"/>
              <w:rPr>
                <w:rFonts w:hint="eastAsia" w:ascii="仿宋" w:hAnsi="仿宋" w:eastAsia="仿宋" w:cs="仿宋"/>
                <w:color w:val="auto"/>
                <w:sz w:val="24"/>
                <w:highlight w:val="none"/>
              </w:rPr>
            </w:pPr>
          </w:p>
        </w:tc>
        <w:tc>
          <w:tcPr>
            <w:tcW w:w="1180" w:type="dxa"/>
            <w:vAlign w:val="center"/>
          </w:tcPr>
          <w:p w14:paraId="6DABF5B9">
            <w:pPr>
              <w:spacing w:line="360" w:lineRule="auto"/>
              <w:jc w:val="center"/>
              <w:rPr>
                <w:rFonts w:hint="eastAsia" w:ascii="仿宋" w:hAnsi="仿宋" w:eastAsia="仿宋" w:cs="仿宋"/>
                <w:color w:val="auto"/>
                <w:sz w:val="24"/>
                <w:highlight w:val="none"/>
              </w:rPr>
            </w:pPr>
          </w:p>
        </w:tc>
        <w:tc>
          <w:tcPr>
            <w:tcW w:w="1158" w:type="dxa"/>
            <w:tcBorders>
              <w:right w:val="single" w:color="auto" w:sz="4" w:space="0"/>
            </w:tcBorders>
            <w:vAlign w:val="center"/>
          </w:tcPr>
          <w:p w14:paraId="30270A90">
            <w:pPr>
              <w:spacing w:line="360" w:lineRule="auto"/>
              <w:jc w:val="center"/>
              <w:rPr>
                <w:rFonts w:hint="eastAsia" w:ascii="仿宋" w:hAnsi="仿宋" w:eastAsia="仿宋" w:cs="仿宋"/>
                <w:color w:val="auto"/>
                <w:sz w:val="24"/>
                <w:highlight w:val="none"/>
              </w:rPr>
            </w:pPr>
          </w:p>
        </w:tc>
        <w:tc>
          <w:tcPr>
            <w:tcW w:w="1069" w:type="dxa"/>
            <w:tcBorders>
              <w:left w:val="single" w:color="auto" w:sz="4" w:space="0"/>
              <w:right w:val="single" w:color="auto" w:sz="4" w:space="0"/>
            </w:tcBorders>
            <w:vAlign w:val="center"/>
          </w:tcPr>
          <w:p w14:paraId="4558669C">
            <w:pPr>
              <w:spacing w:line="360" w:lineRule="auto"/>
              <w:jc w:val="center"/>
              <w:rPr>
                <w:rFonts w:hint="eastAsia" w:ascii="仿宋" w:hAnsi="仿宋" w:eastAsia="仿宋" w:cs="仿宋"/>
                <w:color w:val="auto"/>
                <w:sz w:val="24"/>
                <w:highlight w:val="none"/>
              </w:rPr>
            </w:pPr>
          </w:p>
        </w:tc>
      </w:tr>
      <w:tr w14:paraId="39957F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10" w:hRule="atLeast"/>
          <w:jc w:val="center"/>
        </w:trPr>
        <w:tc>
          <w:tcPr>
            <w:tcW w:w="606" w:type="dxa"/>
            <w:tcBorders>
              <w:bottom w:val="single" w:color="auto" w:sz="4" w:space="0"/>
            </w:tcBorders>
            <w:vAlign w:val="center"/>
          </w:tcPr>
          <w:p w14:paraId="0D0AE10F">
            <w:pPr>
              <w:spacing w:line="360" w:lineRule="auto"/>
              <w:jc w:val="center"/>
              <w:rPr>
                <w:rFonts w:hint="eastAsia" w:ascii="仿宋" w:hAnsi="仿宋" w:eastAsia="仿宋" w:cs="仿宋"/>
                <w:color w:val="auto"/>
                <w:sz w:val="24"/>
                <w:highlight w:val="none"/>
              </w:rPr>
            </w:pPr>
          </w:p>
        </w:tc>
        <w:tc>
          <w:tcPr>
            <w:tcW w:w="960" w:type="dxa"/>
            <w:tcBorders>
              <w:bottom w:val="single" w:color="auto" w:sz="4" w:space="0"/>
            </w:tcBorders>
            <w:vAlign w:val="center"/>
          </w:tcPr>
          <w:p w14:paraId="02A1F17D">
            <w:pPr>
              <w:spacing w:line="360" w:lineRule="auto"/>
              <w:jc w:val="center"/>
              <w:rPr>
                <w:rFonts w:hint="eastAsia" w:ascii="仿宋" w:hAnsi="仿宋" w:eastAsia="仿宋" w:cs="仿宋"/>
                <w:color w:val="auto"/>
                <w:sz w:val="24"/>
                <w:highlight w:val="none"/>
              </w:rPr>
            </w:pPr>
          </w:p>
        </w:tc>
        <w:tc>
          <w:tcPr>
            <w:tcW w:w="1113" w:type="dxa"/>
            <w:tcBorders>
              <w:bottom w:val="single" w:color="auto" w:sz="4" w:space="0"/>
            </w:tcBorders>
            <w:vAlign w:val="center"/>
          </w:tcPr>
          <w:p w14:paraId="352AA996">
            <w:pPr>
              <w:spacing w:line="360" w:lineRule="auto"/>
              <w:jc w:val="center"/>
              <w:rPr>
                <w:rFonts w:hint="eastAsia" w:ascii="仿宋" w:hAnsi="仿宋" w:eastAsia="仿宋" w:cs="仿宋"/>
                <w:color w:val="auto"/>
                <w:sz w:val="24"/>
                <w:highlight w:val="none"/>
              </w:rPr>
            </w:pPr>
          </w:p>
        </w:tc>
        <w:tc>
          <w:tcPr>
            <w:tcW w:w="1151" w:type="dxa"/>
            <w:tcBorders>
              <w:bottom w:val="single" w:color="auto" w:sz="4" w:space="0"/>
            </w:tcBorders>
            <w:vAlign w:val="center"/>
          </w:tcPr>
          <w:p w14:paraId="3047CE50">
            <w:pPr>
              <w:spacing w:line="360" w:lineRule="auto"/>
              <w:jc w:val="center"/>
              <w:rPr>
                <w:rFonts w:hint="eastAsia" w:ascii="仿宋" w:hAnsi="仿宋" w:eastAsia="仿宋" w:cs="仿宋"/>
                <w:color w:val="auto"/>
                <w:sz w:val="24"/>
                <w:highlight w:val="none"/>
              </w:rPr>
            </w:pPr>
          </w:p>
        </w:tc>
        <w:tc>
          <w:tcPr>
            <w:tcW w:w="1162" w:type="dxa"/>
            <w:tcBorders>
              <w:bottom w:val="single" w:color="auto" w:sz="4" w:space="0"/>
            </w:tcBorders>
            <w:vAlign w:val="center"/>
          </w:tcPr>
          <w:p w14:paraId="6A62251A">
            <w:pPr>
              <w:spacing w:line="360" w:lineRule="auto"/>
              <w:jc w:val="center"/>
              <w:rPr>
                <w:rFonts w:hint="eastAsia" w:ascii="仿宋" w:hAnsi="仿宋" w:eastAsia="仿宋" w:cs="仿宋"/>
                <w:color w:val="auto"/>
                <w:sz w:val="24"/>
                <w:highlight w:val="none"/>
              </w:rPr>
            </w:pPr>
          </w:p>
        </w:tc>
        <w:tc>
          <w:tcPr>
            <w:tcW w:w="1180" w:type="dxa"/>
            <w:tcBorders>
              <w:bottom w:val="single" w:color="auto" w:sz="4" w:space="0"/>
            </w:tcBorders>
            <w:vAlign w:val="center"/>
          </w:tcPr>
          <w:p w14:paraId="2E6264BA">
            <w:pPr>
              <w:spacing w:line="360" w:lineRule="auto"/>
              <w:jc w:val="center"/>
              <w:rPr>
                <w:rFonts w:hint="eastAsia" w:ascii="仿宋" w:hAnsi="仿宋" w:eastAsia="仿宋" w:cs="仿宋"/>
                <w:color w:val="auto"/>
                <w:sz w:val="24"/>
                <w:highlight w:val="none"/>
              </w:rPr>
            </w:pPr>
          </w:p>
        </w:tc>
        <w:tc>
          <w:tcPr>
            <w:tcW w:w="1158" w:type="dxa"/>
            <w:tcBorders>
              <w:bottom w:val="single" w:color="auto" w:sz="4" w:space="0"/>
              <w:right w:val="single" w:color="auto" w:sz="4" w:space="0"/>
            </w:tcBorders>
            <w:vAlign w:val="center"/>
          </w:tcPr>
          <w:p w14:paraId="2596ED31">
            <w:pPr>
              <w:spacing w:line="360" w:lineRule="auto"/>
              <w:jc w:val="center"/>
              <w:rPr>
                <w:rFonts w:hint="eastAsia" w:ascii="仿宋" w:hAnsi="仿宋" w:eastAsia="仿宋" w:cs="仿宋"/>
                <w:color w:val="auto"/>
                <w:sz w:val="24"/>
                <w:highlight w:val="none"/>
              </w:rPr>
            </w:pPr>
          </w:p>
        </w:tc>
        <w:tc>
          <w:tcPr>
            <w:tcW w:w="1069" w:type="dxa"/>
            <w:tcBorders>
              <w:left w:val="single" w:color="auto" w:sz="4" w:space="0"/>
              <w:bottom w:val="single" w:color="auto" w:sz="4" w:space="0"/>
              <w:right w:val="single" w:color="auto" w:sz="4" w:space="0"/>
            </w:tcBorders>
            <w:vAlign w:val="center"/>
          </w:tcPr>
          <w:p w14:paraId="2D8C310B">
            <w:pPr>
              <w:spacing w:line="360" w:lineRule="auto"/>
              <w:jc w:val="center"/>
              <w:rPr>
                <w:rFonts w:hint="eastAsia" w:ascii="仿宋" w:hAnsi="仿宋" w:eastAsia="仿宋" w:cs="仿宋"/>
                <w:color w:val="auto"/>
                <w:sz w:val="24"/>
                <w:highlight w:val="none"/>
              </w:rPr>
            </w:pPr>
          </w:p>
        </w:tc>
      </w:tr>
      <w:tr w14:paraId="078687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4A5A3DCA">
            <w:pPr>
              <w:spacing w:line="360" w:lineRule="auto"/>
              <w:jc w:val="center"/>
              <w:rPr>
                <w:rFonts w:hint="eastAsia" w:ascii="仿宋" w:hAnsi="仿宋" w:eastAsia="仿宋" w:cs="仿宋"/>
                <w:color w:val="auto"/>
                <w:sz w:val="24"/>
                <w:highlight w:val="none"/>
              </w:rPr>
            </w:pPr>
          </w:p>
        </w:tc>
        <w:tc>
          <w:tcPr>
            <w:tcW w:w="960" w:type="dxa"/>
            <w:tcBorders>
              <w:top w:val="single" w:color="auto" w:sz="4" w:space="0"/>
              <w:bottom w:val="single" w:color="auto" w:sz="4" w:space="0"/>
            </w:tcBorders>
            <w:vAlign w:val="center"/>
          </w:tcPr>
          <w:p w14:paraId="0CA1332D">
            <w:pPr>
              <w:spacing w:line="360" w:lineRule="auto"/>
              <w:jc w:val="center"/>
              <w:rPr>
                <w:rFonts w:hint="eastAsia" w:ascii="仿宋" w:hAnsi="仿宋" w:eastAsia="仿宋" w:cs="仿宋"/>
                <w:color w:val="auto"/>
                <w:sz w:val="24"/>
                <w:highlight w:val="none"/>
              </w:rPr>
            </w:pPr>
          </w:p>
        </w:tc>
        <w:tc>
          <w:tcPr>
            <w:tcW w:w="1113" w:type="dxa"/>
            <w:tcBorders>
              <w:top w:val="single" w:color="auto" w:sz="4" w:space="0"/>
              <w:bottom w:val="single" w:color="auto" w:sz="4" w:space="0"/>
            </w:tcBorders>
            <w:vAlign w:val="center"/>
          </w:tcPr>
          <w:p w14:paraId="4068D1DD">
            <w:pPr>
              <w:spacing w:line="360" w:lineRule="auto"/>
              <w:jc w:val="center"/>
              <w:rPr>
                <w:rFonts w:hint="eastAsia" w:ascii="仿宋" w:hAnsi="仿宋" w:eastAsia="仿宋" w:cs="仿宋"/>
                <w:color w:val="auto"/>
                <w:sz w:val="24"/>
                <w:highlight w:val="none"/>
              </w:rPr>
            </w:pPr>
          </w:p>
        </w:tc>
        <w:tc>
          <w:tcPr>
            <w:tcW w:w="1151" w:type="dxa"/>
            <w:tcBorders>
              <w:top w:val="single" w:color="auto" w:sz="4" w:space="0"/>
              <w:bottom w:val="single" w:color="auto" w:sz="4" w:space="0"/>
            </w:tcBorders>
            <w:vAlign w:val="center"/>
          </w:tcPr>
          <w:p w14:paraId="3ECAC95E">
            <w:pPr>
              <w:spacing w:line="360" w:lineRule="auto"/>
              <w:jc w:val="center"/>
              <w:rPr>
                <w:rFonts w:hint="eastAsia" w:ascii="仿宋" w:hAnsi="仿宋" w:eastAsia="仿宋" w:cs="仿宋"/>
                <w:color w:val="auto"/>
                <w:sz w:val="24"/>
                <w:highlight w:val="none"/>
              </w:rPr>
            </w:pPr>
          </w:p>
        </w:tc>
        <w:tc>
          <w:tcPr>
            <w:tcW w:w="1162" w:type="dxa"/>
            <w:tcBorders>
              <w:top w:val="single" w:color="auto" w:sz="4" w:space="0"/>
              <w:bottom w:val="single" w:color="auto" w:sz="4" w:space="0"/>
            </w:tcBorders>
            <w:vAlign w:val="center"/>
          </w:tcPr>
          <w:p w14:paraId="00CF68CE">
            <w:pPr>
              <w:spacing w:line="360" w:lineRule="auto"/>
              <w:jc w:val="center"/>
              <w:rPr>
                <w:rFonts w:hint="eastAsia" w:ascii="仿宋" w:hAnsi="仿宋" w:eastAsia="仿宋" w:cs="仿宋"/>
                <w:color w:val="auto"/>
                <w:sz w:val="24"/>
                <w:highlight w:val="none"/>
              </w:rPr>
            </w:pPr>
          </w:p>
        </w:tc>
        <w:tc>
          <w:tcPr>
            <w:tcW w:w="1180" w:type="dxa"/>
            <w:tcBorders>
              <w:top w:val="single" w:color="auto" w:sz="4" w:space="0"/>
              <w:bottom w:val="single" w:color="auto" w:sz="4" w:space="0"/>
            </w:tcBorders>
            <w:vAlign w:val="center"/>
          </w:tcPr>
          <w:p w14:paraId="5C799C0F">
            <w:pPr>
              <w:spacing w:line="360" w:lineRule="auto"/>
              <w:jc w:val="center"/>
              <w:rPr>
                <w:rFonts w:hint="eastAsia" w:ascii="仿宋" w:hAnsi="仿宋" w:eastAsia="仿宋" w:cs="仿宋"/>
                <w:color w:val="auto"/>
                <w:sz w:val="24"/>
                <w:highlight w:val="none"/>
              </w:rPr>
            </w:pPr>
          </w:p>
        </w:tc>
        <w:tc>
          <w:tcPr>
            <w:tcW w:w="1158" w:type="dxa"/>
            <w:tcBorders>
              <w:top w:val="single" w:color="auto" w:sz="4" w:space="0"/>
              <w:bottom w:val="single" w:color="auto" w:sz="4" w:space="0"/>
              <w:right w:val="single" w:color="auto" w:sz="4" w:space="0"/>
            </w:tcBorders>
            <w:vAlign w:val="center"/>
          </w:tcPr>
          <w:p w14:paraId="4E45F328">
            <w:pPr>
              <w:spacing w:line="360" w:lineRule="auto"/>
              <w:jc w:val="center"/>
              <w:rPr>
                <w:rFonts w:hint="eastAsia" w:ascii="仿宋" w:hAnsi="仿宋" w:eastAsia="仿宋" w:cs="仿宋"/>
                <w:color w:val="auto"/>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55AB660C">
            <w:pPr>
              <w:spacing w:line="360" w:lineRule="auto"/>
              <w:jc w:val="center"/>
              <w:rPr>
                <w:rFonts w:hint="eastAsia" w:ascii="仿宋" w:hAnsi="仿宋" w:eastAsia="仿宋" w:cs="仿宋"/>
                <w:color w:val="auto"/>
                <w:sz w:val="24"/>
                <w:highlight w:val="none"/>
              </w:rPr>
            </w:pPr>
          </w:p>
        </w:tc>
      </w:tr>
      <w:tr w14:paraId="6E9764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16F24997">
            <w:pPr>
              <w:spacing w:line="360" w:lineRule="auto"/>
              <w:jc w:val="center"/>
              <w:rPr>
                <w:rFonts w:hint="eastAsia" w:ascii="仿宋" w:hAnsi="仿宋" w:eastAsia="仿宋" w:cs="仿宋"/>
                <w:color w:val="auto"/>
                <w:sz w:val="24"/>
                <w:highlight w:val="none"/>
              </w:rPr>
            </w:pPr>
          </w:p>
        </w:tc>
        <w:tc>
          <w:tcPr>
            <w:tcW w:w="960" w:type="dxa"/>
            <w:tcBorders>
              <w:top w:val="single" w:color="auto" w:sz="4" w:space="0"/>
              <w:bottom w:val="single" w:color="auto" w:sz="4" w:space="0"/>
            </w:tcBorders>
            <w:vAlign w:val="center"/>
          </w:tcPr>
          <w:p w14:paraId="1D93F9B5">
            <w:pPr>
              <w:spacing w:line="360" w:lineRule="auto"/>
              <w:jc w:val="center"/>
              <w:rPr>
                <w:rFonts w:hint="eastAsia" w:ascii="仿宋" w:hAnsi="仿宋" w:eastAsia="仿宋" w:cs="仿宋"/>
                <w:color w:val="auto"/>
                <w:sz w:val="24"/>
                <w:highlight w:val="none"/>
              </w:rPr>
            </w:pPr>
          </w:p>
        </w:tc>
        <w:tc>
          <w:tcPr>
            <w:tcW w:w="1113" w:type="dxa"/>
            <w:tcBorders>
              <w:top w:val="single" w:color="auto" w:sz="4" w:space="0"/>
              <w:bottom w:val="single" w:color="auto" w:sz="4" w:space="0"/>
            </w:tcBorders>
            <w:vAlign w:val="center"/>
          </w:tcPr>
          <w:p w14:paraId="4C226C3D">
            <w:pPr>
              <w:spacing w:line="360" w:lineRule="auto"/>
              <w:jc w:val="center"/>
              <w:rPr>
                <w:rFonts w:hint="eastAsia" w:ascii="仿宋" w:hAnsi="仿宋" w:eastAsia="仿宋" w:cs="仿宋"/>
                <w:color w:val="auto"/>
                <w:sz w:val="24"/>
                <w:highlight w:val="none"/>
              </w:rPr>
            </w:pPr>
          </w:p>
        </w:tc>
        <w:tc>
          <w:tcPr>
            <w:tcW w:w="1151" w:type="dxa"/>
            <w:tcBorders>
              <w:top w:val="single" w:color="auto" w:sz="4" w:space="0"/>
              <w:bottom w:val="single" w:color="auto" w:sz="4" w:space="0"/>
            </w:tcBorders>
            <w:vAlign w:val="center"/>
          </w:tcPr>
          <w:p w14:paraId="60299E42">
            <w:pPr>
              <w:spacing w:line="360" w:lineRule="auto"/>
              <w:jc w:val="center"/>
              <w:rPr>
                <w:rFonts w:hint="eastAsia" w:ascii="仿宋" w:hAnsi="仿宋" w:eastAsia="仿宋" w:cs="仿宋"/>
                <w:color w:val="auto"/>
                <w:sz w:val="24"/>
                <w:highlight w:val="none"/>
              </w:rPr>
            </w:pPr>
          </w:p>
        </w:tc>
        <w:tc>
          <w:tcPr>
            <w:tcW w:w="1162" w:type="dxa"/>
            <w:tcBorders>
              <w:top w:val="single" w:color="auto" w:sz="4" w:space="0"/>
              <w:bottom w:val="single" w:color="auto" w:sz="4" w:space="0"/>
            </w:tcBorders>
            <w:vAlign w:val="center"/>
          </w:tcPr>
          <w:p w14:paraId="42C3BA47">
            <w:pPr>
              <w:spacing w:line="360" w:lineRule="auto"/>
              <w:jc w:val="center"/>
              <w:rPr>
                <w:rFonts w:hint="eastAsia" w:ascii="仿宋" w:hAnsi="仿宋" w:eastAsia="仿宋" w:cs="仿宋"/>
                <w:color w:val="auto"/>
                <w:sz w:val="24"/>
                <w:highlight w:val="none"/>
              </w:rPr>
            </w:pPr>
          </w:p>
        </w:tc>
        <w:tc>
          <w:tcPr>
            <w:tcW w:w="1180" w:type="dxa"/>
            <w:tcBorders>
              <w:top w:val="single" w:color="auto" w:sz="4" w:space="0"/>
              <w:bottom w:val="single" w:color="auto" w:sz="4" w:space="0"/>
            </w:tcBorders>
            <w:vAlign w:val="center"/>
          </w:tcPr>
          <w:p w14:paraId="60AD4295">
            <w:pPr>
              <w:spacing w:line="360" w:lineRule="auto"/>
              <w:jc w:val="center"/>
              <w:rPr>
                <w:rFonts w:hint="eastAsia" w:ascii="仿宋" w:hAnsi="仿宋" w:eastAsia="仿宋" w:cs="仿宋"/>
                <w:color w:val="auto"/>
                <w:sz w:val="24"/>
                <w:highlight w:val="none"/>
              </w:rPr>
            </w:pPr>
          </w:p>
        </w:tc>
        <w:tc>
          <w:tcPr>
            <w:tcW w:w="1158" w:type="dxa"/>
            <w:tcBorders>
              <w:top w:val="single" w:color="auto" w:sz="4" w:space="0"/>
              <w:bottom w:val="single" w:color="auto" w:sz="4" w:space="0"/>
              <w:right w:val="single" w:color="auto" w:sz="4" w:space="0"/>
            </w:tcBorders>
            <w:vAlign w:val="center"/>
          </w:tcPr>
          <w:p w14:paraId="30DF1E04">
            <w:pPr>
              <w:spacing w:line="360" w:lineRule="auto"/>
              <w:jc w:val="center"/>
              <w:rPr>
                <w:rFonts w:hint="eastAsia" w:ascii="仿宋" w:hAnsi="仿宋" w:eastAsia="仿宋" w:cs="仿宋"/>
                <w:color w:val="auto"/>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5C0156D5">
            <w:pPr>
              <w:spacing w:line="360" w:lineRule="auto"/>
              <w:jc w:val="center"/>
              <w:rPr>
                <w:rFonts w:hint="eastAsia" w:ascii="仿宋" w:hAnsi="仿宋" w:eastAsia="仿宋" w:cs="仿宋"/>
                <w:color w:val="auto"/>
                <w:sz w:val="24"/>
                <w:highlight w:val="none"/>
              </w:rPr>
            </w:pPr>
          </w:p>
        </w:tc>
      </w:tr>
      <w:tr w14:paraId="77388A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50" w:hRule="atLeast"/>
          <w:jc w:val="center"/>
        </w:trPr>
        <w:tc>
          <w:tcPr>
            <w:tcW w:w="606" w:type="dxa"/>
            <w:tcBorders>
              <w:top w:val="single" w:color="auto" w:sz="4" w:space="0"/>
              <w:bottom w:val="single" w:color="auto" w:sz="4" w:space="0"/>
            </w:tcBorders>
            <w:vAlign w:val="center"/>
          </w:tcPr>
          <w:p w14:paraId="61185497">
            <w:pPr>
              <w:spacing w:line="360" w:lineRule="auto"/>
              <w:jc w:val="center"/>
              <w:rPr>
                <w:rFonts w:hint="eastAsia" w:ascii="仿宋" w:hAnsi="仿宋" w:eastAsia="仿宋" w:cs="仿宋"/>
                <w:color w:val="auto"/>
                <w:sz w:val="24"/>
                <w:highlight w:val="none"/>
              </w:rPr>
            </w:pPr>
          </w:p>
        </w:tc>
        <w:tc>
          <w:tcPr>
            <w:tcW w:w="960" w:type="dxa"/>
            <w:tcBorders>
              <w:top w:val="single" w:color="auto" w:sz="4" w:space="0"/>
              <w:bottom w:val="single" w:color="auto" w:sz="4" w:space="0"/>
            </w:tcBorders>
            <w:vAlign w:val="center"/>
          </w:tcPr>
          <w:p w14:paraId="2A8F89D5">
            <w:pPr>
              <w:spacing w:line="360" w:lineRule="auto"/>
              <w:jc w:val="center"/>
              <w:rPr>
                <w:rFonts w:hint="eastAsia" w:ascii="仿宋" w:hAnsi="仿宋" w:eastAsia="仿宋" w:cs="仿宋"/>
                <w:color w:val="auto"/>
                <w:sz w:val="24"/>
                <w:highlight w:val="none"/>
              </w:rPr>
            </w:pPr>
          </w:p>
        </w:tc>
        <w:tc>
          <w:tcPr>
            <w:tcW w:w="1113" w:type="dxa"/>
            <w:tcBorders>
              <w:top w:val="single" w:color="auto" w:sz="4" w:space="0"/>
              <w:bottom w:val="single" w:color="auto" w:sz="4" w:space="0"/>
            </w:tcBorders>
            <w:vAlign w:val="center"/>
          </w:tcPr>
          <w:p w14:paraId="43114603">
            <w:pPr>
              <w:spacing w:line="360" w:lineRule="auto"/>
              <w:jc w:val="center"/>
              <w:rPr>
                <w:rFonts w:hint="eastAsia" w:ascii="仿宋" w:hAnsi="仿宋" w:eastAsia="仿宋" w:cs="仿宋"/>
                <w:color w:val="auto"/>
                <w:sz w:val="24"/>
                <w:highlight w:val="none"/>
              </w:rPr>
            </w:pPr>
          </w:p>
        </w:tc>
        <w:tc>
          <w:tcPr>
            <w:tcW w:w="1151" w:type="dxa"/>
            <w:tcBorders>
              <w:top w:val="single" w:color="auto" w:sz="4" w:space="0"/>
              <w:bottom w:val="single" w:color="auto" w:sz="4" w:space="0"/>
            </w:tcBorders>
            <w:vAlign w:val="center"/>
          </w:tcPr>
          <w:p w14:paraId="648ECAC0">
            <w:pPr>
              <w:spacing w:line="360" w:lineRule="auto"/>
              <w:jc w:val="center"/>
              <w:rPr>
                <w:rFonts w:hint="eastAsia" w:ascii="仿宋" w:hAnsi="仿宋" w:eastAsia="仿宋" w:cs="仿宋"/>
                <w:color w:val="auto"/>
                <w:sz w:val="24"/>
                <w:highlight w:val="none"/>
              </w:rPr>
            </w:pPr>
          </w:p>
        </w:tc>
        <w:tc>
          <w:tcPr>
            <w:tcW w:w="1162" w:type="dxa"/>
            <w:tcBorders>
              <w:top w:val="single" w:color="auto" w:sz="4" w:space="0"/>
              <w:bottom w:val="single" w:color="auto" w:sz="4" w:space="0"/>
            </w:tcBorders>
            <w:vAlign w:val="center"/>
          </w:tcPr>
          <w:p w14:paraId="1ED13A34">
            <w:pPr>
              <w:spacing w:line="360" w:lineRule="auto"/>
              <w:jc w:val="center"/>
              <w:rPr>
                <w:rFonts w:hint="eastAsia" w:ascii="仿宋" w:hAnsi="仿宋" w:eastAsia="仿宋" w:cs="仿宋"/>
                <w:color w:val="auto"/>
                <w:sz w:val="24"/>
                <w:highlight w:val="none"/>
              </w:rPr>
            </w:pPr>
          </w:p>
        </w:tc>
        <w:tc>
          <w:tcPr>
            <w:tcW w:w="1180" w:type="dxa"/>
            <w:tcBorders>
              <w:top w:val="single" w:color="auto" w:sz="4" w:space="0"/>
              <w:bottom w:val="single" w:color="auto" w:sz="4" w:space="0"/>
            </w:tcBorders>
            <w:vAlign w:val="center"/>
          </w:tcPr>
          <w:p w14:paraId="158B24ED">
            <w:pPr>
              <w:spacing w:line="360" w:lineRule="auto"/>
              <w:jc w:val="center"/>
              <w:rPr>
                <w:rFonts w:hint="eastAsia" w:ascii="仿宋" w:hAnsi="仿宋" w:eastAsia="仿宋" w:cs="仿宋"/>
                <w:color w:val="auto"/>
                <w:sz w:val="24"/>
                <w:highlight w:val="none"/>
              </w:rPr>
            </w:pPr>
          </w:p>
        </w:tc>
        <w:tc>
          <w:tcPr>
            <w:tcW w:w="1158" w:type="dxa"/>
            <w:tcBorders>
              <w:top w:val="single" w:color="auto" w:sz="4" w:space="0"/>
              <w:bottom w:val="single" w:color="auto" w:sz="4" w:space="0"/>
              <w:right w:val="single" w:color="auto" w:sz="4" w:space="0"/>
            </w:tcBorders>
            <w:vAlign w:val="center"/>
          </w:tcPr>
          <w:p w14:paraId="3A6622E0">
            <w:pPr>
              <w:spacing w:line="360" w:lineRule="auto"/>
              <w:jc w:val="center"/>
              <w:rPr>
                <w:rFonts w:hint="eastAsia" w:ascii="仿宋" w:hAnsi="仿宋" w:eastAsia="仿宋" w:cs="仿宋"/>
                <w:color w:val="auto"/>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0E7ABE50">
            <w:pPr>
              <w:spacing w:line="360" w:lineRule="auto"/>
              <w:jc w:val="center"/>
              <w:rPr>
                <w:rFonts w:hint="eastAsia" w:ascii="仿宋" w:hAnsi="仿宋" w:eastAsia="仿宋" w:cs="仿宋"/>
                <w:color w:val="auto"/>
                <w:sz w:val="24"/>
                <w:highlight w:val="none"/>
              </w:rPr>
            </w:pPr>
          </w:p>
        </w:tc>
      </w:tr>
      <w:tr w14:paraId="54C669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35" w:hRule="atLeast"/>
          <w:jc w:val="center"/>
        </w:trPr>
        <w:tc>
          <w:tcPr>
            <w:tcW w:w="606" w:type="dxa"/>
            <w:tcBorders>
              <w:top w:val="single" w:color="auto" w:sz="4" w:space="0"/>
            </w:tcBorders>
            <w:vAlign w:val="center"/>
          </w:tcPr>
          <w:p w14:paraId="4086F491">
            <w:pPr>
              <w:spacing w:line="360" w:lineRule="auto"/>
              <w:jc w:val="center"/>
              <w:rPr>
                <w:rFonts w:hint="eastAsia" w:ascii="仿宋" w:hAnsi="仿宋" w:eastAsia="仿宋" w:cs="仿宋"/>
                <w:color w:val="auto"/>
                <w:sz w:val="24"/>
                <w:highlight w:val="none"/>
              </w:rPr>
            </w:pPr>
          </w:p>
        </w:tc>
        <w:tc>
          <w:tcPr>
            <w:tcW w:w="960" w:type="dxa"/>
            <w:tcBorders>
              <w:top w:val="single" w:color="auto" w:sz="4" w:space="0"/>
            </w:tcBorders>
            <w:vAlign w:val="center"/>
          </w:tcPr>
          <w:p w14:paraId="16343B8E">
            <w:pPr>
              <w:spacing w:line="360" w:lineRule="auto"/>
              <w:jc w:val="center"/>
              <w:rPr>
                <w:rFonts w:hint="eastAsia" w:ascii="仿宋" w:hAnsi="仿宋" w:eastAsia="仿宋" w:cs="仿宋"/>
                <w:color w:val="auto"/>
                <w:sz w:val="24"/>
                <w:highlight w:val="none"/>
              </w:rPr>
            </w:pPr>
          </w:p>
        </w:tc>
        <w:tc>
          <w:tcPr>
            <w:tcW w:w="1113" w:type="dxa"/>
            <w:tcBorders>
              <w:top w:val="single" w:color="auto" w:sz="4" w:space="0"/>
            </w:tcBorders>
            <w:vAlign w:val="center"/>
          </w:tcPr>
          <w:p w14:paraId="430741FB">
            <w:pPr>
              <w:spacing w:line="360" w:lineRule="auto"/>
              <w:jc w:val="center"/>
              <w:rPr>
                <w:rFonts w:hint="eastAsia" w:ascii="仿宋" w:hAnsi="仿宋" w:eastAsia="仿宋" w:cs="仿宋"/>
                <w:color w:val="auto"/>
                <w:sz w:val="24"/>
                <w:highlight w:val="none"/>
              </w:rPr>
            </w:pPr>
          </w:p>
        </w:tc>
        <w:tc>
          <w:tcPr>
            <w:tcW w:w="1151" w:type="dxa"/>
            <w:tcBorders>
              <w:top w:val="single" w:color="auto" w:sz="4" w:space="0"/>
            </w:tcBorders>
            <w:vAlign w:val="center"/>
          </w:tcPr>
          <w:p w14:paraId="77EC4F48">
            <w:pPr>
              <w:spacing w:line="360" w:lineRule="auto"/>
              <w:jc w:val="center"/>
              <w:rPr>
                <w:rFonts w:hint="eastAsia" w:ascii="仿宋" w:hAnsi="仿宋" w:eastAsia="仿宋" w:cs="仿宋"/>
                <w:color w:val="auto"/>
                <w:sz w:val="24"/>
                <w:highlight w:val="none"/>
              </w:rPr>
            </w:pPr>
          </w:p>
        </w:tc>
        <w:tc>
          <w:tcPr>
            <w:tcW w:w="1162" w:type="dxa"/>
            <w:tcBorders>
              <w:top w:val="single" w:color="auto" w:sz="4" w:space="0"/>
            </w:tcBorders>
            <w:vAlign w:val="center"/>
          </w:tcPr>
          <w:p w14:paraId="3FFBF373">
            <w:pPr>
              <w:spacing w:line="360" w:lineRule="auto"/>
              <w:jc w:val="center"/>
              <w:rPr>
                <w:rFonts w:hint="eastAsia" w:ascii="仿宋" w:hAnsi="仿宋" w:eastAsia="仿宋" w:cs="仿宋"/>
                <w:color w:val="auto"/>
                <w:sz w:val="24"/>
                <w:highlight w:val="none"/>
              </w:rPr>
            </w:pPr>
          </w:p>
        </w:tc>
        <w:tc>
          <w:tcPr>
            <w:tcW w:w="1180" w:type="dxa"/>
            <w:tcBorders>
              <w:top w:val="single" w:color="auto" w:sz="4" w:space="0"/>
            </w:tcBorders>
            <w:vAlign w:val="center"/>
          </w:tcPr>
          <w:p w14:paraId="29F25C56">
            <w:pPr>
              <w:spacing w:line="360" w:lineRule="auto"/>
              <w:jc w:val="center"/>
              <w:rPr>
                <w:rFonts w:hint="eastAsia" w:ascii="仿宋" w:hAnsi="仿宋" w:eastAsia="仿宋" w:cs="仿宋"/>
                <w:color w:val="auto"/>
                <w:sz w:val="24"/>
                <w:highlight w:val="none"/>
              </w:rPr>
            </w:pPr>
          </w:p>
        </w:tc>
        <w:tc>
          <w:tcPr>
            <w:tcW w:w="1158" w:type="dxa"/>
            <w:tcBorders>
              <w:top w:val="single" w:color="auto" w:sz="4" w:space="0"/>
              <w:right w:val="single" w:color="auto" w:sz="4" w:space="0"/>
            </w:tcBorders>
            <w:vAlign w:val="center"/>
          </w:tcPr>
          <w:p w14:paraId="31F85E0B">
            <w:pPr>
              <w:spacing w:line="360" w:lineRule="auto"/>
              <w:jc w:val="center"/>
              <w:rPr>
                <w:rFonts w:hint="eastAsia" w:ascii="仿宋" w:hAnsi="仿宋" w:eastAsia="仿宋" w:cs="仿宋"/>
                <w:color w:val="auto"/>
                <w:sz w:val="24"/>
                <w:highlight w:val="none"/>
              </w:rPr>
            </w:pPr>
          </w:p>
        </w:tc>
        <w:tc>
          <w:tcPr>
            <w:tcW w:w="1069" w:type="dxa"/>
            <w:tcBorders>
              <w:top w:val="single" w:color="auto" w:sz="4" w:space="0"/>
              <w:left w:val="single" w:color="auto" w:sz="4" w:space="0"/>
              <w:right w:val="single" w:color="auto" w:sz="4" w:space="0"/>
            </w:tcBorders>
            <w:vAlign w:val="center"/>
          </w:tcPr>
          <w:p w14:paraId="1EB38205">
            <w:pPr>
              <w:spacing w:line="360" w:lineRule="auto"/>
              <w:jc w:val="center"/>
              <w:rPr>
                <w:rFonts w:hint="eastAsia" w:ascii="仿宋" w:hAnsi="仿宋" w:eastAsia="仿宋" w:cs="仿宋"/>
                <w:color w:val="auto"/>
                <w:sz w:val="24"/>
                <w:highlight w:val="none"/>
              </w:rPr>
            </w:pPr>
          </w:p>
        </w:tc>
      </w:tr>
    </w:tbl>
    <w:p w14:paraId="55CACFFE">
      <w:pPr>
        <w:spacing w:line="360" w:lineRule="auto"/>
        <w:jc w:val="left"/>
        <w:rPr>
          <w:rFonts w:hint="eastAsia" w:ascii="仿宋" w:hAnsi="仿宋" w:eastAsia="仿宋" w:cs="仿宋"/>
          <w:bCs/>
          <w:color w:val="auto"/>
          <w:sz w:val="24"/>
          <w:highlight w:val="none"/>
        </w:rPr>
      </w:pPr>
    </w:p>
    <w:p w14:paraId="6ED3F04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4395947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1.本表后附投标人近三年完成的类似业绩</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lang w:val="en-US" w:eastAsia="zh-CN"/>
        </w:rPr>
        <w:t>须提供中标通知书（或网站可查中标结果公示截图）、及项目合同（包含但不限于合同首页、关键信息页、双方签章页、验收报告）。</w:t>
      </w:r>
    </w:p>
    <w:p w14:paraId="49518AFC">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2.具体年份要求：2023年01月01日-投标文件上传截止时间前，业绩认定日期以合同签订日期为准。</w:t>
      </w:r>
    </w:p>
    <w:p w14:paraId="667B1E0D">
      <w:pPr>
        <w:rPr>
          <w:rFonts w:hint="eastAsia" w:ascii="仿宋" w:hAnsi="仿宋" w:eastAsia="仿宋" w:cs="仿宋"/>
          <w:bCs w:val="0"/>
          <w:color w:val="auto"/>
          <w:kern w:val="0"/>
          <w:sz w:val="24"/>
          <w:szCs w:val="24"/>
          <w:highlight w:val="none"/>
        </w:rPr>
      </w:pPr>
      <w:bookmarkStart w:id="189" w:name="_Toc21658"/>
      <w:bookmarkStart w:id="190" w:name="_Toc217446091"/>
      <w:r>
        <w:rPr>
          <w:rFonts w:hint="eastAsia" w:ascii="仿宋" w:hAnsi="仿宋" w:eastAsia="仿宋" w:cs="仿宋"/>
          <w:bCs w:val="0"/>
          <w:color w:val="auto"/>
          <w:kern w:val="0"/>
          <w:sz w:val="24"/>
          <w:szCs w:val="24"/>
          <w:highlight w:val="none"/>
        </w:rPr>
        <w:br w:type="page"/>
      </w:r>
    </w:p>
    <w:p w14:paraId="4D0968C0">
      <w:pPr>
        <w:pStyle w:val="4"/>
        <w:spacing w:before="156" w:after="156"/>
        <w:rPr>
          <w:rFonts w:hint="eastAsia" w:ascii="仿宋" w:hAnsi="仿宋" w:eastAsia="仿宋" w:cs="仿宋"/>
          <w:color w:val="auto"/>
          <w:sz w:val="24"/>
          <w:szCs w:val="24"/>
          <w:highlight w:val="none"/>
        </w:rPr>
      </w:pPr>
      <w:r>
        <w:rPr>
          <w:rFonts w:hint="eastAsia" w:ascii="仿宋" w:hAnsi="仿宋" w:eastAsia="仿宋" w:cs="仿宋"/>
          <w:bCs w:val="0"/>
          <w:color w:val="auto"/>
          <w:kern w:val="0"/>
          <w:sz w:val="24"/>
          <w:szCs w:val="24"/>
          <w:highlight w:val="none"/>
        </w:rPr>
        <w:t>六、</w:t>
      </w:r>
      <w:r>
        <w:rPr>
          <w:rFonts w:hint="eastAsia" w:ascii="仿宋" w:hAnsi="仿宋" w:eastAsia="仿宋" w:cs="仿宋"/>
          <w:color w:val="auto"/>
          <w:sz w:val="24"/>
          <w:szCs w:val="24"/>
          <w:highlight w:val="none"/>
        </w:rPr>
        <w:t>商务、技术需求偏离表</w:t>
      </w:r>
      <w:bookmarkEnd w:id="189"/>
    </w:p>
    <w:p w14:paraId="2506372B">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商务条款偏离表</w:t>
      </w:r>
    </w:p>
    <w:tbl>
      <w:tblPr>
        <w:tblStyle w:val="34"/>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2D9F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4AB31C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5850" w:type="dxa"/>
            <w:shd w:val="clear" w:color="auto" w:fill="FFFFFF"/>
            <w:vAlign w:val="center"/>
          </w:tcPr>
          <w:p w14:paraId="6E2658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主要商务条款</w:t>
            </w:r>
          </w:p>
        </w:tc>
        <w:tc>
          <w:tcPr>
            <w:tcW w:w="1008" w:type="dxa"/>
            <w:shd w:val="clear" w:color="auto" w:fill="FFFFFF"/>
            <w:vAlign w:val="center"/>
          </w:tcPr>
          <w:p w14:paraId="57302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是否</w:t>
            </w:r>
          </w:p>
          <w:p w14:paraId="27AF5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响应</w:t>
            </w:r>
          </w:p>
        </w:tc>
        <w:tc>
          <w:tcPr>
            <w:tcW w:w="1164" w:type="dxa"/>
            <w:shd w:val="clear" w:color="auto" w:fill="FFFFFF"/>
            <w:vAlign w:val="center"/>
          </w:tcPr>
          <w:p w14:paraId="5B0983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4143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0720E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850" w:type="dxa"/>
            <w:vAlign w:val="center"/>
          </w:tcPr>
          <w:p w14:paraId="6340B1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完全理解并接受对合格投标人、合格的服务质量和服务要求；</w:t>
            </w:r>
          </w:p>
        </w:tc>
        <w:tc>
          <w:tcPr>
            <w:tcW w:w="1008" w:type="dxa"/>
            <w:vAlign w:val="center"/>
          </w:tcPr>
          <w:p w14:paraId="5EDF8F45">
            <w:pPr>
              <w:pStyle w:val="6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仿宋" w:hAnsi="仿宋" w:eastAsia="仿宋" w:cs="仿宋"/>
                <w:color w:val="auto"/>
                <w:spacing w:val="0"/>
                <w:kern w:val="2"/>
                <w:szCs w:val="24"/>
                <w:highlight w:val="none"/>
              </w:rPr>
            </w:pPr>
          </w:p>
        </w:tc>
        <w:tc>
          <w:tcPr>
            <w:tcW w:w="1164" w:type="dxa"/>
            <w:vAlign w:val="center"/>
          </w:tcPr>
          <w:p w14:paraId="05563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r>
      <w:tr w14:paraId="6F5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CC00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850" w:type="dxa"/>
            <w:vAlign w:val="center"/>
          </w:tcPr>
          <w:p w14:paraId="3E960E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完全理解并接受对投标人的各项须知、规约要求和责任义务；</w:t>
            </w:r>
          </w:p>
        </w:tc>
        <w:tc>
          <w:tcPr>
            <w:tcW w:w="1008" w:type="dxa"/>
            <w:vAlign w:val="center"/>
          </w:tcPr>
          <w:p w14:paraId="21554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c>
          <w:tcPr>
            <w:tcW w:w="1164" w:type="dxa"/>
            <w:vAlign w:val="center"/>
          </w:tcPr>
          <w:p w14:paraId="729A35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r>
      <w:tr w14:paraId="2B68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83E5B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850" w:type="dxa"/>
            <w:vAlign w:val="center"/>
          </w:tcPr>
          <w:p w14:paraId="236CB2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同意接受拟签订的合同文本所列述的各项条款；</w:t>
            </w:r>
          </w:p>
        </w:tc>
        <w:tc>
          <w:tcPr>
            <w:tcW w:w="1008" w:type="dxa"/>
            <w:vAlign w:val="center"/>
          </w:tcPr>
          <w:p w14:paraId="11C05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c>
          <w:tcPr>
            <w:tcW w:w="1164" w:type="dxa"/>
            <w:vAlign w:val="center"/>
          </w:tcPr>
          <w:p w14:paraId="437CE0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r>
      <w:tr w14:paraId="4878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02DB7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850" w:type="dxa"/>
            <w:vAlign w:val="center"/>
          </w:tcPr>
          <w:p w14:paraId="75D629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同意按本项目要求缴付相关款项；</w:t>
            </w:r>
          </w:p>
        </w:tc>
        <w:tc>
          <w:tcPr>
            <w:tcW w:w="1008" w:type="dxa"/>
            <w:vAlign w:val="center"/>
          </w:tcPr>
          <w:p w14:paraId="68FA2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c>
          <w:tcPr>
            <w:tcW w:w="1164" w:type="dxa"/>
            <w:vAlign w:val="center"/>
          </w:tcPr>
          <w:p w14:paraId="05766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r>
      <w:tr w14:paraId="6F1B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48FDC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5850" w:type="dxa"/>
            <w:vAlign w:val="center"/>
          </w:tcPr>
          <w:p w14:paraId="4D6E79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可提供货物来源证明或合法性证明；</w:t>
            </w:r>
          </w:p>
        </w:tc>
        <w:tc>
          <w:tcPr>
            <w:tcW w:w="1008" w:type="dxa"/>
            <w:vAlign w:val="center"/>
          </w:tcPr>
          <w:p w14:paraId="0E7D9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c>
          <w:tcPr>
            <w:tcW w:w="1164" w:type="dxa"/>
            <w:vAlign w:val="center"/>
          </w:tcPr>
          <w:p w14:paraId="7DEBA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r>
      <w:tr w14:paraId="4B3D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4D6E9D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5850" w:type="dxa"/>
            <w:vAlign w:val="center"/>
          </w:tcPr>
          <w:p w14:paraId="6E3653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1008" w:type="dxa"/>
            <w:vAlign w:val="center"/>
          </w:tcPr>
          <w:p w14:paraId="483C74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c>
          <w:tcPr>
            <w:tcW w:w="1164" w:type="dxa"/>
            <w:vAlign w:val="center"/>
          </w:tcPr>
          <w:p w14:paraId="4CFDAE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r>
      <w:tr w14:paraId="6C5A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7F04F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5850" w:type="dxa"/>
            <w:vAlign w:val="center"/>
          </w:tcPr>
          <w:p w14:paraId="7D731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投标内容均涵盖招标要求及一切费用和伴随服务；</w:t>
            </w:r>
          </w:p>
        </w:tc>
        <w:tc>
          <w:tcPr>
            <w:tcW w:w="1008" w:type="dxa"/>
            <w:vAlign w:val="center"/>
          </w:tcPr>
          <w:p w14:paraId="7F6DE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c>
          <w:tcPr>
            <w:tcW w:w="1164" w:type="dxa"/>
            <w:vAlign w:val="center"/>
          </w:tcPr>
          <w:p w14:paraId="215F40AD">
            <w:pPr>
              <w:pStyle w:val="6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仿宋" w:hAnsi="仿宋" w:eastAsia="仿宋" w:cs="仿宋"/>
                <w:color w:val="auto"/>
                <w:spacing w:val="0"/>
                <w:kern w:val="2"/>
                <w:szCs w:val="24"/>
                <w:highlight w:val="none"/>
              </w:rPr>
            </w:pPr>
          </w:p>
        </w:tc>
      </w:tr>
      <w:tr w14:paraId="4D5E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7E7BB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5850" w:type="dxa"/>
            <w:vAlign w:val="center"/>
          </w:tcPr>
          <w:p w14:paraId="4CEC83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同意接受本项目供货期、相关进度安排要求；</w:t>
            </w:r>
          </w:p>
        </w:tc>
        <w:tc>
          <w:tcPr>
            <w:tcW w:w="1008" w:type="dxa"/>
            <w:vAlign w:val="center"/>
          </w:tcPr>
          <w:p w14:paraId="6DD08A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c>
          <w:tcPr>
            <w:tcW w:w="1164" w:type="dxa"/>
            <w:vAlign w:val="center"/>
          </w:tcPr>
          <w:p w14:paraId="1E2A3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r>
      <w:tr w14:paraId="153D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3CED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5850" w:type="dxa"/>
            <w:vAlign w:val="center"/>
          </w:tcPr>
          <w:p w14:paraId="739217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同意接受本项目的验收要求及验收标准；</w:t>
            </w:r>
          </w:p>
        </w:tc>
        <w:tc>
          <w:tcPr>
            <w:tcW w:w="1008" w:type="dxa"/>
            <w:vAlign w:val="center"/>
          </w:tcPr>
          <w:p w14:paraId="5816E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c>
          <w:tcPr>
            <w:tcW w:w="1164" w:type="dxa"/>
            <w:vAlign w:val="center"/>
          </w:tcPr>
          <w:p w14:paraId="35216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p>
        </w:tc>
      </w:tr>
      <w:tr w14:paraId="726F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45AE34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5850" w:type="dxa"/>
            <w:vAlign w:val="center"/>
          </w:tcPr>
          <w:p w14:paraId="20173666">
            <w:pPr>
              <w:pStyle w:val="2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cs="仿宋"/>
                <w:color w:val="auto"/>
                <w:sz w:val="24"/>
                <w:szCs w:val="24"/>
                <w:highlight w:val="none"/>
              </w:rPr>
            </w:pPr>
            <w:r>
              <w:rPr>
                <w:rFonts w:hint="eastAsia" w:ascii="仿宋" w:hAnsi="仿宋" w:cs="仿宋"/>
                <w:b w:val="0"/>
                <w:bCs w:val="0"/>
                <w:color w:val="auto"/>
                <w:kern w:val="2"/>
                <w:sz w:val="24"/>
                <w:szCs w:val="24"/>
                <w:highlight w:val="none"/>
              </w:rPr>
              <w:t>同意采购人以任何形式对我方的投标文件内容的真实性和有效性进行审查、验证；</w:t>
            </w:r>
          </w:p>
        </w:tc>
        <w:tc>
          <w:tcPr>
            <w:tcW w:w="1008" w:type="dxa"/>
            <w:vAlign w:val="center"/>
          </w:tcPr>
          <w:p w14:paraId="19DD42AD">
            <w:pPr>
              <w:pStyle w:val="6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p>
        </w:tc>
        <w:tc>
          <w:tcPr>
            <w:tcW w:w="1164" w:type="dxa"/>
            <w:vAlign w:val="center"/>
          </w:tcPr>
          <w:p w14:paraId="5BFCDA6C">
            <w:pPr>
              <w:pStyle w:val="6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color w:val="auto"/>
                <w:spacing w:val="0"/>
                <w:kern w:val="2"/>
                <w:szCs w:val="24"/>
                <w:highlight w:val="none"/>
              </w:rPr>
            </w:pPr>
          </w:p>
        </w:tc>
      </w:tr>
      <w:tr w14:paraId="6C67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23B45D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5850" w:type="dxa"/>
            <w:vAlign w:val="center"/>
          </w:tcPr>
          <w:p w14:paraId="11EE111A">
            <w:pPr>
              <w:pStyle w:val="2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cs="仿宋"/>
                <w:b w:val="0"/>
                <w:bCs w:val="0"/>
                <w:color w:val="auto"/>
                <w:kern w:val="2"/>
                <w:sz w:val="24"/>
                <w:szCs w:val="24"/>
                <w:highlight w:val="none"/>
              </w:rPr>
            </w:pPr>
            <w:r>
              <w:rPr>
                <w:rFonts w:hint="eastAsia" w:ascii="仿宋" w:hAnsi="仿宋" w:cs="仿宋"/>
                <w:b w:val="0"/>
                <w:bCs w:val="0"/>
                <w:color w:val="auto"/>
                <w:kern w:val="2"/>
                <w:sz w:val="24"/>
                <w:szCs w:val="24"/>
                <w:highlight w:val="none"/>
              </w:rPr>
              <w:t>同意接受本项目付款的各项要求。</w:t>
            </w:r>
          </w:p>
        </w:tc>
        <w:tc>
          <w:tcPr>
            <w:tcW w:w="1008" w:type="dxa"/>
            <w:vAlign w:val="center"/>
          </w:tcPr>
          <w:p w14:paraId="0AE2057D">
            <w:pPr>
              <w:pStyle w:val="6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p>
        </w:tc>
        <w:tc>
          <w:tcPr>
            <w:tcW w:w="1164" w:type="dxa"/>
            <w:vAlign w:val="center"/>
          </w:tcPr>
          <w:p w14:paraId="3A8C0889">
            <w:pPr>
              <w:pStyle w:val="6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color w:val="auto"/>
                <w:spacing w:val="0"/>
                <w:kern w:val="2"/>
                <w:szCs w:val="24"/>
                <w:highlight w:val="none"/>
              </w:rPr>
            </w:pPr>
          </w:p>
        </w:tc>
      </w:tr>
    </w:tbl>
    <w:p w14:paraId="23A896C3">
      <w:pPr>
        <w:spacing w:line="36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备注：</w:t>
      </w:r>
      <w:r>
        <w:rPr>
          <w:rFonts w:hint="eastAsia" w:ascii="仿宋" w:hAnsi="仿宋" w:eastAsia="仿宋" w:cs="仿宋"/>
          <w:color w:val="auto"/>
          <w:sz w:val="24"/>
          <w:highlight w:val="none"/>
          <w:lang w:val="en-GB"/>
        </w:rPr>
        <w:t>1</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val="en-GB"/>
        </w:rPr>
        <w:t>于上述要求，如投标人完全响应，则请在“是否响应”栏内打“√”，对打“×”视为偏离，请在“偏离说明”栏内扼要说明偏离情况；</w:t>
      </w:r>
    </w:p>
    <w:p w14:paraId="4046781D">
      <w:pPr>
        <w:spacing w:line="360" w:lineRule="auto"/>
        <w:ind w:left="-431"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GB"/>
        </w:rPr>
        <w:t>投标人应认真填写本响应表，若评标委员会在</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GB"/>
        </w:rPr>
        <w:t>期间，发现有虚假填写本响应表的，则将可能被视为存在两个</w:t>
      </w: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GB"/>
        </w:rPr>
        <w:t>方案，评标委员会将按本招标文件相关规定执行；</w:t>
      </w:r>
    </w:p>
    <w:p w14:paraId="73920DDA">
      <w:pPr>
        <w:spacing w:line="360" w:lineRule="auto"/>
        <w:ind w:left="-431"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GB"/>
        </w:rPr>
        <w:t>本表内容不得擅自修改。</w:t>
      </w:r>
    </w:p>
    <w:p w14:paraId="34C66095">
      <w:pPr>
        <w:spacing w:line="360" w:lineRule="auto"/>
        <w:rPr>
          <w:rFonts w:hint="eastAsia" w:ascii="仿宋" w:hAnsi="仿宋" w:eastAsia="仿宋" w:cs="仿宋"/>
          <w:color w:val="auto"/>
          <w:sz w:val="24"/>
          <w:highlight w:val="none"/>
        </w:rPr>
      </w:pPr>
    </w:p>
    <w:p w14:paraId="74894CA3">
      <w:pPr>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 xml:space="preserve">    </w:t>
      </w:r>
    </w:p>
    <w:p w14:paraId="492860E9">
      <w:pPr>
        <w:spacing w:line="360" w:lineRule="auto"/>
        <w:rPr>
          <w:rFonts w:hint="eastAsia" w:ascii="仿宋" w:hAnsi="仿宋" w:eastAsia="仿宋" w:cs="仿宋"/>
          <w:color w:val="auto"/>
          <w:sz w:val="24"/>
          <w:highlight w:val="none"/>
        </w:rPr>
      </w:pPr>
    </w:p>
    <w:p w14:paraId="5F84B21E">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17F045BC">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技术需求偏离表</w:t>
      </w:r>
    </w:p>
    <w:tbl>
      <w:tblPr>
        <w:tblStyle w:val="3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1229"/>
        <w:gridCol w:w="1575"/>
        <w:gridCol w:w="1500"/>
        <w:gridCol w:w="1055"/>
        <w:gridCol w:w="1036"/>
      </w:tblGrid>
      <w:tr w14:paraId="4DA8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062" w:type="dxa"/>
            <w:vAlign w:val="center"/>
          </w:tcPr>
          <w:p w14:paraId="4A477829">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1062" w:type="dxa"/>
            <w:vAlign w:val="center"/>
          </w:tcPr>
          <w:p w14:paraId="401492F5">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货物名称</w:t>
            </w:r>
          </w:p>
        </w:tc>
        <w:tc>
          <w:tcPr>
            <w:tcW w:w="1229" w:type="dxa"/>
            <w:vAlign w:val="center"/>
          </w:tcPr>
          <w:p w14:paraId="2DF89AD3">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招标文件条款号</w:t>
            </w:r>
          </w:p>
        </w:tc>
        <w:tc>
          <w:tcPr>
            <w:tcW w:w="1575" w:type="dxa"/>
            <w:vAlign w:val="center"/>
          </w:tcPr>
          <w:p w14:paraId="54BD6157">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招标文件的要求</w:t>
            </w:r>
          </w:p>
        </w:tc>
        <w:tc>
          <w:tcPr>
            <w:tcW w:w="1500" w:type="dxa"/>
            <w:vAlign w:val="center"/>
          </w:tcPr>
          <w:p w14:paraId="01EE7C0A">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响应文件的响应</w:t>
            </w:r>
          </w:p>
        </w:tc>
        <w:tc>
          <w:tcPr>
            <w:tcW w:w="1055" w:type="dxa"/>
            <w:vAlign w:val="center"/>
          </w:tcPr>
          <w:p w14:paraId="5E7D1908">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偏离</w:t>
            </w:r>
          </w:p>
        </w:tc>
        <w:tc>
          <w:tcPr>
            <w:tcW w:w="1036" w:type="dxa"/>
            <w:vAlign w:val="center"/>
          </w:tcPr>
          <w:p w14:paraId="13A76D4E">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说明</w:t>
            </w:r>
          </w:p>
        </w:tc>
      </w:tr>
      <w:tr w14:paraId="1736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37D114DE">
            <w:pPr>
              <w:spacing w:line="360" w:lineRule="auto"/>
              <w:rPr>
                <w:rFonts w:hint="eastAsia" w:ascii="仿宋" w:hAnsi="仿宋" w:eastAsia="仿宋" w:cs="仿宋"/>
                <w:bCs/>
                <w:color w:val="auto"/>
                <w:sz w:val="24"/>
                <w:highlight w:val="none"/>
              </w:rPr>
            </w:pPr>
          </w:p>
        </w:tc>
        <w:tc>
          <w:tcPr>
            <w:tcW w:w="1062" w:type="dxa"/>
          </w:tcPr>
          <w:p w14:paraId="66C2EEB8">
            <w:pPr>
              <w:spacing w:line="360" w:lineRule="auto"/>
              <w:rPr>
                <w:rFonts w:hint="eastAsia" w:ascii="仿宋" w:hAnsi="仿宋" w:eastAsia="仿宋" w:cs="仿宋"/>
                <w:bCs/>
                <w:color w:val="auto"/>
                <w:sz w:val="24"/>
                <w:highlight w:val="none"/>
              </w:rPr>
            </w:pPr>
          </w:p>
        </w:tc>
        <w:tc>
          <w:tcPr>
            <w:tcW w:w="1229" w:type="dxa"/>
          </w:tcPr>
          <w:p w14:paraId="5AAC7A3B">
            <w:pPr>
              <w:spacing w:line="360" w:lineRule="auto"/>
              <w:rPr>
                <w:rFonts w:hint="eastAsia" w:ascii="仿宋" w:hAnsi="仿宋" w:eastAsia="仿宋" w:cs="仿宋"/>
                <w:bCs/>
                <w:color w:val="auto"/>
                <w:sz w:val="24"/>
                <w:highlight w:val="none"/>
              </w:rPr>
            </w:pPr>
          </w:p>
        </w:tc>
        <w:tc>
          <w:tcPr>
            <w:tcW w:w="1575" w:type="dxa"/>
          </w:tcPr>
          <w:p w14:paraId="506F394F">
            <w:pPr>
              <w:spacing w:line="360" w:lineRule="auto"/>
              <w:rPr>
                <w:rFonts w:hint="eastAsia" w:ascii="仿宋" w:hAnsi="仿宋" w:eastAsia="仿宋" w:cs="仿宋"/>
                <w:bCs/>
                <w:color w:val="auto"/>
                <w:sz w:val="24"/>
                <w:highlight w:val="none"/>
              </w:rPr>
            </w:pPr>
          </w:p>
        </w:tc>
        <w:tc>
          <w:tcPr>
            <w:tcW w:w="1500" w:type="dxa"/>
          </w:tcPr>
          <w:p w14:paraId="715C8EC7">
            <w:pPr>
              <w:spacing w:line="360" w:lineRule="auto"/>
              <w:rPr>
                <w:rFonts w:hint="eastAsia" w:ascii="仿宋" w:hAnsi="仿宋" w:eastAsia="仿宋" w:cs="仿宋"/>
                <w:bCs/>
                <w:color w:val="auto"/>
                <w:sz w:val="24"/>
                <w:highlight w:val="none"/>
              </w:rPr>
            </w:pPr>
          </w:p>
        </w:tc>
        <w:tc>
          <w:tcPr>
            <w:tcW w:w="1055" w:type="dxa"/>
          </w:tcPr>
          <w:p w14:paraId="7991D1AA">
            <w:pPr>
              <w:spacing w:line="360" w:lineRule="auto"/>
              <w:rPr>
                <w:rFonts w:hint="eastAsia" w:ascii="仿宋" w:hAnsi="仿宋" w:eastAsia="仿宋" w:cs="仿宋"/>
                <w:bCs/>
                <w:color w:val="auto"/>
                <w:sz w:val="24"/>
                <w:highlight w:val="none"/>
              </w:rPr>
            </w:pPr>
          </w:p>
        </w:tc>
        <w:tc>
          <w:tcPr>
            <w:tcW w:w="1036" w:type="dxa"/>
          </w:tcPr>
          <w:p w14:paraId="31431A4D">
            <w:pPr>
              <w:spacing w:line="360" w:lineRule="auto"/>
              <w:rPr>
                <w:rFonts w:hint="eastAsia" w:ascii="仿宋" w:hAnsi="仿宋" w:eastAsia="仿宋" w:cs="仿宋"/>
                <w:bCs/>
                <w:color w:val="auto"/>
                <w:sz w:val="24"/>
                <w:highlight w:val="none"/>
              </w:rPr>
            </w:pPr>
          </w:p>
        </w:tc>
      </w:tr>
      <w:tr w14:paraId="239F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4DD9D616">
            <w:pPr>
              <w:spacing w:line="360" w:lineRule="auto"/>
              <w:rPr>
                <w:rFonts w:hint="eastAsia" w:ascii="仿宋" w:hAnsi="仿宋" w:eastAsia="仿宋" w:cs="仿宋"/>
                <w:bCs/>
                <w:color w:val="auto"/>
                <w:sz w:val="24"/>
                <w:highlight w:val="none"/>
              </w:rPr>
            </w:pPr>
          </w:p>
        </w:tc>
        <w:tc>
          <w:tcPr>
            <w:tcW w:w="1062" w:type="dxa"/>
          </w:tcPr>
          <w:p w14:paraId="51E976E2">
            <w:pPr>
              <w:spacing w:line="360" w:lineRule="auto"/>
              <w:rPr>
                <w:rFonts w:hint="eastAsia" w:ascii="仿宋" w:hAnsi="仿宋" w:eastAsia="仿宋" w:cs="仿宋"/>
                <w:bCs/>
                <w:color w:val="auto"/>
                <w:sz w:val="24"/>
                <w:highlight w:val="none"/>
              </w:rPr>
            </w:pPr>
          </w:p>
        </w:tc>
        <w:tc>
          <w:tcPr>
            <w:tcW w:w="1229" w:type="dxa"/>
          </w:tcPr>
          <w:p w14:paraId="4957B294">
            <w:pPr>
              <w:spacing w:line="360" w:lineRule="auto"/>
              <w:rPr>
                <w:rFonts w:hint="eastAsia" w:ascii="仿宋" w:hAnsi="仿宋" w:eastAsia="仿宋" w:cs="仿宋"/>
                <w:bCs/>
                <w:color w:val="auto"/>
                <w:sz w:val="24"/>
                <w:highlight w:val="none"/>
              </w:rPr>
            </w:pPr>
          </w:p>
        </w:tc>
        <w:tc>
          <w:tcPr>
            <w:tcW w:w="1575" w:type="dxa"/>
          </w:tcPr>
          <w:p w14:paraId="0096B370">
            <w:pPr>
              <w:spacing w:line="360" w:lineRule="auto"/>
              <w:rPr>
                <w:rFonts w:hint="eastAsia" w:ascii="仿宋" w:hAnsi="仿宋" w:eastAsia="仿宋" w:cs="仿宋"/>
                <w:bCs/>
                <w:color w:val="auto"/>
                <w:sz w:val="24"/>
                <w:highlight w:val="none"/>
              </w:rPr>
            </w:pPr>
          </w:p>
        </w:tc>
        <w:tc>
          <w:tcPr>
            <w:tcW w:w="1500" w:type="dxa"/>
          </w:tcPr>
          <w:p w14:paraId="3C738803">
            <w:pPr>
              <w:spacing w:line="360" w:lineRule="auto"/>
              <w:rPr>
                <w:rFonts w:hint="eastAsia" w:ascii="仿宋" w:hAnsi="仿宋" w:eastAsia="仿宋" w:cs="仿宋"/>
                <w:bCs/>
                <w:color w:val="auto"/>
                <w:sz w:val="24"/>
                <w:highlight w:val="none"/>
              </w:rPr>
            </w:pPr>
          </w:p>
        </w:tc>
        <w:tc>
          <w:tcPr>
            <w:tcW w:w="1055" w:type="dxa"/>
          </w:tcPr>
          <w:p w14:paraId="6ED29AD7">
            <w:pPr>
              <w:spacing w:line="360" w:lineRule="auto"/>
              <w:rPr>
                <w:rFonts w:hint="eastAsia" w:ascii="仿宋" w:hAnsi="仿宋" w:eastAsia="仿宋" w:cs="仿宋"/>
                <w:bCs/>
                <w:color w:val="auto"/>
                <w:sz w:val="24"/>
                <w:highlight w:val="none"/>
              </w:rPr>
            </w:pPr>
          </w:p>
        </w:tc>
        <w:tc>
          <w:tcPr>
            <w:tcW w:w="1036" w:type="dxa"/>
          </w:tcPr>
          <w:p w14:paraId="0D6B29AF">
            <w:pPr>
              <w:spacing w:line="360" w:lineRule="auto"/>
              <w:rPr>
                <w:rFonts w:hint="eastAsia" w:ascii="仿宋" w:hAnsi="仿宋" w:eastAsia="仿宋" w:cs="仿宋"/>
                <w:bCs/>
                <w:color w:val="auto"/>
                <w:sz w:val="24"/>
                <w:highlight w:val="none"/>
              </w:rPr>
            </w:pPr>
          </w:p>
        </w:tc>
      </w:tr>
      <w:tr w14:paraId="1623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776ADA32">
            <w:pPr>
              <w:spacing w:line="360" w:lineRule="auto"/>
              <w:rPr>
                <w:rFonts w:hint="eastAsia" w:ascii="仿宋" w:hAnsi="仿宋" w:eastAsia="仿宋" w:cs="仿宋"/>
                <w:bCs/>
                <w:color w:val="auto"/>
                <w:sz w:val="24"/>
                <w:highlight w:val="none"/>
              </w:rPr>
            </w:pPr>
          </w:p>
        </w:tc>
        <w:tc>
          <w:tcPr>
            <w:tcW w:w="1062" w:type="dxa"/>
          </w:tcPr>
          <w:p w14:paraId="00E34783">
            <w:pPr>
              <w:spacing w:line="360" w:lineRule="auto"/>
              <w:rPr>
                <w:rFonts w:hint="eastAsia" w:ascii="仿宋" w:hAnsi="仿宋" w:eastAsia="仿宋" w:cs="仿宋"/>
                <w:bCs/>
                <w:color w:val="auto"/>
                <w:sz w:val="24"/>
                <w:highlight w:val="none"/>
              </w:rPr>
            </w:pPr>
          </w:p>
        </w:tc>
        <w:tc>
          <w:tcPr>
            <w:tcW w:w="1229" w:type="dxa"/>
          </w:tcPr>
          <w:p w14:paraId="47953AFB">
            <w:pPr>
              <w:spacing w:line="360" w:lineRule="auto"/>
              <w:rPr>
                <w:rFonts w:hint="eastAsia" w:ascii="仿宋" w:hAnsi="仿宋" w:eastAsia="仿宋" w:cs="仿宋"/>
                <w:bCs/>
                <w:color w:val="auto"/>
                <w:sz w:val="24"/>
                <w:highlight w:val="none"/>
              </w:rPr>
            </w:pPr>
          </w:p>
        </w:tc>
        <w:tc>
          <w:tcPr>
            <w:tcW w:w="1575" w:type="dxa"/>
          </w:tcPr>
          <w:p w14:paraId="1B97BBC2">
            <w:pPr>
              <w:spacing w:line="360" w:lineRule="auto"/>
              <w:rPr>
                <w:rFonts w:hint="eastAsia" w:ascii="仿宋" w:hAnsi="仿宋" w:eastAsia="仿宋" w:cs="仿宋"/>
                <w:bCs/>
                <w:color w:val="auto"/>
                <w:sz w:val="24"/>
                <w:highlight w:val="none"/>
              </w:rPr>
            </w:pPr>
          </w:p>
        </w:tc>
        <w:tc>
          <w:tcPr>
            <w:tcW w:w="1500" w:type="dxa"/>
          </w:tcPr>
          <w:p w14:paraId="02DDAA30">
            <w:pPr>
              <w:spacing w:line="360" w:lineRule="auto"/>
              <w:rPr>
                <w:rFonts w:hint="eastAsia" w:ascii="仿宋" w:hAnsi="仿宋" w:eastAsia="仿宋" w:cs="仿宋"/>
                <w:bCs/>
                <w:color w:val="auto"/>
                <w:sz w:val="24"/>
                <w:highlight w:val="none"/>
              </w:rPr>
            </w:pPr>
          </w:p>
        </w:tc>
        <w:tc>
          <w:tcPr>
            <w:tcW w:w="1055" w:type="dxa"/>
          </w:tcPr>
          <w:p w14:paraId="33FF3B8D">
            <w:pPr>
              <w:spacing w:line="360" w:lineRule="auto"/>
              <w:rPr>
                <w:rFonts w:hint="eastAsia" w:ascii="仿宋" w:hAnsi="仿宋" w:eastAsia="仿宋" w:cs="仿宋"/>
                <w:bCs/>
                <w:color w:val="auto"/>
                <w:sz w:val="24"/>
                <w:highlight w:val="none"/>
              </w:rPr>
            </w:pPr>
          </w:p>
        </w:tc>
        <w:tc>
          <w:tcPr>
            <w:tcW w:w="1036" w:type="dxa"/>
          </w:tcPr>
          <w:p w14:paraId="7BAF4024">
            <w:pPr>
              <w:spacing w:line="360" w:lineRule="auto"/>
              <w:rPr>
                <w:rFonts w:hint="eastAsia" w:ascii="仿宋" w:hAnsi="仿宋" w:eastAsia="仿宋" w:cs="仿宋"/>
                <w:bCs/>
                <w:color w:val="auto"/>
                <w:sz w:val="24"/>
                <w:highlight w:val="none"/>
              </w:rPr>
            </w:pPr>
          </w:p>
        </w:tc>
      </w:tr>
      <w:tr w14:paraId="186E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06EA6F22">
            <w:pPr>
              <w:spacing w:line="360" w:lineRule="auto"/>
              <w:rPr>
                <w:rFonts w:hint="eastAsia" w:ascii="仿宋" w:hAnsi="仿宋" w:eastAsia="仿宋" w:cs="仿宋"/>
                <w:bCs/>
                <w:color w:val="auto"/>
                <w:sz w:val="24"/>
                <w:highlight w:val="none"/>
              </w:rPr>
            </w:pPr>
          </w:p>
        </w:tc>
        <w:tc>
          <w:tcPr>
            <w:tcW w:w="1062" w:type="dxa"/>
          </w:tcPr>
          <w:p w14:paraId="3393A8F6">
            <w:pPr>
              <w:spacing w:line="360" w:lineRule="auto"/>
              <w:rPr>
                <w:rFonts w:hint="eastAsia" w:ascii="仿宋" w:hAnsi="仿宋" w:eastAsia="仿宋" w:cs="仿宋"/>
                <w:bCs/>
                <w:color w:val="auto"/>
                <w:sz w:val="24"/>
                <w:highlight w:val="none"/>
              </w:rPr>
            </w:pPr>
          </w:p>
        </w:tc>
        <w:tc>
          <w:tcPr>
            <w:tcW w:w="1229" w:type="dxa"/>
          </w:tcPr>
          <w:p w14:paraId="7D4C67E8">
            <w:pPr>
              <w:spacing w:line="360" w:lineRule="auto"/>
              <w:rPr>
                <w:rFonts w:hint="eastAsia" w:ascii="仿宋" w:hAnsi="仿宋" w:eastAsia="仿宋" w:cs="仿宋"/>
                <w:bCs/>
                <w:color w:val="auto"/>
                <w:sz w:val="24"/>
                <w:highlight w:val="none"/>
              </w:rPr>
            </w:pPr>
          </w:p>
        </w:tc>
        <w:tc>
          <w:tcPr>
            <w:tcW w:w="1575" w:type="dxa"/>
          </w:tcPr>
          <w:p w14:paraId="66441E4D">
            <w:pPr>
              <w:spacing w:line="360" w:lineRule="auto"/>
              <w:rPr>
                <w:rFonts w:hint="eastAsia" w:ascii="仿宋" w:hAnsi="仿宋" w:eastAsia="仿宋" w:cs="仿宋"/>
                <w:bCs/>
                <w:color w:val="auto"/>
                <w:sz w:val="24"/>
                <w:highlight w:val="none"/>
              </w:rPr>
            </w:pPr>
          </w:p>
        </w:tc>
        <w:tc>
          <w:tcPr>
            <w:tcW w:w="1500" w:type="dxa"/>
          </w:tcPr>
          <w:p w14:paraId="025885FE">
            <w:pPr>
              <w:spacing w:line="360" w:lineRule="auto"/>
              <w:rPr>
                <w:rFonts w:hint="eastAsia" w:ascii="仿宋" w:hAnsi="仿宋" w:eastAsia="仿宋" w:cs="仿宋"/>
                <w:bCs/>
                <w:color w:val="auto"/>
                <w:sz w:val="24"/>
                <w:highlight w:val="none"/>
              </w:rPr>
            </w:pPr>
          </w:p>
        </w:tc>
        <w:tc>
          <w:tcPr>
            <w:tcW w:w="1055" w:type="dxa"/>
          </w:tcPr>
          <w:p w14:paraId="143B3120">
            <w:pPr>
              <w:spacing w:line="360" w:lineRule="auto"/>
              <w:rPr>
                <w:rFonts w:hint="eastAsia" w:ascii="仿宋" w:hAnsi="仿宋" w:eastAsia="仿宋" w:cs="仿宋"/>
                <w:bCs/>
                <w:color w:val="auto"/>
                <w:sz w:val="24"/>
                <w:highlight w:val="none"/>
              </w:rPr>
            </w:pPr>
          </w:p>
        </w:tc>
        <w:tc>
          <w:tcPr>
            <w:tcW w:w="1036" w:type="dxa"/>
          </w:tcPr>
          <w:p w14:paraId="47D747F2">
            <w:pPr>
              <w:spacing w:line="360" w:lineRule="auto"/>
              <w:rPr>
                <w:rFonts w:hint="eastAsia" w:ascii="仿宋" w:hAnsi="仿宋" w:eastAsia="仿宋" w:cs="仿宋"/>
                <w:bCs/>
                <w:color w:val="auto"/>
                <w:sz w:val="24"/>
                <w:highlight w:val="none"/>
              </w:rPr>
            </w:pPr>
          </w:p>
        </w:tc>
      </w:tr>
      <w:tr w14:paraId="102A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0202C180">
            <w:pPr>
              <w:spacing w:line="360" w:lineRule="auto"/>
              <w:rPr>
                <w:rFonts w:hint="eastAsia" w:ascii="仿宋" w:hAnsi="仿宋" w:eastAsia="仿宋" w:cs="仿宋"/>
                <w:bCs/>
                <w:color w:val="auto"/>
                <w:sz w:val="24"/>
                <w:highlight w:val="none"/>
              </w:rPr>
            </w:pPr>
          </w:p>
        </w:tc>
        <w:tc>
          <w:tcPr>
            <w:tcW w:w="1062" w:type="dxa"/>
          </w:tcPr>
          <w:p w14:paraId="7FB835B3">
            <w:pPr>
              <w:spacing w:line="360" w:lineRule="auto"/>
              <w:rPr>
                <w:rFonts w:hint="eastAsia" w:ascii="仿宋" w:hAnsi="仿宋" w:eastAsia="仿宋" w:cs="仿宋"/>
                <w:bCs/>
                <w:color w:val="auto"/>
                <w:sz w:val="24"/>
                <w:highlight w:val="none"/>
              </w:rPr>
            </w:pPr>
          </w:p>
        </w:tc>
        <w:tc>
          <w:tcPr>
            <w:tcW w:w="1229" w:type="dxa"/>
          </w:tcPr>
          <w:p w14:paraId="4410168E">
            <w:pPr>
              <w:spacing w:line="360" w:lineRule="auto"/>
              <w:rPr>
                <w:rFonts w:hint="eastAsia" w:ascii="仿宋" w:hAnsi="仿宋" w:eastAsia="仿宋" w:cs="仿宋"/>
                <w:bCs/>
                <w:color w:val="auto"/>
                <w:sz w:val="24"/>
                <w:highlight w:val="none"/>
              </w:rPr>
            </w:pPr>
          </w:p>
        </w:tc>
        <w:tc>
          <w:tcPr>
            <w:tcW w:w="1575" w:type="dxa"/>
          </w:tcPr>
          <w:p w14:paraId="645D4C08">
            <w:pPr>
              <w:spacing w:line="360" w:lineRule="auto"/>
              <w:rPr>
                <w:rFonts w:hint="eastAsia" w:ascii="仿宋" w:hAnsi="仿宋" w:eastAsia="仿宋" w:cs="仿宋"/>
                <w:bCs/>
                <w:color w:val="auto"/>
                <w:sz w:val="24"/>
                <w:highlight w:val="none"/>
              </w:rPr>
            </w:pPr>
          </w:p>
        </w:tc>
        <w:tc>
          <w:tcPr>
            <w:tcW w:w="1500" w:type="dxa"/>
          </w:tcPr>
          <w:p w14:paraId="5EB7A2D2">
            <w:pPr>
              <w:spacing w:line="360" w:lineRule="auto"/>
              <w:rPr>
                <w:rFonts w:hint="eastAsia" w:ascii="仿宋" w:hAnsi="仿宋" w:eastAsia="仿宋" w:cs="仿宋"/>
                <w:bCs/>
                <w:color w:val="auto"/>
                <w:sz w:val="24"/>
                <w:highlight w:val="none"/>
              </w:rPr>
            </w:pPr>
          </w:p>
        </w:tc>
        <w:tc>
          <w:tcPr>
            <w:tcW w:w="1055" w:type="dxa"/>
          </w:tcPr>
          <w:p w14:paraId="5841F33B">
            <w:pPr>
              <w:spacing w:line="360" w:lineRule="auto"/>
              <w:rPr>
                <w:rFonts w:hint="eastAsia" w:ascii="仿宋" w:hAnsi="仿宋" w:eastAsia="仿宋" w:cs="仿宋"/>
                <w:bCs/>
                <w:color w:val="auto"/>
                <w:sz w:val="24"/>
                <w:highlight w:val="none"/>
              </w:rPr>
            </w:pPr>
          </w:p>
        </w:tc>
        <w:tc>
          <w:tcPr>
            <w:tcW w:w="1036" w:type="dxa"/>
          </w:tcPr>
          <w:p w14:paraId="69604521">
            <w:pPr>
              <w:spacing w:line="360" w:lineRule="auto"/>
              <w:rPr>
                <w:rFonts w:hint="eastAsia" w:ascii="仿宋" w:hAnsi="仿宋" w:eastAsia="仿宋" w:cs="仿宋"/>
                <w:bCs/>
                <w:color w:val="auto"/>
                <w:sz w:val="24"/>
                <w:highlight w:val="none"/>
              </w:rPr>
            </w:pPr>
          </w:p>
        </w:tc>
      </w:tr>
    </w:tbl>
    <w:p w14:paraId="173BCF62">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备注：</w:t>
      </w:r>
    </w:p>
    <w:p w14:paraId="2590D944">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投标人应根据其提供的货物，对照招标文件“第四章招标项目技术要求”中的条款号逐项填写，“投标文件的响应”一栏应如实反映响应情况，不得完全复制招标文件内容，不得虚假响应，否则将视为未实质性响应招标文件要求，响应无效。</w:t>
      </w:r>
    </w:p>
    <w:p w14:paraId="123372F9">
      <w:pPr>
        <w:pStyle w:val="33"/>
        <w:spacing w:line="360" w:lineRule="auto"/>
        <w:ind w:firstLine="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2、“第四章招标项目技术要求”，每项产品要求投标人须提供与采购需求参数相应的证明材料，例如产品检测报告、测试报告、产品合格证、鉴定证书、制造商产品彩页、制造商官网截图、制造商产品说明书</w:t>
      </w:r>
      <w:r>
        <w:rPr>
          <w:rFonts w:hint="eastAsia" w:ascii="仿宋" w:hAnsi="仿宋" w:eastAsia="仿宋" w:cs="仿宋"/>
          <w:bCs/>
          <w:color w:val="auto"/>
          <w:sz w:val="24"/>
          <w:szCs w:val="24"/>
          <w:highlight w:val="none"/>
          <w:lang w:val="en-US" w:eastAsia="zh-CN"/>
        </w:rPr>
        <w:t>等</w:t>
      </w:r>
      <w:r>
        <w:rPr>
          <w:rFonts w:hint="eastAsia" w:ascii="仿宋" w:hAnsi="仿宋" w:eastAsia="仿宋" w:cs="仿宋"/>
          <w:bCs/>
          <w:color w:val="auto"/>
          <w:sz w:val="24"/>
          <w:szCs w:val="24"/>
          <w:highlight w:val="none"/>
        </w:rPr>
        <w:t>或相应实物照片等。</w:t>
      </w:r>
    </w:p>
    <w:p w14:paraId="4BE6963B">
      <w:pPr>
        <w:spacing w:line="360" w:lineRule="auto"/>
        <w:jc w:val="center"/>
        <w:outlineLvl w:val="1"/>
        <w:rPr>
          <w:rFonts w:hint="eastAsia" w:ascii="仿宋" w:hAnsi="仿宋" w:eastAsia="仿宋" w:cs="仿宋"/>
          <w:b/>
          <w:bCs/>
          <w:color w:val="auto"/>
          <w:kern w:val="0"/>
          <w:sz w:val="24"/>
          <w:highlight w:val="none"/>
        </w:rPr>
      </w:pPr>
      <w:r>
        <w:rPr>
          <w:rFonts w:hint="eastAsia" w:ascii="仿宋" w:hAnsi="仿宋" w:eastAsia="仿宋" w:cs="仿宋"/>
          <w:color w:val="auto"/>
          <w:sz w:val="24"/>
          <w:highlight w:val="none"/>
        </w:rPr>
        <w:br w:type="page"/>
      </w:r>
      <w:bookmarkEnd w:id="190"/>
      <w:bookmarkStart w:id="191" w:name="_Toc23988"/>
      <w:r>
        <w:rPr>
          <w:rFonts w:hint="eastAsia" w:ascii="仿宋" w:hAnsi="仿宋" w:eastAsia="仿宋" w:cs="仿宋"/>
          <w:b/>
          <w:bCs/>
          <w:color w:val="auto"/>
          <w:sz w:val="24"/>
          <w:highlight w:val="none"/>
        </w:rPr>
        <w:t>七、</w:t>
      </w:r>
      <w:r>
        <w:rPr>
          <w:rFonts w:hint="eastAsia" w:ascii="仿宋" w:hAnsi="仿宋" w:eastAsia="仿宋" w:cs="仿宋"/>
          <w:b/>
          <w:bCs/>
          <w:color w:val="auto"/>
          <w:kern w:val="0"/>
          <w:sz w:val="24"/>
          <w:highlight w:val="none"/>
        </w:rPr>
        <w:t>拟配备人员情况</w:t>
      </w:r>
      <w:bookmarkEnd w:id="191"/>
    </w:p>
    <w:p w14:paraId="0B5B2223">
      <w:pPr>
        <w:pStyle w:val="8"/>
        <w:spacing w:line="360" w:lineRule="auto"/>
        <w:ind w:firstLine="0" w:firstLineChars="0"/>
        <w:rPr>
          <w:rFonts w:hint="eastAsia" w:ascii="仿宋" w:hAnsi="仿宋" w:eastAsia="仿宋" w:cs="仿宋"/>
          <w:color w:val="auto"/>
          <w:sz w:val="24"/>
          <w:highlight w:val="none"/>
        </w:rPr>
      </w:pPr>
    </w:p>
    <w:p w14:paraId="63C80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1、项目负责人介绍应包括：姓名、性别、年龄、学历、参加工作时间等。</w:t>
      </w:r>
    </w:p>
    <w:p w14:paraId="60F2093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2、项目负责人近三年（2023年1月1日-投标文件上传截止时间前）的类似业绩（</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rPr>
        <w:t>按下表填写）</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509"/>
        <w:gridCol w:w="2157"/>
        <w:gridCol w:w="2157"/>
        <w:gridCol w:w="1183"/>
      </w:tblGrid>
      <w:tr w14:paraId="533F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887" w:type="pct"/>
            <w:vAlign w:val="center"/>
          </w:tcPr>
          <w:p w14:paraId="3F59A82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885" w:type="pct"/>
            <w:vAlign w:val="center"/>
          </w:tcPr>
          <w:p w14:paraId="756AC3F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265" w:type="pct"/>
            <w:vAlign w:val="center"/>
          </w:tcPr>
          <w:p w14:paraId="3131D28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w:t>
            </w:r>
          </w:p>
        </w:tc>
        <w:tc>
          <w:tcPr>
            <w:tcW w:w="1265" w:type="pct"/>
            <w:vAlign w:val="center"/>
          </w:tcPr>
          <w:p w14:paraId="0843C2C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服务时间</w:t>
            </w:r>
          </w:p>
        </w:tc>
        <w:tc>
          <w:tcPr>
            <w:tcW w:w="694" w:type="pct"/>
            <w:vAlign w:val="center"/>
          </w:tcPr>
          <w:p w14:paraId="6610ACA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8DD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87" w:type="pct"/>
            <w:vAlign w:val="center"/>
          </w:tcPr>
          <w:p w14:paraId="7160B5F0">
            <w:pPr>
              <w:spacing w:line="360" w:lineRule="auto"/>
              <w:jc w:val="left"/>
              <w:rPr>
                <w:rFonts w:hint="eastAsia" w:ascii="仿宋" w:hAnsi="仿宋" w:eastAsia="仿宋" w:cs="仿宋"/>
                <w:color w:val="auto"/>
                <w:sz w:val="24"/>
                <w:highlight w:val="none"/>
              </w:rPr>
            </w:pPr>
          </w:p>
        </w:tc>
        <w:tc>
          <w:tcPr>
            <w:tcW w:w="885" w:type="pct"/>
            <w:vAlign w:val="center"/>
          </w:tcPr>
          <w:p w14:paraId="1008DEF0">
            <w:pPr>
              <w:spacing w:line="360" w:lineRule="auto"/>
              <w:jc w:val="left"/>
              <w:rPr>
                <w:rFonts w:hint="eastAsia" w:ascii="仿宋" w:hAnsi="仿宋" w:eastAsia="仿宋" w:cs="仿宋"/>
                <w:color w:val="auto"/>
                <w:sz w:val="24"/>
                <w:highlight w:val="none"/>
              </w:rPr>
            </w:pPr>
          </w:p>
        </w:tc>
        <w:tc>
          <w:tcPr>
            <w:tcW w:w="1265" w:type="pct"/>
            <w:vAlign w:val="center"/>
          </w:tcPr>
          <w:p w14:paraId="2EF1FED8">
            <w:pPr>
              <w:spacing w:line="360" w:lineRule="auto"/>
              <w:jc w:val="left"/>
              <w:rPr>
                <w:rFonts w:hint="eastAsia" w:ascii="仿宋" w:hAnsi="仿宋" w:eastAsia="仿宋" w:cs="仿宋"/>
                <w:color w:val="auto"/>
                <w:sz w:val="24"/>
                <w:highlight w:val="none"/>
              </w:rPr>
            </w:pPr>
          </w:p>
        </w:tc>
        <w:tc>
          <w:tcPr>
            <w:tcW w:w="1265" w:type="pct"/>
            <w:vAlign w:val="center"/>
          </w:tcPr>
          <w:p w14:paraId="0F578C7E">
            <w:pPr>
              <w:spacing w:line="360" w:lineRule="auto"/>
              <w:jc w:val="left"/>
              <w:rPr>
                <w:rFonts w:hint="eastAsia" w:ascii="仿宋" w:hAnsi="仿宋" w:eastAsia="仿宋" w:cs="仿宋"/>
                <w:color w:val="auto"/>
                <w:sz w:val="24"/>
                <w:highlight w:val="none"/>
              </w:rPr>
            </w:pPr>
          </w:p>
        </w:tc>
        <w:tc>
          <w:tcPr>
            <w:tcW w:w="694" w:type="pct"/>
            <w:vAlign w:val="center"/>
          </w:tcPr>
          <w:p w14:paraId="25EEDD46">
            <w:pPr>
              <w:spacing w:line="360" w:lineRule="auto"/>
              <w:jc w:val="left"/>
              <w:rPr>
                <w:rFonts w:hint="eastAsia" w:ascii="仿宋" w:hAnsi="仿宋" w:eastAsia="仿宋" w:cs="仿宋"/>
                <w:color w:val="auto"/>
                <w:sz w:val="24"/>
                <w:highlight w:val="none"/>
              </w:rPr>
            </w:pPr>
          </w:p>
        </w:tc>
      </w:tr>
    </w:tbl>
    <w:p w14:paraId="5082AB9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3、项目负责人简历格式自拟，后附身份证、资格证书（如有）、学历证书等扫描件。</w:t>
      </w:r>
    </w:p>
    <w:p w14:paraId="6F4AB8A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4、项目配备人员</w:t>
      </w:r>
    </w:p>
    <w:tbl>
      <w:tblPr>
        <w:tblStyle w:val="3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03A2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vAlign w:val="center"/>
          </w:tcPr>
          <w:p w14:paraId="49C0634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类别</w:t>
            </w:r>
          </w:p>
        </w:tc>
        <w:tc>
          <w:tcPr>
            <w:tcW w:w="910" w:type="dxa"/>
            <w:vMerge w:val="restart"/>
            <w:vAlign w:val="center"/>
          </w:tcPr>
          <w:p w14:paraId="4C17697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912" w:type="dxa"/>
            <w:vMerge w:val="restart"/>
            <w:vAlign w:val="center"/>
          </w:tcPr>
          <w:p w14:paraId="6C9DCC6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912" w:type="dxa"/>
            <w:vMerge w:val="restart"/>
            <w:vAlign w:val="center"/>
          </w:tcPr>
          <w:p w14:paraId="510B725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职称或职务</w:t>
            </w:r>
          </w:p>
        </w:tc>
        <w:tc>
          <w:tcPr>
            <w:tcW w:w="912" w:type="dxa"/>
            <w:vMerge w:val="restart"/>
            <w:vAlign w:val="center"/>
          </w:tcPr>
          <w:p w14:paraId="38FCB00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常住地</w:t>
            </w:r>
          </w:p>
        </w:tc>
        <w:tc>
          <w:tcPr>
            <w:tcW w:w="3815" w:type="dxa"/>
            <w:gridSpan w:val="4"/>
            <w:vAlign w:val="center"/>
          </w:tcPr>
          <w:p w14:paraId="4921851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资格证明</w:t>
            </w:r>
          </w:p>
        </w:tc>
      </w:tr>
      <w:tr w14:paraId="007A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vAlign w:val="center"/>
          </w:tcPr>
          <w:p w14:paraId="373A5AC8">
            <w:pPr>
              <w:spacing w:line="360" w:lineRule="auto"/>
              <w:jc w:val="center"/>
              <w:rPr>
                <w:rFonts w:hint="eastAsia" w:ascii="仿宋" w:hAnsi="仿宋" w:eastAsia="仿宋" w:cs="仿宋"/>
                <w:color w:val="auto"/>
                <w:sz w:val="24"/>
                <w:highlight w:val="none"/>
              </w:rPr>
            </w:pPr>
          </w:p>
        </w:tc>
        <w:tc>
          <w:tcPr>
            <w:tcW w:w="910" w:type="dxa"/>
            <w:vMerge w:val="continue"/>
            <w:vAlign w:val="center"/>
          </w:tcPr>
          <w:p w14:paraId="165534C5">
            <w:pPr>
              <w:spacing w:line="360" w:lineRule="auto"/>
              <w:jc w:val="center"/>
              <w:rPr>
                <w:rFonts w:hint="eastAsia" w:ascii="仿宋" w:hAnsi="仿宋" w:eastAsia="仿宋" w:cs="仿宋"/>
                <w:color w:val="auto"/>
                <w:sz w:val="24"/>
                <w:highlight w:val="none"/>
              </w:rPr>
            </w:pPr>
          </w:p>
        </w:tc>
        <w:tc>
          <w:tcPr>
            <w:tcW w:w="912" w:type="dxa"/>
            <w:vMerge w:val="continue"/>
            <w:vAlign w:val="center"/>
          </w:tcPr>
          <w:p w14:paraId="627E971D">
            <w:pPr>
              <w:spacing w:line="360" w:lineRule="auto"/>
              <w:jc w:val="center"/>
              <w:rPr>
                <w:rFonts w:hint="eastAsia" w:ascii="仿宋" w:hAnsi="仿宋" w:eastAsia="仿宋" w:cs="仿宋"/>
                <w:color w:val="auto"/>
                <w:sz w:val="24"/>
                <w:highlight w:val="none"/>
              </w:rPr>
            </w:pPr>
          </w:p>
        </w:tc>
        <w:tc>
          <w:tcPr>
            <w:tcW w:w="912" w:type="dxa"/>
            <w:vMerge w:val="continue"/>
            <w:vAlign w:val="center"/>
          </w:tcPr>
          <w:p w14:paraId="74372470">
            <w:pPr>
              <w:spacing w:line="360" w:lineRule="auto"/>
              <w:jc w:val="center"/>
              <w:rPr>
                <w:rFonts w:hint="eastAsia" w:ascii="仿宋" w:hAnsi="仿宋" w:eastAsia="仿宋" w:cs="仿宋"/>
                <w:color w:val="auto"/>
                <w:sz w:val="24"/>
                <w:highlight w:val="none"/>
              </w:rPr>
            </w:pPr>
          </w:p>
        </w:tc>
        <w:tc>
          <w:tcPr>
            <w:tcW w:w="912" w:type="dxa"/>
            <w:vMerge w:val="continue"/>
            <w:vAlign w:val="center"/>
          </w:tcPr>
          <w:p w14:paraId="5B8CE70B">
            <w:pPr>
              <w:spacing w:line="360" w:lineRule="auto"/>
              <w:jc w:val="center"/>
              <w:rPr>
                <w:rFonts w:hint="eastAsia" w:ascii="仿宋" w:hAnsi="仿宋" w:eastAsia="仿宋" w:cs="仿宋"/>
                <w:color w:val="auto"/>
                <w:sz w:val="24"/>
                <w:highlight w:val="none"/>
              </w:rPr>
            </w:pPr>
          </w:p>
        </w:tc>
        <w:tc>
          <w:tcPr>
            <w:tcW w:w="1188" w:type="dxa"/>
            <w:vAlign w:val="center"/>
          </w:tcPr>
          <w:p w14:paraId="6BF6CFC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835" w:type="dxa"/>
            <w:vAlign w:val="center"/>
          </w:tcPr>
          <w:p w14:paraId="7DE9BC7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951" w:type="dxa"/>
            <w:vAlign w:val="center"/>
          </w:tcPr>
          <w:p w14:paraId="51ABC1E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841" w:type="dxa"/>
            <w:vAlign w:val="center"/>
          </w:tcPr>
          <w:p w14:paraId="7F9890B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r>
      <w:tr w14:paraId="5426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1A05271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管</w:t>
            </w:r>
          </w:p>
          <w:p w14:paraId="0A316C0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理</w:t>
            </w:r>
          </w:p>
          <w:p w14:paraId="0F36D02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p w14:paraId="632962C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员</w:t>
            </w:r>
          </w:p>
        </w:tc>
        <w:tc>
          <w:tcPr>
            <w:tcW w:w="910" w:type="dxa"/>
          </w:tcPr>
          <w:p w14:paraId="1FEEE85A">
            <w:pPr>
              <w:spacing w:line="360" w:lineRule="auto"/>
              <w:jc w:val="center"/>
              <w:rPr>
                <w:rFonts w:hint="eastAsia" w:ascii="仿宋" w:hAnsi="仿宋" w:eastAsia="仿宋" w:cs="仿宋"/>
                <w:color w:val="auto"/>
                <w:sz w:val="24"/>
                <w:highlight w:val="none"/>
              </w:rPr>
            </w:pPr>
          </w:p>
        </w:tc>
        <w:tc>
          <w:tcPr>
            <w:tcW w:w="912" w:type="dxa"/>
          </w:tcPr>
          <w:p w14:paraId="73E4E1C3">
            <w:pPr>
              <w:spacing w:line="360" w:lineRule="auto"/>
              <w:jc w:val="center"/>
              <w:rPr>
                <w:rFonts w:hint="eastAsia" w:ascii="仿宋" w:hAnsi="仿宋" w:eastAsia="仿宋" w:cs="仿宋"/>
                <w:color w:val="auto"/>
                <w:sz w:val="24"/>
                <w:highlight w:val="none"/>
              </w:rPr>
            </w:pPr>
          </w:p>
        </w:tc>
        <w:tc>
          <w:tcPr>
            <w:tcW w:w="912" w:type="dxa"/>
          </w:tcPr>
          <w:p w14:paraId="1E81DB04">
            <w:pPr>
              <w:spacing w:line="360" w:lineRule="auto"/>
              <w:jc w:val="center"/>
              <w:rPr>
                <w:rFonts w:hint="eastAsia" w:ascii="仿宋" w:hAnsi="仿宋" w:eastAsia="仿宋" w:cs="仿宋"/>
                <w:color w:val="auto"/>
                <w:sz w:val="24"/>
                <w:highlight w:val="none"/>
              </w:rPr>
            </w:pPr>
          </w:p>
        </w:tc>
        <w:tc>
          <w:tcPr>
            <w:tcW w:w="912" w:type="dxa"/>
          </w:tcPr>
          <w:p w14:paraId="5EAAF338">
            <w:pPr>
              <w:spacing w:line="360" w:lineRule="auto"/>
              <w:jc w:val="center"/>
              <w:rPr>
                <w:rFonts w:hint="eastAsia" w:ascii="仿宋" w:hAnsi="仿宋" w:eastAsia="仿宋" w:cs="仿宋"/>
                <w:color w:val="auto"/>
                <w:sz w:val="24"/>
                <w:highlight w:val="none"/>
              </w:rPr>
            </w:pPr>
          </w:p>
        </w:tc>
        <w:tc>
          <w:tcPr>
            <w:tcW w:w="1188" w:type="dxa"/>
          </w:tcPr>
          <w:p w14:paraId="50A527BB">
            <w:pPr>
              <w:spacing w:line="360" w:lineRule="auto"/>
              <w:jc w:val="center"/>
              <w:rPr>
                <w:rFonts w:hint="eastAsia" w:ascii="仿宋" w:hAnsi="仿宋" w:eastAsia="仿宋" w:cs="仿宋"/>
                <w:color w:val="auto"/>
                <w:sz w:val="24"/>
                <w:highlight w:val="none"/>
              </w:rPr>
            </w:pPr>
          </w:p>
        </w:tc>
        <w:tc>
          <w:tcPr>
            <w:tcW w:w="835" w:type="dxa"/>
          </w:tcPr>
          <w:p w14:paraId="2E6DDC94">
            <w:pPr>
              <w:spacing w:line="360" w:lineRule="auto"/>
              <w:jc w:val="center"/>
              <w:rPr>
                <w:rFonts w:hint="eastAsia" w:ascii="仿宋" w:hAnsi="仿宋" w:eastAsia="仿宋" w:cs="仿宋"/>
                <w:color w:val="auto"/>
                <w:sz w:val="24"/>
                <w:highlight w:val="none"/>
              </w:rPr>
            </w:pPr>
          </w:p>
        </w:tc>
        <w:tc>
          <w:tcPr>
            <w:tcW w:w="951" w:type="dxa"/>
          </w:tcPr>
          <w:p w14:paraId="7C710423">
            <w:pPr>
              <w:spacing w:line="360" w:lineRule="auto"/>
              <w:jc w:val="center"/>
              <w:rPr>
                <w:rFonts w:hint="eastAsia" w:ascii="仿宋" w:hAnsi="仿宋" w:eastAsia="仿宋" w:cs="仿宋"/>
                <w:color w:val="auto"/>
                <w:sz w:val="24"/>
                <w:highlight w:val="none"/>
              </w:rPr>
            </w:pPr>
          </w:p>
        </w:tc>
        <w:tc>
          <w:tcPr>
            <w:tcW w:w="841" w:type="dxa"/>
          </w:tcPr>
          <w:p w14:paraId="376BD235">
            <w:pPr>
              <w:spacing w:line="360" w:lineRule="auto"/>
              <w:jc w:val="center"/>
              <w:rPr>
                <w:rFonts w:hint="eastAsia" w:ascii="仿宋" w:hAnsi="仿宋" w:eastAsia="仿宋" w:cs="仿宋"/>
                <w:color w:val="auto"/>
                <w:sz w:val="24"/>
                <w:highlight w:val="none"/>
              </w:rPr>
            </w:pPr>
          </w:p>
        </w:tc>
      </w:tr>
      <w:tr w14:paraId="0B68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5657EA47">
            <w:pPr>
              <w:spacing w:line="360" w:lineRule="auto"/>
              <w:jc w:val="center"/>
              <w:rPr>
                <w:rFonts w:hint="eastAsia" w:ascii="仿宋" w:hAnsi="仿宋" w:eastAsia="仿宋" w:cs="仿宋"/>
                <w:color w:val="auto"/>
                <w:sz w:val="24"/>
                <w:highlight w:val="none"/>
              </w:rPr>
            </w:pPr>
          </w:p>
        </w:tc>
        <w:tc>
          <w:tcPr>
            <w:tcW w:w="910" w:type="dxa"/>
          </w:tcPr>
          <w:p w14:paraId="12E9D85B">
            <w:pPr>
              <w:spacing w:line="360" w:lineRule="auto"/>
              <w:jc w:val="center"/>
              <w:rPr>
                <w:rFonts w:hint="eastAsia" w:ascii="仿宋" w:hAnsi="仿宋" w:eastAsia="仿宋" w:cs="仿宋"/>
                <w:color w:val="auto"/>
                <w:sz w:val="24"/>
                <w:highlight w:val="none"/>
              </w:rPr>
            </w:pPr>
          </w:p>
        </w:tc>
        <w:tc>
          <w:tcPr>
            <w:tcW w:w="912" w:type="dxa"/>
          </w:tcPr>
          <w:p w14:paraId="7931FAB2">
            <w:pPr>
              <w:spacing w:line="360" w:lineRule="auto"/>
              <w:jc w:val="center"/>
              <w:rPr>
                <w:rFonts w:hint="eastAsia" w:ascii="仿宋" w:hAnsi="仿宋" w:eastAsia="仿宋" w:cs="仿宋"/>
                <w:color w:val="auto"/>
                <w:sz w:val="24"/>
                <w:highlight w:val="none"/>
              </w:rPr>
            </w:pPr>
          </w:p>
        </w:tc>
        <w:tc>
          <w:tcPr>
            <w:tcW w:w="912" w:type="dxa"/>
          </w:tcPr>
          <w:p w14:paraId="19BCA94F">
            <w:pPr>
              <w:spacing w:line="360" w:lineRule="auto"/>
              <w:jc w:val="center"/>
              <w:rPr>
                <w:rFonts w:hint="eastAsia" w:ascii="仿宋" w:hAnsi="仿宋" w:eastAsia="仿宋" w:cs="仿宋"/>
                <w:color w:val="auto"/>
                <w:sz w:val="24"/>
                <w:highlight w:val="none"/>
              </w:rPr>
            </w:pPr>
          </w:p>
        </w:tc>
        <w:tc>
          <w:tcPr>
            <w:tcW w:w="912" w:type="dxa"/>
          </w:tcPr>
          <w:p w14:paraId="623A8207">
            <w:pPr>
              <w:spacing w:line="360" w:lineRule="auto"/>
              <w:jc w:val="center"/>
              <w:rPr>
                <w:rFonts w:hint="eastAsia" w:ascii="仿宋" w:hAnsi="仿宋" w:eastAsia="仿宋" w:cs="仿宋"/>
                <w:color w:val="auto"/>
                <w:sz w:val="24"/>
                <w:highlight w:val="none"/>
              </w:rPr>
            </w:pPr>
          </w:p>
        </w:tc>
        <w:tc>
          <w:tcPr>
            <w:tcW w:w="1188" w:type="dxa"/>
          </w:tcPr>
          <w:p w14:paraId="771A74A5">
            <w:pPr>
              <w:spacing w:line="360" w:lineRule="auto"/>
              <w:jc w:val="center"/>
              <w:rPr>
                <w:rFonts w:hint="eastAsia" w:ascii="仿宋" w:hAnsi="仿宋" w:eastAsia="仿宋" w:cs="仿宋"/>
                <w:color w:val="auto"/>
                <w:sz w:val="24"/>
                <w:highlight w:val="none"/>
              </w:rPr>
            </w:pPr>
          </w:p>
        </w:tc>
        <w:tc>
          <w:tcPr>
            <w:tcW w:w="835" w:type="dxa"/>
          </w:tcPr>
          <w:p w14:paraId="147451A9">
            <w:pPr>
              <w:spacing w:line="360" w:lineRule="auto"/>
              <w:jc w:val="center"/>
              <w:rPr>
                <w:rFonts w:hint="eastAsia" w:ascii="仿宋" w:hAnsi="仿宋" w:eastAsia="仿宋" w:cs="仿宋"/>
                <w:color w:val="auto"/>
                <w:sz w:val="24"/>
                <w:highlight w:val="none"/>
              </w:rPr>
            </w:pPr>
          </w:p>
        </w:tc>
        <w:tc>
          <w:tcPr>
            <w:tcW w:w="951" w:type="dxa"/>
          </w:tcPr>
          <w:p w14:paraId="25BB988B">
            <w:pPr>
              <w:spacing w:line="360" w:lineRule="auto"/>
              <w:jc w:val="center"/>
              <w:rPr>
                <w:rFonts w:hint="eastAsia" w:ascii="仿宋" w:hAnsi="仿宋" w:eastAsia="仿宋" w:cs="仿宋"/>
                <w:color w:val="auto"/>
                <w:sz w:val="24"/>
                <w:highlight w:val="none"/>
              </w:rPr>
            </w:pPr>
          </w:p>
        </w:tc>
        <w:tc>
          <w:tcPr>
            <w:tcW w:w="841" w:type="dxa"/>
          </w:tcPr>
          <w:p w14:paraId="1F30BB1C">
            <w:pPr>
              <w:spacing w:line="360" w:lineRule="auto"/>
              <w:jc w:val="center"/>
              <w:rPr>
                <w:rFonts w:hint="eastAsia" w:ascii="仿宋" w:hAnsi="仿宋" w:eastAsia="仿宋" w:cs="仿宋"/>
                <w:color w:val="auto"/>
                <w:sz w:val="24"/>
                <w:highlight w:val="none"/>
              </w:rPr>
            </w:pPr>
          </w:p>
        </w:tc>
      </w:tr>
      <w:tr w14:paraId="607A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31866468">
            <w:pPr>
              <w:spacing w:line="360" w:lineRule="auto"/>
              <w:jc w:val="center"/>
              <w:rPr>
                <w:rFonts w:hint="eastAsia" w:ascii="仿宋" w:hAnsi="仿宋" w:eastAsia="仿宋" w:cs="仿宋"/>
                <w:color w:val="auto"/>
                <w:sz w:val="24"/>
                <w:highlight w:val="none"/>
              </w:rPr>
            </w:pPr>
          </w:p>
        </w:tc>
        <w:tc>
          <w:tcPr>
            <w:tcW w:w="910" w:type="dxa"/>
          </w:tcPr>
          <w:p w14:paraId="190A65AB">
            <w:pPr>
              <w:spacing w:line="360" w:lineRule="auto"/>
              <w:jc w:val="center"/>
              <w:rPr>
                <w:rFonts w:hint="eastAsia" w:ascii="仿宋" w:hAnsi="仿宋" w:eastAsia="仿宋" w:cs="仿宋"/>
                <w:color w:val="auto"/>
                <w:sz w:val="24"/>
                <w:highlight w:val="none"/>
              </w:rPr>
            </w:pPr>
          </w:p>
        </w:tc>
        <w:tc>
          <w:tcPr>
            <w:tcW w:w="912" w:type="dxa"/>
          </w:tcPr>
          <w:p w14:paraId="59E00CC2">
            <w:pPr>
              <w:spacing w:line="360" w:lineRule="auto"/>
              <w:jc w:val="center"/>
              <w:rPr>
                <w:rFonts w:hint="eastAsia" w:ascii="仿宋" w:hAnsi="仿宋" w:eastAsia="仿宋" w:cs="仿宋"/>
                <w:color w:val="auto"/>
                <w:sz w:val="24"/>
                <w:highlight w:val="none"/>
              </w:rPr>
            </w:pPr>
          </w:p>
        </w:tc>
        <w:tc>
          <w:tcPr>
            <w:tcW w:w="912" w:type="dxa"/>
          </w:tcPr>
          <w:p w14:paraId="4FD308AF">
            <w:pPr>
              <w:spacing w:line="360" w:lineRule="auto"/>
              <w:jc w:val="center"/>
              <w:rPr>
                <w:rFonts w:hint="eastAsia" w:ascii="仿宋" w:hAnsi="仿宋" w:eastAsia="仿宋" w:cs="仿宋"/>
                <w:color w:val="auto"/>
                <w:sz w:val="24"/>
                <w:highlight w:val="none"/>
              </w:rPr>
            </w:pPr>
          </w:p>
        </w:tc>
        <w:tc>
          <w:tcPr>
            <w:tcW w:w="912" w:type="dxa"/>
          </w:tcPr>
          <w:p w14:paraId="469B7CEF">
            <w:pPr>
              <w:spacing w:line="360" w:lineRule="auto"/>
              <w:jc w:val="center"/>
              <w:rPr>
                <w:rFonts w:hint="eastAsia" w:ascii="仿宋" w:hAnsi="仿宋" w:eastAsia="仿宋" w:cs="仿宋"/>
                <w:color w:val="auto"/>
                <w:sz w:val="24"/>
                <w:highlight w:val="none"/>
              </w:rPr>
            </w:pPr>
          </w:p>
        </w:tc>
        <w:tc>
          <w:tcPr>
            <w:tcW w:w="1188" w:type="dxa"/>
          </w:tcPr>
          <w:p w14:paraId="6746C94B">
            <w:pPr>
              <w:spacing w:line="360" w:lineRule="auto"/>
              <w:jc w:val="center"/>
              <w:rPr>
                <w:rFonts w:hint="eastAsia" w:ascii="仿宋" w:hAnsi="仿宋" w:eastAsia="仿宋" w:cs="仿宋"/>
                <w:color w:val="auto"/>
                <w:sz w:val="24"/>
                <w:highlight w:val="none"/>
              </w:rPr>
            </w:pPr>
          </w:p>
        </w:tc>
        <w:tc>
          <w:tcPr>
            <w:tcW w:w="835" w:type="dxa"/>
          </w:tcPr>
          <w:p w14:paraId="069D3E62">
            <w:pPr>
              <w:spacing w:line="360" w:lineRule="auto"/>
              <w:jc w:val="center"/>
              <w:rPr>
                <w:rFonts w:hint="eastAsia" w:ascii="仿宋" w:hAnsi="仿宋" w:eastAsia="仿宋" w:cs="仿宋"/>
                <w:color w:val="auto"/>
                <w:sz w:val="24"/>
                <w:highlight w:val="none"/>
              </w:rPr>
            </w:pPr>
          </w:p>
        </w:tc>
        <w:tc>
          <w:tcPr>
            <w:tcW w:w="951" w:type="dxa"/>
          </w:tcPr>
          <w:p w14:paraId="180A7CEC">
            <w:pPr>
              <w:spacing w:line="360" w:lineRule="auto"/>
              <w:jc w:val="center"/>
              <w:rPr>
                <w:rFonts w:hint="eastAsia" w:ascii="仿宋" w:hAnsi="仿宋" w:eastAsia="仿宋" w:cs="仿宋"/>
                <w:color w:val="auto"/>
                <w:sz w:val="24"/>
                <w:highlight w:val="none"/>
              </w:rPr>
            </w:pPr>
          </w:p>
        </w:tc>
        <w:tc>
          <w:tcPr>
            <w:tcW w:w="841" w:type="dxa"/>
          </w:tcPr>
          <w:p w14:paraId="6043ADF5">
            <w:pPr>
              <w:spacing w:line="360" w:lineRule="auto"/>
              <w:jc w:val="center"/>
              <w:rPr>
                <w:rFonts w:hint="eastAsia" w:ascii="仿宋" w:hAnsi="仿宋" w:eastAsia="仿宋" w:cs="仿宋"/>
                <w:color w:val="auto"/>
                <w:sz w:val="24"/>
                <w:highlight w:val="none"/>
              </w:rPr>
            </w:pPr>
          </w:p>
        </w:tc>
      </w:tr>
      <w:tr w14:paraId="40CE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tcPr>
          <w:p w14:paraId="0907008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w:t>
            </w:r>
          </w:p>
          <w:p w14:paraId="55E2D98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务</w:t>
            </w:r>
          </w:p>
          <w:p w14:paraId="3B390FE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p w14:paraId="061978D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员</w:t>
            </w:r>
          </w:p>
        </w:tc>
        <w:tc>
          <w:tcPr>
            <w:tcW w:w="910" w:type="dxa"/>
          </w:tcPr>
          <w:p w14:paraId="4A05EEC0">
            <w:pPr>
              <w:spacing w:line="360" w:lineRule="auto"/>
              <w:jc w:val="center"/>
              <w:rPr>
                <w:rFonts w:hint="eastAsia" w:ascii="仿宋" w:hAnsi="仿宋" w:eastAsia="仿宋" w:cs="仿宋"/>
                <w:color w:val="auto"/>
                <w:sz w:val="24"/>
                <w:highlight w:val="none"/>
              </w:rPr>
            </w:pPr>
          </w:p>
        </w:tc>
        <w:tc>
          <w:tcPr>
            <w:tcW w:w="912" w:type="dxa"/>
          </w:tcPr>
          <w:p w14:paraId="7A16B51B">
            <w:pPr>
              <w:spacing w:line="360" w:lineRule="auto"/>
              <w:jc w:val="center"/>
              <w:rPr>
                <w:rFonts w:hint="eastAsia" w:ascii="仿宋" w:hAnsi="仿宋" w:eastAsia="仿宋" w:cs="仿宋"/>
                <w:color w:val="auto"/>
                <w:sz w:val="24"/>
                <w:highlight w:val="none"/>
              </w:rPr>
            </w:pPr>
          </w:p>
        </w:tc>
        <w:tc>
          <w:tcPr>
            <w:tcW w:w="912" w:type="dxa"/>
          </w:tcPr>
          <w:p w14:paraId="138615BD">
            <w:pPr>
              <w:spacing w:line="360" w:lineRule="auto"/>
              <w:jc w:val="center"/>
              <w:rPr>
                <w:rFonts w:hint="eastAsia" w:ascii="仿宋" w:hAnsi="仿宋" w:eastAsia="仿宋" w:cs="仿宋"/>
                <w:color w:val="auto"/>
                <w:sz w:val="24"/>
                <w:highlight w:val="none"/>
              </w:rPr>
            </w:pPr>
          </w:p>
        </w:tc>
        <w:tc>
          <w:tcPr>
            <w:tcW w:w="912" w:type="dxa"/>
          </w:tcPr>
          <w:p w14:paraId="25BC6316">
            <w:pPr>
              <w:spacing w:line="360" w:lineRule="auto"/>
              <w:jc w:val="center"/>
              <w:rPr>
                <w:rFonts w:hint="eastAsia" w:ascii="仿宋" w:hAnsi="仿宋" w:eastAsia="仿宋" w:cs="仿宋"/>
                <w:color w:val="auto"/>
                <w:sz w:val="24"/>
                <w:highlight w:val="none"/>
              </w:rPr>
            </w:pPr>
          </w:p>
        </w:tc>
        <w:tc>
          <w:tcPr>
            <w:tcW w:w="1188" w:type="dxa"/>
          </w:tcPr>
          <w:p w14:paraId="0856FC7C">
            <w:pPr>
              <w:spacing w:line="360" w:lineRule="auto"/>
              <w:jc w:val="center"/>
              <w:rPr>
                <w:rFonts w:hint="eastAsia" w:ascii="仿宋" w:hAnsi="仿宋" w:eastAsia="仿宋" w:cs="仿宋"/>
                <w:color w:val="auto"/>
                <w:sz w:val="24"/>
                <w:highlight w:val="none"/>
              </w:rPr>
            </w:pPr>
          </w:p>
        </w:tc>
        <w:tc>
          <w:tcPr>
            <w:tcW w:w="835" w:type="dxa"/>
          </w:tcPr>
          <w:p w14:paraId="2C0DD4D3">
            <w:pPr>
              <w:spacing w:line="360" w:lineRule="auto"/>
              <w:jc w:val="center"/>
              <w:rPr>
                <w:rFonts w:hint="eastAsia" w:ascii="仿宋" w:hAnsi="仿宋" w:eastAsia="仿宋" w:cs="仿宋"/>
                <w:color w:val="auto"/>
                <w:sz w:val="24"/>
                <w:highlight w:val="none"/>
              </w:rPr>
            </w:pPr>
          </w:p>
        </w:tc>
        <w:tc>
          <w:tcPr>
            <w:tcW w:w="951" w:type="dxa"/>
          </w:tcPr>
          <w:p w14:paraId="2E0DC42A">
            <w:pPr>
              <w:spacing w:line="360" w:lineRule="auto"/>
              <w:jc w:val="center"/>
              <w:rPr>
                <w:rFonts w:hint="eastAsia" w:ascii="仿宋" w:hAnsi="仿宋" w:eastAsia="仿宋" w:cs="仿宋"/>
                <w:color w:val="auto"/>
                <w:sz w:val="24"/>
                <w:highlight w:val="none"/>
              </w:rPr>
            </w:pPr>
          </w:p>
        </w:tc>
        <w:tc>
          <w:tcPr>
            <w:tcW w:w="841" w:type="dxa"/>
          </w:tcPr>
          <w:p w14:paraId="55F32D67">
            <w:pPr>
              <w:spacing w:line="360" w:lineRule="auto"/>
              <w:jc w:val="center"/>
              <w:rPr>
                <w:rFonts w:hint="eastAsia" w:ascii="仿宋" w:hAnsi="仿宋" w:eastAsia="仿宋" w:cs="仿宋"/>
                <w:color w:val="auto"/>
                <w:sz w:val="24"/>
                <w:highlight w:val="none"/>
              </w:rPr>
            </w:pPr>
          </w:p>
        </w:tc>
      </w:tr>
      <w:tr w14:paraId="3A41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140843BC">
            <w:pPr>
              <w:spacing w:line="360" w:lineRule="auto"/>
              <w:jc w:val="center"/>
              <w:rPr>
                <w:rFonts w:hint="eastAsia" w:ascii="仿宋" w:hAnsi="仿宋" w:eastAsia="仿宋" w:cs="仿宋"/>
                <w:color w:val="auto"/>
                <w:sz w:val="24"/>
                <w:highlight w:val="none"/>
              </w:rPr>
            </w:pPr>
          </w:p>
        </w:tc>
        <w:tc>
          <w:tcPr>
            <w:tcW w:w="910" w:type="dxa"/>
          </w:tcPr>
          <w:p w14:paraId="07FCF526">
            <w:pPr>
              <w:spacing w:line="360" w:lineRule="auto"/>
              <w:jc w:val="center"/>
              <w:rPr>
                <w:rFonts w:hint="eastAsia" w:ascii="仿宋" w:hAnsi="仿宋" w:eastAsia="仿宋" w:cs="仿宋"/>
                <w:color w:val="auto"/>
                <w:sz w:val="24"/>
                <w:highlight w:val="none"/>
              </w:rPr>
            </w:pPr>
          </w:p>
        </w:tc>
        <w:tc>
          <w:tcPr>
            <w:tcW w:w="912" w:type="dxa"/>
          </w:tcPr>
          <w:p w14:paraId="27590671">
            <w:pPr>
              <w:spacing w:line="360" w:lineRule="auto"/>
              <w:jc w:val="center"/>
              <w:rPr>
                <w:rFonts w:hint="eastAsia" w:ascii="仿宋" w:hAnsi="仿宋" w:eastAsia="仿宋" w:cs="仿宋"/>
                <w:color w:val="auto"/>
                <w:sz w:val="24"/>
                <w:highlight w:val="none"/>
              </w:rPr>
            </w:pPr>
          </w:p>
        </w:tc>
        <w:tc>
          <w:tcPr>
            <w:tcW w:w="912" w:type="dxa"/>
          </w:tcPr>
          <w:p w14:paraId="4151CD6C">
            <w:pPr>
              <w:spacing w:line="360" w:lineRule="auto"/>
              <w:jc w:val="center"/>
              <w:rPr>
                <w:rFonts w:hint="eastAsia" w:ascii="仿宋" w:hAnsi="仿宋" w:eastAsia="仿宋" w:cs="仿宋"/>
                <w:color w:val="auto"/>
                <w:sz w:val="24"/>
                <w:highlight w:val="none"/>
              </w:rPr>
            </w:pPr>
          </w:p>
        </w:tc>
        <w:tc>
          <w:tcPr>
            <w:tcW w:w="912" w:type="dxa"/>
          </w:tcPr>
          <w:p w14:paraId="4B886CF5">
            <w:pPr>
              <w:spacing w:line="360" w:lineRule="auto"/>
              <w:jc w:val="center"/>
              <w:rPr>
                <w:rFonts w:hint="eastAsia" w:ascii="仿宋" w:hAnsi="仿宋" w:eastAsia="仿宋" w:cs="仿宋"/>
                <w:color w:val="auto"/>
                <w:sz w:val="24"/>
                <w:highlight w:val="none"/>
              </w:rPr>
            </w:pPr>
          </w:p>
        </w:tc>
        <w:tc>
          <w:tcPr>
            <w:tcW w:w="1188" w:type="dxa"/>
          </w:tcPr>
          <w:p w14:paraId="47A6E4DE">
            <w:pPr>
              <w:spacing w:line="360" w:lineRule="auto"/>
              <w:jc w:val="center"/>
              <w:rPr>
                <w:rFonts w:hint="eastAsia" w:ascii="仿宋" w:hAnsi="仿宋" w:eastAsia="仿宋" w:cs="仿宋"/>
                <w:color w:val="auto"/>
                <w:sz w:val="24"/>
                <w:highlight w:val="none"/>
              </w:rPr>
            </w:pPr>
          </w:p>
        </w:tc>
        <w:tc>
          <w:tcPr>
            <w:tcW w:w="835" w:type="dxa"/>
          </w:tcPr>
          <w:p w14:paraId="511A7C3F">
            <w:pPr>
              <w:spacing w:line="360" w:lineRule="auto"/>
              <w:jc w:val="center"/>
              <w:rPr>
                <w:rFonts w:hint="eastAsia" w:ascii="仿宋" w:hAnsi="仿宋" w:eastAsia="仿宋" w:cs="仿宋"/>
                <w:color w:val="auto"/>
                <w:sz w:val="24"/>
                <w:highlight w:val="none"/>
              </w:rPr>
            </w:pPr>
          </w:p>
        </w:tc>
        <w:tc>
          <w:tcPr>
            <w:tcW w:w="951" w:type="dxa"/>
          </w:tcPr>
          <w:p w14:paraId="52CDEE6C">
            <w:pPr>
              <w:spacing w:line="360" w:lineRule="auto"/>
              <w:jc w:val="center"/>
              <w:rPr>
                <w:rFonts w:hint="eastAsia" w:ascii="仿宋" w:hAnsi="仿宋" w:eastAsia="仿宋" w:cs="仿宋"/>
                <w:color w:val="auto"/>
                <w:sz w:val="24"/>
                <w:highlight w:val="none"/>
              </w:rPr>
            </w:pPr>
          </w:p>
        </w:tc>
        <w:tc>
          <w:tcPr>
            <w:tcW w:w="841" w:type="dxa"/>
          </w:tcPr>
          <w:p w14:paraId="42DEDB4C">
            <w:pPr>
              <w:spacing w:line="360" w:lineRule="auto"/>
              <w:jc w:val="center"/>
              <w:rPr>
                <w:rFonts w:hint="eastAsia" w:ascii="仿宋" w:hAnsi="仿宋" w:eastAsia="仿宋" w:cs="仿宋"/>
                <w:color w:val="auto"/>
                <w:sz w:val="24"/>
                <w:highlight w:val="none"/>
              </w:rPr>
            </w:pPr>
          </w:p>
        </w:tc>
      </w:tr>
      <w:tr w14:paraId="696A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2857F4C2">
            <w:pPr>
              <w:spacing w:line="360" w:lineRule="auto"/>
              <w:jc w:val="center"/>
              <w:rPr>
                <w:rFonts w:hint="eastAsia" w:ascii="仿宋" w:hAnsi="仿宋" w:eastAsia="仿宋" w:cs="仿宋"/>
                <w:color w:val="auto"/>
                <w:sz w:val="24"/>
                <w:highlight w:val="none"/>
              </w:rPr>
            </w:pPr>
          </w:p>
        </w:tc>
        <w:tc>
          <w:tcPr>
            <w:tcW w:w="910" w:type="dxa"/>
          </w:tcPr>
          <w:p w14:paraId="3BC40B32">
            <w:pPr>
              <w:spacing w:line="360" w:lineRule="auto"/>
              <w:jc w:val="center"/>
              <w:rPr>
                <w:rFonts w:hint="eastAsia" w:ascii="仿宋" w:hAnsi="仿宋" w:eastAsia="仿宋" w:cs="仿宋"/>
                <w:color w:val="auto"/>
                <w:sz w:val="24"/>
                <w:highlight w:val="none"/>
              </w:rPr>
            </w:pPr>
          </w:p>
        </w:tc>
        <w:tc>
          <w:tcPr>
            <w:tcW w:w="912" w:type="dxa"/>
          </w:tcPr>
          <w:p w14:paraId="762ABBB9">
            <w:pPr>
              <w:spacing w:line="360" w:lineRule="auto"/>
              <w:jc w:val="center"/>
              <w:rPr>
                <w:rFonts w:hint="eastAsia" w:ascii="仿宋" w:hAnsi="仿宋" w:eastAsia="仿宋" w:cs="仿宋"/>
                <w:color w:val="auto"/>
                <w:sz w:val="24"/>
                <w:highlight w:val="none"/>
              </w:rPr>
            </w:pPr>
          </w:p>
        </w:tc>
        <w:tc>
          <w:tcPr>
            <w:tcW w:w="912" w:type="dxa"/>
          </w:tcPr>
          <w:p w14:paraId="229ED678">
            <w:pPr>
              <w:spacing w:line="360" w:lineRule="auto"/>
              <w:jc w:val="center"/>
              <w:rPr>
                <w:rFonts w:hint="eastAsia" w:ascii="仿宋" w:hAnsi="仿宋" w:eastAsia="仿宋" w:cs="仿宋"/>
                <w:color w:val="auto"/>
                <w:sz w:val="24"/>
                <w:highlight w:val="none"/>
              </w:rPr>
            </w:pPr>
          </w:p>
        </w:tc>
        <w:tc>
          <w:tcPr>
            <w:tcW w:w="912" w:type="dxa"/>
          </w:tcPr>
          <w:p w14:paraId="1E41039E">
            <w:pPr>
              <w:spacing w:line="360" w:lineRule="auto"/>
              <w:jc w:val="center"/>
              <w:rPr>
                <w:rFonts w:hint="eastAsia" w:ascii="仿宋" w:hAnsi="仿宋" w:eastAsia="仿宋" w:cs="仿宋"/>
                <w:color w:val="auto"/>
                <w:sz w:val="24"/>
                <w:highlight w:val="none"/>
              </w:rPr>
            </w:pPr>
          </w:p>
        </w:tc>
        <w:tc>
          <w:tcPr>
            <w:tcW w:w="1188" w:type="dxa"/>
          </w:tcPr>
          <w:p w14:paraId="3A544C60">
            <w:pPr>
              <w:spacing w:line="360" w:lineRule="auto"/>
              <w:jc w:val="center"/>
              <w:rPr>
                <w:rFonts w:hint="eastAsia" w:ascii="仿宋" w:hAnsi="仿宋" w:eastAsia="仿宋" w:cs="仿宋"/>
                <w:color w:val="auto"/>
                <w:sz w:val="24"/>
                <w:highlight w:val="none"/>
              </w:rPr>
            </w:pPr>
          </w:p>
        </w:tc>
        <w:tc>
          <w:tcPr>
            <w:tcW w:w="835" w:type="dxa"/>
          </w:tcPr>
          <w:p w14:paraId="57C492A9">
            <w:pPr>
              <w:spacing w:line="360" w:lineRule="auto"/>
              <w:jc w:val="center"/>
              <w:rPr>
                <w:rFonts w:hint="eastAsia" w:ascii="仿宋" w:hAnsi="仿宋" w:eastAsia="仿宋" w:cs="仿宋"/>
                <w:color w:val="auto"/>
                <w:sz w:val="24"/>
                <w:highlight w:val="none"/>
              </w:rPr>
            </w:pPr>
          </w:p>
        </w:tc>
        <w:tc>
          <w:tcPr>
            <w:tcW w:w="951" w:type="dxa"/>
          </w:tcPr>
          <w:p w14:paraId="687A8AB2">
            <w:pPr>
              <w:spacing w:line="360" w:lineRule="auto"/>
              <w:jc w:val="center"/>
              <w:rPr>
                <w:rFonts w:hint="eastAsia" w:ascii="仿宋" w:hAnsi="仿宋" w:eastAsia="仿宋" w:cs="仿宋"/>
                <w:color w:val="auto"/>
                <w:sz w:val="24"/>
                <w:highlight w:val="none"/>
              </w:rPr>
            </w:pPr>
          </w:p>
        </w:tc>
        <w:tc>
          <w:tcPr>
            <w:tcW w:w="841" w:type="dxa"/>
          </w:tcPr>
          <w:p w14:paraId="02151241">
            <w:pPr>
              <w:spacing w:line="360" w:lineRule="auto"/>
              <w:jc w:val="center"/>
              <w:rPr>
                <w:rFonts w:hint="eastAsia" w:ascii="仿宋" w:hAnsi="仿宋" w:eastAsia="仿宋" w:cs="仿宋"/>
                <w:color w:val="auto"/>
                <w:sz w:val="24"/>
                <w:highlight w:val="none"/>
              </w:rPr>
            </w:pPr>
          </w:p>
        </w:tc>
      </w:tr>
      <w:tr w14:paraId="63D1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0B6F12B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w:t>
            </w:r>
          </w:p>
          <w:p w14:paraId="7647EAC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他</w:t>
            </w:r>
          </w:p>
          <w:p w14:paraId="62E67D4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p w14:paraId="0A6E736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员</w:t>
            </w:r>
          </w:p>
        </w:tc>
        <w:tc>
          <w:tcPr>
            <w:tcW w:w="910" w:type="dxa"/>
          </w:tcPr>
          <w:p w14:paraId="07986AA8">
            <w:pPr>
              <w:spacing w:line="360" w:lineRule="auto"/>
              <w:jc w:val="center"/>
              <w:rPr>
                <w:rFonts w:hint="eastAsia" w:ascii="仿宋" w:hAnsi="仿宋" w:eastAsia="仿宋" w:cs="仿宋"/>
                <w:color w:val="auto"/>
                <w:sz w:val="24"/>
                <w:highlight w:val="none"/>
              </w:rPr>
            </w:pPr>
          </w:p>
        </w:tc>
        <w:tc>
          <w:tcPr>
            <w:tcW w:w="912" w:type="dxa"/>
          </w:tcPr>
          <w:p w14:paraId="5AF0E5F6">
            <w:pPr>
              <w:spacing w:line="360" w:lineRule="auto"/>
              <w:jc w:val="center"/>
              <w:rPr>
                <w:rFonts w:hint="eastAsia" w:ascii="仿宋" w:hAnsi="仿宋" w:eastAsia="仿宋" w:cs="仿宋"/>
                <w:color w:val="auto"/>
                <w:sz w:val="24"/>
                <w:highlight w:val="none"/>
              </w:rPr>
            </w:pPr>
          </w:p>
        </w:tc>
        <w:tc>
          <w:tcPr>
            <w:tcW w:w="912" w:type="dxa"/>
          </w:tcPr>
          <w:p w14:paraId="1B13DF0F">
            <w:pPr>
              <w:spacing w:line="360" w:lineRule="auto"/>
              <w:jc w:val="center"/>
              <w:rPr>
                <w:rFonts w:hint="eastAsia" w:ascii="仿宋" w:hAnsi="仿宋" w:eastAsia="仿宋" w:cs="仿宋"/>
                <w:color w:val="auto"/>
                <w:sz w:val="24"/>
                <w:highlight w:val="none"/>
              </w:rPr>
            </w:pPr>
          </w:p>
        </w:tc>
        <w:tc>
          <w:tcPr>
            <w:tcW w:w="912" w:type="dxa"/>
          </w:tcPr>
          <w:p w14:paraId="19864ABD">
            <w:pPr>
              <w:spacing w:line="360" w:lineRule="auto"/>
              <w:jc w:val="center"/>
              <w:rPr>
                <w:rFonts w:hint="eastAsia" w:ascii="仿宋" w:hAnsi="仿宋" w:eastAsia="仿宋" w:cs="仿宋"/>
                <w:color w:val="auto"/>
                <w:sz w:val="24"/>
                <w:highlight w:val="none"/>
              </w:rPr>
            </w:pPr>
          </w:p>
        </w:tc>
        <w:tc>
          <w:tcPr>
            <w:tcW w:w="1188" w:type="dxa"/>
          </w:tcPr>
          <w:p w14:paraId="7EC73E18">
            <w:pPr>
              <w:spacing w:line="360" w:lineRule="auto"/>
              <w:jc w:val="center"/>
              <w:rPr>
                <w:rFonts w:hint="eastAsia" w:ascii="仿宋" w:hAnsi="仿宋" w:eastAsia="仿宋" w:cs="仿宋"/>
                <w:color w:val="auto"/>
                <w:sz w:val="24"/>
                <w:highlight w:val="none"/>
              </w:rPr>
            </w:pPr>
          </w:p>
        </w:tc>
        <w:tc>
          <w:tcPr>
            <w:tcW w:w="835" w:type="dxa"/>
          </w:tcPr>
          <w:p w14:paraId="6C745E15">
            <w:pPr>
              <w:spacing w:line="360" w:lineRule="auto"/>
              <w:jc w:val="center"/>
              <w:rPr>
                <w:rFonts w:hint="eastAsia" w:ascii="仿宋" w:hAnsi="仿宋" w:eastAsia="仿宋" w:cs="仿宋"/>
                <w:color w:val="auto"/>
                <w:sz w:val="24"/>
                <w:highlight w:val="none"/>
              </w:rPr>
            </w:pPr>
          </w:p>
        </w:tc>
        <w:tc>
          <w:tcPr>
            <w:tcW w:w="951" w:type="dxa"/>
          </w:tcPr>
          <w:p w14:paraId="571865D3">
            <w:pPr>
              <w:spacing w:line="360" w:lineRule="auto"/>
              <w:jc w:val="center"/>
              <w:rPr>
                <w:rFonts w:hint="eastAsia" w:ascii="仿宋" w:hAnsi="仿宋" w:eastAsia="仿宋" w:cs="仿宋"/>
                <w:color w:val="auto"/>
                <w:sz w:val="24"/>
                <w:highlight w:val="none"/>
              </w:rPr>
            </w:pPr>
          </w:p>
        </w:tc>
        <w:tc>
          <w:tcPr>
            <w:tcW w:w="841" w:type="dxa"/>
          </w:tcPr>
          <w:p w14:paraId="41C56570">
            <w:pPr>
              <w:spacing w:line="360" w:lineRule="auto"/>
              <w:jc w:val="center"/>
              <w:rPr>
                <w:rFonts w:hint="eastAsia" w:ascii="仿宋" w:hAnsi="仿宋" w:eastAsia="仿宋" w:cs="仿宋"/>
                <w:color w:val="auto"/>
                <w:sz w:val="24"/>
                <w:highlight w:val="none"/>
              </w:rPr>
            </w:pPr>
          </w:p>
        </w:tc>
      </w:tr>
      <w:tr w14:paraId="5EB1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6E602C95">
            <w:pPr>
              <w:spacing w:line="360" w:lineRule="auto"/>
              <w:jc w:val="center"/>
              <w:rPr>
                <w:rFonts w:hint="eastAsia" w:ascii="仿宋" w:hAnsi="仿宋" w:eastAsia="仿宋" w:cs="仿宋"/>
                <w:color w:val="auto"/>
                <w:sz w:val="24"/>
                <w:highlight w:val="none"/>
              </w:rPr>
            </w:pPr>
          </w:p>
        </w:tc>
        <w:tc>
          <w:tcPr>
            <w:tcW w:w="910" w:type="dxa"/>
          </w:tcPr>
          <w:p w14:paraId="1E99B3EA">
            <w:pPr>
              <w:spacing w:line="360" w:lineRule="auto"/>
              <w:jc w:val="center"/>
              <w:rPr>
                <w:rFonts w:hint="eastAsia" w:ascii="仿宋" w:hAnsi="仿宋" w:eastAsia="仿宋" w:cs="仿宋"/>
                <w:color w:val="auto"/>
                <w:sz w:val="24"/>
                <w:highlight w:val="none"/>
              </w:rPr>
            </w:pPr>
          </w:p>
        </w:tc>
        <w:tc>
          <w:tcPr>
            <w:tcW w:w="912" w:type="dxa"/>
          </w:tcPr>
          <w:p w14:paraId="6CED30FD">
            <w:pPr>
              <w:spacing w:line="360" w:lineRule="auto"/>
              <w:jc w:val="center"/>
              <w:rPr>
                <w:rFonts w:hint="eastAsia" w:ascii="仿宋" w:hAnsi="仿宋" w:eastAsia="仿宋" w:cs="仿宋"/>
                <w:b/>
                <w:bCs/>
                <w:color w:val="auto"/>
                <w:sz w:val="24"/>
                <w:highlight w:val="none"/>
              </w:rPr>
            </w:pPr>
          </w:p>
        </w:tc>
        <w:tc>
          <w:tcPr>
            <w:tcW w:w="912" w:type="dxa"/>
          </w:tcPr>
          <w:p w14:paraId="70FE0E1E">
            <w:pPr>
              <w:spacing w:line="360" w:lineRule="auto"/>
              <w:jc w:val="center"/>
              <w:rPr>
                <w:rFonts w:hint="eastAsia" w:ascii="仿宋" w:hAnsi="仿宋" w:eastAsia="仿宋" w:cs="仿宋"/>
                <w:b/>
                <w:bCs/>
                <w:color w:val="auto"/>
                <w:sz w:val="24"/>
                <w:highlight w:val="none"/>
              </w:rPr>
            </w:pPr>
          </w:p>
        </w:tc>
        <w:tc>
          <w:tcPr>
            <w:tcW w:w="912" w:type="dxa"/>
          </w:tcPr>
          <w:p w14:paraId="20A55310">
            <w:pPr>
              <w:spacing w:line="360" w:lineRule="auto"/>
              <w:jc w:val="center"/>
              <w:rPr>
                <w:rFonts w:hint="eastAsia" w:ascii="仿宋" w:hAnsi="仿宋" w:eastAsia="仿宋" w:cs="仿宋"/>
                <w:b/>
                <w:bCs/>
                <w:color w:val="auto"/>
                <w:sz w:val="24"/>
                <w:highlight w:val="none"/>
              </w:rPr>
            </w:pPr>
          </w:p>
        </w:tc>
        <w:tc>
          <w:tcPr>
            <w:tcW w:w="1188" w:type="dxa"/>
          </w:tcPr>
          <w:p w14:paraId="7E2DFFAD">
            <w:pPr>
              <w:spacing w:line="360" w:lineRule="auto"/>
              <w:jc w:val="center"/>
              <w:rPr>
                <w:rFonts w:hint="eastAsia" w:ascii="仿宋" w:hAnsi="仿宋" w:eastAsia="仿宋" w:cs="仿宋"/>
                <w:b/>
                <w:bCs/>
                <w:color w:val="auto"/>
                <w:sz w:val="24"/>
                <w:highlight w:val="none"/>
              </w:rPr>
            </w:pPr>
          </w:p>
        </w:tc>
        <w:tc>
          <w:tcPr>
            <w:tcW w:w="835" w:type="dxa"/>
          </w:tcPr>
          <w:p w14:paraId="29EE34C7">
            <w:pPr>
              <w:spacing w:line="360" w:lineRule="auto"/>
              <w:jc w:val="center"/>
              <w:rPr>
                <w:rFonts w:hint="eastAsia" w:ascii="仿宋" w:hAnsi="仿宋" w:eastAsia="仿宋" w:cs="仿宋"/>
                <w:b/>
                <w:bCs/>
                <w:color w:val="auto"/>
                <w:sz w:val="24"/>
                <w:highlight w:val="none"/>
              </w:rPr>
            </w:pPr>
          </w:p>
        </w:tc>
        <w:tc>
          <w:tcPr>
            <w:tcW w:w="951" w:type="dxa"/>
          </w:tcPr>
          <w:p w14:paraId="71352446">
            <w:pPr>
              <w:spacing w:line="360" w:lineRule="auto"/>
              <w:jc w:val="center"/>
              <w:rPr>
                <w:rFonts w:hint="eastAsia" w:ascii="仿宋" w:hAnsi="仿宋" w:eastAsia="仿宋" w:cs="仿宋"/>
                <w:b/>
                <w:bCs/>
                <w:color w:val="auto"/>
                <w:sz w:val="24"/>
                <w:highlight w:val="none"/>
              </w:rPr>
            </w:pPr>
          </w:p>
        </w:tc>
        <w:tc>
          <w:tcPr>
            <w:tcW w:w="841" w:type="dxa"/>
          </w:tcPr>
          <w:p w14:paraId="6005109C">
            <w:pPr>
              <w:spacing w:line="360" w:lineRule="auto"/>
              <w:jc w:val="center"/>
              <w:rPr>
                <w:rFonts w:hint="eastAsia" w:ascii="仿宋" w:hAnsi="仿宋" w:eastAsia="仿宋" w:cs="仿宋"/>
                <w:b/>
                <w:bCs/>
                <w:color w:val="auto"/>
                <w:sz w:val="24"/>
                <w:highlight w:val="none"/>
              </w:rPr>
            </w:pPr>
          </w:p>
        </w:tc>
      </w:tr>
      <w:tr w14:paraId="1260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1E070269">
            <w:pPr>
              <w:spacing w:line="360" w:lineRule="auto"/>
              <w:jc w:val="center"/>
              <w:rPr>
                <w:rFonts w:hint="eastAsia" w:ascii="仿宋" w:hAnsi="仿宋" w:eastAsia="仿宋" w:cs="仿宋"/>
                <w:color w:val="auto"/>
                <w:sz w:val="24"/>
                <w:highlight w:val="none"/>
              </w:rPr>
            </w:pPr>
          </w:p>
        </w:tc>
        <w:tc>
          <w:tcPr>
            <w:tcW w:w="910" w:type="dxa"/>
          </w:tcPr>
          <w:p w14:paraId="0468ACF8">
            <w:pPr>
              <w:spacing w:line="360" w:lineRule="auto"/>
              <w:jc w:val="center"/>
              <w:rPr>
                <w:rFonts w:hint="eastAsia" w:ascii="仿宋" w:hAnsi="仿宋" w:eastAsia="仿宋" w:cs="仿宋"/>
                <w:color w:val="auto"/>
                <w:sz w:val="24"/>
                <w:highlight w:val="none"/>
              </w:rPr>
            </w:pPr>
          </w:p>
        </w:tc>
        <w:tc>
          <w:tcPr>
            <w:tcW w:w="912" w:type="dxa"/>
          </w:tcPr>
          <w:p w14:paraId="04C8AFAB">
            <w:pPr>
              <w:spacing w:line="360" w:lineRule="auto"/>
              <w:jc w:val="center"/>
              <w:rPr>
                <w:rFonts w:hint="eastAsia" w:ascii="仿宋" w:hAnsi="仿宋" w:eastAsia="仿宋" w:cs="仿宋"/>
                <w:b/>
                <w:bCs/>
                <w:color w:val="auto"/>
                <w:sz w:val="24"/>
                <w:highlight w:val="none"/>
              </w:rPr>
            </w:pPr>
          </w:p>
        </w:tc>
        <w:tc>
          <w:tcPr>
            <w:tcW w:w="912" w:type="dxa"/>
          </w:tcPr>
          <w:p w14:paraId="35353EDA">
            <w:pPr>
              <w:spacing w:line="360" w:lineRule="auto"/>
              <w:jc w:val="center"/>
              <w:rPr>
                <w:rFonts w:hint="eastAsia" w:ascii="仿宋" w:hAnsi="仿宋" w:eastAsia="仿宋" w:cs="仿宋"/>
                <w:b/>
                <w:bCs/>
                <w:color w:val="auto"/>
                <w:sz w:val="24"/>
                <w:highlight w:val="none"/>
              </w:rPr>
            </w:pPr>
          </w:p>
        </w:tc>
        <w:tc>
          <w:tcPr>
            <w:tcW w:w="912" w:type="dxa"/>
          </w:tcPr>
          <w:p w14:paraId="0D9E02F4">
            <w:pPr>
              <w:spacing w:line="360" w:lineRule="auto"/>
              <w:jc w:val="center"/>
              <w:rPr>
                <w:rFonts w:hint="eastAsia" w:ascii="仿宋" w:hAnsi="仿宋" w:eastAsia="仿宋" w:cs="仿宋"/>
                <w:b/>
                <w:bCs/>
                <w:color w:val="auto"/>
                <w:sz w:val="24"/>
                <w:highlight w:val="none"/>
              </w:rPr>
            </w:pPr>
          </w:p>
        </w:tc>
        <w:tc>
          <w:tcPr>
            <w:tcW w:w="1188" w:type="dxa"/>
          </w:tcPr>
          <w:p w14:paraId="31159E1B">
            <w:pPr>
              <w:spacing w:line="360" w:lineRule="auto"/>
              <w:jc w:val="center"/>
              <w:rPr>
                <w:rFonts w:hint="eastAsia" w:ascii="仿宋" w:hAnsi="仿宋" w:eastAsia="仿宋" w:cs="仿宋"/>
                <w:b/>
                <w:bCs/>
                <w:color w:val="auto"/>
                <w:sz w:val="24"/>
                <w:highlight w:val="none"/>
              </w:rPr>
            </w:pPr>
          </w:p>
        </w:tc>
        <w:tc>
          <w:tcPr>
            <w:tcW w:w="835" w:type="dxa"/>
          </w:tcPr>
          <w:p w14:paraId="48297AA0">
            <w:pPr>
              <w:spacing w:line="360" w:lineRule="auto"/>
              <w:jc w:val="center"/>
              <w:rPr>
                <w:rFonts w:hint="eastAsia" w:ascii="仿宋" w:hAnsi="仿宋" w:eastAsia="仿宋" w:cs="仿宋"/>
                <w:b/>
                <w:bCs/>
                <w:color w:val="auto"/>
                <w:sz w:val="24"/>
                <w:highlight w:val="none"/>
              </w:rPr>
            </w:pPr>
          </w:p>
        </w:tc>
        <w:tc>
          <w:tcPr>
            <w:tcW w:w="951" w:type="dxa"/>
          </w:tcPr>
          <w:p w14:paraId="3A4F5299">
            <w:pPr>
              <w:spacing w:line="360" w:lineRule="auto"/>
              <w:jc w:val="center"/>
              <w:rPr>
                <w:rFonts w:hint="eastAsia" w:ascii="仿宋" w:hAnsi="仿宋" w:eastAsia="仿宋" w:cs="仿宋"/>
                <w:b/>
                <w:bCs/>
                <w:color w:val="auto"/>
                <w:sz w:val="24"/>
                <w:highlight w:val="none"/>
              </w:rPr>
            </w:pPr>
          </w:p>
        </w:tc>
        <w:tc>
          <w:tcPr>
            <w:tcW w:w="841" w:type="dxa"/>
          </w:tcPr>
          <w:p w14:paraId="64D10EBE">
            <w:pPr>
              <w:spacing w:line="360" w:lineRule="auto"/>
              <w:jc w:val="center"/>
              <w:rPr>
                <w:rFonts w:hint="eastAsia" w:ascii="仿宋" w:hAnsi="仿宋" w:eastAsia="仿宋" w:cs="仿宋"/>
                <w:b/>
                <w:bCs/>
                <w:color w:val="auto"/>
                <w:sz w:val="24"/>
                <w:highlight w:val="none"/>
              </w:rPr>
            </w:pPr>
          </w:p>
        </w:tc>
      </w:tr>
    </w:tbl>
    <w:p w14:paraId="274B7FD1">
      <w:pPr>
        <w:adjustRightInd w:val="0"/>
        <w:spacing w:line="360" w:lineRule="auto"/>
        <w:ind w:firstLine="900" w:firstLineChars="375"/>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注：后附人员相关证书扫描件。</w:t>
      </w:r>
    </w:p>
    <w:p w14:paraId="3BAC0FB5">
      <w:pPr>
        <w:spacing w:line="360" w:lineRule="auto"/>
        <w:jc w:val="left"/>
        <w:rPr>
          <w:rFonts w:hint="eastAsia" w:ascii="仿宋" w:hAnsi="仿宋" w:eastAsia="仿宋" w:cs="仿宋"/>
          <w:color w:val="auto"/>
          <w:sz w:val="24"/>
          <w:highlight w:val="none"/>
        </w:rPr>
      </w:pPr>
    </w:p>
    <w:p w14:paraId="3EE2512C">
      <w:pPr>
        <w:spacing w:line="360" w:lineRule="auto"/>
        <w:jc w:val="center"/>
        <w:rPr>
          <w:rFonts w:hint="eastAsia" w:ascii="仿宋" w:hAnsi="仿宋" w:eastAsia="仿宋" w:cs="仿宋"/>
          <w:color w:val="auto"/>
          <w:sz w:val="24"/>
          <w:highlight w:val="none"/>
        </w:rPr>
      </w:pPr>
    </w:p>
    <w:p w14:paraId="2EF96D92">
      <w:pPr>
        <w:pStyle w:val="33"/>
        <w:spacing w:line="360" w:lineRule="auto"/>
        <w:ind w:firstLine="0"/>
        <w:jc w:val="center"/>
        <w:outlineLvl w:val="1"/>
        <w:rPr>
          <w:rFonts w:hint="eastAsia" w:ascii="仿宋" w:hAnsi="仿宋" w:eastAsia="仿宋" w:cs="仿宋"/>
          <w:b/>
          <w:bCs/>
          <w:color w:val="auto"/>
          <w:kern w:val="0"/>
          <w:sz w:val="24"/>
          <w:szCs w:val="24"/>
          <w:highlight w:val="none"/>
        </w:rPr>
      </w:pPr>
      <w:bookmarkStart w:id="192" w:name="_Toc16104"/>
      <w:r>
        <w:rPr>
          <w:rFonts w:hint="eastAsia" w:ascii="仿宋" w:hAnsi="仿宋" w:eastAsia="仿宋" w:cs="仿宋"/>
          <w:b/>
          <w:bCs/>
          <w:color w:val="auto"/>
          <w:kern w:val="0"/>
          <w:sz w:val="24"/>
          <w:szCs w:val="24"/>
          <w:highlight w:val="none"/>
        </w:rPr>
        <w:t>八、实施方案</w:t>
      </w:r>
      <w:bookmarkEnd w:id="192"/>
    </w:p>
    <w:p w14:paraId="35A2400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bookmarkEnd w:id="153"/>
    <w:p w14:paraId="09EC5E9C">
      <w:pPr>
        <w:jc w:val="center"/>
        <w:rPr>
          <w:rFonts w:hint="eastAsia" w:ascii="仿宋" w:hAnsi="仿宋" w:eastAsia="仿宋" w:cs="仿宋"/>
          <w:color w:val="auto"/>
          <w:sz w:val="24"/>
          <w:szCs w:val="32"/>
          <w:highlight w:val="none"/>
        </w:rPr>
        <w:sectPr>
          <w:footerReference r:id="rId11" w:type="default"/>
          <w:pgSz w:w="11906" w:h="16838"/>
          <w:pgMar w:top="1440" w:right="1800" w:bottom="1440" w:left="1800" w:header="851" w:footer="992" w:gutter="0"/>
          <w:pgNumType w:fmt="decimal"/>
          <w:cols w:space="720" w:num="1"/>
          <w:docGrid w:type="lines" w:linePitch="312" w:charSpace="0"/>
        </w:sectPr>
      </w:pPr>
      <w:bookmarkStart w:id="193" w:name="_Toc31271_WPSOffice_Level1"/>
      <w:r>
        <w:rPr>
          <w:rFonts w:hint="eastAsia" w:ascii="仿宋" w:hAnsi="仿宋" w:eastAsia="仿宋" w:cs="仿宋"/>
          <w:color w:val="auto"/>
          <w:sz w:val="24"/>
          <w:szCs w:val="32"/>
          <w:highlight w:val="none"/>
        </w:rPr>
        <w:t>根据第五章“评标办法”所需内容自拟格式</w:t>
      </w:r>
    </w:p>
    <w:p w14:paraId="7A50C7A4">
      <w:pPr>
        <w:pStyle w:val="8"/>
        <w:spacing w:line="360" w:lineRule="auto"/>
        <w:ind w:firstLine="0" w:firstLineChars="0"/>
        <w:jc w:val="center"/>
        <w:outlineLvl w:val="1"/>
        <w:rPr>
          <w:rFonts w:hint="eastAsia" w:ascii="仿宋" w:hAnsi="仿宋" w:eastAsia="仿宋" w:cs="仿宋"/>
          <w:b/>
          <w:bCs/>
          <w:color w:val="auto"/>
          <w:kern w:val="0"/>
          <w:sz w:val="24"/>
          <w:highlight w:val="none"/>
        </w:rPr>
      </w:pPr>
      <w:bookmarkStart w:id="194" w:name="_Toc25079"/>
      <w:r>
        <w:rPr>
          <w:rFonts w:hint="eastAsia" w:ascii="仿宋" w:hAnsi="仿宋" w:eastAsia="仿宋" w:cs="仿宋"/>
          <w:b/>
          <w:bCs/>
          <w:color w:val="auto"/>
          <w:kern w:val="0"/>
          <w:sz w:val="24"/>
          <w:highlight w:val="none"/>
        </w:rPr>
        <w:t>九、投标人认为需要提供的其他文件和资料</w:t>
      </w:r>
      <w:bookmarkEnd w:id="194"/>
    </w:p>
    <w:p w14:paraId="6919C5A8">
      <w:pPr>
        <w:spacing w:line="360" w:lineRule="auto"/>
        <w:rPr>
          <w:rFonts w:hint="eastAsia" w:ascii="仿宋" w:hAnsi="仿宋" w:eastAsia="仿宋" w:cs="仿宋"/>
          <w:bCs/>
          <w:color w:val="auto"/>
          <w:sz w:val="24"/>
          <w:highlight w:val="none"/>
        </w:rPr>
      </w:pPr>
    </w:p>
    <w:p w14:paraId="2AA17459">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1、以下《中小微企业声明函》、《监狱企业的证明文件》及《残疾人福利性单位声明函》投标人根据自身的实际情况选用（如有）。</w:t>
      </w:r>
    </w:p>
    <w:p w14:paraId="59476BBB">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2、投标人同时为小型（或微型）企业、监狱企业、残疾人福利性单位任两种或以上情况的，评审中只享受一次价格扣除（或评审得分优惠），不重复进行价格扣除。</w:t>
      </w:r>
    </w:p>
    <w:p w14:paraId="22E6D9EC">
      <w:pPr>
        <w:pStyle w:val="14"/>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（一）中小企业声明函</w:t>
      </w:r>
    </w:p>
    <w:p w14:paraId="68AD3803">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采购活动，提供的货物全部由符合政策要求的中小企业制造。相关企业（含联合体中的中小企业、签订分包意向协议的中小企业）的具体情况如下：</w:t>
      </w:r>
    </w:p>
    <w:p w14:paraId="14B12C94">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（招标文件中明确的所属行业）行业</w:t>
      </w:r>
      <w:r>
        <w:rPr>
          <w:rFonts w:hint="eastAsia" w:ascii="仿宋" w:hAnsi="仿宋" w:eastAsia="仿宋" w:cs="仿宋"/>
          <w:color w:val="auto"/>
          <w:sz w:val="24"/>
          <w:szCs w:val="24"/>
          <w:highlight w:val="none"/>
        </w:rPr>
        <w:t>；制造商为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vertAlign w:val="superscript"/>
        </w:rPr>
        <w:t>1</w:t>
      </w:r>
      <w:r>
        <w:rPr>
          <w:rFonts w:hint="eastAsia" w:ascii="仿宋" w:hAnsi="仿宋" w:eastAsia="仿宋" w:cs="仿宋"/>
          <w:color w:val="auto"/>
          <w:sz w:val="24"/>
          <w:szCs w:val="24"/>
          <w:highlight w:val="none"/>
        </w:rPr>
        <w:t>，属于（中型企业、小型企业、微型企业）；</w:t>
      </w:r>
    </w:p>
    <w:p w14:paraId="727FCC71">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（招标文件中明确的所属行业）行业</w:t>
      </w:r>
      <w:r>
        <w:rPr>
          <w:rFonts w:hint="eastAsia" w:ascii="仿宋" w:hAnsi="仿宋" w:eastAsia="仿宋" w:cs="仿宋"/>
          <w:color w:val="auto"/>
          <w:sz w:val="24"/>
          <w:szCs w:val="24"/>
          <w:highlight w:val="none"/>
        </w:rPr>
        <w:t>；制造商为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396D7EBE">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590D7D5">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4BB2877B">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7F759DCC">
      <w:pPr>
        <w:pStyle w:val="14"/>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132291A1">
      <w:pPr>
        <w:pStyle w:val="14"/>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CCC7F5D">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从业人员、营业收入、资产总额填报上一年度数据，无上一年度数据的新成立企业可不填报</w:t>
      </w:r>
    </w:p>
    <w:p w14:paraId="11B80E7E">
      <w:pPr>
        <w:spacing w:line="360" w:lineRule="auto"/>
        <w:jc w:val="center"/>
        <w:rPr>
          <w:rFonts w:hint="eastAsia" w:ascii="仿宋" w:hAnsi="仿宋" w:eastAsia="仿宋" w:cs="仿宋"/>
          <w:b/>
          <w:bCs/>
          <w:color w:val="auto"/>
          <w:sz w:val="24"/>
          <w:highlight w:val="none"/>
        </w:rPr>
      </w:pPr>
    </w:p>
    <w:p w14:paraId="439590A9">
      <w:pPr>
        <w:pStyle w:val="30"/>
        <w:spacing w:line="360" w:lineRule="auto"/>
        <w:outlineLvl w:val="9"/>
        <w:rPr>
          <w:rFonts w:hint="eastAsia" w:ascii="仿宋" w:hAnsi="仿宋" w:eastAsia="仿宋" w:cs="仿宋"/>
          <w:color w:val="auto"/>
          <w:sz w:val="24"/>
          <w:szCs w:val="24"/>
          <w:highlight w:val="none"/>
        </w:rPr>
      </w:pPr>
    </w:p>
    <w:p w14:paraId="5910A371">
      <w:pPr>
        <w:spacing w:line="360" w:lineRule="auto"/>
        <w:rPr>
          <w:rFonts w:hint="eastAsia" w:ascii="仿宋" w:hAnsi="仿宋" w:eastAsia="仿宋" w:cs="仿宋"/>
          <w:color w:val="auto"/>
          <w:sz w:val="24"/>
          <w:highlight w:val="none"/>
        </w:rPr>
      </w:pPr>
    </w:p>
    <w:p w14:paraId="48A2131A">
      <w:pPr>
        <w:spacing w:line="360" w:lineRule="auto"/>
        <w:jc w:val="center"/>
        <w:rPr>
          <w:rFonts w:hint="eastAsia" w:ascii="仿宋" w:hAnsi="仿宋" w:eastAsia="仿宋" w:cs="仿宋"/>
          <w:b/>
          <w:color w:val="auto"/>
          <w:spacing w:val="6"/>
          <w:sz w:val="24"/>
          <w:highlight w:val="none"/>
        </w:rPr>
      </w:pPr>
      <w:r>
        <w:rPr>
          <w:rFonts w:hint="eastAsia" w:ascii="仿宋" w:hAnsi="仿宋" w:eastAsia="仿宋" w:cs="仿宋"/>
          <w:b/>
          <w:bCs/>
          <w:color w:val="auto"/>
          <w:sz w:val="24"/>
          <w:highlight w:val="none"/>
        </w:rPr>
        <w:t xml:space="preserve">（二） </w:t>
      </w:r>
      <w:bookmarkStart w:id="195" w:name="OLE_LINK13"/>
      <w:bookmarkStart w:id="196" w:name="OLE_LINK14"/>
      <w:r>
        <w:rPr>
          <w:rFonts w:hint="eastAsia" w:ascii="仿宋" w:hAnsi="仿宋" w:eastAsia="仿宋" w:cs="仿宋"/>
          <w:b/>
          <w:color w:val="auto"/>
          <w:spacing w:val="6"/>
          <w:sz w:val="24"/>
          <w:highlight w:val="none"/>
        </w:rPr>
        <w:t>残疾人福利性单位声明函（如有）</w:t>
      </w:r>
    </w:p>
    <w:bookmarkEnd w:id="195"/>
    <w:bookmarkEnd w:id="196"/>
    <w:p w14:paraId="0420AFEE">
      <w:pPr>
        <w:spacing w:line="360" w:lineRule="auto"/>
        <w:rPr>
          <w:rFonts w:hint="eastAsia" w:ascii="仿宋" w:hAnsi="仿宋" w:eastAsia="仿宋" w:cs="仿宋"/>
          <w:b/>
          <w:color w:val="auto"/>
          <w:spacing w:val="6"/>
          <w:sz w:val="24"/>
          <w:highlight w:val="none"/>
        </w:rPr>
      </w:pPr>
    </w:p>
    <w:p w14:paraId="17F01190">
      <w:pPr>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〔2017〕141</w:t>
      </w:r>
      <w:r>
        <w:rPr>
          <w:rFonts w:hint="eastAsia" w:ascii="仿宋" w:hAnsi="仿宋" w:eastAsia="仿宋" w:cs="仿宋"/>
          <w:color w:val="auto"/>
          <w:spacing w:val="6"/>
          <w:sz w:val="24"/>
          <w:highlight w:val="none"/>
        </w:rPr>
        <w:t>号）的规定，本单位为符合条件的残疾人福利性单位，且本单位参加</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单位的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项目采购活动提供本单位制造的服务（由本单位承担工程/提供服务），或者提供其他残疾人福利性单位制造的货物（不包括使用非残疾人福利性单位注册商标的货物）。</w:t>
      </w:r>
    </w:p>
    <w:p w14:paraId="5B19C28D">
      <w:pPr>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786D0DA2">
      <w:pPr>
        <w:spacing w:line="360" w:lineRule="auto"/>
        <w:ind w:firstLine="504" w:firstLineChars="200"/>
        <w:rPr>
          <w:rFonts w:hint="eastAsia" w:ascii="仿宋" w:hAnsi="仿宋" w:eastAsia="仿宋" w:cs="仿宋"/>
          <w:color w:val="auto"/>
          <w:spacing w:val="6"/>
          <w:sz w:val="24"/>
          <w:highlight w:val="none"/>
        </w:rPr>
      </w:pPr>
    </w:p>
    <w:p w14:paraId="4680F883">
      <w:pPr>
        <w:spacing w:line="360" w:lineRule="auto"/>
        <w:ind w:firstLine="504" w:firstLineChars="200"/>
        <w:rPr>
          <w:rFonts w:hint="eastAsia" w:ascii="仿宋" w:hAnsi="仿宋" w:eastAsia="仿宋" w:cs="仿宋"/>
          <w:color w:val="auto"/>
          <w:spacing w:val="6"/>
          <w:sz w:val="24"/>
          <w:highlight w:val="none"/>
        </w:rPr>
      </w:pPr>
    </w:p>
    <w:p w14:paraId="44C8F150">
      <w:pPr>
        <w:tabs>
          <w:tab w:val="left" w:pos="4860"/>
        </w:tabs>
        <w:spacing w:line="360" w:lineRule="auto"/>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269490DA">
      <w:pPr>
        <w:tabs>
          <w:tab w:val="left" w:pos="4860"/>
        </w:tabs>
        <w:spacing w:line="360" w:lineRule="auto"/>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14:paraId="3977AFF8">
      <w:pPr>
        <w:widowControl/>
        <w:adjustRightInd w:val="0"/>
        <w:snapToGrid w:val="0"/>
        <w:spacing w:line="360" w:lineRule="auto"/>
        <w:rPr>
          <w:rFonts w:hint="eastAsia" w:ascii="仿宋" w:hAnsi="仿宋" w:eastAsia="仿宋" w:cs="仿宋"/>
          <w:color w:val="auto"/>
          <w:sz w:val="24"/>
          <w:highlight w:val="none"/>
        </w:rPr>
      </w:pPr>
    </w:p>
    <w:p w14:paraId="53010749">
      <w:pPr>
        <w:spacing w:line="360" w:lineRule="auto"/>
        <w:jc w:val="left"/>
        <w:rPr>
          <w:rFonts w:hint="eastAsia" w:ascii="仿宋" w:hAnsi="仿宋" w:eastAsia="仿宋" w:cs="仿宋"/>
          <w:bCs/>
          <w:color w:val="auto"/>
          <w:sz w:val="24"/>
          <w:highlight w:val="none"/>
        </w:rPr>
      </w:pPr>
    </w:p>
    <w:p w14:paraId="7C36FD06">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备注：须提供证明材料（能反映出企业残疾人的占比等情况的材料及残疾人证等）。</w:t>
      </w:r>
    </w:p>
    <w:p w14:paraId="6BA7D3D8">
      <w:pPr>
        <w:spacing w:line="360" w:lineRule="auto"/>
        <w:jc w:val="center"/>
        <w:rPr>
          <w:rFonts w:hint="eastAsia" w:ascii="仿宋" w:hAnsi="仿宋" w:eastAsia="仿宋" w:cs="仿宋"/>
          <w:b/>
          <w:bCs/>
          <w:color w:val="auto"/>
          <w:sz w:val="24"/>
          <w:highlight w:val="none"/>
        </w:rPr>
      </w:pPr>
    </w:p>
    <w:p w14:paraId="64CB6A20">
      <w:pPr>
        <w:spacing w:line="360" w:lineRule="auto"/>
        <w:jc w:val="center"/>
        <w:rPr>
          <w:rFonts w:hint="eastAsia" w:ascii="仿宋" w:hAnsi="仿宋" w:eastAsia="仿宋" w:cs="仿宋"/>
          <w:b/>
          <w:bCs/>
          <w:color w:val="auto"/>
          <w:sz w:val="24"/>
          <w:highlight w:val="none"/>
        </w:rPr>
      </w:pPr>
    </w:p>
    <w:p w14:paraId="63AA9971">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（三）监狱企业证明文件（如有）</w:t>
      </w:r>
    </w:p>
    <w:p w14:paraId="6B1C26AB">
      <w:pPr>
        <w:spacing w:line="360" w:lineRule="auto"/>
        <w:ind w:firstLine="480" w:firstLineChars="200"/>
        <w:jc w:val="left"/>
        <w:rPr>
          <w:rFonts w:hint="eastAsia" w:ascii="仿宋" w:hAnsi="仿宋" w:eastAsia="仿宋" w:cs="仿宋"/>
          <w:color w:val="auto"/>
          <w:sz w:val="24"/>
          <w:highlight w:val="none"/>
        </w:rPr>
      </w:pPr>
    </w:p>
    <w:p w14:paraId="7F95165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B567F3F">
      <w:pPr>
        <w:pStyle w:val="14"/>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2.证明材料加盖投标人公章。</w:t>
      </w:r>
    </w:p>
    <w:p w14:paraId="7581AE80">
      <w:pPr>
        <w:pStyle w:val="14"/>
        <w:spacing w:line="360" w:lineRule="auto"/>
        <w:rPr>
          <w:rFonts w:hint="eastAsia" w:ascii="仿宋" w:hAnsi="仿宋" w:eastAsia="仿宋" w:cs="仿宋"/>
          <w:b/>
          <w:bCs/>
          <w:color w:val="auto"/>
          <w:sz w:val="24"/>
          <w:szCs w:val="24"/>
          <w:highlight w:val="none"/>
        </w:rPr>
      </w:pPr>
    </w:p>
    <w:p w14:paraId="3A8BA727">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56929409">
      <w:pPr>
        <w:pStyle w:val="14"/>
        <w:spacing w:line="500" w:lineRule="exact"/>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（四）关于符合本国产品标准的声明函</w:t>
      </w:r>
      <w:r>
        <w:rPr>
          <w:rFonts w:hint="eastAsia" w:ascii="仿宋" w:hAnsi="仿宋" w:eastAsia="仿宋" w:cs="仿宋"/>
          <w:b/>
          <w:color w:val="auto"/>
          <w:sz w:val="24"/>
          <w:szCs w:val="24"/>
          <w:highlight w:val="none"/>
        </w:rPr>
        <w:t>（如有）</w:t>
      </w:r>
    </w:p>
    <w:p w14:paraId="06DE7A87">
      <w:pPr>
        <w:pStyle w:val="33"/>
        <w:spacing w:line="500" w:lineRule="exact"/>
        <w:ind w:firstLine="0"/>
        <w:rPr>
          <w:rFonts w:hint="eastAsia" w:ascii="仿宋" w:hAnsi="仿宋" w:eastAsia="仿宋" w:cs="仿宋"/>
          <w:b/>
          <w:bCs/>
          <w:color w:val="auto"/>
          <w:kern w:val="0"/>
          <w:sz w:val="24"/>
          <w:szCs w:val="24"/>
          <w:highlight w:val="none"/>
        </w:rPr>
      </w:pPr>
    </w:p>
    <w:p w14:paraId="77415710">
      <w:pPr>
        <w:pStyle w:val="33"/>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3602AE27">
      <w:pPr>
        <w:pStyle w:val="33"/>
        <w:spacing w:line="340" w:lineRule="exact"/>
        <w:ind w:firstLine="480" w:firstLineChars="200"/>
        <w:jc w:val="left"/>
        <w:rPr>
          <w:rFonts w:hint="eastAsia" w:ascii="仿宋" w:hAnsi="仿宋" w:eastAsia="仿宋" w:cs="仿宋"/>
          <w:color w:val="auto"/>
          <w:kern w:val="0"/>
          <w:sz w:val="24"/>
          <w:szCs w:val="24"/>
          <w:highlight w:val="none"/>
        </w:rPr>
      </w:pPr>
    </w:p>
    <w:p w14:paraId="6B6657E8">
      <w:pPr>
        <w:pStyle w:val="33"/>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（产品名称1）1</w:t>
      </w:r>
      <w:r>
        <w:rPr>
          <w:rFonts w:hint="eastAsia" w:ascii="仿宋" w:hAnsi="仿宋" w:eastAsia="仿宋" w:cs="仿宋"/>
          <w:color w:val="auto"/>
          <w:kern w:val="0"/>
          <w:sz w:val="24"/>
          <w:szCs w:val="24"/>
          <w:highlight w:val="none"/>
        </w:rPr>
        <w:t>，生产厂为</w:t>
      </w:r>
      <w:r>
        <w:rPr>
          <w:rFonts w:hint="eastAsia" w:ascii="仿宋" w:hAnsi="仿宋" w:eastAsia="仿宋" w:cs="仿宋"/>
          <w:color w:val="auto"/>
          <w:kern w:val="0"/>
          <w:sz w:val="24"/>
          <w:szCs w:val="24"/>
          <w:highlight w:val="none"/>
          <w:u w:val="single"/>
        </w:rPr>
        <w:t>（厂名）2</w:t>
      </w:r>
      <w:r>
        <w:rPr>
          <w:rFonts w:hint="eastAsia" w:ascii="仿宋" w:hAnsi="仿宋" w:eastAsia="仿宋" w:cs="仿宋"/>
          <w:color w:val="auto"/>
          <w:kern w:val="0"/>
          <w:sz w:val="24"/>
          <w:szCs w:val="24"/>
          <w:highlight w:val="none"/>
        </w:rPr>
        <w:t>，厂址为</w:t>
      </w:r>
      <w:r>
        <w:rPr>
          <w:rFonts w:hint="eastAsia" w:ascii="仿宋" w:hAnsi="仿宋" w:eastAsia="仿宋" w:cs="仿宋"/>
          <w:color w:val="auto"/>
          <w:kern w:val="0"/>
          <w:sz w:val="24"/>
          <w:szCs w:val="24"/>
          <w:highlight w:val="none"/>
          <w:u w:val="single"/>
        </w:rPr>
        <w:t>（生产厂址）</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（产品名称1）</w:t>
      </w:r>
      <w:r>
        <w:rPr>
          <w:rFonts w:hint="eastAsia" w:ascii="仿宋" w:hAnsi="仿宋" w:eastAsia="仿宋" w:cs="仿宋"/>
          <w:color w:val="auto"/>
          <w:kern w:val="0"/>
          <w:sz w:val="24"/>
          <w:szCs w:val="24"/>
          <w:highlight w:val="none"/>
        </w:rPr>
        <w:t>的中国境内生产的组件成本占比≥</w:t>
      </w:r>
      <w:r>
        <w:rPr>
          <w:rFonts w:hint="eastAsia" w:ascii="仿宋" w:hAnsi="仿宋" w:eastAsia="仿宋" w:cs="仿宋"/>
          <w:color w:val="auto"/>
          <w:kern w:val="0"/>
          <w:sz w:val="24"/>
          <w:szCs w:val="24"/>
          <w:highlight w:val="none"/>
          <w:u w:val="single"/>
        </w:rPr>
        <w:t>（规定比例）3</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（产品名称1）</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（关键组件）4</w:t>
      </w:r>
      <w:r>
        <w:rPr>
          <w:rFonts w:hint="eastAsia" w:ascii="仿宋" w:hAnsi="仿宋" w:eastAsia="仿宋" w:cs="仿宋"/>
          <w:color w:val="auto"/>
          <w:kern w:val="0"/>
          <w:sz w:val="24"/>
          <w:szCs w:val="24"/>
          <w:highlight w:val="none"/>
        </w:rPr>
        <w:t>在中国境内生产。</w:t>
      </w:r>
      <w:r>
        <w:rPr>
          <w:rFonts w:hint="eastAsia" w:ascii="仿宋" w:hAnsi="仿宋" w:eastAsia="仿宋" w:cs="仿宋"/>
          <w:color w:val="auto"/>
          <w:kern w:val="0"/>
          <w:sz w:val="24"/>
          <w:szCs w:val="24"/>
          <w:highlight w:val="none"/>
          <w:u w:val="single"/>
        </w:rPr>
        <w:t>（产品名称1）</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（关键工序）5</w:t>
      </w:r>
      <w:r>
        <w:rPr>
          <w:rFonts w:hint="eastAsia" w:ascii="仿宋" w:hAnsi="仿宋" w:eastAsia="仿宋" w:cs="仿宋"/>
          <w:color w:val="auto"/>
          <w:kern w:val="0"/>
          <w:sz w:val="24"/>
          <w:szCs w:val="24"/>
          <w:highlight w:val="none"/>
        </w:rPr>
        <w:t>在中国境内完成。</w:t>
      </w:r>
    </w:p>
    <w:p w14:paraId="2DBF34FF">
      <w:pPr>
        <w:pStyle w:val="33"/>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（产品名称2）</w:t>
      </w:r>
      <w:r>
        <w:rPr>
          <w:rFonts w:hint="eastAsia" w:ascii="仿宋" w:hAnsi="仿宋" w:eastAsia="仿宋" w:cs="仿宋"/>
          <w:color w:val="auto"/>
          <w:kern w:val="0"/>
          <w:sz w:val="24"/>
          <w:szCs w:val="24"/>
          <w:highlight w:val="none"/>
        </w:rPr>
        <w:t>，生产厂为</w:t>
      </w:r>
      <w:r>
        <w:rPr>
          <w:rFonts w:hint="eastAsia" w:ascii="仿宋" w:hAnsi="仿宋" w:eastAsia="仿宋" w:cs="仿宋"/>
          <w:color w:val="auto"/>
          <w:kern w:val="0"/>
          <w:sz w:val="24"/>
          <w:szCs w:val="24"/>
          <w:highlight w:val="none"/>
          <w:u w:val="single"/>
        </w:rPr>
        <w:t>（厂名）</w:t>
      </w:r>
      <w:r>
        <w:rPr>
          <w:rFonts w:hint="eastAsia" w:ascii="仿宋" w:hAnsi="仿宋" w:eastAsia="仿宋" w:cs="仿宋"/>
          <w:color w:val="auto"/>
          <w:kern w:val="0"/>
          <w:sz w:val="24"/>
          <w:szCs w:val="24"/>
          <w:highlight w:val="none"/>
        </w:rPr>
        <w:t>，厂址为</w:t>
      </w:r>
      <w:r>
        <w:rPr>
          <w:rFonts w:hint="eastAsia" w:ascii="仿宋" w:hAnsi="仿宋" w:eastAsia="仿宋" w:cs="仿宋"/>
          <w:color w:val="auto"/>
          <w:kern w:val="0"/>
          <w:sz w:val="24"/>
          <w:szCs w:val="24"/>
          <w:highlight w:val="none"/>
          <w:u w:val="single"/>
        </w:rPr>
        <w:t>（生产厂址）</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（产品名称2）</w:t>
      </w:r>
      <w:r>
        <w:rPr>
          <w:rFonts w:hint="eastAsia" w:ascii="仿宋" w:hAnsi="仿宋" w:eastAsia="仿宋" w:cs="仿宋"/>
          <w:color w:val="auto"/>
          <w:kern w:val="0"/>
          <w:sz w:val="24"/>
          <w:szCs w:val="24"/>
          <w:highlight w:val="none"/>
        </w:rPr>
        <w:t>的中国境内生产的组件成本占比≥</w:t>
      </w:r>
      <w:r>
        <w:rPr>
          <w:rFonts w:hint="eastAsia" w:ascii="仿宋" w:hAnsi="仿宋" w:eastAsia="仿宋" w:cs="仿宋"/>
          <w:color w:val="auto"/>
          <w:kern w:val="0"/>
          <w:sz w:val="24"/>
          <w:szCs w:val="24"/>
          <w:highlight w:val="none"/>
          <w:u w:val="single"/>
        </w:rPr>
        <w:t>（规定比例）</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（产品名称2）</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（关键组件）</w:t>
      </w:r>
      <w:r>
        <w:rPr>
          <w:rFonts w:hint="eastAsia" w:ascii="仿宋" w:hAnsi="仿宋" w:eastAsia="仿宋" w:cs="仿宋"/>
          <w:color w:val="auto"/>
          <w:kern w:val="0"/>
          <w:sz w:val="24"/>
          <w:szCs w:val="24"/>
          <w:highlight w:val="none"/>
        </w:rPr>
        <w:t>在中国境内生产。</w:t>
      </w:r>
      <w:r>
        <w:rPr>
          <w:rFonts w:hint="eastAsia" w:ascii="仿宋" w:hAnsi="仿宋" w:eastAsia="仿宋" w:cs="仿宋"/>
          <w:color w:val="auto"/>
          <w:kern w:val="0"/>
          <w:sz w:val="24"/>
          <w:szCs w:val="24"/>
          <w:highlight w:val="none"/>
          <w:u w:val="single"/>
        </w:rPr>
        <w:t>（产品名称2）</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（关键工序）</w:t>
      </w:r>
      <w:r>
        <w:rPr>
          <w:rFonts w:hint="eastAsia" w:ascii="仿宋" w:hAnsi="仿宋" w:eastAsia="仿宋" w:cs="仿宋"/>
          <w:color w:val="auto"/>
          <w:kern w:val="0"/>
          <w:sz w:val="24"/>
          <w:szCs w:val="24"/>
          <w:highlight w:val="none"/>
        </w:rPr>
        <w:t>在中国境内完成。</w:t>
      </w:r>
    </w:p>
    <w:p w14:paraId="0B7EFCE4">
      <w:pPr>
        <w:pStyle w:val="33"/>
        <w:spacing w:line="340" w:lineRule="exact"/>
        <w:ind w:firstLine="480" w:firstLineChars="200"/>
        <w:jc w:val="left"/>
        <w:rPr>
          <w:rFonts w:hint="eastAsia" w:ascii="仿宋" w:hAnsi="仿宋" w:eastAsia="仿宋" w:cs="仿宋"/>
          <w:color w:val="auto"/>
          <w:kern w:val="0"/>
          <w:sz w:val="24"/>
          <w:szCs w:val="24"/>
          <w:highlight w:val="none"/>
        </w:rPr>
      </w:pPr>
    </w:p>
    <w:p w14:paraId="3C26F73C">
      <w:pPr>
        <w:pStyle w:val="33"/>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171663C4">
      <w:pPr>
        <w:pStyle w:val="33"/>
        <w:spacing w:line="340" w:lineRule="exact"/>
        <w:ind w:firstLine="480" w:firstLineChars="200"/>
        <w:jc w:val="left"/>
        <w:rPr>
          <w:rFonts w:hint="eastAsia" w:ascii="仿宋" w:hAnsi="仿宋" w:eastAsia="仿宋" w:cs="仿宋"/>
          <w:color w:val="auto"/>
          <w:kern w:val="0"/>
          <w:sz w:val="24"/>
          <w:szCs w:val="24"/>
          <w:highlight w:val="none"/>
        </w:rPr>
      </w:pPr>
    </w:p>
    <w:p w14:paraId="40BBCAA0">
      <w:pPr>
        <w:pStyle w:val="33"/>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本公司（单位）对上述声明内容的真实性负责。如有虚假，愿承担相应法律责任。</w:t>
      </w:r>
    </w:p>
    <w:p w14:paraId="20F6CE3A">
      <w:pPr>
        <w:pStyle w:val="33"/>
        <w:spacing w:line="340" w:lineRule="exact"/>
        <w:ind w:firstLine="480" w:firstLineChars="200"/>
        <w:jc w:val="left"/>
        <w:rPr>
          <w:rFonts w:hint="eastAsia" w:ascii="仿宋" w:hAnsi="仿宋" w:eastAsia="仿宋" w:cs="仿宋"/>
          <w:color w:val="auto"/>
          <w:kern w:val="0"/>
          <w:sz w:val="24"/>
          <w:szCs w:val="24"/>
          <w:highlight w:val="none"/>
        </w:rPr>
      </w:pPr>
    </w:p>
    <w:p w14:paraId="4BEB2C41">
      <w:pPr>
        <w:pStyle w:val="33"/>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419A0983">
      <w:pPr>
        <w:pStyle w:val="33"/>
        <w:spacing w:line="340" w:lineRule="exact"/>
        <w:ind w:firstLine="480" w:firstLineChars="200"/>
        <w:jc w:val="left"/>
        <w:rPr>
          <w:rFonts w:hint="eastAsia" w:ascii="仿宋" w:hAnsi="仿宋" w:eastAsia="仿宋" w:cs="仿宋"/>
          <w:color w:val="auto"/>
          <w:kern w:val="0"/>
          <w:sz w:val="24"/>
          <w:szCs w:val="24"/>
          <w:highlight w:val="none"/>
        </w:rPr>
      </w:pPr>
    </w:p>
    <w:p w14:paraId="2FF5C22A">
      <w:pPr>
        <w:pStyle w:val="33"/>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公司（单位）名称（盖章）：　        </w:t>
      </w:r>
    </w:p>
    <w:p w14:paraId="44DBF6E9">
      <w:pPr>
        <w:pStyle w:val="33"/>
        <w:spacing w:line="340" w:lineRule="exact"/>
        <w:ind w:firstLine="480" w:firstLineChars="200"/>
        <w:jc w:val="left"/>
        <w:rPr>
          <w:rFonts w:hint="eastAsia" w:ascii="仿宋" w:hAnsi="仿宋" w:eastAsia="仿宋" w:cs="仿宋"/>
          <w:color w:val="auto"/>
          <w:kern w:val="0"/>
          <w:sz w:val="24"/>
          <w:szCs w:val="24"/>
          <w:highlight w:val="none"/>
        </w:rPr>
      </w:pPr>
    </w:p>
    <w:p w14:paraId="44804AA7">
      <w:pPr>
        <w:pStyle w:val="33"/>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  日         </w:t>
      </w:r>
    </w:p>
    <w:p w14:paraId="51F07448">
      <w:pPr>
        <w:pStyle w:val="33"/>
        <w:spacing w:line="340" w:lineRule="exact"/>
        <w:ind w:firstLine="480" w:firstLineChars="200"/>
        <w:jc w:val="left"/>
        <w:rPr>
          <w:rFonts w:hint="eastAsia" w:ascii="仿宋" w:hAnsi="仿宋" w:eastAsia="仿宋" w:cs="仿宋"/>
          <w:color w:val="auto"/>
          <w:kern w:val="0"/>
          <w:sz w:val="24"/>
          <w:szCs w:val="24"/>
          <w:highlight w:val="none"/>
        </w:rPr>
      </w:pPr>
    </w:p>
    <w:p w14:paraId="00323E42">
      <w:pPr>
        <w:pStyle w:val="33"/>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__________________</w:t>
      </w:r>
    </w:p>
    <w:p w14:paraId="60928FAC">
      <w:pPr>
        <w:pStyle w:val="33"/>
        <w:spacing w:line="340" w:lineRule="exact"/>
        <w:ind w:firstLine="480" w:firstLineChars="200"/>
        <w:jc w:val="left"/>
        <w:rPr>
          <w:rFonts w:hint="eastAsia" w:ascii="仿宋" w:hAnsi="仿宋" w:eastAsia="仿宋" w:cs="仿宋"/>
          <w:color w:val="auto"/>
          <w:kern w:val="0"/>
          <w:sz w:val="24"/>
          <w:szCs w:val="24"/>
          <w:highlight w:val="none"/>
        </w:rPr>
      </w:pPr>
    </w:p>
    <w:p w14:paraId="2973139B">
      <w:pPr>
        <w:pStyle w:val="33"/>
        <w:spacing w:line="2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1.产品如有型号，请在“产品名称”栏一并填写。</w:t>
      </w:r>
    </w:p>
    <w:p w14:paraId="6F33B14F">
      <w:pPr>
        <w:pStyle w:val="33"/>
        <w:spacing w:line="2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2.生产厂名与厂址应与生产厂营业执照载明的相关信息保持一致。</w:t>
      </w:r>
    </w:p>
    <w:p w14:paraId="7F372F35">
      <w:pPr>
        <w:pStyle w:val="33"/>
        <w:spacing w:line="2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3.该产品的中国境内生产的组件成本占比相关要求实施前，“规定比例”栏可不填，下同。</w:t>
      </w:r>
    </w:p>
    <w:p w14:paraId="1EA858F7">
      <w:pPr>
        <w:pStyle w:val="33"/>
        <w:spacing w:line="2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4.该产品的关键组件要求实施前，“关键组件”栏可不填，下同。</w:t>
      </w:r>
    </w:p>
    <w:p w14:paraId="67010622">
      <w:pPr>
        <w:pStyle w:val="33"/>
        <w:spacing w:line="2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5.该产品的关键工序要求实施前，“关键工序”栏可不填，下同。</w:t>
      </w:r>
    </w:p>
    <w:p w14:paraId="5BA2C0A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E213610">
      <w:pPr>
        <w:keepNext w:val="0"/>
        <w:keepLines w:val="0"/>
        <w:pageBreakBefore w:val="0"/>
        <w:kinsoku/>
        <w:wordWrap/>
        <w:overflowPunct/>
        <w:topLinePunct w:val="0"/>
        <w:autoSpaceDE/>
        <w:autoSpaceDN/>
        <w:bidi w:val="0"/>
        <w:adjustRightInd/>
        <w:snapToGrid/>
        <w:spacing w:line="520" w:lineRule="exact"/>
        <w:jc w:val="center"/>
        <w:textAlignment w:val="auto"/>
        <w:outlineLvl w:val="2"/>
        <w:rPr>
          <w:rFonts w:hint="eastAsia" w:ascii="宋体" w:hAnsi="宋体" w:eastAsia="宋体" w:cs="宋体"/>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本国产品成本占比承诺函</w:t>
      </w:r>
    </w:p>
    <w:p w14:paraId="10B5057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p>
    <w:p w14:paraId="7401193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致:[采购人/采购代理机构名称]</w:t>
      </w:r>
    </w:p>
    <w:p w14:paraId="122F49A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本单位就参与[</w:t>
      </w:r>
      <w:r>
        <w:rPr>
          <w:rFonts w:hint="eastAsia" w:ascii="仿宋" w:hAnsi="仿宋" w:eastAsia="仿宋" w:cs="仿宋"/>
          <w:color w:val="auto"/>
          <w:sz w:val="24"/>
          <w:szCs w:val="24"/>
          <w:highlight w:val="none"/>
          <w:u w:val="single"/>
          <w:lang w:val="en-US" w:eastAsia="zh-CN"/>
        </w:rPr>
        <w:t xml:space="preserve">项目名称           、编号          </w:t>
      </w:r>
      <w:r>
        <w:rPr>
          <w:rFonts w:hint="eastAsia" w:ascii="仿宋" w:hAnsi="仿宋" w:eastAsia="仿宋" w:cs="仿宋"/>
          <w:color w:val="auto"/>
          <w:sz w:val="24"/>
          <w:szCs w:val="24"/>
          <w:highlight w:val="none"/>
          <w:lang w:val="en-US" w:eastAsia="zh-CN"/>
        </w:rPr>
        <w:t>]政府采购项目，郑重承诺如下:</w:t>
      </w:r>
    </w:p>
    <w:p w14:paraId="1BFEFA8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本单位为该项目(或采购包)提供的符合本国产品标准的产品成本之和，占所提供全部产品成本之和的比例为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%。本承诺内容真实有效，若存在虚假承诺，愿意承担相应法律责任，放弃中标(成交)资格，并接受政府采购监管部门处罚。</w:t>
      </w:r>
    </w:p>
    <w:p w14:paraId="55E20C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p>
    <w:p w14:paraId="18D101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承诺人(供应商公章)：</w:t>
      </w:r>
    </w:p>
    <w:p w14:paraId="6A4689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w:t>
      </w:r>
      <w:r>
        <w:rPr>
          <w:rFonts w:hint="eastAsia" w:ascii="仿宋" w:hAnsi="仿宋" w:eastAsia="仿宋" w:cs="仿宋"/>
          <w:sz w:val="24"/>
          <w:lang w:val="en-US" w:eastAsia="zh-CN"/>
        </w:rPr>
        <w:t>签字或盖章</w:t>
      </w:r>
      <w:r>
        <w:rPr>
          <w:rFonts w:hint="eastAsia" w:ascii="仿宋" w:hAnsi="仿宋" w:eastAsia="仿宋" w:cs="仿宋"/>
          <w:color w:val="auto"/>
          <w:sz w:val="24"/>
          <w:szCs w:val="24"/>
          <w:highlight w:val="none"/>
          <w:lang w:val="en-US" w:eastAsia="zh-CN"/>
        </w:rPr>
        <w:t>)：</w:t>
      </w:r>
    </w:p>
    <w:p w14:paraId="1F7450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0F7F2B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p>
    <w:p w14:paraId="7B3DF69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注：若供应商所投产品均符合本国产品标准，且已提供《声明函》，可不填写《承诺函》。</w:t>
      </w:r>
    </w:p>
    <w:p w14:paraId="2E1DA19E">
      <w:pPr>
        <w:rPr>
          <w:rFonts w:hint="eastAsia"/>
          <w:color w:val="auto"/>
          <w:highlight w:val="none"/>
        </w:rPr>
      </w:pPr>
    </w:p>
    <w:p w14:paraId="1A8DB8DD">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2350BB65">
      <w:pPr>
        <w:pStyle w:val="14"/>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（五）投标保证金缴纳凭证</w:t>
      </w:r>
    </w:p>
    <w:p w14:paraId="00723A68">
      <w:pPr>
        <w:pStyle w:val="14"/>
        <w:spacing w:line="360" w:lineRule="auto"/>
        <w:jc w:val="center"/>
        <w:rPr>
          <w:rFonts w:hint="eastAsia" w:ascii="仿宋" w:hAnsi="仿宋" w:eastAsia="仿宋" w:cs="仿宋"/>
          <w:color w:val="auto"/>
          <w:sz w:val="24"/>
          <w:szCs w:val="24"/>
          <w:highlight w:val="none"/>
        </w:rPr>
      </w:pPr>
    </w:p>
    <w:tbl>
      <w:tblPr>
        <w:tblStyle w:val="34"/>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8343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2" w:type="dxa"/>
            <w:tcBorders>
              <w:top w:val="single" w:color="auto" w:sz="4" w:space="0"/>
              <w:bottom w:val="single" w:color="auto" w:sz="4" w:space="0"/>
            </w:tcBorders>
            <w:vAlign w:val="center"/>
          </w:tcPr>
          <w:p w14:paraId="2BF423B8">
            <w:pPr>
              <w:pStyle w:val="14"/>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投标保证金缴纳凭证</w:t>
            </w:r>
          </w:p>
        </w:tc>
      </w:tr>
    </w:tbl>
    <w:p w14:paraId="2030DE76">
      <w:pPr>
        <w:adjustRightInd w:val="0"/>
        <w:snapToGrid w:val="0"/>
        <w:spacing w:line="360" w:lineRule="auto"/>
        <w:ind w:firstLine="480" w:firstLineChars="200"/>
        <w:rPr>
          <w:rFonts w:hint="eastAsia" w:ascii="仿宋" w:hAnsi="仿宋" w:eastAsia="仿宋" w:cs="仿宋"/>
          <w:color w:val="auto"/>
          <w:sz w:val="24"/>
          <w:highlight w:val="none"/>
        </w:rPr>
      </w:pPr>
    </w:p>
    <w:p w14:paraId="073A9586">
      <w:pPr>
        <w:widowControl/>
        <w:shd w:val="clear" w:color="auto" w:fill="FFFFFF"/>
        <w:spacing w:line="360" w:lineRule="auto"/>
        <w:jc w:val="left"/>
        <w:rPr>
          <w:rFonts w:hint="eastAsia" w:ascii="仿宋" w:hAnsi="仿宋" w:eastAsia="仿宋" w:cs="仿宋"/>
          <w:color w:val="auto"/>
          <w:kern w:val="0"/>
          <w:sz w:val="24"/>
          <w:highlight w:val="none"/>
        </w:rPr>
      </w:pPr>
    </w:p>
    <w:p w14:paraId="314580C3">
      <w:pPr>
        <w:spacing w:line="360" w:lineRule="auto"/>
        <w:rPr>
          <w:rFonts w:hint="eastAsia" w:ascii="仿宋" w:hAnsi="仿宋" w:eastAsia="仿宋" w:cs="仿宋"/>
          <w:color w:val="auto"/>
          <w:sz w:val="24"/>
          <w:highlight w:val="none"/>
        </w:rPr>
      </w:pPr>
    </w:p>
    <w:bookmarkEnd w:id="193"/>
    <w:p w14:paraId="633E578D">
      <w:pPr>
        <w:pStyle w:val="14"/>
        <w:spacing w:line="360" w:lineRule="auto"/>
        <w:jc w:val="center"/>
        <w:rPr>
          <w:rFonts w:hint="eastAsia" w:ascii="仿宋" w:hAnsi="仿宋" w:eastAsia="仿宋" w:cs="仿宋"/>
          <w:b/>
          <w:bCs/>
          <w:color w:val="auto"/>
          <w:sz w:val="24"/>
          <w:szCs w:val="24"/>
          <w:highlight w:val="none"/>
        </w:rPr>
      </w:pPr>
      <w:bookmarkStart w:id="197" w:name="_Toc2964"/>
      <w:r>
        <w:rPr>
          <w:rFonts w:hint="eastAsia" w:ascii="仿宋" w:hAnsi="仿宋" w:eastAsia="仿宋" w:cs="仿宋"/>
          <w:b/>
          <w:bCs/>
          <w:color w:val="auto"/>
          <w:sz w:val="24"/>
          <w:szCs w:val="24"/>
          <w:highlight w:val="none"/>
        </w:rPr>
        <w:t>（六）其他</w:t>
      </w:r>
    </w:p>
    <w:bookmarkEnd w:id="197"/>
    <w:p w14:paraId="31DF972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投标人认为需提供的</w:t>
      </w:r>
      <w:r>
        <w:rPr>
          <w:rFonts w:hint="eastAsia" w:ascii="仿宋" w:hAnsi="仿宋" w:eastAsia="仿宋" w:cs="仿宋"/>
          <w:b/>
          <w:color w:val="auto"/>
          <w:sz w:val="24"/>
          <w:highlight w:val="none"/>
        </w:rPr>
        <w:t>资格审查</w:t>
      </w:r>
      <w:r>
        <w:rPr>
          <w:rFonts w:hint="eastAsia" w:ascii="仿宋" w:hAnsi="仿宋" w:eastAsia="仿宋" w:cs="仿宋"/>
          <w:bCs/>
          <w:color w:val="auto"/>
          <w:sz w:val="24"/>
          <w:highlight w:val="none"/>
        </w:rPr>
        <w:t>及其他补充资料。</w:t>
      </w:r>
    </w:p>
    <w:p w14:paraId="752E9108">
      <w:pPr>
        <w:pStyle w:val="4"/>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bookmarkStart w:id="198" w:name="_Toc21070"/>
      <w:bookmarkStart w:id="199" w:name="_Toc20068"/>
      <w:bookmarkStart w:id="200" w:name="_Toc12340"/>
      <w:r>
        <w:rPr>
          <w:rFonts w:hint="eastAsia" w:ascii="仿宋" w:hAnsi="仿宋" w:eastAsia="仿宋" w:cs="仿宋"/>
          <w:color w:val="auto"/>
          <w:highlight w:val="none"/>
        </w:rPr>
        <w:t>第四章  招标项目技术要求</w:t>
      </w:r>
      <w:bookmarkEnd w:id="198"/>
      <w:bookmarkEnd w:id="199"/>
      <w:bookmarkEnd w:id="200"/>
    </w:p>
    <w:p w14:paraId="3A845E9E">
      <w:pPr>
        <w:adjustRightInd w:val="0"/>
        <w:spacing w:line="360" w:lineRule="auto"/>
        <w:ind w:firstLine="482" w:firstLineChars="200"/>
        <w:textAlignment w:val="baseline"/>
        <w:rPr>
          <w:rFonts w:hint="default" w:ascii="仿宋" w:hAnsi="仿宋" w:eastAsia="仿宋" w:cs="仿宋"/>
          <w:b/>
          <w:bCs/>
          <w:color w:val="auto"/>
          <w:kern w:val="0"/>
          <w:sz w:val="24"/>
          <w:highlight w:val="none"/>
          <w:lang w:val="en-US" w:eastAsia="zh-CN"/>
        </w:rPr>
      </w:pPr>
      <w:bookmarkStart w:id="201" w:name="_Toc15082"/>
      <w:bookmarkStart w:id="202" w:name="_Toc4510"/>
      <w:bookmarkStart w:id="203" w:name="_Toc17884_WPSOffice_Level1"/>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一</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技术要求</w:t>
      </w:r>
    </w:p>
    <w:p w14:paraId="0EB086BB">
      <w:pPr>
        <w:adjustRightInd w:val="0"/>
        <w:spacing w:line="360" w:lineRule="auto"/>
        <w:ind w:firstLine="482" w:firstLineChars="200"/>
        <w:jc w:val="center"/>
        <w:textAlignment w:val="baseline"/>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第一包音响技术参数</w:t>
      </w:r>
    </w:p>
    <w:p w14:paraId="7407FC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新疆农业大学八一会堂明德礼堂需要对音响进行升级改造，</w:t>
      </w:r>
      <w:r>
        <w:rPr>
          <w:rFonts w:hint="eastAsia" w:ascii="仿宋" w:hAnsi="仿宋" w:eastAsia="仿宋" w:cs="仿宋"/>
          <w:bCs/>
          <w:color w:val="auto"/>
          <w:sz w:val="24"/>
          <w:szCs w:val="24"/>
          <w:highlight w:val="none"/>
          <w:lang w:val="en-US" w:eastAsia="zh-CN"/>
        </w:rPr>
        <w:t>自合同签订之日起30个日历日</w:t>
      </w:r>
      <w:r>
        <w:rPr>
          <w:rFonts w:hint="eastAsia" w:ascii="仿宋" w:hAnsi="仿宋" w:eastAsia="仿宋" w:cs="仿宋"/>
          <w:bCs/>
          <w:color w:val="auto"/>
          <w:sz w:val="24"/>
          <w:szCs w:val="24"/>
          <w:highlight w:val="none"/>
          <w:lang w:eastAsia="zh-CN"/>
        </w:rPr>
        <w:t>完成设备的供货、安装、调试、培训等，且验收合格；</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656"/>
        <w:gridCol w:w="4892"/>
        <w:gridCol w:w="765"/>
        <w:gridCol w:w="641"/>
      </w:tblGrid>
      <w:tr w14:paraId="623A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5"/>
            <w:tcBorders>
              <w:top w:val="nil"/>
              <w:left w:val="nil"/>
              <w:bottom w:val="nil"/>
              <w:right w:val="nil"/>
            </w:tcBorders>
            <w:shd w:val="clear" w:color="auto" w:fill="auto"/>
            <w:vAlign w:val="center"/>
          </w:tcPr>
          <w:p w14:paraId="7E09D8D4">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音响部分</w:t>
            </w:r>
          </w:p>
        </w:tc>
      </w:tr>
      <w:tr w14:paraId="1E6B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B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序号</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3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系统名称</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92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技术说明</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0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单位</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0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数量</w:t>
            </w:r>
          </w:p>
        </w:tc>
      </w:tr>
      <w:tr w14:paraId="28DD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B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C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线性阵列全频音箱(★核心产品)</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DCA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lang w:val="en-US" w:eastAsia="zh-CN" w:bidi="ar"/>
              </w:rPr>
              <w:t>1、</w:t>
            </w:r>
            <w:r>
              <w:rPr>
                <w:rFonts w:hint="eastAsia" w:ascii="仿宋_GB2312" w:hAnsi="仿宋_GB2312" w:eastAsia="仿宋_GB2312" w:cs="仿宋_GB2312"/>
                <w:b w:val="0"/>
                <w:bCs w:val="0"/>
                <w:sz w:val="24"/>
                <w:szCs w:val="24"/>
                <w:highlight w:val="none"/>
              </w:rPr>
              <w:t>支持双功放或无源模式切换</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7CDE0CD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r>
              <w:rPr>
                <w:rFonts w:hint="eastAsia" w:ascii="仿宋_GB2312" w:hAnsi="仿宋_GB2312" w:eastAsia="仿宋_GB2312" w:cs="仿宋_GB2312"/>
                <w:b w:val="0"/>
                <w:bCs w:val="0"/>
                <w:sz w:val="24"/>
                <w:szCs w:val="24"/>
                <w:highlight w:val="none"/>
              </w:rPr>
              <w:t>配置不少于2只≥8寸低音单元、1只≥3寸高音单元</w:t>
            </w:r>
          </w:p>
          <w:p w14:paraId="01DCD02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3、频率响应不劣于90 Hz-20 kHz（±3 dB）、140 Hz-20 kHz；</w:t>
            </w:r>
          </w:p>
          <w:p w14:paraId="70B868A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4、覆盖角度不劣于110°x12°；</w:t>
            </w:r>
          </w:p>
          <w:p w14:paraId="3DA4025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5、★额定输入功率</w:t>
            </w:r>
            <w:r>
              <w:rPr>
                <w:rFonts w:hint="eastAsia" w:ascii="仿宋_GB2312" w:hAnsi="仿宋_GB2312" w:eastAsia="仿宋_GB2312" w:cs="仿宋_GB2312"/>
                <w:b w:val="0"/>
                <w:bCs w:val="0"/>
                <w:sz w:val="24"/>
                <w:szCs w:val="24"/>
                <w:highlight w:val="none"/>
              </w:rPr>
              <w:t>不低于400W（连续）/800W（音乐）/1600W（峰值）</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56F87F4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6、额定阻抗8Ω；</w:t>
            </w:r>
          </w:p>
          <w:p w14:paraId="2CB24C6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7、★灵敏度(1w@1m)</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101 dB；</w:t>
            </w:r>
          </w:p>
          <w:p w14:paraId="3A820A4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8、最大峰</w:t>
            </w:r>
            <w:r>
              <w:rPr>
                <w:rFonts w:hint="eastAsia" w:ascii="仿宋_GB2312" w:hAnsi="仿宋_GB2312" w:eastAsia="仿宋_GB2312" w:cs="仿宋_GB2312"/>
                <w:b w:val="0"/>
                <w:bCs w:val="0"/>
                <w:sz w:val="24"/>
                <w:szCs w:val="24"/>
                <w:highlight w:val="none"/>
              </w:rPr>
              <w:t>值声</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压级</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139 dB；</w:t>
            </w:r>
          </w:p>
          <w:p w14:paraId="0E2E04F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w:t>
            </w:r>
            <w:r>
              <w:rPr>
                <w:rFonts w:hint="eastAsia" w:ascii="仿宋_GB2312" w:hAnsi="仿宋_GB2312" w:eastAsia="仿宋_GB2312" w:cs="仿宋_GB2312"/>
                <w:b w:val="0"/>
                <w:bCs w:val="0"/>
                <w:sz w:val="24"/>
                <w:szCs w:val="24"/>
                <w:highlight w:val="none"/>
              </w:rPr>
              <w:t>箱体夹角支持0°-12°多档位可调</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220AADE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A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只</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FE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w:t>
            </w:r>
          </w:p>
        </w:tc>
      </w:tr>
      <w:tr w14:paraId="2387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6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D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线性阵列超低音箱</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top"/>
          </w:tcPr>
          <w:p w14:paraId="603EB36D">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r>
              <w:rPr>
                <w:rFonts w:hint="eastAsia" w:ascii="仿宋_GB2312" w:hAnsi="仿宋_GB2312" w:eastAsia="仿宋_GB2312" w:cs="仿宋_GB2312"/>
                <w:b w:val="0"/>
                <w:bCs w:val="0"/>
                <w:sz w:val="24"/>
                <w:szCs w:val="24"/>
                <w:highlight w:val="none"/>
              </w:rPr>
              <w:t>单功放驱动模式，配置不少于1只≥18寸低音单元，可适配主流同规格线阵全频音箱配套使用</w:t>
            </w:r>
          </w:p>
          <w:p w14:paraId="29C3153B">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频率响应38 Hz-300 Hz（±3 dB），44Hz-180 Hz；</w:t>
            </w:r>
          </w:p>
          <w:p w14:paraId="2F3089FB">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★额定功率</w:t>
            </w:r>
            <w:r>
              <w:rPr>
                <w:rFonts w:hint="eastAsia" w:ascii="仿宋_GB2312" w:hAnsi="仿宋_GB2312" w:eastAsia="仿宋_GB2312" w:cs="仿宋_GB2312"/>
                <w:b w:val="0"/>
                <w:bCs w:val="0"/>
                <w:sz w:val="24"/>
                <w:szCs w:val="24"/>
                <w:highlight w:val="none"/>
              </w:rPr>
              <w:t>≥1000W（连续）/2000W（音乐）/4000W（峰值）</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；灵敏度</w:t>
            </w:r>
            <w:r>
              <w:rPr>
                <w:rFonts w:hint="eastAsia" w:ascii="仿宋_GB2312" w:hAnsi="仿宋_GB2312" w:eastAsia="仿宋_GB2312" w:cs="仿宋_GB2312"/>
                <w:b w:val="0"/>
                <w:bCs w:val="0"/>
                <w:sz w:val="24"/>
                <w:szCs w:val="24"/>
                <w:highlight w:val="none"/>
              </w:rPr>
              <w:t>≥101dB（1w@1m）</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6AAB818E">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额定阻抗8Ω；</w:t>
            </w:r>
          </w:p>
          <w:p w14:paraId="44CEB5F2">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最大</w:t>
            </w:r>
            <w:r>
              <w:rPr>
                <w:rFonts w:hint="eastAsia" w:ascii="仿宋_GB2312" w:hAnsi="仿宋_GB2312" w:eastAsia="仿宋_GB2312" w:cs="仿宋_GB2312"/>
                <w:b w:val="0"/>
                <w:bCs w:val="0"/>
                <w:sz w:val="24"/>
                <w:szCs w:val="24"/>
                <w:highlight w:val="none"/>
              </w:rPr>
              <w:t>峰值</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声压级</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143 dB；</w:t>
            </w:r>
          </w:p>
          <w:p w14:paraId="10441AF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15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只</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6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r>
      <w:tr w14:paraId="45B4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9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1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线阵列通用吊装架</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338F">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1、适配常规线阵音箱吊装使用，结构稳固；</w:t>
            </w:r>
          </w:p>
          <w:p w14:paraId="20D3AD5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kern w:val="2"/>
                <w:sz w:val="24"/>
                <w:szCs w:val="24"/>
                <w:highlight w:val="none"/>
                <w:lang w:val="en-US" w:eastAsia="zh-CN" w:bidi="ar-SA"/>
              </w:rPr>
              <w:t>3、</w:t>
            </w:r>
            <w:r>
              <w:rPr>
                <w:rFonts w:hint="eastAsia" w:ascii="仿宋_GB2312" w:hAnsi="仿宋_GB2312" w:eastAsia="仿宋_GB2312" w:cs="仿宋_GB2312"/>
                <w:b w:val="0"/>
                <w:bCs w:val="0"/>
                <w:sz w:val="24"/>
                <w:szCs w:val="24"/>
                <w:highlight w:val="none"/>
              </w:rPr>
              <w:t>额定承重≥800kg，最大承重≥2000kg；</w:t>
            </w:r>
          </w:p>
          <w:p w14:paraId="4758FAA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3、安全系数≥5:1；</w:t>
            </w:r>
          </w:p>
          <w:p w14:paraId="073B3E8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sz w:val="24"/>
                <w:szCs w:val="24"/>
                <w:highlight w:val="none"/>
              </w:rPr>
              <w:t>4、配备顶部中央吊点及配套吊环、卸扣，单组可适配8-12只常规线阵音箱吊装，满足现场安全施工标准。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2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套</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7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r>
      <w:tr w14:paraId="0401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35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6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线阵全频数字DSP网络功放(★核心产品)</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66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rPr>
              <w:t>1、★</w:t>
            </w:r>
            <w:r>
              <w:rPr>
                <w:rFonts w:hint="eastAsia" w:ascii="仿宋_GB2312" w:hAnsi="仿宋_GB2312" w:eastAsia="仿宋_GB2312" w:cs="仿宋_GB2312"/>
                <w:b w:val="0"/>
                <w:bCs w:val="0"/>
                <w:sz w:val="24"/>
                <w:szCs w:val="24"/>
                <w:highlight w:val="none"/>
              </w:rPr>
              <w:t>支具备整机温度、功率、电压电流监测，支持远程开关机、DSP组网控制、Dante网络音频，带加密管理界面；</w:t>
            </w:r>
          </w:p>
          <w:p w14:paraId="30C4D6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lang w:eastAsia="zh-CN"/>
              </w:rPr>
            </w:pPr>
            <w:r>
              <w:rPr>
                <w:rFonts w:hint="eastAsia" w:ascii="仿宋_GB2312" w:hAnsi="仿宋_GB2312" w:eastAsia="仿宋_GB2312" w:cs="仿宋_GB2312"/>
                <w:b w:val="0"/>
                <w:bCs w:val="0"/>
                <w:i w:val="0"/>
                <w:iCs w:val="0"/>
                <w:color w:val="000000"/>
                <w:sz w:val="24"/>
                <w:szCs w:val="24"/>
                <w:highlight w:val="none"/>
                <w:u w:val="none"/>
              </w:rPr>
              <w:t>2、★</w:t>
            </w:r>
            <w:r>
              <w:rPr>
                <w:rFonts w:hint="eastAsia" w:ascii="仿宋_GB2312" w:hAnsi="仿宋_GB2312" w:eastAsia="仿宋_GB2312" w:cs="仿宋_GB2312"/>
                <w:b w:val="0"/>
                <w:bCs w:val="0"/>
                <w:sz w:val="24"/>
                <w:szCs w:val="24"/>
                <w:highlight w:val="none"/>
              </w:rPr>
              <w:t>兼容DANTE、AES、模拟三模式输入，支持数模备份优先级切换</w:t>
            </w:r>
            <w:r>
              <w:rPr>
                <w:rFonts w:hint="eastAsia" w:ascii="仿宋_GB2312" w:hAnsi="仿宋_GB2312" w:eastAsia="仿宋_GB2312" w:cs="仿宋_GB2312"/>
                <w:b w:val="0"/>
                <w:bCs w:val="0"/>
                <w:i w:val="0"/>
                <w:iCs w:val="0"/>
                <w:color w:val="000000"/>
                <w:sz w:val="24"/>
                <w:szCs w:val="24"/>
                <w:highlight w:val="none"/>
                <w:u w:val="none"/>
                <w:lang w:eastAsia="zh-CN"/>
              </w:rPr>
              <w:t>；</w:t>
            </w:r>
          </w:p>
          <w:p w14:paraId="6B1AE91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firstLine="30"/>
              <w:jc w:val="left"/>
              <w:textAlignment w:val="center"/>
              <w:rPr>
                <w:rFonts w:hint="eastAsia" w:ascii="仿宋_GB2312" w:hAnsi="仿宋_GB2312" w:eastAsia="仿宋_GB2312" w:cs="仿宋_GB2312"/>
                <w:b w:val="0"/>
                <w:bCs w:val="0"/>
                <w:color w:val="000000"/>
                <w:spacing w:val="0"/>
                <w:position w:val="0"/>
                <w:sz w:val="24"/>
                <w:szCs w:val="24"/>
                <w:highlight w:val="none"/>
              </w:rPr>
            </w:pPr>
            <w:r>
              <w:rPr>
                <w:rFonts w:hint="eastAsia" w:ascii="仿宋_GB2312" w:hAnsi="仿宋_GB2312" w:eastAsia="仿宋_GB2312" w:cs="仿宋_GB2312"/>
                <w:b w:val="0"/>
                <w:bCs w:val="0"/>
                <w:i w:val="0"/>
                <w:iCs w:val="0"/>
                <w:color w:val="000000"/>
                <w:sz w:val="24"/>
                <w:szCs w:val="24"/>
                <w:highlight w:val="none"/>
                <w:u w:val="none"/>
              </w:rPr>
              <w:t>3、★</w:t>
            </w:r>
            <w:r>
              <w:rPr>
                <w:rFonts w:hint="eastAsia" w:ascii="仿宋_GB2312" w:hAnsi="仿宋_GB2312" w:eastAsia="仿宋_GB2312" w:cs="仿宋_GB2312"/>
                <w:b w:val="0"/>
                <w:bCs w:val="0"/>
                <w:sz w:val="24"/>
                <w:szCs w:val="24"/>
                <w:highlight w:val="none"/>
              </w:rPr>
              <w:t>具备AES3及Dante网络接口，支持标准级联信号传输；</w:t>
            </w:r>
            <w:r>
              <w:rPr>
                <w:rFonts w:hint="eastAsia" w:ascii="仿宋_GB2312" w:hAnsi="仿宋_GB2312" w:eastAsia="仿宋_GB2312" w:cs="仿宋_GB2312"/>
                <w:b w:val="0"/>
                <w:bCs w:val="0"/>
                <w:color w:val="000000"/>
                <w:spacing w:val="0"/>
                <w:position w:val="0"/>
                <w:sz w:val="24"/>
                <w:szCs w:val="24"/>
                <w:highlight w:val="none"/>
              </w:rPr>
              <w:t>。</w:t>
            </w:r>
          </w:p>
          <w:p w14:paraId="72BF05F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hanging="2"/>
              <w:jc w:val="left"/>
              <w:textAlignment w:val="center"/>
              <w:rPr>
                <w:rFonts w:hint="eastAsia" w:ascii="仿宋_GB2312" w:hAnsi="仿宋_GB2312" w:eastAsia="仿宋_GB2312" w:cs="仿宋_GB2312"/>
                <w:b w:val="0"/>
                <w:bCs w:val="0"/>
                <w:color w:val="000000"/>
                <w:spacing w:val="0"/>
                <w:position w:val="0"/>
                <w:sz w:val="24"/>
                <w:szCs w:val="24"/>
                <w:highlight w:val="none"/>
                <w:lang w:val="en-US" w:eastAsia="zh-CN"/>
              </w:rPr>
            </w:pPr>
            <w:r>
              <w:rPr>
                <w:rFonts w:hint="eastAsia" w:ascii="仿宋_GB2312" w:hAnsi="仿宋_GB2312" w:eastAsia="仿宋_GB2312" w:cs="仿宋_GB2312"/>
                <w:b w:val="0"/>
                <w:bCs w:val="0"/>
                <w:i w:val="0"/>
                <w:iCs w:val="0"/>
                <w:color w:val="000000"/>
                <w:sz w:val="24"/>
                <w:szCs w:val="24"/>
                <w:highlight w:val="none"/>
                <w:u w:val="none"/>
              </w:rPr>
              <w:t>4、★</w:t>
            </w:r>
            <w:r>
              <w:rPr>
                <w:rFonts w:hint="eastAsia" w:ascii="仿宋_GB2312" w:hAnsi="仿宋_GB2312" w:eastAsia="仿宋_GB2312" w:cs="仿宋_GB2312"/>
                <w:b w:val="0"/>
                <w:bCs w:val="0"/>
                <w:sz w:val="24"/>
                <w:szCs w:val="24"/>
                <w:highlight w:val="none"/>
              </w:rPr>
              <w:t>内置FIR分频处理，支持多阶抽点与窗函数选择，可校正扬声器频响与相位</w:t>
            </w:r>
            <w:r>
              <w:rPr>
                <w:rFonts w:hint="eastAsia" w:ascii="仿宋_GB2312" w:hAnsi="仿宋_GB2312" w:eastAsia="仿宋_GB2312" w:cs="仿宋_GB2312"/>
                <w:b w:val="0"/>
                <w:bCs w:val="0"/>
                <w:color w:val="000000"/>
                <w:spacing w:val="0"/>
                <w:position w:val="0"/>
                <w:sz w:val="24"/>
                <w:szCs w:val="24"/>
                <w:highlight w:val="none"/>
                <w:lang w:val="en-US" w:eastAsia="zh-CN"/>
              </w:rPr>
              <w:t>;</w:t>
            </w:r>
          </w:p>
          <w:p w14:paraId="625398D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hanging="2"/>
              <w:jc w:val="left"/>
              <w:textAlignment w:val="center"/>
              <w:rPr>
                <w:rFonts w:hint="eastAsia" w:ascii="仿宋_GB2312" w:hAnsi="仿宋_GB2312" w:eastAsia="仿宋_GB2312" w:cs="仿宋_GB2312"/>
                <w:b w:val="0"/>
                <w:bCs w:val="0"/>
                <w:i w:val="0"/>
                <w:iCs w:val="0"/>
                <w:color w:val="000000"/>
                <w:sz w:val="24"/>
                <w:szCs w:val="24"/>
                <w:highlight w:val="none"/>
                <w:u w:val="none"/>
                <w:lang w:eastAsia="zh-CN"/>
              </w:rPr>
            </w:pPr>
            <w:r>
              <w:rPr>
                <w:rFonts w:hint="eastAsia" w:ascii="仿宋_GB2312" w:hAnsi="仿宋_GB2312" w:eastAsia="仿宋_GB2312" w:cs="仿宋_GB2312"/>
                <w:b w:val="0"/>
                <w:bCs w:val="0"/>
                <w:color w:val="000000"/>
                <w:spacing w:val="0"/>
                <w:position w:val="0"/>
                <w:sz w:val="24"/>
                <w:szCs w:val="24"/>
                <w:highlight w:val="none"/>
                <w:lang w:val="en-US" w:eastAsia="zh-CN"/>
              </w:rPr>
              <w:t>5、</w:t>
            </w:r>
            <w:r>
              <w:rPr>
                <w:rFonts w:hint="eastAsia" w:ascii="仿宋_GB2312" w:hAnsi="仿宋_GB2312" w:eastAsia="仿宋_GB2312" w:cs="仿宋_GB2312"/>
                <w:b w:val="0"/>
                <w:bCs w:val="0"/>
                <w:sz w:val="24"/>
                <w:szCs w:val="24"/>
                <w:highlight w:val="none"/>
              </w:rPr>
              <w:t>具备</w:t>
            </w:r>
            <w:r>
              <w:rPr>
                <w:rFonts w:hint="eastAsia" w:ascii="仿宋_GB2312" w:hAnsi="仿宋_GB2312" w:eastAsia="仿宋_GB2312" w:cs="仿宋_GB2312"/>
                <w:b w:val="0"/>
                <w:bCs w:val="0"/>
                <w:color w:val="000000"/>
                <w:spacing w:val="0"/>
                <w:position w:val="0"/>
                <w:sz w:val="24"/>
                <w:szCs w:val="24"/>
                <w:highlight w:val="none"/>
              </w:rPr>
              <w:t>信号发生器、</w:t>
            </w:r>
            <w:r>
              <w:rPr>
                <w:rFonts w:hint="eastAsia" w:ascii="仿宋_GB2312" w:hAnsi="仿宋_GB2312" w:eastAsia="仿宋_GB2312" w:cs="仿宋_GB2312"/>
                <w:b w:val="0"/>
                <w:bCs w:val="0"/>
                <w:sz w:val="24"/>
                <w:szCs w:val="24"/>
                <w:highlight w:val="none"/>
              </w:rPr>
              <w:t>31段输入参量均衡、10段输出参量均衡、噪声门、音频矩阵、分频、压缩限幅等完整处理功能</w:t>
            </w:r>
            <w:r>
              <w:rPr>
                <w:rFonts w:hint="eastAsia" w:ascii="仿宋_GB2312" w:hAnsi="仿宋_GB2312" w:eastAsia="仿宋_GB2312" w:cs="仿宋_GB2312"/>
                <w:b w:val="0"/>
                <w:bCs w:val="0"/>
                <w:color w:val="000000"/>
                <w:spacing w:val="0"/>
                <w:position w:val="0"/>
                <w:sz w:val="24"/>
                <w:szCs w:val="24"/>
                <w:highlight w:val="none"/>
                <w:lang w:eastAsia="zh-CN"/>
              </w:rPr>
              <w:t>；</w:t>
            </w:r>
          </w:p>
          <w:p w14:paraId="358A9E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6</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rPr>
              <w:t>每通道4Ω负载适配，≥4路平衡XLR输入；</w:t>
            </w:r>
          </w:p>
          <w:p w14:paraId="423356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sz w:val="24"/>
                <w:szCs w:val="24"/>
                <w:highlight w:val="none"/>
              </w:rPr>
              <w:t>7</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rPr>
              <w:t>输出配置专业音响接口及接线柱，输入EQ≥31段、输出EQ≥10段，场景预设≥70组</w:t>
            </w:r>
          </w:p>
          <w:p w14:paraId="38B727E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lang w:val="en-US" w:eastAsia="zh-CN"/>
              </w:rPr>
              <w:t>8</w:t>
            </w:r>
            <w:r>
              <w:rPr>
                <w:rFonts w:hint="eastAsia" w:ascii="仿宋_GB2312" w:hAnsi="仿宋_GB2312" w:eastAsia="仿宋_GB2312" w:cs="仿宋_GB2312"/>
                <w:b w:val="0"/>
                <w:bCs w:val="0"/>
                <w:i w:val="0"/>
                <w:iCs w:val="0"/>
                <w:color w:val="000000"/>
                <w:sz w:val="24"/>
                <w:szCs w:val="24"/>
                <w:highlight w:val="none"/>
                <w:u w:val="none"/>
              </w:rPr>
              <w:t xml:space="preserve">、信噪比≥103dB，频响20Hz~20kHz(±0.5dB) </w:t>
            </w:r>
            <w:r>
              <w:rPr>
                <w:rFonts w:hint="eastAsia" w:ascii="仿宋_GB2312" w:hAnsi="仿宋_GB2312" w:eastAsia="仿宋_GB2312" w:cs="仿宋_GB2312"/>
                <w:b w:val="0"/>
                <w:bCs w:val="0"/>
                <w:i w:val="0"/>
                <w:iCs w:val="0"/>
                <w:color w:val="000000"/>
                <w:sz w:val="24"/>
                <w:szCs w:val="24"/>
                <w:highlight w:val="none"/>
                <w:u w:val="none"/>
                <w:lang w:eastAsia="zh-CN"/>
              </w:rPr>
              <w:t>，</w:t>
            </w:r>
            <w:r>
              <w:rPr>
                <w:rFonts w:hint="eastAsia" w:ascii="仿宋_GB2312" w:hAnsi="仿宋_GB2312" w:eastAsia="仿宋_GB2312" w:cs="仿宋_GB2312"/>
                <w:b w:val="0"/>
                <w:bCs w:val="0"/>
                <w:sz w:val="24"/>
                <w:szCs w:val="24"/>
                <w:highlight w:val="none"/>
              </w:rPr>
              <w:t>采样率48k/24bi</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i w:val="0"/>
                <w:iCs w:val="0"/>
                <w:color w:val="000000"/>
                <w:sz w:val="24"/>
                <w:szCs w:val="24"/>
                <w:highlight w:val="none"/>
                <w:u w:val="none"/>
              </w:rPr>
              <w:t xml:space="preserve">    </w:t>
            </w:r>
          </w:p>
          <w:p w14:paraId="61A8D44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lang w:val="en-US" w:eastAsia="zh-CN"/>
              </w:rPr>
              <w:t>9</w:t>
            </w:r>
            <w:r>
              <w:rPr>
                <w:rFonts w:hint="eastAsia" w:ascii="仿宋_GB2312" w:hAnsi="仿宋_GB2312" w:eastAsia="仿宋_GB2312" w:cs="仿宋_GB2312"/>
                <w:b w:val="0"/>
                <w:bCs w:val="0"/>
                <w:i w:val="0"/>
                <w:iCs w:val="0"/>
                <w:color w:val="000000"/>
                <w:sz w:val="24"/>
                <w:szCs w:val="24"/>
                <w:highlight w:val="none"/>
                <w:u w:val="none"/>
              </w:rPr>
              <w:t>、</w:t>
            </w:r>
            <w:r>
              <w:rPr>
                <w:rFonts w:hint="eastAsia" w:ascii="仿宋_GB2312" w:hAnsi="仿宋_GB2312" w:eastAsia="仿宋_GB2312" w:cs="仿宋_GB2312"/>
                <w:b w:val="0"/>
                <w:bCs w:val="0"/>
                <w:sz w:val="24"/>
                <w:szCs w:val="24"/>
                <w:highlight w:val="none"/>
              </w:rPr>
              <w:t>单通道8Ω功率≥800W，4Ω功率≥1600W，桥接8Ω≥3200W。</w:t>
            </w:r>
          </w:p>
          <w:p w14:paraId="4664E78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BE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8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r>
      <w:tr w14:paraId="1BFA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C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B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线阵低音数字DSP网络功放</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5A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lang w:val="en-US" w:eastAsia="zh-CN" w:bidi="ar"/>
              </w:rPr>
              <w:t>1、</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r>
              <w:rPr>
                <w:rFonts w:hint="eastAsia" w:ascii="仿宋_GB2312" w:hAnsi="仿宋_GB2312" w:eastAsia="仿宋_GB2312" w:cs="仿宋_GB2312"/>
                <w:b w:val="0"/>
                <w:bCs w:val="0"/>
                <w:sz w:val="24"/>
                <w:szCs w:val="24"/>
                <w:highlight w:val="none"/>
              </w:rPr>
              <w:t>支具备整机温度、功率、电压电流监测，支持远程开关机、DSP组网控制、Dante网络音频，带加密管理界面</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5E8679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2、</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r>
              <w:rPr>
                <w:rFonts w:hint="eastAsia" w:ascii="仿宋_GB2312" w:hAnsi="仿宋_GB2312" w:eastAsia="仿宋_GB2312" w:cs="仿宋_GB2312"/>
                <w:b w:val="0"/>
                <w:bCs w:val="0"/>
                <w:sz w:val="24"/>
                <w:szCs w:val="24"/>
                <w:highlight w:val="none"/>
              </w:rPr>
              <w:t>兼容DANTE、AES、模拟三模式输入，支持数模备份优先级切换</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50442D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firstLine="30"/>
              <w:jc w:val="left"/>
              <w:textAlignment w:val="center"/>
              <w:rPr>
                <w:rFonts w:hint="eastAsia" w:ascii="仿宋_GB2312" w:hAnsi="仿宋_GB2312" w:eastAsia="仿宋_GB2312" w:cs="仿宋_GB2312"/>
                <w:b w:val="0"/>
                <w:bCs w:val="0"/>
                <w:color w:val="000000"/>
                <w:spacing w:val="0"/>
                <w:position w:val="0"/>
                <w:sz w:val="24"/>
                <w:szCs w:val="24"/>
                <w:highlight w:val="none"/>
              </w:rPr>
            </w:pPr>
            <w:r>
              <w:rPr>
                <w:rFonts w:hint="eastAsia" w:ascii="仿宋_GB2312" w:hAnsi="仿宋_GB2312" w:eastAsia="仿宋_GB2312" w:cs="仿宋_GB2312"/>
                <w:b w:val="0"/>
                <w:bCs w:val="0"/>
                <w:i w:val="0"/>
                <w:iCs w:val="0"/>
                <w:color w:val="000000"/>
                <w:sz w:val="24"/>
                <w:szCs w:val="24"/>
                <w:highlight w:val="none"/>
                <w:u w:val="none"/>
              </w:rPr>
              <w:t>3、★</w:t>
            </w:r>
            <w:r>
              <w:rPr>
                <w:rFonts w:hint="eastAsia" w:ascii="仿宋_GB2312" w:hAnsi="仿宋_GB2312" w:eastAsia="仿宋_GB2312" w:cs="仿宋_GB2312"/>
                <w:b w:val="0"/>
                <w:bCs w:val="0"/>
                <w:sz w:val="24"/>
                <w:szCs w:val="24"/>
                <w:highlight w:val="none"/>
              </w:rPr>
              <w:t>具备AES3及Dante网络接口，支持标准级联信号传输</w:t>
            </w:r>
            <w:r>
              <w:rPr>
                <w:rFonts w:hint="eastAsia" w:ascii="仿宋_GB2312" w:hAnsi="仿宋_GB2312" w:eastAsia="仿宋_GB2312" w:cs="仿宋_GB2312"/>
                <w:b w:val="0"/>
                <w:bCs w:val="0"/>
                <w:color w:val="000000"/>
                <w:spacing w:val="0"/>
                <w:position w:val="0"/>
                <w:sz w:val="24"/>
                <w:szCs w:val="24"/>
                <w:highlight w:val="none"/>
              </w:rPr>
              <w:t>。</w:t>
            </w:r>
          </w:p>
          <w:p w14:paraId="3E075F00">
            <w:pPr>
              <w:pStyle w:val="28"/>
              <w:ind w:hanging="2"/>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i w:val="0"/>
                <w:iCs w:val="0"/>
                <w:color w:val="000000"/>
                <w:sz w:val="24"/>
                <w:szCs w:val="24"/>
                <w:highlight w:val="none"/>
                <w:u w:val="none"/>
              </w:rPr>
              <w:t>4、★</w:t>
            </w:r>
            <w:r>
              <w:rPr>
                <w:rFonts w:hint="eastAsia" w:ascii="仿宋_GB2312" w:hAnsi="仿宋_GB2312" w:eastAsia="仿宋_GB2312" w:cs="仿宋_GB2312"/>
                <w:b w:val="0"/>
                <w:bCs w:val="0"/>
                <w:sz w:val="24"/>
                <w:szCs w:val="24"/>
                <w:highlight w:val="none"/>
              </w:rPr>
              <w:t>内置FIR分频处理，支持多阶抽点与窗函数选择，可校正扬声器频响与相位</w:t>
            </w:r>
            <w:r>
              <w:rPr>
                <w:rFonts w:hint="eastAsia" w:ascii="仿宋_GB2312" w:hAnsi="仿宋_GB2312" w:eastAsia="仿宋_GB2312" w:cs="仿宋_GB2312"/>
                <w:b w:val="0"/>
                <w:bCs w:val="0"/>
                <w:color w:val="000000"/>
                <w:spacing w:val="0"/>
                <w:position w:val="0"/>
                <w:sz w:val="24"/>
                <w:szCs w:val="24"/>
                <w:highlight w:val="none"/>
                <w:lang w:val="en-US" w:eastAsia="zh-CN"/>
              </w:rPr>
              <w:t>;</w:t>
            </w:r>
          </w:p>
          <w:p w14:paraId="6C6D3C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t>5、</w:t>
            </w:r>
            <w:r>
              <w:rPr>
                <w:rFonts w:hint="eastAsia" w:ascii="仿宋_GB2312" w:hAnsi="仿宋_GB2312" w:eastAsia="仿宋_GB2312" w:cs="仿宋_GB2312"/>
                <w:b w:val="0"/>
                <w:bCs w:val="0"/>
                <w:sz w:val="24"/>
                <w:szCs w:val="24"/>
                <w:highlight w:val="none"/>
              </w:rPr>
              <w:t>每通道4Ω负载适配，≥4路平衡XLR输入；</w:t>
            </w:r>
          </w:p>
          <w:p w14:paraId="16B386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sz w:val="24"/>
                <w:szCs w:val="24"/>
                <w:highlight w:val="none"/>
                <w:lang w:val="en-US" w:eastAsia="zh-CN"/>
              </w:rPr>
              <w:t>6</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rPr>
              <w:t>输出配置专业音响接口及接线柱，输入EQ≥31段、输出EQ≥10段，场景预设≥70组</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 xml:space="preserve">  </w:t>
            </w:r>
          </w:p>
          <w:p w14:paraId="4B454C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jc w:val="left"/>
              <w:textAlignment w:val="center"/>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7、</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信噪比≥103dB，频响20Hz ~20kHz(±0.5dB) ，</w:t>
            </w:r>
            <w:r>
              <w:rPr>
                <w:rFonts w:hint="eastAsia" w:ascii="仿宋_GB2312" w:hAnsi="仿宋_GB2312" w:eastAsia="仿宋_GB2312" w:cs="仿宋_GB2312"/>
                <w:b w:val="0"/>
                <w:bCs w:val="0"/>
                <w:sz w:val="24"/>
                <w:szCs w:val="24"/>
                <w:highlight w:val="none"/>
              </w:rPr>
              <w:t>采样率48k/24bi</w:t>
            </w:r>
            <w:r>
              <w:rPr>
                <w:rFonts w:hint="eastAsia" w:ascii="仿宋_GB2312" w:hAnsi="仿宋_GB2312" w:eastAsia="仿宋_GB2312" w:cs="仿宋_GB2312"/>
                <w:b w:val="0"/>
                <w:bCs w:val="0"/>
                <w:sz w:val="24"/>
                <w:szCs w:val="24"/>
                <w:highlight w:val="none"/>
                <w:lang w:eastAsia="zh-CN"/>
              </w:rPr>
              <w:t>；</w:t>
            </w:r>
          </w:p>
          <w:p w14:paraId="606E01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8、</w:t>
            </w:r>
            <w:r>
              <w:rPr>
                <w:rFonts w:hint="eastAsia" w:ascii="仿宋_GB2312" w:hAnsi="仿宋_GB2312" w:eastAsia="仿宋_GB2312" w:cs="仿宋_GB2312"/>
                <w:b w:val="0"/>
                <w:bCs w:val="0"/>
                <w:sz w:val="24"/>
                <w:szCs w:val="24"/>
                <w:highlight w:val="none"/>
              </w:rPr>
              <w:t>单通道8Ω功率≥800W，4Ω功率≥1600W，桥接8Ω≥3200W</w:t>
            </w:r>
            <w:r>
              <w:rPr>
                <w:rFonts w:hint="eastAsia" w:ascii="仿宋_GB2312" w:hAnsi="仿宋_GB2312" w:eastAsia="仿宋_GB2312" w:cs="仿宋_GB2312"/>
                <w:b w:val="0"/>
                <w:bCs w:val="0"/>
                <w:sz w:val="24"/>
                <w:szCs w:val="24"/>
                <w:highlight w:val="none"/>
                <w:lang w:eastAsia="zh-CN"/>
              </w:rPr>
              <w:t>；</w:t>
            </w:r>
          </w:p>
          <w:p w14:paraId="0E1D2B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以上带★参数需提供具备国家认可检测资质的检测机构出具三年内逐条对应以上指标的检测报告佐证。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94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9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r>
      <w:tr w14:paraId="7C811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9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C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线性阵列全频音箱（中置）</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BA2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lang w:val="en-US" w:eastAsia="zh-CN" w:bidi="ar"/>
              </w:rPr>
              <w:t>1、</w:t>
            </w:r>
            <w:r>
              <w:rPr>
                <w:rFonts w:hint="eastAsia" w:ascii="仿宋_GB2312" w:hAnsi="仿宋_GB2312" w:eastAsia="仿宋_GB2312" w:cs="仿宋_GB2312"/>
                <w:b w:val="0"/>
                <w:bCs w:val="0"/>
                <w:sz w:val="24"/>
                <w:szCs w:val="24"/>
                <w:highlight w:val="none"/>
              </w:rPr>
              <w:t>支持双功放或无源模式切换</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37DA4F7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r>
              <w:rPr>
                <w:rFonts w:hint="eastAsia" w:ascii="仿宋_GB2312" w:hAnsi="仿宋_GB2312" w:eastAsia="仿宋_GB2312" w:cs="仿宋_GB2312"/>
                <w:b w:val="0"/>
                <w:bCs w:val="0"/>
                <w:sz w:val="24"/>
                <w:szCs w:val="24"/>
                <w:highlight w:val="none"/>
              </w:rPr>
              <w:t>配置不少于2只≥8寸低音单元、1只≥3寸高音单元</w:t>
            </w:r>
          </w:p>
          <w:p w14:paraId="02439DB9">
            <w:pP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3、频率响应不劣于90 Hz-20 kHz（±3 dB）</w:t>
            </w:r>
          </w:p>
          <w:p w14:paraId="5FFF2E6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、140 Hz-20 kHz；</w:t>
            </w:r>
          </w:p>
          <w:p w14:paraId="0105907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4、覆盖角度不劣于110°x12°；</w:t>
            </w:r>
          </w:p>
          <w:p w14:paraId="756B76A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5、★额定输入功率</w:t>
            </w:r>
            <w:r>
              <w:rPr>
                <w:rFonts w:hint="eastAsia" w:ascii="仿宋_GB2312" w:hAnsi="仿宋_GB2312" w:eastAsia="仿宋_GB2312" w:cs="仿宋_GB2312"/>
                <w:b w:val="0"/>
                <w:bCs w:val="0"/>
                <w:sz w:val="24"/>
                <w:szCs w:val="24"/>
                <w:highlight w:val="none"/>
              </w:rPr>
              <w:t>不低于400W（连续）/800W（音乐）/1600W（峰值）</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2C9E3A5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6、额定阻抗8Ω；</w:t>
            </w:r>
          </w:p>
          <w:p w14:paraId="68EB31C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7、★灵敏度(1w@1m)</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101 dB；</w:t>
            </w:r>
          </w:p>
          <w:p w14:paraId="509926B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8、最大峰</w:t>
            </w:r>
            <w:r>
              <w:rPr>
                <w:rFonts w:hint="eastAsia" w:ascii="仿宋_GB2312" w:hAnsi="仿宋_GB2312" w:eastAsia="仿宋_GB2312" w:cs="仿宋_GB2312"/>
                <w:b w:val="0"/>
                <w:bCs w:val="0"/>
                <w:sz w:val="24"/>
                <w:szCs w:val="24"/>
                <w:highlight w:val="none"/>
              </w:rPr>
              <w:t>值声</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压级</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139 dB；</w:t>
            </w:r>
          </w:p>
          <w:p w14:paraId="28C0CCE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w:t>
            </w:r>
            <w:r>
              <w:rPr>
                <w:rFonts w:hint="eastAsia" w:ascii="仿宋_GB2312" w:hAnsi="仿宋_GB2312" w:eastAsia="仿宋_GB2312" w:cs="仿宋_GB2312"/>
                <w:b w:val="0"/>
                <w:bCs w:val="0"/>
                <w:sz w:val="24"/>
                <w:szCs w:val="24"/>
                <w:highlight w:val="none"/>
              </w:rPr>
              <w:t>箱体夹角支持0°-12°多档位可调</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349F9E2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0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只</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E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r>
      <w:tr w14:paraId="7D2D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6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7</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F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线阵全频数字DSP网络功放（中置、拉声像）</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2A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rPr>
              <w:t>1、★</w:t>
            </w:r>
            <w:r>
              <w:rPr>
                <w:rFonts w:hint="eastAsia" w:ascii="仿宋_GB2312" w:hAnsi="仿宋_GB2312" w:eastAsia="仿宋_GB2312" w:cs="仿宋_GB2312"/>
                <w:b w:val="0"/>
                <w:bCs w:val="0"/>
                <w:sz w:val="24"/>
                <w:szCs w:val="24"/>
                <w:highlight w:val="none"/>
              </w:rPr>
              <w:t>支具备整机温度、功率、电压电流监测，支持远程开关机、DSP组网控制、Dante网络音频，带加密管理界面；</w:t>
            </w:r>
          </w:p>
          <w:p w14:paraId="467CCE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lang w:eastAsia="zh-CN"/>
              </w:rPr>
            </w:pPr>
            <w:r>
              <w:rPr>
                <w:rFonts w:hint="eastAsia" w:ascii="仿宋_GB2312" w:hAnsi="仿宋_GB2312" w:eastAsia="仿宋_GB2312" w:cs="仿宋_GB2312"/>
                <w:b w:val="0"/>
                <w:bCs w:val="0"/>
                <w:i w:val="0"/>
                <w:iCs w:val="0"/>
                <w:color w:val="000000"/>
                <w:sz w:val="24"/>
                <w:szCs w:val="24"/>
                <w:highlight w:val="none"/>
                <w:u w:val="none"/>
              </w:rPr>
              <w:t>2、★</w:t>
            </w:r>
            <w:r>
              <w:rPr>
                <w:rFonts w:hint="eastAsia" w:ascii="仿宋_GB2312" w:hAnsi="仿宋_GB2312" w:eastAsia="仿宋_GB2312" w:cs="仿宋_GB2312"/>
                <w:b w:val="0"/>
                <w:bCs w:val="0"/>
                <w:sz w:val="24"/>
                <w:szCs w:val="24"/>
                <w:highlight w:val="none"/>
              </w:rPr>
              <w:t>兼容DANTE、AES、模拟三模式输入，支持数模备份优先级切换</w:t>
            </w:r>
            <w:r>
              <w:rPr>
                <w:rFonts w:hint="eastAsia" w:ascii="仿宋_GB2312" w:hAnsi="仿宋_GB2312" w:eastAsia="仿宋_GB2312" w:cs="仿宋_GB2312"/>
                <w:b w:val="0"/>
                <w:bCs w:val="0"/>
                <w:i w:val="0"/>
                <w:iCs w:val="0"/>
                <w:color w:val="000000"/>
                <w:sz w:val="24"/>
                <w:szCs w:val="24"/>
                <w:highlight w:val="none"/>
                <w:u w:val="none"/>
                <w:lang w:eastAsia="zh-CN"/>
              </w:rPr>
              <w:t>；</w:t>
            </w:r>
          </w:p>
          <w:p w14:paraId="297DCF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firstLine="30"/>
              <w:jc w:val="left"/>
              <w:textAlignment w:val="center"/>
              <w:rPr>
                <w:rFonts w:hint="eastAsia" w:ascii="仿宋_GB2312" w:hAnsi="仿宋_GB2312" w:eastAsia="仿宋_GB2312" w:cs="仿宋_GB2312"/>
                <w:b w:val="0"/>
                <w:bCs w:val="0"/>
                <w:color w:val="000000"/>
                <w:spacing w:val="0"/>
                <w:position w:val="0"/>
                <w:sz w:val="24"/>
                <w:szCs w:val="24"/>
                <w:highlight w:val="none"/>
              </w:rPr>
            </w:pPr>
            <w:r>
              <w:rPr>
                <w:rFonts w:hint="eastAsia" w:ascii="仿宋_GB2312" w:hAnsi="仿宋_GB2312" w:eastAsia="仿宋_GB2312" w:cs="仿宋_GB2312"/>
                <w:b w:val="0"/>
                <w:bCs w:val="0"/>
                <w:i w:val="0"/>
                <w:iCs w:val="0"/>
                <w:color w:val="000000"/>
                <w:sz w:val="24"/>
                <w:szCs w:val="24"/>
                <w:highlight w:val="none"/>
                <w:u w:val="none"/>
              </w:rPr>
              <w:t>3、★</w:t>
            </w:r>
            <w:r>
              <w:rPr>
                <w:rFonts w:hint="eastAsia" w:ascii="仿宋_GB2312" w:hAnsi="仿宋_GB2312" w:eastAsia="仿宋_GB2312" w:cs="仿宋_GB2312"/>
                <w:b w:val="0"/>
                <w:bCs w:val="0"/>
                <w:sz w:val="24"/>
                <w:szCs w:val="24"/>
                <w:highlight w:val="none"/>
              </w:rPr>
              <w:t>具备AES3及Dante网络接口，支持标准级联信号传输；</w:t>
            </w:r>
            <w:r>
              <w:rPr>
                <w:rFonts w:hint="eastAsia" w:ascii="仿宋_GB2312" w:hAnsi="仿宋_GB2312" w:eastAsia="仿宋_GB2312" w:cs="仿宋_GB2312"/>
                <w:b w:val="0"/>
                <w:bCs w:val="0"/>
                <w:color w:val="000000"/>
                <w:spacing w:val="0"/>
                <w:position w:val="0"/>
                <w:sz w:val="24"/>
                <w:szCs w:val="24"/>
                <w:highlight w:val="none"/>
              </w:rPr>
              <w:t>。</w:t>
            </w:r>
          </w:p>
          <w:p w14:paraId="124AE8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hanging="2"/>
              <w:jc w:val="left"/>
              <w:textAlignment w:val="center"/>
              <w:rPr>
                <w:rFonts w:hint="eastAsia" w:ascii="仿宋_GB2312" w:hAnsi="仿宋_GB2312" w:eastAsia="仿宋_GB2312" w:cs="仿宋_GB2312"/>
                <w:b w:val="0"/>
                <w:bCs w:val="0"/>
                <w:color w:val="000000"/>
                <w:spacing w:val="0"/>
                <w:position w:val="0"/>
                <w:sz w:val="24"/>
                <w:szCs w:val="24"/>
                <w:highlight w:val="none"/>
                <w:lang w:val="en-US" w:eastAsia="zh-CN"/>
              </w:rPr>
            </w:pPr>
            <w:r>
              <w:rPr>
                <w:rFonts w:hint="eastAsia" w:ascii="仿宋_GB2312" w:hAnsi="仿宋_GB2312" w:eastAsia="仿宋_GB2312" w:cs="仿宋_GB2312"/>
                <w:b w:val="0"/>
                <w:bCs w:val="0"/>
                <w:i w:val="0"/>
                <w:iCs w:val="0"/>
                <w:color w:val="000000"/>
                <w:sz w:val="24"/>
                <w:szCs w:val="24"/>
                <w:highlight w:val="none"/>
                <w:u w:val="none"/>
              </w:rPr>
              <w:t>4、★</w:t>
            </w:r>
            <w:r>
              <w:rPr>
                <w:rFonts w:hint="eastAsia" w:ascii="仿宋_GB2312" w:hAnsi="仿宋_GB2312" w:eastAsia="仿宋_GB2312" w:cs="仿宋_GB2312"/>
                <w:b w:val="0"/>
                <w:bCs w:val="0"/>
                <w:sz w:val="24"/>
                <w:szCs w:val="24"/>
                <w:highlight w:val="none"/>
              </w:rPr>
              <w:t>内置FIR分频处理，支持多阶抽点与窗函数选择，可校正扬声器频响与相位</w:t>
            </w:r>
            <w:r>
              <w:rPr>
                <w:rFonts w:hint="eastAsia" w:ascii="仿宋_GB2312" w:hAnsi="仿宋_GB2312" w:eastAsia="仿宋_GB2312" w:cs="仿宋_GB2312"/>
                <w:b w:val="0"/>
                <w:bCs w:val="0"/>
                <w:color w:val="000000"/>
                <w:spacing w:val="0"/>
                <w:position w:val="0"/>
                <w:sz w:val="24"/>
                <w:szCs w:val="24"/>
                <w:highlight w:val="none"/>
                <w:lang w:val="en-US" w:eastAsia="zh-CN"/>
              </w:rPr>
              <w:t>;</w:t>
            </w:r>
          </w:p>
          <w:p w14:paraId="1BF3073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hanging="2"/>
              <w:jc w:val="left"/>
              <w:textAlignment w:val="center"/>
              <w:rPr>
                <w:rFonts w:hint="eastAsia" w:ascii="仿宋_GB2312" w:hAnsi="仿宋_GB2312" w:eastAsia="仿宋_GB2312" w:cs="仿宋_GB2312"/>
                <w:b w:val="0"/>
                <w:bCs w:val="0"/>
                <w:i w:val="0"/>
                <w:iCs w:val="0"/>
                <w:color w:val="000000"/>
                <w:sz w:val="24"/>
                <w:szCs w:val="24"/>
                <w:highlight w:val="none"/>
                <w:u w:val="none"/>
                <w:lang w:eastAsia="zh-CN"/>
              </w:rPr>
            </w:pPr>
            <w:r>
              <w:rPr>
                <w:rFonts w:hint="eastAsia" w:ascii="仿宋_GB2312" w:hAnsi="仿宋_GB2312" w:eastAsia="仿宋_GB2312" w:cs="仿宋_GB2312"/>
                <w:b w:val="0"/>
                <w:bCs w:val="0"/>
                <w:color w:val="000000"/>
                <w:spacing w:val="0"/>
                <w:position w:val="0"/>
                <w:sz w:val="24"/>
                <w:szCs w:val="24"/>
                <w:highlight w:val="none"/>
                <w:lang w:val="en-US" w:eastAsia="zh-CN"/>
              </w:rPr>
              <w:t>5、</w:t>
            </w:r>
            <w:r>
              <w:rPr>
                <w:rFonts w:hint="eastAsia" w:ascii="仿宋_GB2312" w:hAnsi="仿宋_GB2312" w:eastAsia="仿宋_GB2312" w:cs="仿宋_GB2312"/>
                <w:b w:val="0"/>
                <w:bCs w:val="0"/>
                <w:sz w:val="24"/>
                <w:szCs w:val="24"/>
                <w:highlight w:val="none"/>
              </w:rPr>
              <w:t>具备</w:t>
            </w:r>
            <w:r>
              <w:rPr>
                <w:rFonts w:hint="eastAsia" w:ascii="仿宋_GB2312" w:hAnsi="仿宋_GB2312" w:eastAsia="仿宋_GB2312" w:cs="仿宋_GB2312"/>
                <w:b w:val="0"/>
                <w:bCs w:val="0"/>
                <w:color w:val="000000"/>
                <w:spacing w:val="0"/>
                <w:position w:val="0"/>
                <w:sz w:val="24"/>
                <w:szCs w:val="24"/>
                <w:highlight w:val="none"/>
              </w:rPr>
              <w:t>信号发生器、</w:t>
            </w:r>
            <w:r>
              <w:rPr>
                <w:rFonts w:hint="eastAsia" w:ascii="仿宋_GB2312" w:hAnsi="仿宋_GB2312" w:eastAsia="仿宋_GB2312" w:cs="仿宋_GB2312"/>
                <w:b w:val="0"/>
                <w:bCs w:val="0"/>
                <w:sz w:val="24"/>
                <w:szCs w:val="24"/>
                <w:highlight w:val="none"/>
              </w:rPr>
              <w:t>31段输入参量均衡、10段输出参量均衡、噪声门、音频矩阵、分频、压缩限幅等完整处理功能</w:t>
            </w:r>
            <w:r>
              <w:rPr>
                <w:rFonts w:hint="eastAsia" w:ascii="仿宋_GB2312" w:hAnsi="仿宋_GB2312" w:eastAsia="仿宋_GB2312" w:cs="仿宋_GB2312"/>
                <w:b w:val="0"/>
                <w:bCs w:val="0"/>
                <w:color w:val="000000"/>
                <w:spacing w:val="0"/>
                <w:position w:val="0"/>
                <w:sz w:val="24"/>
                <w:szCs w:val="24"/>
                <w:highlight w:val="none"/>
                <w:lang w:eastAsia="zh-CN"/>
              </w:rPr>
              <w:t>；</w:t>
            </w:r>
          </w:p>
          <w:p w14:paraId="09A069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6</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rPr>
              <w:t>每通道4Ω负载适配，≥4路平衡XLR输入；</w:t>
            </w:r>
          </w:p>
          <w:p w14:paraId="268A2907">
            <w:pPr>
              <w:widowControl/>
              <w:numPr>
                <w:ilvl w:val="0"/>
                <w:numId w:val="0"/>
              </w:numPr>
              <w:spacing w:line="300" w:lineRule="exact"/>
              <w:jc w:val="left"/>
              <w:textAlignment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7</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rPr>
              <w:t>输出配置专业音响接口及接线柱，输入EQ≥31段、输出EQ≥10段，场景预设≥70组</w:t>
            </w:r>
          </w:p>
          <w:p w14:paraId="73854C1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lang w:val="en-US" w:eastAsia="zh-CN"/>
              </w:rPr>
              <w:t>8</w:t>
            </w:r>
            <w:r>
              <w:rPr>
                <w:rFonts w:hint="eastAsia" w:ascii="仿宋_GB2312" w:hAnsi="仿宋_GB2312" w:eastAsia="仿宋_GB2312" w:cs="仿宋_GB2312"/>
                <w:b w:val="0"/>
                <w:bCs w:val="0"/>
                <w:i w:val="0"/>
                <w:iCs w:val="0"/>
                <w:color w:val="000000"/>
                <w:sz w:val="24"/>
                <w:szCs w:val="24"/>
                <w:highlight w:val="none"/>
                <w:u w:val="none"/>
              </w:rPr>
              <w:t xml:space="preserve">、信噪比≥103dB，频响20Hz~20kHz(±0.5dB) </w:t>
            </w:r>
            <w:r>
              <w:rPr>
                <w:rFonts w:hint="eastAsia" w:ascii="仿宋_GB2312" w:hAnsi="仿宋_GB2312" w:eastAsia="仿宋_GB2312" w:cs="仿宋_GB2312"/>
                <w:b w:val="0"/>
                <w:bCs w:val="0"/>
                <w:i w:val="0"/>
                <w:iCs w:val="0"/>
                <w:color w:val="000000"/>
                <w:sz w:val="24"/>
                <w:szCs w:val="24"/>
                <w:highlight w:val="none"/>
                <w:u w:val="none"/>
                <w:lang w:eastAsia="zh-CN"/>
              </w:rPr>
              <w:t>，</w:t>
            </w:r>
            <w:r>
              <w:rPr>
                <w:rFonts w:hint="eastAsia" w:ascii="仿宋_GB2312" w:hAnsi="仿宋_GB2312" w:eastAsia="仿宋_GB2312" w:cs="仿宋_GB2312"/>
                <w:b w:val="0"/>
                <w:bCs w:val="0"/>
                <w:sz w:val="24"/>
                <w:szCs w:val="24"/>
                <w:highlight w:val="none"/>
              </w:rPr>
              <w:t>采样率48k/24bi</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i w:val="0"/>
                <w:iCs w:val="0"/>
                <w:color w:val="000000"/>
                <w:sz w:val="24"/>
                <w:szCs w:val="24"/>
                <w:highlight w:val="none"/>
                <w:u w:val="none"/>
              </w:rPr>
              <w:t xml:space="preserve">    </w:t>
            </w:r>
          </w:p>
          <w:p w14:paraId="6839CB1C">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lang w:val="en-US" w:eastAsia="zh-CN"/>
              </w:rPr>
              <w:t>9</w:t>
            </w:r>
            <w:r>
              <w:rPr>
                <w:rFonts w:hint="eastAsia" w:ascii="仿宋_GB2312" w:hAnsi="仿宋_GB2312" w:eastAsia="仿宋_GB2312" w:cs="仿宋_GB2312"/>
                <w:b w:val="0"/>
                <w:bCs w:val="0"/>
                <w:i w:val="0"/>
                <w:iCs w:val="0"/>
                <w:color w:val="000000"/>
                <w:sz w:val="24"/>
                <w:szCs w:val="24"/>
                <w:highlight w:val="none"/>
                <w:u w:val="none"/>
              </w:rPr>
              <w:t>、</w:t>
            </w:r>
            <w:r>
              <w:rPr>
                <w:rFonts w:hint="eastAsia" w:ascii="仿宋_GB2312" w:hAnsi="仿宋_GB2312" w:eastAsia="仿宋_GB2312" w:cs="仿宋_GB2312"/>
                <w:b w:val="0"/>
                <w:bCs w:val="0"/>
                <w:sz w:val="24"/>
                <w:szCs w:val="24"/>
                <w:highlight w:val="none"/>
              </w:rPr>
              <w:t>单通道8Ω功率≥800W，4Ω功率≥1600W，桥接8Ω≥3200W。</w:t>
            </w:r>
          </w:p>
          <w:p w14:paraId="27E942B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BD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CA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r>
      <w:tr w14:paraId="313D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8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9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拉声像全频音箱</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E07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1、</w:t>
            </w:r>
            <w:r>
              <w:rPr>
                <w:rFonts w:hint="eastAsia" w:ascii="仿宋_GB2312" w:hAnsi="仿宋_GB2312" w:eastAsia="仿宋_GB2312" w:cs="仿宋_GB2312"/>
                <w:b w:val="0"/>
                <w:bCs w:val="0"/>
                <w:sz w:val="24"/>
                <w:szCs w:val="24"/>
                <w:highlight w:val="none"/>
              </w:rPr>
              <w:t>单功放驱动、内置分频器，频率响应85Hz-20kHz（±3dB）</w:t>
            </w:r>
            <w:r>
              <w:rPr>
                <w:rFonts w:hint="eastAsia" w:ascii="仿宋_GB2312" w:hAnsi="仿宋_GB2312" w:eastAsia="仿宋_GB2312" w:cs="仿宋_GB2312"/>
                <w:b w:val="0"/>
                <w:bCs w:val="0"/>
                <w:sz w:val="24"/>
                <w:szCs w:val="24"/>
                <w:highlight w:val="none"/>
                <w:lang w:eastAsia="zh-CN"/>
              </w:rPr>
              <w:t>；</w:t>
            </w:r>
          </w:p>
          <w:p w14:paraId="1146E54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2、</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★标称覆盖</w:t>
            </w:r>
            <w:r>
              <w:rPr>
                <w:rFonts w:hint="eastAsia" w:ascii="仿宋_GB2312" w:hAnsi="仿宋_GB2312" w:eastAsia="仿宋_GB2312" w:cs="仿宋_GB2312"/>
                <w:b w:val="0"/>
                <w:bCs w:val="0"/>
                <w:sz w:val="24"/>
                <w:szCs w:val="24"/>
                <w:highlight w:val="none"/>
              </w:rPr>
              <w:t>角度≥</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60x60°；</w:t>
            </w:r>
          </w:p>
          <w:p w14:paraId="27AEAE6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3、</w:t>
            </w:r>
            <w:r>
              <w:rPr>
                <w:rFonts w:hint="eastAsia" w:ascii="仿宋_GB2312" w:hAnsi="仿宋_GB2312" w:eastAsia="仿宋_GB2312" w:cs="仿宋_GB2312"/>
                <w:b w:val="0"/>
                <w:bCs w:val="0"/>
                <w:sz w:val="24"/>
                <w:szCs w:val="24"/>
                <w:highlight w:val="none"/>
              </w:rPr>
              <w:t>配备≥15寸低频单元、≥1.5寸音圈高频单元</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4117609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4、</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★额定功率</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400</w:t>
            </w:r>
            <w:r>
              <w:rPr>
                <w:rFonts w:hint="eastAsia" w:ascii="仿宋_GB2312" w:hAnsi="仿宋_GB2312" w:eastAsia="仿宋_GB2312" w:cs="仿宋_GB2312"/>
                <w:b w:val="0"/>
                <w:bCs w:val="0"/>
                <w:sz w:val="24"/>
                <w:szCs w:val="24"/>
                <w:highlight w:val="none"/>
              </w:rPr>
              <w:t>W，峰值功率满足专业扩声要求</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0AB6E51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5、</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★最大声压级</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125dB</w:t>
            </w:r>
            <w:r>
              <w:rPr>
                <w:rFonts w:hint="eastAsia" w:ascii="仿宋_GB2312" w:hAnsi="仿宋_GB2312" w:eastAsia="仿宋_GB2312" w:cs="仿宋_GB2312"/>
                <w:b w:val="0"/>
                <w:bCs w:val="0"/>
                <w:sz w:val="24"/>
                <w:szCs w:val="24"/>
                <w:highlight w:val="none"/>
              </w:rPr>
              <w:t>，满足礼堂全场均匀扩声需求</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12D2EF5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A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只</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0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r>
      <w:tr w14:paraId="5C4D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6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9</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7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补声全频音箱</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855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1、</w:t>
            </w:r>
            <w:r>
              <w:rPr>
                <w:rFonts w:hint="eastAsia" w:ascii="仿宋_GB2312" w:hAnsi="仿宋_GB2312" w:eastAsia="仿宋_GB2312" w:cs="仿宋_GB2312"/>
                <w:b w:val="0"/>
                <w:bCs w:val="0"/>
                <w:sz w:val="24"/>
                <w:szCs w:val="24"/>
                <w:highlight w:val="none"/>
              </w:rPr>
              <w:t>单功放驱动、内置分频器，频率响应85Hz-20kHz（±3dB）</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0FE0B69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2、</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★标称覆盖范围</w:t>
            </w:r>
            <w:r>
              <w:rPr>
                <w:rFonts w:hint="eastAsia" w:ascii="仿宋_GB2312" w:hAnsi="仿宋_GB2312" w:eastAsia="仿宋_GB2312" w:cs="仿宋_GB2312"/>
                <w:b w:val="0"/>
                <w:bCs w:val="0"/>
                <w:sz w:val="24"/>
                <w:szCs w:val="24"/>
                <w:highlight w:val="none"/>
              </w:rPr>
              <w:t>角度≥</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60x60°；</w:t>
            </w:r>
          </w:p>
          <w:p w14:paraId="15076B7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3、</w:t>
            </w:r>
            <w:r>
              <w:rPr>
                <w:rFonts w:hint="eastAsia" w:ascii="仿宋_GB2312" w:hAnsi="仿宋_GB2312" w:eastAsia="仿宋_GB2312" w:cs="仿宋_GB2312"/>
                <w:b w:val="0"/>
                <w:bCs w:val="0"/>
                <w:sz w:val="24"/>
                <w:szCs w:val="24"/>
                <w:highlight w:val="none"/>
              </w:rPr>
              <w:t>配备≥15寸低频单元、≥1.5寸音圈高频单元</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5CE3C0C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4、</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★额定功率</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400</w:t>
            </w:r>
            <w:r>
              <w:rPr>
                <w:rFonts w:hint="eastAsia" w:ascii="仿宋_GB2312" w:hAnsi="仿宋_GB2312" w:eastAsia="仿宋_GB2312" w:cs="仿宋_GB2312"/>
                <w:b w:val="0"/>
                <w:bCs w:val="0"/>
                <w:sz w:val="24"/>
                <w:szCs w:val="24"/>
                <w:highlight w:val="none"/>
              </w:rPr>
              <w:t>W，峰值功率满足专业扩声要求</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205193A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5、</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★最大声压级：</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125dB</w:t>
            </w:r>
            <w:r>
              <w:rPr>
                <w:rFonts w:hint="eastAsia" w:ascii="仿宋_GB2312" w:hAnsi="仿宋_GB2312" w:eastAsia="仿宋_GB2312" w:cs="仿宋_GB2312"/>
                <w:b w:val="0"/>
                <w:bCs w:val="0"/>
                <w:sz w:val="24"/>
                <w:szCs w:val="24"/>
                <w:highlight w:val="none"/>
              </w:rPr>
              <w:t>，满足礼堂全场均匀扩声需求</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20AFA79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D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只</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C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w:t>
            </w:r>
          </w:p>
        </w:tc>
      </w:tr>
      <w:tr w14:paraId="411C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8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8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线阵全频数字DSP网络功放（补声）</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7A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rPr>
              <w:t>1、★</w:t>
            </w:r>
            <w:r>
              <w:rPr>
                <w:rFonts w:hint="eastAsia" w:ascii="仿宋_GB2312" w:hAnsi="仿宋_GB2312" w:eastAsia="仿宋_GB2312" w:cs="仿宋_GB2312"/>
                <w:b w:val="0"/>
                <w:bCs w:val="0"/>
                <w:sz w:val="24"/>
                <w:szCs w:val="24"/>
                <w:highlight w:val="none"/>
              </w:rPr>
              <w:t>支具备整机温度、功率、电压电流监测，支持远程开关机、DSP组网控制、Dante网络音频，带加密管理界面；</w:t>
            </w:r>
          </w:p>
          <w:p w14:paraId="46F7F1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lang w:eastAsia="zh-CN"/>
              </w:rPr>
            </w:pPr>
            <w:r>
              <w:rPr>
                <w:rFonts w:hint="eastAsia" w:ascii="仿宋_GB2312" w:hAnsi="仿宋_GB2312" w:eastAsia="仿宋_GB2312" w:cs="仿宋_GB2312"/>
                <w:b w:val="0"/>
                <w:bCs w:val="0"/>
                <w:i w:val="0"/>
                <w:iCs w:val="0"/>
                <w:color w:val="000000"/>
                <w:sz w:val="24"/>
                <w:szCs w:val="24"/>
                <w:highlight w:val="none"/>
                <w:u w:val="none"/>
              </w:rPr>
              <w:t>2、★</w:t>
            </w:r>
            <w:r>
              <w:rPr>
                <w:rFonts w:hint="eastAsia" w:ascii="仿宋_GB2312" w:hAnsi="仿宋_GB2312" w:eastAsia="仿宋_GB2312" w:cs="仿宋_GB2312"/>
                <w:b w:val="0"/>
                <w:bCs w:val="0"/>
                <w:sz w:val="24"/>
                <w:szCs w:val="24"/>
                <w:highlight w:val="none"/>
              </w:rPr>
              <w:t>兼容DANTE、AES、模拟三模式输入，支持数模备份优先级切换</w:t>
            </w:r>
            <w:r>
              <w:rPr>
                <w:rFonts w:hint="eastAsia" w:ascii="仿宋_GB2312" w:hAnsi="仿宋_GB2312" w:eastAsia="仿宋_GB2312" w:cs="仿宋_GB2312"/>
                <w:b w:val="0"/>
                <w:bCs w:val="0"/>
                <w:i w:val="0"/>
                <w:iCs w:val="0"/>
                <w:color w:val="000000"/>
                <w:sz w:val="24"/>
                <w:szCs w:val="24"/>
                <w:highlight w:val="none"/>
                <w:u w:val="none"/>
                <w:lang w:eastAsia="zh-CN"/>
              </w:rPr>
              <w:t>；</w:t>
            </w:r>
          </w:p>
          <w:p w14:paraId="1C0C53E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firstLine="30"/>
              <w:jc w:val="left"/>
              <w:textAlignment w:val="center"/>
              <w:rPr>
                <w:rFonts w:hint="eastAsia" w:ascii="仿宋_GB2312" w:hAnsi="仿宋_GB2312" w:eastAsia="仿宋_GB2312" w:cs="仿宋_GB2312"/>
                <w:b w:val="0"/>
                <w:bCs w:val="0"/>
                <w:color w:val="000000"/>
                <w:spacing w:val="0"/>
                <w:position w:val="0"/>
                <w:sz w:val="24"/>
                <w:szCs w:val="24"/>
                <w:highlight w:val="none"/>
              </w:rPr>
            </w:pPr>
            <w:r>
              <w:rPr>
                <w:rFonts w:hint="eastAsia" w:ascii="仿宋_GB2312" w:hAnsi="仿宋_GB2312" w:eastAsia="仿宋_GB2312" w:cs="仿宋_GB2312"/>
                <w:b w:val="0"/>
                <w:bCs w:val="0"/>
                <w:i w:val="0"/>
                <w:iCs w:val="0"/>
                <w:color w:val="000000"/>
                <w:sz w:val="24"/>
                <w:szCs w:val="24"/>
                <w:highlight w:val="none"/>
                <w:u w:val="none"/>
              </w:rPr>
              <w:t>3、★</w:t>
            </w:r>
            <w:r>
              <w:rPr>
                <w:rFonts w:hint="eastAsia" w:ascii="仿宋_GB2312" w:hAnsi="仿宋_GB2312" w:eastAsia="仿宋_GB2312" w:cs="仿宋_GB2312"/>
                <w:b w:val="0"/>
                <w:bCs w:val="0"/>
                <w:sz w:val="24"/>
                <w:szCs w:val="24"/>
                <w:highlight w:val="none"/>
              </w:rPr>
              <w:t>具备AES3及Dante网络接口，支持标准级联信号传输；</w:t>
            </w:r>
            <w:r>
              <w:rPr>
                <w:rFonts w:hint="eastAsia" w:ascii="仿宋_GB2312" w:hAnsi="仿宋_GB2312" w:eastAsia="仿宋_GB2312" w:cs="仿宋_GB2312"/>
                <w:b w:val="0"/>
                <w:bCs w:val="0"/>
                <w:color w:val="000000"/>
                <w:spacing w:val="0"/>
                <w:position w:val="0"/>
                <w:sz w:val="24"/>
                <w:szCs w:val="24"/>
                <w:highlight w:val="none"/>
              </w:rPr>
              <w:t>。</w:t>
            </w:r>
          </w:p>
          <w:p w14:paraId="18987A6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hanging="2"/>
              <w:jc w:val="left"/>
              <w:textAlignment w:val="center"/>
              <w:rPr>
                <w:rFonts w:hint="eastAsia" w:ascii="仿宋_GB2312" w:hAnsi="仿宋_GB2312" w:eastAsia="仿宋_GB2312" w:cs="仿宋_GB2312"/>
                <w:b w:val="0"/>
                <w:bCs w:val="0"/>
                <w:color w:val="000000"/>
                <w:spacing w:val="0"/>
                <w:position w:val="0"/>
                <w:sz w:val="24"/>
                <w:szCs w:val="24"/>
                <w:highlight w:val="none"/>
                <w:lang w:val="en-US" w:eastAsia="zh-CN"/>
              </w:rPr>
            </w:pPr>
            <w:r>
              <w:rPr>
                <w:rFonts w:hint="eastAsia" w:ascii="仿宋_GB2312" w:hAnsi="仿宋_GB2312" w:eastAsia="仿宋_GB2312" w:cs="仿宋_GB2312"/>
                <w:b w:val="0"/>
                <w:bCs w:val="0"/>
                <w:i w:val="0"/>
                <w:iCs w:val="0"/>
                <w:color w:val="000000"/>
                <w:sz w:val="24"/>
                <w:szCs w:val="24"/>
                <w:highlight w:val="none"/>
                <w:u w:val="none"/>
              </w:rPr>
              <w:t>4、★</w:t>
            </w:r>
            <w:r>
              <w:rPr>
                <w:rFonts w:hint="eastAsia" w:ascii="仿宋_GB2312" w:hAnsi="仿宋_GB2312" w:eastAsia="仿宋_GB2312" w:cs="仿宋_GB2312"/>
                <w:b w:val="0"/>
                <w:bCs w:val="0"/>
                <w:sz w:val="24"/>
                <w:szCs w:val="24"/>
                <w:highlight w:val="none"/>
              </w:rPr>
              <w:t>内置FIR分频处理，支持多阶抽点与窗函数选择，可校正扬声器频响与相位</w:t>
            </w:r>
            <w:r>
              <w:rPr>
                <w:rFonts w:hint="eastAsia" w:ascii="仿宋_GB2312" w:hAnsi="仿宋_GB2312" w:eastAsia="仿宋_GB2312" w:cs="仿宋_GB2312"/>
                <w:b w:val="0"/>
                <w:bCs w:val="0"/>
                <w:color w:val="000000"/>
                <w:spacing w:val="0"/>
                <w:position w:val="0"/>
                <w:sz w:val="24"/>
                <w:szCs w:val="24"/>
                <w:highlight w:val="none"/>
                <w:lang w:val="en-US" w:eastAsia="zh-CN"/>
              </w:rPr>
              <w:t>;</w:t>
            </w:r>
          </w:p>
          <w:p w14:paraId="2B9B699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hanging="2"/>
              <w:jc w:val="left"/>
              <w:textAlignment w:val="center"/>
              <w:rPr>
                <w:rFonts w:hint="eastAsia" w:ascii="仿宋_GB2312" w:hAnsi="仿宋_GB2312" w:eastAsia="仿宋_GB2312" w:cs="仿宋_GB2312"/>
                <w:b w:val="0"/>
                <w:bCs w:val="0"/>
                <w:i w:val="0"/>
                <w:iCs w:val="0"/>
                <w:color w:val="000000"/>
                <w:sz w:val="24"/>
                <w:szCs w:val="24"/>
                <w:highlight w:val="none"/>
                <w:u w:val="none"/>
                <w:lang w:eastAsia="zh-CN"/>
              </w:rPr>
            </w:pPr>
            <w:r>
              <w:rPr>
                <w:rFonts w:hint="eastAsia" w:ascii="仿宋_GB2312" w:hAnsi="仿宋_GB2312" w:eastAsia="仿宋_GB2312" w:cs="仿宋_GB2312"/>
                <w:b w:val="0"/>
                <w:bCs w:val="0"/>
                <w:color w:val="000000"/>
                <w:spacing w:val="0"/>
                <w:position w:val="0"/>
                <w:sz w:val="24"/>
                <w:szCs w:val="24"/>
                <w:highlight w:val="none"/>
                <w:lang w:val="en-US" w:eastAsia="zh-CN"/>
              </w:rPr>
              <w:t>5、</w:t>
            </w:r>
            <w:r>
              <w:rPr>
                <w:rFonts w:hint="eastAsia" w:ascii="仿宋_GB2312" w:hAnsi="仿宋_GB2312" w:eastAsia="仿宋_GB2312" w:cs="仿宋_GB2312"/>
                <w:b w:val="0"/>
                <w:bCs w:val="0"/>
                <w:sz w:val="24"/>
                <w:szCs w:val="24"/>
                <w:highlight w:val="none"/>
              </w:rPr>
              <w:t>具备</w:t>
            </w:r>
            <w:r>
              <w:rPr>
                <w:rFonts w:hint="eastAsia" w:ascii="仿宋_GB2312" w:hAnsi="仿宋_GB2312" w:eastAsia="仿宋_GB2312" w:cs="仿宋_GB2312"/>
                <w:b w:val="0"/>
                <w:bCs w:val="0"/>
                <w:color w:val="000000"/>
                <w:spacing w:val="0"/>
                <w:position w:val="0"/>
                <w:sz w:val="24"/>
                <w:szCs w:val="24"/>
                <w:highlight w:val="none"/>
              </w:rPr>
              <w:t>信号发生器、</w:t>
            </w:r>
            <w:r>
              <w:rPr>
                <w:rFonts w:hint="eastAsia" w:ascii="仿宋_GB2312" w:hAnsi="仿宋_GB2312" w:eastAsia="仿宋_GB2312" w:cs="仿宋_GB2312"/>
                <w:b w:val="0"/>
                <w:bCs w:val="0"/>
                <w:sz w:val="24"/>
                <w:szCs w:val="24"/>
                <w:highlight w:val="none"/>
              </w:rPr>
              <w:t>31段输入参量均衡、10段输出参量均衡、噪声门、音频矩阵、分频、压缩限幅等完整处理功能</w:t>
            </w:r>
            <w:r>
              <w:rPr>
                <w:rFonts w:hint="eastAsia" w:ascii="仿宋_GB2312" w:hAnsi="仿宋_GB2312" w:eastAsia="仿宋_GB2312" w:cs="仿宋_GB2312"/>
                <w:b w:val="0"/>
                <w:bCs w:val="0"/>
                <w:color w:val="000000"/>
                <w:spacing w:val="0"/>
                <w:position w:val="0"/>
                <w:sz w:val="24"/>
                <w:szCs w:val="24"/>
                <w:highlight w:val="none"/>
                <w:lang w:eastAsia="zh-CN"/>
              </w:rPr>
              <w:t>；</w:t>
            </w:r>
          </w:p>
          <w:p w14:paraId="325F3C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6</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rPr>
              <w:t>每通道4Ω负载适配，≥4路平衡XLR输入；</w:t>
            </w:r>
          </w:p>
          <w:p w14:paraId="71B5BFE7">
            <w:pPr>
              <w:widowControl/>
              <w:numPr>
                <w:ilvl w:val="0"/>
                <w:numId w:val="0"/>
              </w:numPr>
              <w:spacing w:line="300" w:lineRule="exact"/>
              <w:jc w:val="left"/>
              <w:textAlignment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t>7</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rPr>
              <w:t>输出配置专业音响接口及接线柱，输入EQ≥31段、输出EQ≥10段，场景预设≥70组</w:t>
            </w:r>
            <w:r>
              <w:rPr>
                <w:rFonts w:hint="eastAsia" w:ascii="仿宋_GB2312" w:hAnsi="仿宋_GB2312" w:eastAsia="仿宋_GB2312" w:cs="仿宋_GB2312"/>
                <w:b w:val="0"/>
                <w:bCs w:val="0"/>
                <w:sz w:val="24"/>
                <w:szCs w:val="24"/>
                <w:highlight w:val="none"/>
                <w:lang w:val="en-US" w:eastAsia="zh-CN"/>
              </w:rPr>
              <w:t>;</w:t>
            </w:r>
          </w:p>
          <w:p w14:paraId="54B0D86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lang w:val="en-US" w:eastAsia="zh-CN"/>
              </w:rPr>
              <w:t>8</w:t>
            </w:r>
            <w:r>
              <w:rPr>
                <w:rFonts w:hint="eastAsia" w:ascii="仿宋_GB2312" w:hAnsi="仿宋_GB2312" w:eastAsia="仿宋_GB2312" w:cs="仿宋_GB2312"/>
                <w:b w:val="0"/>
                <w:bCs w:val="0"/>
                <w:i w:val="0"/>
                <w:iCs w:val="0"/>
                <w:color w:val="000000"/>
                <w:sz w:val="24"/>
                <w:szCs w:val="24"/>
                <w:highlight w:val="none"/>
                <w:u w:val="none"/>
              </w:rPr>
              <w:t xml:space="preserve">、信噪比≥103dB，频响20Hz~20kHz(±0.5dB) </w:t>
            </w:r>
            <w:r>
              <w:rPr>
                <w:rFonts w:hint="eastAsia" w:ascii="仿宋_GB2312" w:hAnsi="仿宋_GB2312" w:eastAsia="仿宋_GB2312" w:cs="仿宋_GB2312"/>
                <w:b w:val="0"/>
                <w:bCs w:val="0"/>
                <w:i w:val="0"/>
                <w:iCs w:val="0"/>
                <w:color w:val="000000"/>
                <w:sz w:val="24"/>
                <w:szCs w:val="24"/>
                <w:highlight w:val="none"/>
                <w:u w:val="none"/>
                <w:lang w:eastAsia="zh-CN"/>
              </w:rPr>
              <w:t>，</w:t>
            </w:r>
            <w:r>
              <w:rPr>
                <w:rFonts w:hint="eastAsia" w:ascii="仿宋_GB2312" w:hAnsi="仿宋_GB2312" w:eastAsia="仿宋_GB2312" w:cs="仿宋_GB2312"/>
                <w:b w:val="0"/>
                <w:bCs w:val="0"/>
                <w:sz w:val="24"/>
                <w:szCs w:val="24"/>
                <w:highlight w:val="none"/>
              </w:rPr>
              <w:t>采样率48k/24bi</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i w:val="0"/>
                <w:iCs w:val="0"/>
                <w:color w:val="000000"/>
                <w:sz w:val="24"/>
                <w:szCs w:val="24"/>
                <w:highlight w:val="none"/>
                <w:u w:val="none"/>
              </w:rPr>
              <w:t xml:space="preserve">    </w:t>
            </w:r>
          </w:p>
          <w:p w14:paraId="300D871C">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lang w:val="en-US" w:eastAsia="zh-CN"/>
              </w:rPr>
              <w:t>9</w:t>
            </w:r>
            <w:r>
              <w:rPr>
                <w:rFonts w:hint="eastAsia" w:ascii="仿宋_GB2312" w:hAnsi="仿宋_GB2312" w:eastAsia="仿宋_GB2312" w:cs="仿宋_GB2312"/>
                <w:b w:val="0"/>
                <w:bCs w:val="0"/>
                <w:i w:val="0"/>
                <w:iCs w:val="0"/>
                <w:color w:val="000000"/>
                <w:sz w:val="24"/>
                <w:szCs w:val="24"/>
                <w:highlight w:val="none"/>
                <w:u w:val="none"/>
              </w:rPr>
              <w:t>、</w:t>
            </w:r>
            <w:r>
              <w:rPr>
                <w:rFonts w:hint="eastAsia" w:ascii="仿宋_GB2312" w:hAnsi="仿宋_GB2312" w:eastAsia="仿宋_GB2312" w:cs="仿宋_GB2312"/>
                <w:b w:val="0"/>
                <w:bCs w:val="0"/>
                <w:sz w:val="24"/>
                <w:szCs w:val="24"/>
                <w:highlight w:val="none"/>
              </w:rPr>
              <w:t>单通道8Ω功率≥800W，4Ω功率≥1600W，桥接8Ω≥3200W。</w:t>
            </w:r>
          </w:p>
          <w:p w14:paraId="161C30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41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3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r>
      <w:tr w14:paraId="77BF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7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11</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C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全频返送音箱</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0F1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lang w:val="en-US" w:eastAsia="zh-CN" w:bidi="ar"/>
              </w:rPr>
              <w:t>1、</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单功放</w:t>
            </w:r>
            <w:r>
              <w:rPr>
                <w:rFonts w:hint="eastAsia" w:ascii="仿宋_GB2312" w:hAnsi="仿宋_GB2312" w:eastAsia="仿宋_GB2312" w:cs="仿宋_GB2312"/>
                <w:b w:val="0"/>
                <w:bCs w:val="0"/>
                <w:sz w:val="24"/>
                <w:szCs w:val="24"/>
                <w:highlight w:val="none"/>
              </w:rPr>
              <w:t>驱动</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，内置分频器</w:t>
            </w:r>
            <w:r>
              <w:rPr>
                <w:rFonts w:hint="eastAsia" w:ascii="仿宋_GB2312" w:hAnsi="仿宋_GB2312" w:eastAsia="仿宋_GB2312" w:cs="仿宋_GB2312"/>
                <w:b w:val="0"/>
                <w:bCs w:val="0"/>
                <w:sz w:val="24"/>
                <w:szCs w:val="24"/>
                <w:highlight w:val="none"/>
              </w:rPr>
              <w:t>，频率响应85Hz-20kHz（±3dB）</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78AC6A8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lang w:val="en-US" w:eastAsia="zh-CN" w:bidi="ar"/>
              </w:rPr>
              <w:t>2、</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★标称覆盖范围</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90x90；</w:t>
            </w:r>
          </w:p>
          <w:p w14:paraId="47EA5DB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lang w:val="en-US" w:eastAsia="zh-CN" w:bidi="ar"/>
              </w:rPr>
              <w:t>3、</w:t>
            </w:r>
            <w:r>
              <w:rPr>
                <w:rFonts w:hint="eastAsia" w:ascii="仿宋_GB2312" w:hAnsi="仿宋_GB2312" w:eastAsia="仿宋_GB2312" w:cs="仿宋_GB2312"/>
                <w:b w:val="0"/>
                <w:bCs w:val="0"/>
                <w:sz w:val="24"/>
                <w:szCs w:val="24"/>
                <w:highlight w:val="none"/>
              </w:rPr>
              <w:t>配备≥12寸低频单元、≥1.5寸音圈高频单元</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2647680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lang w:val="en-US" w:eastAsia="zh-CN" w:bidi="ar"/>
              </w:rPr>
              <w:t>4、</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★额定功率</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350瓦；</w:t>
            </w:r>
            <w:r>
              <w:rPr>
                <w:rFonts w:hint="eastAsia" w:ascii="仿宋_GB2312" w:hAnsi="仿宋_GB2312" w:eastAsia="仿宋_GB2312" w:cs="仿宋_GB2312"/>
                <w:b w:val="0"/>
                <w:bCs w:val="0"/>
                <w:sz w:val="24"/>
                <w:szCs w:val="24"/>
                <w:highlight w:val="none"/>
              </w:rPr>
              <w:t>峰值功率满足专业扩声要求</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5、★最大声压级</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123dB；</w:t>
            </w:r>
            <w:r>
              <w:rPr>
                <w:rFonts w:hint="eastAsia" w:ascii="仿宋_GB2312" w:hAnsi="仿宋_GB2312" w:eastAsia="仿宋_GB2312" w:cs="仿宋_GB2312"/>
                <w:b w:val="0"/>
                <w:bCs w:val="0"/>
                <w:sz w:val="24"/>
                <w:szCs w:val="24"/>
                <w:highlight w:val="none"/>
              </w:rPr>
              <w:t>满足礼堂全场均匀扩声需求</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28AB7FB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6、专业返送型扬声器；</w:t>
            </w:r>
          </w:p>
          <w:p w14:paraId="699CC26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67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只</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2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r>
      <w:tr w14:paraId="3F9A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1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9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全频返送数字开关电源功放</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2A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rPr>
              <w:t>1、★</w:t>
            </w:r>
            <w:r>
              <w:rPr>
                <w:rFonts w:hint="eastAsia" w:ascii="仿宋_GB2312" w:hAnsi="仿宋_GB2312" w:eastAsia="仿宋_GB2312" w:cs="仿宋_GB2312"/>
                <w:b w:val="0"/>
                <w:bCs w:val="0"/>
                <w:sz w:val="24"/>
                <w:szCs w:val="24"/>
                <w:highlight w:val="none"/>
              </w:rPr>
              <w:t>支具备整机温度、功率、电压电流监测，支持远程开关机、DSP组网控制、Dante网络音频，带加密管理界面；</w:t>
            </w:r>
          </w:p>
          <w:p w14:paraId="0187CB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lang w:eastAsia="zh-CN"/>
              </w:rPr>
            </w:pPr>
            <w:r>
              <w:rPr>
                <w:rFonts w:hint="eastAsia" w:ascii="仿宋_GB2312" w:hAnsi="仿宋_GB2312" w:eastAsia="仿宋_GB2312" w:cs="仿宋_GB2312"/>
                <w:b w:val="0"/>
                <w:bCs w:val="0"/>
                <w:i w:val="0"/>
                <w:iCs w:val="0"/>
                <w:color w:val="000000"/>
                <w:sz w:val="24"/>
                <w:szCs w:val="24"/>
                <w:highlight w:val="none"/>
                <w:u w:val="none"/>
              </w:rPr>
              <w:t>2、★</w:t>
            </w:r>
            <w:r>
              <w:rPr>
                <w:rFonts w:hint="eastAsia" w:ascii="仿宋_GB2312" w:hAnsi="仿宋_GB2312" w:eastAsia="仿宋_GB2312" w:cs="仿宋_GB2312"/>
                <w:b w:val="0"/>
                <w:bCs w:val="0"/>
                <w:sz w:val="24"/>
                <w:szCs w:val="24"/>
                <w:highlight w:val="none"/>
              </w:rPr>
              <w:t>兼容DANTE、AES、模拟三模式输入，支持数模备份优先级切换</w:t>
            </w:r>
            <w:r>
              <w:rPr>
                <w:rFonts w:hint="eastAsia" w:ascii="仿宋_GB2312" w:hAnsi="仿宋_GB2312" w:eastAsia="仿宋_GB2312" w:cs="仿宋_GB2312"/>
                <w:b w:val="0"/>
                <w:bCs w:val="0"/>
                <w:i w:val="0"/>
                <w:iCs w:val="0"/>
                <w:color w:val="000000"/>
                <w:sz w:val="24"/>
                <w:szCs w:val="24"/>
                <w:highlight w:val="none"/>
                <w:u w:val="none"/>
                <w:lang w:eastAsia="zh-CN"/>
              </w:rPr>
              <w:t>；</w:t>
            </w:r>
          </w:p>
          <w:p w14:paraId="389BA5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firstLine="30"/>
              <w:jc w:val="left"/>
              <w:textAlignment w:val="center"/>
              <w:rPr>
                <w:rFonts w:hint="eastAsia" w:ascii="仿宋_GB2312" w:hAnsi="仿宋_GB2312" w:eastAsia="仿宋_GB2312" w:cs="仿宋_GB2312"/>
                <w:b w:val="0"/>
                <w:bCs w:val="0"/>
                <w:color w:val="000000"/>
                <w:spacing w:val="0"/>
                <w:position w:val="0"/>
                <w:sz w:val="24"/>
                <w:szCs w:val="24"/>
                <w:highlight w:val="none"/>
              </w:rPr>
            </w:pPr>
            <w:r>
              <w:rPr>
                <w:rFonts w:hint="eastAsia" w:ascii="仿宋_GB2312" w:hAnsi="仿宋_GB2312" w:eastAsia="仿宋_GB2312" w:cs="仿宋_GB2312"/>
                <w:b w:val="0"/>
                <w:bCs w:val="0"/>
                <w:i w:val="0"/>
                <w:iCs w:val="0"/>
                <w:color w:val="000000"/>
                <w:sz w:val="24"/>
                <w:szCs w:val="24"/>
                <w:highlight w:val="none"/>
                <w:u w:val="none"/>
              </w:rPr>
              <w:t>3、★</w:t>
            </w:r>
            <w:r>
              <w:rPr>
                <w:rFonts w:hint="eastAsia" w:ascii="仿宋_GB2312" w:hAnsi="仿宋_GB2312" w:eastAsia="仿宋_GB2312" w:cs="仿宋_GB2312"/>
                <w:b w:val="0"/>
                <w:bCs w:val="0"/>
                <w:sz w:val="24"/>
                <w:szCs w:val="24"/>
                <w:highlight w:val="none"/>
              </w:rPr>
              <w:t>具备AES3及Dante网络接口，支持标准级联信号传输；</w:t>
            </w:r>
            <w:r>
              <w:rPr>
                <w:rFonts w:hint="eastAsia" w:ascii="仿宋_GB2312" w:hAnsi="仿宋_GB2312" w:eastAsia="仿宋_GB2312" w:cs="仿宋_GB2312"/>
                <w:b w:val="0"/>
                <w:bCs w:val="0"/>
                <w:color w:val="000000"/>
                <w:spacing w:val="0"/>
                <w:position w:val="0"/>
                <w:sz w:val="24"/>
                <w:szCs w:val="24"/>
                <w:highlight w:val="none"/>
              </w:rPr>
              <w:t>。</w:t>
            </w:r>
          </w:p>
          <w:p w14:paraId="4C9800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hanging="2"/>
              <w:jc w:val="left"/>
              <w:textAlignment w:val="center"/>
              <w:rPr>
                <w:rFonts w:hint="eastAsia" w:ascii="仿宋_GB2312" w:hAnsi="仿宋_GB2312" w:eastAsia="仿宋_GB2312" w:cs="仿宋_GB2312"/>
                <w:b w:val="0"/>
                <w:bCs w:val="0"/>
                <w:color w:val="000000"/>
                <w:spacing w:val="0"/>
                <w:position w:val="0"/>
                <w:sz w:val="24"/>
                <w:szCs w:val="24"/>
                <w:highlight w:val="none"/>
                <w:lang w:val="en-US" w:eastAsia="zh-CN"/>
              </w:rPr>
            </w:pPr>
            <w:r>
              <w:rPr>
                <w:rFonts w:hint="eastAsia" w:ascii="仿宋_GB2312" w:hAnsi="仿宋_GB2312" w:eastAsia="仿宋_GB2312" w:cs="仿宋_GB2312"/>
                <w:b w:val="0"/>
                <w:bCs w:val="0"/>
                <w:i w:val="0"/>
                <w:iCs w:val="0"/>
                <w:color w:val="000000"/>
                <w:sz w:val="24"/>
                <w:szCs w:val="24"/>
                <w:highlight w:val="none"/>
                <w:u w:val="none"/>
              </w:rPr>
              <w:t>4、★</w:t>
            </w:r>
            <w:r>
              <w:rPr>
                <w:rFonts w:hint="eastAsia" w:ascii="仿宋_GB2312" w:hAnsi="仿宋_GB2312" w:eastAsia="仿宋_GB2312" w:cs="仿宋_GB2312"/>
                <w:b w:val="0"/>
                <w:bCs w:val="0"/>
                <w:sz w:val="24"/>
                <w:szCs w:val="24"/>
                <w:highlight w:val="none"/>
              </w:rPr>
              <w:t>内置FIR分频处理，支持多阶抽点与窗函数选择，可校正扬声器频响与相位</w:t>
            </w:r>
            <w:r>
              <w:rPr>
                <w:rFonts w:hint="eastAsia" w:ascii="仿宋_GB2312" w:hAnsi="仿宋_GB2312" w:eastAsia="仿宋_GB2312" w:cs="仿宋_GB2312"/>
                <w:b w:val="0"/>
                <w:bCs w:val="0"/>
                <w:color w:val="000000"/>
                <w:spacing w:val="0"/>
                <w:position w:val="0"/>
                <w:sz w:val="24"/>
                <w:szCs w:val="24"/>
                <w:highlight w:val="none"/>
                <w:lang w:val="en-US" w:eastAsia="zh-CN"/>
              </w:rPr>
              <w:t>;</w:t>
            </w:r>
          </w:p>
          <w:p w14:paraId="7027DCC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hanging="2"/>
              <w:jc w:val="left"/>
              <w:textAlignment w:val="center"/>
              <w:rPr>
                <w:rFonts w:hint="eastAsia" w:ascii="仿宋_GB2312" w:hAnsi="仿宋_GB2312" w:eastAsia="仿宋_GB2312" w:cs="仿宋_GB2312"/>
                <w:b w:val="0"/>
                <w:bCs w:val="0"/>
                <w:i w:val="0"/>
                <w:iCs w:val="0"/>
                <w:color w:val="000000"/>
                <w:sz w:val="24"/>
                <w:szCs w:val="24"/>
                <w:highlight w:val="none"/>
                <w:u w:val="none"/>
                <w:lang w:eastAsia="zh-CN"/>
              </w:rPr>
            </w:pPr>
            <w:r>
              <w:rPr>
                <w:rFonts w:hint="eastAsia" w:ascii="仿宋_GB2312" w:hAnsi="仿宋_GB2312" w:eastAsia="仿宋_GB2312" w:cs="仿宋_GB2312"/>
                <w:b w:val="0"/>
                <w:bCs w:val="0"/>
                <w:color w:val="000000"/>
                <w:spacing w:val="0"/>
                <w:position w:val="0"/>
                <w:sz w:val="24"/>
                <w:szCs w:val="24"/>
                <w:highlight w:val="none"/>
                <w:lang w:val="en-US" w:eastAsia="zh-CN"/>
              </w:rPr>
              <w:t>5、</w:t>
            </w:r>
            <w:r>
              <w:rPr>
                <w:rFonts w:hint="eastAsia" w:ascii="仿宋_GB2312" w:hAnsi="仿宋_GB2312" w:eastAsia="仿宋_GB2312" w:cs="仿宋_GB2312"/>
                <w:b w:val="0"/>
                <w:bCs w:val="0"/>
                <w:sz w:val="24"/>
                <w:szCs w:val="24"/>
                <w:highlight w:val="none"/>
              </w:rPr>
              <w:t>具备</w:t>
            </w:r>
            <w:r>
              <w:rPr>
                <w:rFonts w:hint="eastAsia" w:ascii="仿宋_GB2312" w:hAnsi="仿宋_GB2312" w:eastAsia="仿宋_GB2312" w:cs="仿宋_GB2312"/>
                <w:b w:val="0"/>
                <w:bCs w:val="0"/>
                <w:color w:val="000000"/>
                <w:spacing w:val="0"/>
                <w:position w:val="0"/>
                <w:sz w:val="24"/>
                <w:szCs w:val="24"/>
                <w:highlight w:val="none"/>
              </w:rPr>
              <w:t>信号发生器、</w:t>
            </w:r>
            <w:r>
              <w:rPr>
                <w:rFonts w:hint="eastAsia" w:ascii="仿宋_GB2312" w:hAnsi="仿宋_GB2312" w:eastAsia="仿宋_GB2312" w:cs="仿宋_GB2312"/>
                <w:b w:val="0"/>
                <w:bCs w:val="0"/>
                <w:sz w:val="24"/>
                <w:szCs w:val="24"/>
                <w:highlight w:val="none"/>
              </w:rPr>
              <w:t>31段输入参量均衡、10段输出参量均衡、噪声门、音频矩阵、分频、压缩限幅等完整处理功能</w:t>
            </w:r>
            <w:r>
              <w:rPr>
                <w:rFonts w:hint="eastAsia" w:ascii="仿宋_GB2312" w:hAnsi="仿宋_GB2312" w:eastAsia="仿宋_GB2312" w:cs="仿宋_GB2312"/>
                <w:b w:val="0"/>
                <w:bCs w:val="0"/>
                <w:color w:val="000000"/>
                <w:spacing w:val="0"/>
                <w:position w:val="0"/>
                <w:sz w:val="24"/>
                <w:szCs w:val="24"/>
                <w:highlight w:val="none"/>
                <w:lang w:eastAsia="zh-CN"/>
              </w:rPr>
              <w:t>；</w:t>
            </w:r>
          </w:p>
          <w:p w14:paraId="02216D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leftChars="0"/>
              <w:jc w:val="left"/>
              <w:textAlignment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6</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rPr>
              <w:t>每通道4Ω负载适配，≥4路平衡XLR输入；</w:t>
            </w:r>
          </w:p>
          <w:p w14:paraId="0F38AE61">
            <w:pPr>
              <w:widowControl/>
              <w:numPr>
                <w:ilvl w:val="0"/>
                <w:numId w:val="0"/>
              </w:numPr>
              <w:spacing w:line="300" w:lineRule="exact"/>
              <w:jc w:val="left"/>
              <w:textAlignment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t>7</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rPr>
              <w:t>输出配置专业音响接口及接线柱，输入EQ≥31段、输出EQ≥10段，场景预设≥70组</w:t>
            </w:r>
            <w:r>
              <w:rPr>
                <w:rFonts w:hint="eastAsia" w:ascii="仿宋_GB2312" w:hAnsi="仿宋_GB2312" w:eastAsia="仿宋_GB2312" w:cs="仿宋_GB2312"/>
                <w:b w:val="0"/>
                <w:bCs w:val="0"/>
                <w:sz w:val="24"/>
                <w:szCs w:val="24"/>
                <w:highlight w:val="none"/>
                <w:lang w:val="en-US" w:eastAsia="zh-CN"/>
              </w:rPr>
              <w:t>;</w:t>
            </w:r>
          </w:p>
          <w:p w14:paraId="6B2495C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lang w:val="en-US" w:eastAsia="zh-CN"/>
              </w:rPr>
              <w:t>8</w:t>
            </w:r>
            <w:r>
              <w:rPr>
                <w:rFonts w:hint="eastAsia" w:ascii="仿宋_GB2312" w:hAnsi="仿宋_GB2312" w:eastAsia="仿宋_GB2312" w:cs="仿宋_GB2312"/>
                <w:b w:val="0"/>
                <w:bCs w:val="0"/>
                <w:i w:val="0"/>
                <w:iCs w:val="0"/>
                <w:color w:val="000000"/>
                <w:sz w:val="24"/>
                <w:szCs w:val="24"/>
                <w:highlight w:val="none"/>
                <w:u w:val="none"/>
              </w:rPr>
              <w:t xml:space="preserve">、信噪比≥103dB，频响20Hz~20kHz(±0.5dB) </w:t>
            </w:r>
            <w:r>
              <w:rPr>
                <w:rFonts w:hint="eastAsia" w:ascii="仿宋_GB2312" w:hAnsi="仿宋_GB2312" w:eastAsia="仿宋_GB2312" w:cs="仿宋_GB2312"/>
                <w:b w:val="0"/>
                <w:bCs w:val="0"/>
                <w:i w:val="0"/>
                <w:iCs w:val="0"/>
                <w:color w:val="000000"/>
                <w:sz w:val="24"/>
                <w:szCs w:val="24"/>
                <w:highlight w:val="none"/>
                <w:u w:val="none"/>
                <w:lang w:eastAsia="zh-CN"/>
              </w:rPr>
              <w:t>，</w:t>
            </w:r>
            <w:r>
              <w:rPr>
                <w:rFonts w:hint="eastAsia" w:ascii="仿宋_GB2312" w:hAnsi="仿宋_GB2312" w:eastAsia="仿宋_GB2312" w:cs="仿宋_GB2312"/>
                <w:b w:val="0"/>
                <w:bCs w:val="0"/>
                <w:sz w:val="24"/>
                <w:szCs w:val="24"/>
                <w:highlight w:val="none"/>
              </w:rPr>
              <w:t>采样率48k/24bi</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i w:val="0"/>
                <w:iCs w:val="0"/>
                <w:color w:val="000000"/>
                <w:sz w:val="24"/>
                <w:szCs w:val="24"/>
                <w:highlight w:val="none"/>
                <w:u w:val="none"/>
              </w:rPr>
              <w:t xml:space="preserve">    </w:t>
            </w:r>
          </w:p>
          <w:p w14:paraId="62CFA789">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sz w:val="24"/>
                <w:szCs w:val="24"/>
                <w:highlight w:val="none"/>
                <w:u w:val="none"/>
                <w:lang w:val="en-US" w:eastAsia="zh-CN"/>
              </w:rPr>
              <w:t>9</w:t>
            </w:r>
            <w:r>
              <w:rPr>
                <w:rFonts w:hint="eastAsia" w:ascii="仿宋_GB2312" w:hAnsi="仿宋_GB2312" w:eastAsia="仿宋_GB2312" w:cs="仿宋_GB2312"/>
                <w:b w:val="0"/>
                <w:bCs w:val="0"/>
                <w:i w:val="0"/>
                <w:iCs w:val="0"/>
                <w:color w:val="000000"/>
                <w:sz w:val="24"/>
                <w:szCs w:val="24"/>
                <w:highlight w:val="none"/>
                <w:u w:val="none"/>
              </w:rPr>
              <w:t>、</w:t>
            </w:r>
            <w:r>
              <w:rPr>
                <w:rFonts w:hint="eastAsia" w:ascii="仿宋_GB2312" w:hAnsi="仿宋_GB2312" w:eastAsia="仿宋_GB2312" w:cs="仿宋_GB2312"/>
                <w:b w:val="0"/>
                <w:bCs w:val="0"/>
                <w:sz w:val="24"/>
                <w:szCs w:val="24"/>
                <w:highlight w:val="none"/>
              </w:rPr>
              <w:t>单通道8Ω功率≥800W，4Ω功率≥1600W，桥接8Ω≥3200W。</w:t>
            </w:r>
          </w:p>
          <w:p w14:paraId="190428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0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A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r>
      <w:tr w14:paraId="4004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0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13</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D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数字调音台</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A3D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1、</w:t>
            </w:r>
            <w:r>
              <w:rPr>
                <w:rFonts w:hint="eastAsia" w:ascii="仿宋_GB2312" w:hAnsi="仿宋_GB2312" w:eastAsia="仿宋_GB2312" w:cs="仿宋_GB2312"/>
                <w:b w:val="0"/>
                <w:bCs w:val="0"/>
                <w:sz w:val="24"/>
                <w:szCs w:val="24"/>
                <w:highlight w:val="none"/>
              </w:rPr>
              <w:t>整机处理通道不少于40路，物理输入不少于32路</w:t>
            </w:r>
            <w:r>
              <w:rPr>
                <w:rFonts w:hint="eastAsia" w:ascii="仿宋_GB2312" w:hAnsi="仿宋_GB2312" w:eastAsia="仿宋_GB2312" w:cs="仿宋_GB2312"/>
                <w:b w:val="0"/>
                <w:bCs w:val="0"/>
                <w:sz w:val="24"/>
                <w:szCs w:val="24"/>
                <w:highlight w:val="none"/>
                <w:lang w:val="en-US" w:eastAsia="zh-CN"/>
              </w:rPr>
              <w:t>;</w:t>
            </w:r>
          </w:p>
          <w:p w14:paraId="0B02E6E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2、</w:t>
            </w:r>
            <w:r>
              <w:rPr>
                <w:rFonts w:hint="eastAsia" w:ascii="仿宋_GB2312" w:hAnsi="仿宋_GB2312" w:eastAsia="仿宋_GB2312" w:cs="仿宋_GB2312"/>
                <w:b w:val="0"/>
                <w:bCs w:val="0"/>
                <w:sz w:val="24"/>
                <w:szCs w:val="24"/>
                <w:highlight w:val="none"/>
              </w:rPr>
              <w:t>配置高品质可编程麦克风前置放大器</w:t>
            </w:r>
            <w:r>
              <w:rPr>
                <w:rFonts w:hint="eastAsia" w:ascii="仿宋_GB2312" w:hAnsi="仿宋_GB2312" w:eastAsia="仿宋_GB2312" w:cs="仿宋_GB2312"/>
                <w:b w:val="0"/>
                <w:bCs w:val="0"/>
                <w:i w:val="0"/>
                <w:iCs w:val="0"/>
                <w:color w:val="000000"/>
                <w:sz w:val="24"/>
                <w:szCs w:val="24"/>
                <w:highlight w:val="none"/>
                <w:u w:val="none"/>
                <w:lang w:val="en-US" w:eastAsia="zh-CN"/>
              </w:rPr>
              <w:t>;</w:t>
            </w:r>
          </w:p>
          <w:p w14:paraId="314E9DB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3、</w:t>
            </w:r>
            <w:r>
              <w:rPr>
                <w:rFonts w:hint="eastAsia" w:ascii="仿宋_GB2312" w:hAnsi="仿宋_GB2312" w:eastAsia="仿宋_GB2312" w:cs="仿宋_GB2312"/>
                <w:b w:val="0"/>
                <w:bCs w:val="0"/>
                <w:sz w:val="24"/>
                <w:szCs w:val="24"/>
                <w:highlight w:val="none"/>
              </w:rPr>
              <w:t>输出总线不少于25条，含主输出、混音、矩阵母线</w:t>
            </w:r>
            <w:r>
              <w:rPr>
                <w:rFonts w:hint="eastAsia" w:ascii="仿宋_GB2312" w:hAnsi="仿宋_GB2312" w:eastAsia="仿宋_GB2312" w:cs="仿宋_GB2312"/>
                <w:b w:val="0"/>
                <w:bCs w:val="0"/>
                <w:i w:val="0"/>
                <w:iCs w:val="0"/>
                <w:color w:val="000000"/>
                <w:sz w:val="24"/>
                <w:szCs w:val="24"/>
                <w:highlight w:val="none"/>
                <w:u w:val="none"/>
                <w:lang w:val="en-US" w:eastAsia="zh-CN"/>
              </w:rPr>
              <w:t>;</w:t>
            </w:r>
          </w:p>
          <w:p w14:paraId="30B6C01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4、</w:t>
            </w:r>
            <w:r>
              <w:rPr>
                <w:rFonts w:hint="eastAsia" w:ascii="仿宋_GB2312" w:hAnsi="仿宋_GB2312" w:eastAsia="仿宋_GB2312" w:cs="仿宋_GB2312"/>
                <w:b w:val="0"/>
                <w:bCs w:val="0"/>
                <w:sz w:val="24"/>
                <w:szCs w:val="24"/>
                <w:highlight w:val="none"/>
              </w:rPr>
              <w:t>配备≥7英寸高清彩色TFT显示屏</w:t>
            </w:r>
          </w:p>
          <w:p w14:paraId="21D0FE9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5、</w:t>
            </w:r>
            <w:r>
              <w:rPr>
                <w:rFonts w:hint="eastAsia" w:ascii="仿宋_GB2312" w:hAnsi="仿宋_GB2312" w:eastAsia="仿宋_GB2312" w:cs="仿宋_GB2312"/>
                <w:b w:val="0"/>
                <w:bCs w:val="0"/>
                <w:i w:val="0"/>
                <w:iCs w:val="0"/>
                <w:color w:val="000000"/>
                <w:sz w:val="24"/>
                <w:szCs w:val="24"/>
                <w:highlight w:val="none"/>
                <w:u w:val="none"/>
              </w:rPr>
              <w:t>每通道独立压缩器</w:t>
            </w:r>
            <w:r>
              <w:rPr>
                <w:rFonts w:hint="eastAsia" w:ascii="仿宋_GB2312" w:hAnsi="仿宋_GB2312" w:eastAsia="仿宋_GB2312" w:cs="仿宋_GB2312"/>
                <w:b w:val="0"/>
                <w:bCs w:val="0"/>
                <w:i w:val="0"/>
                <w:iCs w:val="0"/>
                <w:color w:val="000000"/>
                <w:sz w:val="24"/>
                <w:szCs w:val="24"/>
                <w:highlight w:val="none"/>
                <w:u w:val="none"/>
                <w:lang w:val="en-US" w:eastAsia="zh-CN"/>
              </w:rPr>
              <w:t>、</w:t>
            </w:r>
            <w:r>
              <w:rPr>
                <w:rFonts w:hint="eastAsia" w:ascii="仿宋_GB2312" w:hAnsi="仿宋_GB2312" w:eastAsia="仿宋_GB2312" w:cs="仿宋_GB2312"/>
                <w:b w:val="0"/>
                <w:bCs w:val="0"/>
                <w:i w:val="0"/>
                <w:iCs w:val="0"/>
                <w:color w:val="000000"/>
                <w:sz w:val="24"/>
                <w:szCs w:val="24"/>
                <w:highlight w:val="none"/>
                <w:u w:val="none"/>
              </w:rPr>
              <w:t>噪声门，</w:t>
            </w:r>
            <w:r>
              <w:rPr>
                <w:rFonts w:hint="eastAsia" w:ascii="仿宋_GB2312" w:hAnsi="仿宋_GB2312" w:eastAsia="仿宋_GB2312" w:cs="仿宋_GB2312"/>
                <w:b w:val="0"/>
                <w:bCs w:val="0"/>
                <w:i w:val="0"/>
                <w:iCs w:val="0"/>
                <w:color w:val="000000"/>
                <w:sz w:val="24"/>
                <w:szCs w:val="24"/>
                <w:highlight w:val="none"/>
                <w:u w:val="none"/>
                <w:lang w:val="en-US" w:eastAsia="zh-CN"/>
              </w:rPr>
              <w:t>多</w:t>
            </w:r>
            <w:r>
              <w:rPr>
                <w:rFonts w:hint="eastAsia" w:ascii="仿宋_GB2312" w:hAnsi="仿宋_GB2312" w:eastAsia="仿宋_GB2312" w:cs="仿宋_GB2312"/>
                <w:b w:val="0"/>
                <w:bCs w:val="0"/>
                <w:i w:val="0"/>
                <w:iCs w:val="0"/>
                <w:color w:val="000000"/>
                <w:sz w:val="24"/>
                <w:szCs w:val="24"/>
                <w:highlight w:val="none"/>
                <w:u w:val="none"/>
              </w:rPr>
              <w:t>段参数均衡</w:t>
            </w:r>
            <w:r>
              <w:rPr>
                <w:rFonts w:hint="eastAsia" w:ascii="仿宋_GB2312" w:hAnsi="仿宋_GB2312" w:eastAsia="仿宋_GB2312" w:cs="仿宋_GB2312"/>
                <w:b w:val="0"/>
                <w:bCs w:val="0"/>
                <w:i w:val="0"/>
                <w:iCs w:val="0"/>
                <w:color w:val="000000"/>
                <w:sz w:val="24"/>
                <w:szCs w:val="24"/>
                <w:highlight w:val="none"/>
                <w:u w:val="none"/>
                <w:lang w:eastAsia="zh-CN"/>
              </w:rPr>
              <w:t>；</w:t>
            </w:r>
          </w:p>
          <w:p w14:paraId="70F686E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lang w:eastAsia="zh-CN"/>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6、</w:t>
            </w:r>
            <w:r>
              <w:rPr>
                <w:rFonts w:hint="eastAsia" w:ascii="仿宋_GB2312" w:hAnsi="仿宋_GB2312" w:eastAsia="仿宋_GB2312" w:cs="仿宋_GB2312"/>
                <w:b w:val="0"/>
                <w:bCs w:val="0"/>
                <w:sz w:val="24"/>
                <w:szCs w:val="24"/>
                <w:highlight w:val="none"/>
              </w:rPr>
              <w:t>支持双网络扩展接口、个人监听系统扩展</w:t>
            </w:r>
            <w:r>
              <w:rPr>
                <w:rFonts w:hint="eastAsia" w:ascii="仿宋_GB2312" w:hAnsi="仿宋_GB2312" w:eastAsia="仿宋_GB2312" w:cs="仿宋_GB2312"/>
                <w:b w:val="0"/>
                <w:bCs w:val="0"/>
                <w:i w:val="0"/>
                <w:iCs w:val="0"/>
                <w:color w:val="000000"/>
                <w:sz w:val="24"/>
                <w:szCs w:val="24"/>
                <w:highlight w:val="none"/>
                <w:u w:val="none"/>
                <w:lang w:eastAsia="zh-CN"/>
              </w:rPr>
              <w:t>；</w:t>
            </w:r>
          </w:p>
          <w:p w14:paraId="7364892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7、</w:t>
            </w:r>
            <w:r>
              <w:rPr>
                <w:rFonts w:hint="eastAsia" w:ascii="仿宋_GB2312" w:hAnsi="仿宋_GB2312" w:eastAsia="仿宋_GB2312" w:cs="仿宋_GB2312"/>
                <w:b w:val="0"/>
                <w:bCs w:val="0"/>
                <w:sz w:val="24"/>
                <w:szCs w:val="24"/>
                <w:highlight w:val="none"/>
              </w:rPr>
              <w:t>配置多通道USB音频接口、AES/EBU数字接口</w:t>
            </w:r>
            <w:r>
              <w:rPr>
                <w:rFonts w:hint="eastAsia" w:ascii="仿宋_GB2312" w:hAnsi="仿宋_GB2312" w:eastAsia="仿宋_GB2312" w:cs="仿宋_GB2312"/>
                <w:b w:val="0"/>
                <w:bCs w:val="0"/>
                <w:i w:val="0"/>
                <w:iCs w:val="0"/>
                <w:color w:val="000000"/>
                <w:sz w:val="24"/>
                <w:szCs w:val="24"/>
                <w:highlight w:val="none"/>
                <w:u w:val="none"/>
                <w:lang w:eastAsia="zh-CN"/>
              </w:rPr>
              <w:t>；</w:t>
            </w:r>
            <w:r>
              <w:rPr>
                <w:rFonts w:hint="eastAsia" w:ascii="仿宋_GB2312" w:hAnsi="仿宋_GB2312" w:eastAsia="仿宋_GB2312" w:cs="仿宋_GB2312"/>
                <w:b w:val="0"/>
                <w:bCs w:val="0"/>
                <w:i w:val="0"/>
                <w:iCs w:val="0"/>
                <w:color w:val="000000"/>
                <w:sz w:val="24"/>
                <w:szCs w:val="24"/>
                <w:highlight w:val="none"/>
                <w:u w:val="none"/>
              </w:rPr>
              <w:t xml:space="preserve">  </w:t>
            </w:r>
          </w:p>
          <w:p w14:paraId="330C68D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8、</w:t>
            </w:r>
            <w:r>
              <w:rPr>
                <w:rFonts w:hint="eastAsia" w:ascii="仿宋_GB2312" w:hAnsi="仿宋_GB2312" w:eastAsia="仿宋_GB2312" w:cs="仿宋_GB2312"/>
                <w:b w:val="0"/>
                <w:bCs w:val="0"/>
                <w:sz w:val="24"/>
                <w:szCs w:val="24"/>
                <w:highlight w:val="none"/>
              </w:rPr>
              <w:t>具备多路XLR/TRS输入输出，支持以太网远程控制</w:t>
            </w:r>
            <w:r>
              <w:rPr>
                <w:rFonts w:hint="eastAsia" w:ascii="仿宋_GB2312" w:hAnsi="仿宋_GB2312" w:eastAsia="仿宋_GB2312" w:cs="仿宋_GB2312"/>
                <w:b w:val="0"/>
                <w:bCs w:val="0"/>
                <w:i w:val="0"/>
                <w:iCs w:val="0"/>
                <w:color w:val="000000"/>
                <w:sz w:val="24"/>
                <w:szCs w:val="24"/>
                <w:highlight w:val="none"/>
                <w:u w:val="none"/>
              </w:rPr>
              <w:t xml:space="preserve"> </w:t>
            </w:r>
          </w:p>
          <w:p w14:paraId="5DB8339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lang w:eastAsia="zh-CN"/>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9、</w:t>
            </w:r>
            <w:r>
              <w:rPr>
                <w:rFonts w:hint="eastAsia" w:ascii="仿宋_GB2312" w:hAnsi="仿宋_GB2312" w:eastAsia="仿宋_GB2312" w:cs="仿宋_GB2312"/>
                <w:b w:val="0"/>
                <w:bCs w:val="0"/>
                <w:sz w:val="24"/>
                <w:szCs w:val="24"/>
                <w:highlight w:val="none"/>
              </w:rPr>
              <w:t>内置多立体声效果器插槽，40位浮点DSP处理</w:t>
            </w:r>
            <w:r>
              <w:rPr>
                <w:rFonts w:hint="eastAsia" w:ascii="仿宋_GB2312" w:hAnsi="仿宋_GB2312" w:eastAsia="仿宋_GB2312" w:cs="仿宋_GB2312"/>
                <w:b w:val="0"/>
                <w:bCs w:val="0"/>
                <w:i w:val="0"/>
                <w:iCs w:val="0"/>
                <w:color w:val="000000"/>
                <w:sz w:val="24"/>
                <w:szCs w:val="24"/>
                <w:highlight w:val="none"/>
                <w:u w:val="none"/>
                <w:lang w:eastAsia="zh-CN"/>
              </w:rPr>
              <w:t>；</w:t>
            </w:r>
          </w:p>
          <w:p w14:paraId="44E73DF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10、</w:t>
            </w:r>
            <w:r>
              <w:rPr>
                <w:rFonts w:hint="eastAsia" w:ascii="仿宋_GB2312" w:hAnsi="仿宋_GB2312" w:eastAsia="仿宋_GB2312" w:cs="仿宋_GB2312"/>
                <w:b w:val="0"/>
                <w:bCs w:val="0"/>
                <w:i w:val="0"/>
                <w:iCs w:val="0"/>
                <w:color w:val="000000"/>
                <w:sz w:val="24"/>
                <w:szCs w:val="24"/>
                <w:highlight w:val="none"/>
                <w:u w:val="none"/>
              </w:rPr>
              <w:t>场景存储</w:t>
            </w:r>
            <w:r>
              <w:rPr>
                <w:rFonts w:hint="eastAsia" w:ascii="仿宋_GB2312" w:hAnsi="仿宋_GB2312" w:eastAsia="仿宋_GB2312" w:cs="仿宋_GB2312"/>
                <w:b w:val="0"/>
                <w:bCs w:val="0"/>
                <w:sz w:val="24"/>
                <w:szCs w:val="24"/>
                <w:highlight w:val="none"/>
              </w:rPr>
              <w:t>不少于</w:t>
            </w:r>
            <w:r>
              <w:rPr>
                <w:rFonts w:hint="eastAsia" w:ascii="仿宋_GB2312" w:hAnsi="仿宋_GB2312" w:eastAsia="仿宋_GB2312" w:cs="仿宋_GB2312"/>
                <w:b w:val="0"/>
                <w:bCs w:val="0"/>
                <w:i w:val="0"/>
                <w:iCs w:val="0"/>
                <w:color w:val="000000"/>
                <w:sz w:val="24"/>
                <w:szCs w:val="24"/>
                <w:highlight w:val="none"/>
                <w:u w:val="none"/>
              </w:rPr>
              <w:t>100个，支持快速调用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9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B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r>
      <w:tr w14:paraId="5562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A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14</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1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接口箱</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35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r>
              <w:rPr>
                <w:rFonts w:hint="eastAsia" w:ascii="仿宋_GB2312" w:hAnsi="仿宋_GB2312" w:eastAsia="仿宋_GB2312" w:cs="仿宋_GB2312"/>
                <w:b w:val="0"/>
                <w:bCs w:val="0"/>
                <w:sz w:val="24"/>
                <w:szCs w:val="24"/>
                <w:highlight w:val="none"/>
              </w:rPr>
              <w:t>配备不少于32路</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可编程麦克风前置放大器</w:t>
            </w:r>
          </w:p>
          <w:p w14:paraId="2062A0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r>
              <w:rPr>
                <w:rFonts w:hint="eastAsia" w:ascii="仿宋_GB2312" w:hAnsi="仿宋_GB2312" w:eastAsia="仿宋_GB2312" w:cs="仿宋_GB2312"/>
                <w:b w:val="0"/>
                <w:bCs w:val="0"/>
                <w:sz w:val="24"/>
                <w:szCs w:val="24"/>
                <w:highlight w:val="none"/>
              </w:rPr>
              <w:t>.多路模拟平衡XLR输出，支持低延迟无损网络音频传输</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r>
              <w:rPr>
                <w:rFonts w:hint="eastAsia" w:ascii="仿宋_GB2312" w:hAnsi="仿宋_GB2312" w:eastAsia="仿宋_GB2312" w:cs="仿宋_GB2312"/>
                <w:b w:val="0"/>
                <w:bCs w:val="0"/>
                <w:sz w:val="24"/>
                <w:szCs w:val="24"/>
                <w:highlight w:val="none"/>
              </w:rPr>
              <w:t>兼容主流个人监听系统、专业扬声器数字控制对接</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3DB20B2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lang w:val="en-US" w:eastAsia="zh-CN" w:bidi="ar"/>
              </w:rPr>
              <w:t>5、</w:t>
            </w:r>
            <w:r>
              <w:rPr>
                <w:rFonts w:hint="eastAsia" w:ascii="仿宋_GB2312" w:hAnsi="仿宋_GB2312" w:eastAsia="仿宋_GB2312" w:cs="仿宋_GB2312"/>
                <w:b w:val="0"/>
                <w:bCs w:val="0"/>
                <w:sz w:val="24"/>
                <w:szCs w:val="24"/>
                <w:highlight w:val="none"/>
              </w:rPr>
              <w:t>具备AES/EBU数字端口、双光学ADAT数字输出</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2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6C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r>
      <w:tr w14:paraId="1AA4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B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15</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0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AI网络音频处理器</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top"/>
          </w:tcPr>
          <w:p w14:paraId="33B30A1F">
            <w:pPr>
              <w:pStyle w:val="92"/>
              <w:spacing w:before="55" w:line="219" w:lineRule="auto"/>
              <w:ind w:left="3"/>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auto"/>
                <w:spacing w:val="-2"/>
                <w:sz w:val="24"/>
                <w:szCs w:val="24"/>
                <w:highlight w:val="none"/>
                <w:lang w:val="en-US" w:eastAsia="zh-CN"/>
              </w:rPr>
              <w:t>1、</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r>
              <w:rPr>
                <w:rFonts w:hint="eastAsia" w:ascii="仿宋_GB2312" w:hAnsi="仿宋_GB2312" w:eastAsia="仿宋_GB2312" w:cs="仿宋_GB2312"/>
                <w:b w:val="0"/>
                <w:bCs w:val="0"/>
                <w:sz w:val="24"/>
                <w:szCs w:val="24"/>
                <w:highlight w:val="none"/>
              </w:rPr>
              <w:t>支持主流网络音频协议，收发通道各≥16路，兼容AES67，支持冗余备份</w:t>
            </w:r>
            <w:r>
              <w:rPr>
                <w:rFonts w:hint="eastAsia" w:ascii="仿宋_GB2312" w:hAnsi="仿宋_GB2312" w:eastAsia="仿宋_GB2312" w:cs="仿宋_GB2312"/>
                <w:b w:val="0"/>
                <w:bCs w:val="0"/>
                <w:color w:val="auto"/>
                <w:spacing w:val="13"/>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r>
              <w:rPr>
                <w:rFonts w:hint="eastAsia" w:ascii="仿宋_GB2312" w:hAnsi="仿宋_GB2312" w:eastAsia="仿宋_GB2312" w:cs="仿宋_GB2312"/>
                <w:b w:val="0"/>
                <w:bCs w:val="0"/>
                <w:sz w:val="24"/>
                <w:szCs w:val="24"/>
                <w:highlight w:val="none"/>
              </w:rPr>
              <w:t>采用国产安全可控芯片，具备智能音频算力</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r>
              <w:rPr>
                <w:rFonts w:hint="eastAsia" w:ascii="仿宋_GB2312" w:hAnsi="仿宋_GB2312" w:eastAsia="仿宋_GB2312" w:cs="仿宋_GB2312"/>
                <w:b w:val="0"/>
                <w:bCs w:val="0"/>
                <w:sz w:val="24"/>
                <w:szCs w:val="24"/>
                <w:highlight w:val="none"/>
              </w:rPr>
              <w:t>标配USB2.0接口，支持U盘录播、USB声卡双向音频，兼容Windows、安卓、鸿蒙、iOS及主流国产桌面操作系统</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r>
              <w:rPr>
                <w:rFonts w:hint="eastAsia" w:ascii="仿宋_GB2312" w:hAnsi="仿宋_GB2312" w:eastAsia="仿宋_GB2312" w:cs="仿宋_GB2312"/>
                <w:b w:val="0"/>
                <w:bCs w:val="0"/>
                <w:sz w:val="24"/>
                <w:szCs w:val="24"/>
                <w:highlight w:val="none"/>
              </w:rPr>
              <w:t>具备≥2组自适应回声消除、智能噪声消除功能，可抑制稳态及非稳态环境噪声</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24C8B0D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r>
              <w:rPr>
                <w:rFonts w:hint="eastAsia" w:ascii="仿宋_GB2312" w:hAnsi="仿宋_GB2312" w:eastAsia="仿宋_GB2312" w:cs="仿宋_GB2312"/>
                <w:b w:val="0"/>
                <w:bCs w:val="0"/>
                <w:sz w:val="24"/>
                <w:szCs w:val="24"/>
                <w:highlight w:val="none"/>
              </w:rPr>
              <w:t>支持AI自动增益、智能自动混音、分区扩声</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3E146D7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6、</w:t>
            </w:r>
            <w:r>
              <w:rPr>
                <w:rFonts w:hint="eastAsia" w:ascii="仿宋_GB2312" w:hAnsi="仿宋_GB2312" w:eastAsia="仿宋_GB2312" w:cs="仿宋_GB2312"/>
                <w:b w:val="0"/>
                <w:bCs w:val="0"/>
                <w:sz w:val="24"/>
                <w:szCs w:val="24"/>
                <w:highlight w:val="none"/>
              </w:rPr>
              <w:t>★每通道具备放大、啸叫抑制、均衡、压缩、噪声门等完整处理</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w:t>
            </w:r>
            <w:r>
              <w:rPr>
                <w:rFonts w:hint="eastAsia" w:ascii="仿宋_GB2312" w:hAnsi="仿宋_GB2312" w:eastAsia="仿宋_GB2312" w:cs="仿宋_GB2312"/>
                <w:b w:val="0"/>
                <w:bCs w:val="0"/>
                <w:sz w:val="24"/>
                <w:szCs w:val="24"/>
                <w:highlight w:val="none"/>
              </w:rPr>
              <w:t>标配网口、RS232、GPIO控制接口，场景预设≥50组；8.支持摄像跟踪、第三方中控联动控制；9.配备彩色LCD显示屏，可查看设备状态、电平、IP及场景</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BD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3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r>
      <w:tr w14:paraId="0DEB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C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16</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1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AI自适应声场处理器</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top"/>
          </w:tcPr>
          <w:p w14:paraId="0F6FC7CF">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★模拟输入</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4路XLR，</w:t>
            </w:r>
            <w:r>
              <w:rPr>
                <w:rFonts w:hint="eastAsia" w:ascii="仿宋_GB2312" w:hAnsi="仿宋_GB2312" w:eastAsia="仿宋_GB2312" w:cs="仿宋_GB2312"/>
                <w:b w:val="0"/>
                <w:bCs w:val="0"/>
                <w:sz w:val="24"/>
                <w:szCs w:val="24"/>
                <w:highlight w:val="none"/>
              </w:rPr>
              <w:t>输入电平最大</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+24dBu ；</w:t>
            </w:r>
          </w:p>
          <w:p w14:paraId="0EC16D6F">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★模拟输出</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 xml:space="preserve">6路XLR </w:t>
            </w:r>
            <w:r>
              <w:rPr>
                <w:rFonts w:hint="eastAsia" w:ascii="仿宋_GB2312" w:hAnsi="仿宋_GB2312" w:eastAsia="仿宋_GB2312" w:cs="仿宋_GB2312"/>
                <w:b w:val="0"/>
                <w:bCs w:val="0"/>
                <w:sz w:val="24"/>
                <w:szCs w:val="24"/>
                <w:highlight w:val="none"/>
              </w:rPr>
              <w:t>覆盖全频、超低、高低中音分频输出</w:t>
            </w:r>
            <w:r>
              <w:rPr>
                <w:rFonts w:hint="eastAsia" w:ascii="仿宋_GB2312" w:hAnsi="仿宋_GB2312" w:eastAsia="仿宋_GB2312" w:cs="仿宋_GB2312"/>
                <w:b w:val="0"/>
                <w:bCs w:val="0"/>
                <w:sz w:val="24"/>
                <w:szCs w:val="24"/>
                <w:highlight w:val="none"/>
                <w:lang w:eastAsia="zh-CN"/>
              </w:rPr>
              <w:t>；</w:t>
            </w:r>
          </w:p>
          <w:p w14:paraId="51C8F677">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r>
              <w:rPr>
                <w:rFonts w:hint="eastAsia" w:ascii="仿宋_GB2312" w:hAnsi="仿宋_GB2312" w:eastAsia="仿宋_GB2312" w:cs="仿宋_GB2312"/>
                <w:b w:val="0"/>
                <w:bCs w:val="0"/>
                <w:sz w:val="24"/>
                <w:szCs w:val="24"/>
                <w:highlight w:val="none"/>
              </w:rPr>
              <w:t>模数/数模转换器动态性能优异，总谐波失真及噪声达到专业厅堂标准</w:t>
            </w:r>
            <w:r>
              <w:rPr>
                <w:rFonts w:hint="eastAsia" w:ascii="仿宋_GB2312" w:hAnsi="仿宋_GB2312" w:eastAsia="仿宋_GB2312" w:cs="仿宋_GB2312"/>
                <w:b w:val="0"/>
                <w:bCs w:val="0"/>
                <w:sz w:val="24"/>
                <w:szCs w:val="24"/>
                <w:highlight w:val="none"/>
                <w:lang w:eastAsia="zh-CN"/>
              </w:rPr>
              <w:t>；</w:t>
            </w:r>
          </w:p>
          <w:p w14:paraId="369FAC63">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r>
              <w:rPr>
                <w:rFonts w:hint="eastAsia" w:ascii="仿宋_GB2312" w:hAnsi="仿宋_GB2312" w:eastAsia="仿宋_GB2312" w:cs="仿宋_GB2312"/>
                <w:b w:val="0"/>
                <w:bCs w:val="0"/>
                <w:sz w:val="24"/>
                <w:szCs w:val="24"/>
                <w:highlight w:val="none"/>
              </w:rPr>
              <w:t>支持44.1k~192k多档专业采样率</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 xml:space="preserve">； </w:t>
            </w:r>
          </w:p>
          <w:p w14:paraId="3A348D77">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0" w:leftChars="0" w:firstLine="0" w:firstLineChars="0"/>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r>
              <w:rPr>
                <w:rFonts w:hint="eastAsia" w:ascii="仿宋_GB2312" w:hAnsi="仿宋_GB2312" w:eastAsia="仿宋_GB2312" w:cs="仿宋_GB2312"/>
                <w:b w:val="0"/>
                <w:bCs w:val="0"/>
                <w:sz w:val="24"/>
                <w:szCs w:val="24"/>
                <w:highlight w:val="none"/>
              </w:rPr>
              <w:t>配套测量话筒频率响应覆盖20Hz-20kHz，满足专业声场校准</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 xml:space="preserve"> </w:t>
            </w:r>
          </w:p>
          <w:p w14:paraId="680B516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top"/>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★以上</w:t>
            </w:r>
            <w:r>
              <w:rPr>
                <w:rFonts w:hint="eastAsia" w:ascii="仿宋_GB2312" w:hAnsi="仿宋_GB2312" w:eastAsia="仿宋_GB2312" w:cs="仿宋_GB2312"/>
                <w:b w:val="0"/>
                <w:bCs w:val="0"/>
                <w:sz w:val="24"/>
                <w:szCs w:val="24"/>
                <w:highlight w:val="none"/>
              </w:rPr>
              <w:t>带★核心参数需提供国家级认可检测机构</w:t>
            </w:r>
            <w:r>
              <w:rPr>
                <w:rFonts w:hint="eastAsia" w:ascii="仿宋_GB2312" w:hAnsi="仿宋_GB2312" w:eastAsia="仿宋_GB2312" w:cs="仿宋_GB2312"/>
                <w:b w:val="0"/>
                <w:bCs w:val="0"/>
                <w:sz w:val="24"/>
                <w:szCs w:val="24"/>
                <w:highlight w:val="none"/>
                <w:lang w:eastAsia="zh-CN"/>
              </w:rPr>
              <w:t>三年内检测</w:t>
            </w:r>
            <w:r>
              <w:rPr>
                <w:rFonts w:hint="eastAsia" w:ascii="仿宋_GB2312" w:hAnsi="仿宋_GB2312" w:eastAsia="仿宋_GB2312" w:cs="仿宋_GB2312"/>
                <w:b w:val="0"/>
                <w:bCs w:val="0"/>
                <w:sz w:val="24"/>
                <w:szCs w:val="24"/>
                <w:highlight w:val="none"/>
              </w:rPr>
              <w:t>报告佐证，无需逐条对应，覆盖核心指标即可</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9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7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r>
      <w:tr w14:paraId="2766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B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17</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6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触摸电源时序器</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E883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lang w:val="en-US" w:eastAsia="zh-CN" w:bidi="ar"/>
              </w:rPr>
              <w:t>1、</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配备</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4.3寸彩色TFT-LCD可触控显示屏；可实时显示当前电压，日期时间，通道开关状态；支持定时打开和定时关闭功能，</w:t>
            </w:r>
          </w:p>
          <w:p w14:paraId="3D28A54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2、</w:t>
            </w:r>
            <w:r>
              <w:rPr>
                <w:rFonts w:hint="eastAsia" w:ascii="仿宋_GB2312" w:hAnsi="仿宋_GB2312" w:eastAsia="仿宋_GB2312" w:cs="仿宋_GB2312"/>
                <w:b w:val="0"/>
                <w:bCs w:val="0"/>
                <w:sz w:val="24"/>
                <w:szCs w:val="24"/>
                <w:highlight w:val="none"/>
              </w:rPr>
              <w:t>不少于</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12路开关通道输出，每路延时开启和关闭时间可自由设置(范围0~999秒</w:t>
            </w:r>
            <w:r>
              <w:rPr>
                <w:rFonts w:hint="eastAsia" w:ascii="仿宋_GB2312" w:hAnsi="仿宋_GB2312" w:eastAsia="仿宋_GB2312" w:cs="仿宋_GB2312"/>
                <w:b w:val="0"/>
                <w:bCs w:val="0"/>
                <w:sz w:val="24"/>
                <w:szCs w:val="24"/>
                <w:highlight w:val="none"/>
              </w:rPr>
              <w:t>可调</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p w14:paraId="17B30C1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3、</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内置时钟芯片，可根据日期时间定时设置自动开启/关闭每一通道；</w:t>
            </w:r>
          </w:p>
          <w:p w14:paraId="5ACC71F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4、</w:t>
            </w:r>
            <w:r>
              <w:rPr>
                <w:rFonts w:hint="eastAsia" w:ascii="仿宋_GB2312" w:hAnsi="仿宋_GB2312" w:eastAsia="仿宋_GB2312" w:cs="仿宋_GB2312"/>
                <w:b w:val="0"/>
                <w:bCs w:val="0"/>
                <w:sz w:val="24"/>
                <w:szCs w:val="24"/>
                <w:highlight w:val="none"/>
              </w:rPr>
              <w:t>具备</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欠压、过压保护，可自定义设置保护值；</w:t>
            </w:r>
          </w:p>
          <w:p w14:paraId="3C0389C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5、</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 xml:space="preserve">配置RS232 和RS485 接口，支持级联、中央设备控制； </w:t>
            </w:r>
          </w:p>
          <w:p w14:paraId="522A492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6、</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额定输出总电流：60A, 单路输出电流：30A 后板接口可实现设备之间级联使用</w:t>
            </w:r>
          </w:p>
          <w:p w14:paraId="21A201A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7、</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 xml:space="preserve">断电记忆（当设备突然断电数据会自动储存） </w:t>
            </w:r>
          </w:p>
          <w:p w14:paraId="16FC26F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8、</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保护装置：常按开机键，进入屏幕保护装置；</w:t>
            </w:r>
          </w:p>
          <w:p w14:paraId="40B13C7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9、</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输入电源：AC100~240V   50~60Hz</w:t>
            </w:r>
          </w:p>
          <w:p w14:paraId="606EF37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10、</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单路额定输出电流</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30A</w:t>
            </w:r>
          </w:p>
          <w:p w14:paraId="24EC1CA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11、</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额定输出总电流</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60A</w:t>
            </w:r>
          </w:p>
          <w:p w14:paraId="75A220C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12、</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时序控制每步时间音隔：1~999s</w:t>
            </w:r>
          </w:p>
          <w:p w14:paraId="2E37A00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2"/>
                <w:sz w:val="24"/>
                <w:szCs w:val="24"/>
                <w:highlight w:val="none"/>
                <w:lang w:val="en-US" w:eastAsia="zh-CN" w:bidi="ar-SA"/>
              </w:rPr>
              <w:t>13、</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电源输出接口：12路智能控制，2路直通输出</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5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4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r>
      <w:tr w14:paraId="69F4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9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18</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F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监听音箱</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782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sz w:val="24"/>
                <w:szCs w:val="24"/>
                <w:highlight w:val="none"/>
              </w:rPr>
              <w:t>执行国标行业标准，采用高纯无氧铜材质，绝缘耐压、电阻、阻燃等指标符合国家音频工程规范</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B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3D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r>
      <w:tr w14:paraId="6D9C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F3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19</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C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护套音箱线（1.5㎡） </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C0673">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sz w:val="24"/>
                <w:szCs w:val="24"/>
                <w:highlight w:val="none"/>
              </w:rPr>
              <w:t>执行国标行业标准，采用高纯无氧铜材质，绝缘耐压、电阻、阻燃等指标符合国家音频工程规范</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E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D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500</w:t>
            </w:r>
          </w:p>
        </w:tc>
      </w:tr>
      <w:tr w14:paraId="4EF2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F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6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护套音箱线（2.5㎡） </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C7F6A">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sz w:val="24"/>
                <w:szCs w:val="24"/>
                <w:highlight w:val="none"/>
              </w:rPr>
              <w:t>执行国标行业标准，采用高纯无氧铜材质，绝缘耐压、电阻、阻燃等指标符合国家音频工程规范</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0F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3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200</w:t>
            </w:r>
          </w:p>
        </w:tc>
      </w:tr>
      <w:tr w14:paraId="6ACE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F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E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护套音箱线（12芯） </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AAE41">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sz w:val="24"/>
                <w:szCs w:val="24"/>
                <w:highlight w:val="none"/>
              </w:rPr>
              <w:t>执行国标行业标准，采用高纯无氧铜材质，绝缘耐压、电阻、阻燃等指标符合国家音频工程规范</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4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3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50</w:t>
            </w:r>
          </w:p>
        </w:tc>
      </w:tr>
      <w:tr w14:paraId="45B0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2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A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音频线 </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58905">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sz w:val="24"/>
                <w:szCs w:val="24"/>
                <w:highlight w:val="none"/>
              </w:rPr>
              <w:t>执行国标行业标准，采用高纯无氧铜材质，绝缘耐压、电阻、阻燃等指标符合国家音频工程规范</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2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8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400</w:t>
            </w:r>
          </w:p>
        </w:tc>
      </w:tr>
      <w:tr w14:paraId="28C8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A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23</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13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6类屏蔽网线 </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8C89">
            <w:pPr>
              <w:keepNext w:val="0"/>
              <w:keepLines w:val="0"/>
              <w:pageBreakBefore w:val="0"/>
              <w:widowControl/>
              <w:numPr>
                <w:ilvl w:val="-1"/>
                <w:numId w:val="0"/>
              </w:numPr>
              <w:kinsoku/>
              <w:wordWrap/>
              <w:overflowPunct/>
              <w:topLinePunct w:val="0"/>
              <w:autoSpaceDE/>
              <w:autoSpaceDN/>
              <w:bidi w:val="0"/>
              <w:adjustRightInd/>
              <w:snapToGrid/>
              <w:spacing w:line="300" w:lineRule="exact"/>
              <w:jc w:val="left"/>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sz w:val="24"/>
                <w:szCs w:val="24"/>
                <w:highlight w:val="none"/>
              </w:rPr>
              <w:t>执行国标行业标准，采用高纯无氧铜材质，绝缘耐压、电阻、阻燃等指标符合国家音频工程规范</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C5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1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300</w:t>
            </w:r>
          </w:p>
        </w:tc>
      </w:tr>
      <w:tr w14:paraId="2854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6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24</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E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设备机柜 </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0F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sz w:val="24"/>
                <w:szCs w:val="24"/>
                <w:highlight w:val="none"/>
              </w:rPr>
              <w:t>19英寸标准机柜，符合ANSI/EIA-310-D、IEC297、GB/T3047.2标准，防护等级不低于IP20，防尘防误触</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4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副</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6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r>
      <w:tr w14:paraId="3D52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A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25</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5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吊装线阵音箱隐藏改造 </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4C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吊装线阵音箱（左中右）需隐藏至台口上方，根据现场情况定制改造。</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4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E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r>
      <w:tr w14:paraId="4844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24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r>
              <w:rPr>
                <w:rFonts w:hint="eastAsia" w:ascii="Times New Roman" w:hAnsi="Times New Roman" w:eastAsia="仿宋_GB2312" w:cs="Times New Roman"/>
                <w:i w:val="0"/>
                <w:iCs w:val="0"/>
                <w:color w:val="000000"/>
                <w:kern w:val="0"/>
                <w:sz w:val="24"/>
                <w:szCs w:val="24"/>
                <w:highlight w:val="none"/>
                <w:u w:val="none"/>
                <w:lang w:val="en-US" w:eastAsia="zh-CN" w:bidi="ar"/>
              </w:rPr>
              <w:t>6</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E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音频接插件及辅材 </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E5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满足新旧设备的链接改造。</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7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2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r>
      <w:tr w14:paraId="17B6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7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r>
              <w:rPr>
                <w:rFonts w:hint="eastAsia" w:ascii="Times New Roman" w:hAnsi="Times New Roman" w:eastAsia="仿宋_GB2312" w:cs="Times New Roman"/>
                <w:i w:val="0"/>
                <w:iCs w:val="0"/>
                <w:color w:val="000000"/>
                <w:kern w:val="0"/>
                <w:sz w:val="24"/>
                <w:szCs w:val="24"/>
                <w:highlight w:val="none"/>
                <w:u w:val="none"/>
                <w:lang w:val="en-US" w:eastAsia="zh-CN" w:bidi="ar"/>
              </w:rPr>
              <w:t>7</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6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音频系统施工安装调试费 </w:t>
            </w:r>
          </w:p>
        </w:tc>
        <w:tc>
          <w:tcPr>
            <w:tcW w:w="2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66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满足新旧设备的链接改造调整安装。</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C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8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r>
    </w:tbl>
    <w:p w14:paraId="6DFED928">
      <w:pPr>
        <w:adjustRightInd w:val="0"/>
        <w:spacing w:line="360" w:lineRule="auto"/>
        <w:ind w:firstLine="482" w:firstLineChars="200"/>
        <w:textAlignment w:val="baseline"/>
        <w:rPr>
          <w:rFonts w:hint="eastAsia" w:ascii="仿宋" w:hAnsi="仿宋" w:eastAsia="仿宋" w:cs="仿宋"/>
          <w:b/>
          <w:bCs/>
          <w:color w:val="auto"/>
          <w:kern w:val="0"/>
          <w:sz w:val="24"/>
          <w:highlight w:val="none"/>
        </w:rPr>
      </w:pPr>
    </w:p>
    <w:p w14:paraId="0060043A">
      <w:pPr>
        <w:adjustRightInd w:val="0"/>
        <w:spacing w:line="360" w:lineRule="auto"/>
        <w:ind w:firstLine="482" w:firstLineChars="200"/>
        <w:jc w:val="center"/>
        <w:textAlignment w:val="baseline"/>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第二包灯光、吊杆机械技术参数</w:t>
      </w:r>
    </w:p>
    <w:p w14:paraId="170BA28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新疆农业大学八一会堂明德礼堂需要对音响进行升级改造，</w:t>
      </w:r>
      <w:r>
        <w:rPr>
          <w:rFonts w:hint="eastAsia" w:ascii="仿宋" w:hAnsi="仿宋" w:eastAsia="仿宋" w:cs="仿宋"/>
          <w:bCs/>
          <w:color w:val="auto"/>
          <w:sz w:val="24"/>
          <w:szCs w:val="24"/>
          <w:highlight w:val="none"/>
          <w:lang w:val="en-US" w:eastAsia="zh-CN"/>
        </w:rPr>
        <w:t>自合同签订之日起30个日历日</w:t>
      </w:r>
      <w:r>
        <w:rPr>
          <w:rFonts w:hint="eastAsia" w:ascii="仿宋" w:hAnsi="仿宋" w:eastAsia="仿宋" w:cs="仿宋"/>
          <w:bCs/>
          <w:color w:val="auto"/>
          <w:sz w:val="24"/>
          <w:szCs w:val="24"/>
          <w:highlight w:val="none"/>
          <w:lang w:eastAsia="zh-CN"/>
        </w:rPr>
        <w:t>完成设备的供货、安装、调试、培训等，且验收合格；</w:t>
      </w:r>
    </w:p>
    <w:tbl>
      <w:tblPr>
        <w:tblStyle w:val="34"/>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0"/>
        <w:gridCol w:w="1126"/>
        <w:gridCol w:w="5930"/>
        <w:gridCol w:w="710"/>
        <w:gridCol w:w="848"/>
      </w:tblGrid>
      <w:tr w14:paraId="31E4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9324" w:type="dxa"/>
            <w:gridSpan w:val="5"/>
            <w:shd w:val="clear" w:color="auto" w:fill="auto"/>
            <w:noWrap/>
            <w:vAlign w:val="center"/>
          </w:tcPr>
          <w:p w14:paraId="32AB5DC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灯光</w:t>
            </w:r>
            <w:r>
              <w:rPr>
                <w:rFonts w:hint="default" w:ascii="Times New Roman" w:hAnsi="Times New Roman" w:eastAsia="仿宋_GB2312" w:cs="Times New Roman"/>
                <w:i w:val="0"/>
                <w:iCs w:val="0"/>
                <w:color w:val="000000"/>
                <w:kern w:val="0"/>
                <w:sz w:val="24"/>
                <w:szCs w:val="24"/>
                <w:highlight w:val="none"/>
                <w:u w:val="none"/>
                <w:lang w:val="en-US" w:eastAsia="zh-CN" w:bidi="ar"/>
              </w:rPr>
              <w:t>部分</w:t>
            </w:r>
          </w:p>
        </w:tc>
      </w:tr>
      <w:tr w14:paraId="2AAD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710" w:type="dxa"/>
            <w:shd w:val="clear" w:color="auto" w:fill="auto"/>
            <w:noWrap/>
            <w:vAlign w:val="center"/>
          </w:tcPr>
          <w:p w14:paraId="19A65E4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序号</w:t>
            </w:r>
          </w:p>
        </w:tc>
        <w:tc>
          <w:tcPr>
            <w:tcW w:w="1126" w:type="dxa"/>
            <w:shd w:val="clear" w:color="auto" w:fill="auto"/>
            <w:noWrap/>
            <w:vAlign w:val="center"/>
          </w:tcPr>
          <w:p w14:paraId="0D8C1D2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设备名称</w:t>
            </w:r>
          </w:p>
        </w:tc>
        <w:tc>
          <w:tcPr>
            <w:tcW w:w="5930" w:type="dxa"/>
            <w:shd w:val="clear" w:color="auto" w:fill="auto"/>
            <w:noWrap/>
            <w:vAlign w:val="center"/>
          </w:tcPr>
          <w:p w14:paraId="5DA4458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产品参数</w:t>
            </w:r>
          </w:p>
        </w:tc>
        <w:tc>
          <w:tcPr>
            <w:tcW w:w="710" w:type="dxa"/>
            <w:shd w:val="clear" w:color="auto" w:fill="auto"/>
            <w:noWrap/>
            <w:vAlign w:val="center"/>
          </w:tcPr>
          <w:p w14:paraId="7A2648E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数量</w:t>
            </w:r>
          </w:p>
        </w:tc>
        <w:tc>
          <w:tcPr>
            <w:tcW w:w="848" w:type="dxa"/>
            <w:shd w:val="clear" w:color="auto" w:fill="auto"/>
            <w:noWrap/>
            <w:vAlign w:val="center"/>
          </w:tcPr>
          <w:p w14:paraId="40C0BD7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单位</w:t>
            </w:r>
          </w:p>
        </w:tc>
      </w:tr>
      <w:tr w14:paraId="1E08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10" w:type="dxa"/>
            <w:shd w:val="clear" w:color="auto" w:fill="auto"/>
            <w:noWrap/>
            <w:vAlign w:val="center"/>
          </w:tcPr>
          <w:p w14:paraId="113B72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1126" w:type="dxa"/>
            <w:shd w:val="clear" w:color="auto" w:fill="auto"/>
            <w:noWrap/>
            <w:vAlign w:val="center"/>
          </w:tcPr>
          <w:p w14:paraId="4729B0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切割灯(★核心产品)</w:t>
            </w:r>
          </w:p>
        </w:tc>
        <w:tc>
          <w:tcPr>
            <w:tcW w:w="5930" w:type="dxa"/>
            <w:shd w:val="clear" w:color="auto" w:fill="auto"/>
            <w:vAlign w:val="center"/>
          </w:tcPr>
          <w:p w14:paraId="553C5D54">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lang w:val="en-US" w:eastAsia="zh-CN" w:bidi="ar"/>
              </w:rPr>
              <w:t>1、</w:t>
            </w:r>
            <w:r>
              <w:rPr>
                <w:rFonts w:hint="default" w:ascii="Times New Roman" w:hAnsi="Times New Roman" w:eastAsia="仿宋_GB2312" w:cs="Times New Roman"/>
                <w:b w:val="0"/>
                <w:bCs w:val="0"/>
                <w:sz w:val="24"/>
                <w:szCs w:val="24"/>
                <w:highlight w:val="none"/>
              </w:rPr>
              <w:t>供电</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AC100~240v，50/60Hz；</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2、★：LED功率≥1200W，色温≥6800K，光通量≥33000LM，</w:t>
            </w:r>
            <w:r>
              <w:rPr>
                <w:rFonts w:hint="default" w:ascii="Times New Roman" w:hAnsi="Times New Roman" w:eastAsia="仿宋_GB2312" w:cs="Times New Roman"/>
                <w:b w:val="0"/>
                <w:bCs w:val="0"/>
                <w:sz w:val="24"/>
                <w:szCs w:val="24"/>
                <w:highlight w:val="none"/>
              </w:rPr>
              <w:t>光源使用</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寿命≥20000小时</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w:t>
            </w:r>
            <w:r>
              <w:rPr>
                <w:rFonts w:hint="default" w:ascii="Times New Roman" w:hAnsi="Times New Roman" w:eastAsia="仿宋_GB2312" w:cs="Times New Roman"/>
                <w:b w:val="0"/>
                <w:bCs w:val="0"/>
                <w:sz w:val="24"/>
                <w:szCs w:val="24"/>
                <w:highlight w:val="none"/>
              </w:rPr>
              <w:t>显色指数满足专业舞台</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≥75/≥90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4、★水平扫描</w:t>
            </w:r>
            <w:r>
              <w:rPr>
                <w:rFonts w:hint="default" w:ascii="Times New Roman" w:hAnsi="Times New Roman" w:eastAsia="仿宋_GB2312" w:cs="Times New Roman"/>
                <w:b w:val="0"/>
                <w:bCs w:val="0"/>
                <w:sz w:val="24"/>
                <w:szCs w:val="24"/>
                <w:highlight w:val="none"/>
              </w:rPr>
              <w:t>≥540°、垂直扫描≥270°</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sz w:val="24"/>
                <w:szCs w:val="24"/>
                <w:highlight w:val="none"/>
              </w:rPr>
              <w:t>支持16bit高精度</w:t>
            </w:r>
            <w:r>
              <w:rPr>
                <w:rFonts w:hint="default" w:ascii="Times New Roman" w:hAnsi="Times New Roman" w:eastAsia="仿宋_GB2312" w:cs="Times New Roman"/>
                <w:b w:val="0"/>
                <w:bCs w:val="0"/>
                <w:sz w:val="24"/>
                <w:szCs w:val="24"/>
                <w:highlight w:val="none"/>
                <w:lang w:val="en-US" w:eastAsia="zh-CN"/>
              </w:rPr>
              <w:t>控制；</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5、★具备CMY无极混色，CTO色温校正，CTO色温调节范围2700K～6400K；</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6、★</w:t>
            </w:r>
            <w:r>
              <w:rPr>
                <w:rFonts w:hint="default" w:ascii="Times New Roman" w:hAnsi="Times New Roman" w:eastAsia="仿宋_GB2312" w:cs="Times New Roman"/>
                <w:b w:val="0"/>
                <w:bCs w:val="0"/>
                <w:sz w:val="24"/>
                <w:szCs w:val="24"/>
                <w:highlight w:val="none"/>
              </w:rPr>
              <w:t>自带色盘≥4固定色片+白光</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sz w:val="24"/>
                <w:szCs w:val="24"/>
                <w:highlight w:val="none"/>
              </w:rPr>
              <w:t>支持定位及彩虹旋转效果</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p w14:paraId="51AEFC7B">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lang w:val="en-US" w:eastAsia="zh-CN" w:bidi="ar"/>
              </w:rPr>
              <w:t>7、</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sz w:val="24"/>
                <w:szCs w:val="24"/>
                <w:highlight w:val="none"/>
              </w:rPr>
              <w:t>专业切割光斑系统，可切割多种几何光斑</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8、★</w:t>
            </w:r>
            <w:r>
              <w:rPr>
                <w:rFonts w:hint="default" w:ascii="Times New Roman" w:hAnsi="Times New Roman" w:eastAsia="仿宋_GB2312" w:cs="Times New Roman"/>
                <w:b w:val="0"/>
                <w:bCs w:val="0"/>
                <w:sz w:val="24"/>
                <w:szCs w:val="24"/>
                <w:highlight w:val="none"/>
              </w:rPr>
              <w:t>DMX通道≥36路</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9、、★</w:t>
            </w:r>
            <w:r>
              <w:rPr>
                <w:rFonts w:hint="default" w:ascii="Times New Roman" w:hAnsi="Times New Roman" w:eastAsia="仿宋_GB2312" w:cs="Times New Roman"/>
                <w:b w:val="0"/>
                <w:bCs w:val="0"/>
                <w:sz w:val="24"/>
                <w:szCs w:val="24"/>
                <w:highlight w:val="none"/>
              </w:rPr>
              <w:t>配备多棱镜效果，带棱镜定位功能</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10、</w:t>
            </w:r>
            <w:r>
              <w:rPr>
                <w:rFonts w:hint="default" w:ascii="Times New Roman" w:hAnsi="Times New Roman" w:eastAsia="仿宋_GB2312" w:cs="Times New Roman"/>
                <w:b w:val="0"/>
                <w:bCs w:val="0"/>
                <w:sz w:val="24"/>
                <w:szCs w:val="24"/>
                <w:highlight w:val="none"/>
              </w:rPr>
              <w:t>电子调焦、光圈5%-100%线性调节，频闪最高≥25Hz</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11、</w:t>
            </w:r>
            <w:r>
              <w:rPr>
                <w:rFonts w:hint="default" w:ascii="Times New Roman" w:hAnsi="Times New Roman" w:eastAsia="仿宋_GB2312" w:cs="Times New Roman"/>
                <w:b w:val="0"/>
                <w:bCs w:val="0"/>
                <w:sz w:val="24"/>
                <w:szCs w:val="24"/>
                <w:highlight w:val="none"/>
              </w:rPr>
              <w:t>0-100%线性电子调光，支持多档位雾化效果；</w:t>
            </w:r>
          </w:p>
          <w:p w14:paraId="6E77C3DE">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12、</w:t>
            </w:r>
            <w:r>
              <w:rPr>
                <w:rFonts w:hint="default" w:ascii="Times New Roman" w:hAnsi="Times New Roman" w:eastAsia="仿宋_GB2312" w:cs="Times New Roman"/>
                <w:b w:val="0"/>
                <w:bCs w:val="0"/>
                <w:sz w:val="24"/>
                <w:szCs w:val="24"/>
                <w:highlight w:val="none"/>
              </w:rPr>
              <w:t>智能温控散热，阻燃风扇；</w:t>
            </w:r>
          </w:p>
          <w:p w14:paraId="144EBDB9">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sz w:val="24"/>
                <w:szCs w:val="24"/>
                <w:highlight w:val="none"/>
              </w:rPr>
              <w:t>13</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sz w:val="24"/>
                <w:szCs w:val="24"/>
                <w:highlight w:val="none"/>
              </w:rPr>
              <w:t>带彩色触控屏，支持RDM远程地址码配置</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   </w:t>
            </w:r>
          </w:p>
          <w:p w14:paraId="54543D05">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以上</w:t>
            </w:r>
            <w:r>
              <w:rPr>
                <w:rFonts w:hint="default" w:ascii="Times New Roman" w:hAnsi="Times New Roman" w:eastAsia="仿宋_GB2312" w:cs="Times New Roman"/>
                <w:b w:val="0"/>
                <w:bCs w:val="0"/>
                <w:sz w:val="24"/>
                <w:szCs w:val="24"/>
                <w:highlight w:val="none"/>
              </w:rPr>
              <w:t>带★核心参数需提供国家级认可检测机构</w:t>
            </w:r>
            <w:r>
              <w:rPr>
                <w:rFonts w:hint="eastAsia" w:ascii="Times New Roman" w:hAnsi="Times New Roman" w:eastAsia="仿宋_GB2312" w:cs="Times New Roman"/>
                <w:b w:val="0"/>
                <w:bCs w:val="0"/>
                <w:sz w:val="24"/>
                <w:szCs w:val="24"/>
                <w:highlight w:val="none"/>
                <w:lang w:eastAsia="zh-CN"/>
              </w:rPr>
              <w:t>三年内检测</w:t>
            </w:r>
            <w:r>
              <w:rPr>
                <w:rFonts w:hint="default" w:ascii="Times New Roman" w:hAnsi="Times New Roman" w:eastAsia="仿宋_GB2312" w:cs="Times New Roman"/>
                <w:b w:val="0"/>
                <w:bCs w:val="0"/>
                <w:sz w:val="24"/>
                <w:szCs w:val="24"/>
                <w:highlight w:val="none"/>
              </w:rPr>
              <w:t>报告佐证，无需逐条对应，覆盖核心指标即可</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tc>
        <w:tc>
          <w:tcPr>
            <w:tcW w:w="710" w:type="dxa"/>
            <w:shd w:val="clear" w:color="auto" w:fill="auto"/>
            <w:noWrap/>
            <w:vAlign w:val="center"/>
          </w:tcPr>
          <w:p w14:paraId="597B8C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848" w:type="dxa"/>
            <w:shd w:val="clear" w:color="auto" w:fill="auto"/>
            <w:noWrap/>
            <w:vAlign w:val="center"/>
          </w:tcPr>
          <w:p w14:paraId="323ABC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r>
      <w:tr w14:paraId="1136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10" w:type="dxa"/>
            <w:shd w:val="clear" w:color="auto" w:fill="auto"/>
            <w:noWrap/>
            <w:vAlign w:val="center"/>
          </w:tcPr>
          <w:p w14:paraId="654C9D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1126" w:type="dxa"/>
            <w:shd w:val="clear" w:color="auto" w:fill="auto"/>
            <w:noWrap/>
            <w:vAlign w:val="center"/>
          </w:tcPr>
          <w:p w14:paraId="21F221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LED成像灯</w:t>
            </w:r>
          </w:p>
        </w:tc>
        <w:tc>
          <w:tcPr>
            <w:tcW w:w="5930" w:type="dxa"/>
            <w:shd w:val="clear" w:color="auto" w:fill="auto"/>
            <w:vAlign w:val="center"/>
          </w:tcPr>
          <w:p w14:paraId="25C6B812">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1、输入电压：AC100-240V,50/60Hz</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2、额定功率：≥200W</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3、★光源：≥200WLED，色温3200K/5600K可选</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4、显指：Ra≥95</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5、★灯珠寿命：≥50000h</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6、</w:t>
            </w:r>
            <w:r>
              <w:rPr>
                <w:rFonts w:hint="default" w:ascii="Times New Roman" w:hAnsi="Times New Roman" w:eastAsia="仿宋_GB2312" w:cs="Times New Roman"/>
                <w:b w:val="0"/>
                <w:bCs w:val="0"/>
                <w:sz w:val="24"/>
                <w:szCs w:val="24"/>
                <w:highlight w:val="none"/>
              </w:rPr>
              <w:t>支持</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0%-100%线性调光</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7、光学材料：玻璃透镜</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8、★光学角度：</w:t>
            </w:r>
            <w:r>
              <w:rPr>
                <w:rFonts w:hint="default" w:ascii="Times New Roman" w:hAnsi="Times New Roman" w:eastAsia="仿宋_GB2312" w:cs="Times New Roman"/>
                <w:b w:val="0"/>
                <w:bCs w:val="0"/>
                <w:sz w:val="24"/>
                <w:szCs w:val="24"/>
                <w:highlight w:val="none"/>
              </w:rPr>
              <w:t>可在</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19°、26°、36°</w:t>
            </w:r>
            <w:r>
              <w:rPr>
                <w:rFonts w:hint="default" w:ascii="Times New Roman" w:hAnsi="Times New Roman" w:eastAsia="仿宋_GB2312" w:cs="Times New Roman"/>
                <w:b w:val="0"/>
                <w:bCs w:val="0"/>
                <w:sz w:val="24"/>
                <w:szCs w:val="24"/>
                <w:highlight w:val="none"/>
              </w:rPr>
              <w:t>中选配</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9、功能效果：柔光，聚光，截光</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10、防护等级：≥IP20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11、控制模式：标准DMX512信号、自走、主从</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12、通道数量：≥2(单色)/4(双色)个DMX通道；                  以上</w:t>
            </w:r>
            <w:r>
              <w:rPr>
                <w:rFonts w:hint="default" w:ascii="Times New Roman" w:hAnsi="Times New Roman" w:eastAsia="仿宋_GB2312" w:cs="Times New Roman"/>
                <w:b w:val="0"/>
                <w:bCs w:val="0"/>
                <w:sz w:val="24"/>
                <w:szCs w:val="24"/>
                <w:highlight w:val="none"/>
              </w:rPr>
              <w:t>带★核心参数需提供国家级认可检测机构</w:t>
            </w:r>
            <w:r>
              <w:rPr>
                <w:rFonts w:hint="eastAsia" w:ascii="Times New Roman" w:hAnsi="Times New Roman" w:eastAsia="仿宋_GB2312" w:cs="Times New Roman"/>
                <w:b w:val="0"/>
                <w:bCs w:val="0"/>
                <w:sz w:val="24"/>
                <w:szCs w:val="24"/>
                <w:highlight w:val="none"/>
                <w:lang w:eastAsia="zh-CN"/>
              </w:rPr>
              <w:t>三年内检测</w:t>
            </w:r>
            <w:r>
              <w:rPr>
                <w:rFonts w:hint="default" w:ascii="Times New Roman" w:hAnsi="Times New Roman" w:eastAsia="仿宋_GB2312" w:cs="Times New Roman"/>
                <w:b w:val="0"/>
                <w:bCs w:val="0"/>
                <w:sz w:val="24"/>
                <w:szCs w:val="24"/>
                <w:highlight w:val="none"/>
              </w:rPr>
              <w:t>报告佐证，无需逐条对应，覆盖核心指标即可</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tc>
        <w:tc>
          <w:tcPr>
            <w:tcW w:w="710" w:type="dxa"/>
            <w:shd w:val="clear" w:color="auto" w:fill="auto"/>
            <w:noWrap/>
            <w:vAlign w:val="center"/>
          </w:tcPr>
          <w:p w14:paraId="3F192C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848" w:type="dxa"/>
            <w:shd w:val="clear" w:color="auto" w:fill="auto"/>
            <w:noWrap/>
            <w:vAlign w:val="center"/>
          </w:tcPr>
          <w:p w14:paraId="54C903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r>
      <w:tr w14:paraId="51A7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13" w:hRule="atLeast"/>
          <w:jc w:val="center"/>
        </w:trPr>
        <w:tc>
          <w:tcPr>
            <w:tcW w:w="710" w:type="dxa"/>
            <w:shd w:val="clear" w:color="auto" w:fill="auto"/>
            <w:noWrap/>
            <w:vAlign w:val="center"/>
          </w:tcPr>
          <w:p w14:paraId="7B3088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c>
          <w:tcPr>
            <w:tcW w:w="1126" w:type="dxa"/>
            <w:shd w:val="clear" w:color="auto" w:fill="auto"/>
            <w:noWrap/>
            <w:vAlign w:val="center"/>
          </w:tcPr>
          <w:p w14:paraId="2CE3A7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LED染色灯(★核心产品)</w:t>
            </w:r>
          </w:p>
        </w:tc>
        <w:tc>
          <w:tcPr>
            <w:tcW w:w="5930" w:type="dxa"/>
            <w:shd w:val="clear" w:color="auto" w:fill="auto"/>
            <w:vAlign w:val="center"/>
          </w:tcPr>
          <w:p w14:paraId="67170402">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1、额定电压：AC100V-240V，50HZ/60HZ  </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2、★额定功率：≥270W   </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3、★光源：≥90颗3W高亮大功率LED </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4、驱动电流：优于700MA  显示界面：液晶显示屏 操作：显示板控制，自走/自定义编程  接收信号：DMX512信号，带主/从机功能，内置自走程序  </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5、★通道：≥10个DMX通道  </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6、调光：优于0-100%线性调节，会场暖光功能</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7、频闪：独立电子频闪，1-25Hz  </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8、透镜：新型25゜平亮面透镜，高亮度输出  </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9、投光角度：优于15゜，25゜可选  </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10、冷却系统：本机有良好的散热设计，智能风扇控制系统，常温工作下0噪音。  </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11、防水等级：≥IP20   </w:t>
            </w:r>
          </w:p>
          <w:p w14:paraId="10C4031C">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12、外壳：压铸铝   防尘镜：有机玻璃   </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以上</w:t>
            </w:r>
            <w:r>
              <w:rPr>
                <w:rFonts w:hint="default" w:ascii="Times New Roman" w:hAnsi="Times New Roman" w:eastAsia="仿宋_GB2312" w:cs="Times New Roman"/>
                <w:b w:val="0"/>
                <w:bCs w:val="0"/>
                <w:sz w:val="24"/>
                <w:szCs w:val="24"/>
                <w:highlight w:val="none"/>
              </w:rPr>
              <w:t>带★核心参数需提供国家级认可检测机构</w:t>
            </w:r>
            <w:r>
              <w:rPr>
                <w:rFonts w:hint="eastAsia" w:ascii="Times New Roman" w:hAnsi="Times New Roman" w:eastAsia="仿宋_GB2312" w:cs="Times New Roman"/>
                <w:b w:val="0"/>
                <w:bCs w:val="0"/>
                <w:sz w:val="24"/>
                <w:szCs w:val="24"/>
                <w:highlight w:val="none"/>
                <w:lang w:eastAsia="zh-CN"/>
              </w:rPr>
              <w:t>三年内检测</w:t>
            </w:r>
            <w:r>
              <w:rPr>
                <w:rFonts w:hint="default" w:ascii="Times New Roman" w:hAnsi="Times New Roman" w:eastAsia="仿宋_GB2312" w:cs="Times New Roman"/>
                <w:b w:val="0"/>
                <w:bCs w:val="0"/>
                <w:sz w:val="24"/>
                <w:szCs w:val="24"/>
                <w:highlight w:val="none"/>
              </w:rPr>
              <w:t>报告佐证，无需逐条对应，覆盖核心指标即可</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tc>
        <w:tc>
          <w:tcPr>
            <w:tcW w:w="710" w:type="dxa"/>
            <w:shd w:val="clear" w:color="auto" w:fill="auto"/>
            <w:noWrap/>
            <w:vAlign w:val="center"/>
          </w:tcPr>
          <w:p w14:paraId="34819C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87</w:t>
            </w:r>
          </w:p>
        </w:tc>
        <w:tc>
          <w:tcPr>
            <w:tcW w:w="848" w:type="dxa"/>
            <w:shd w:val="clear" w:color="auto" w:fill="auto"/>
            <w:noWrap/>
            <w:vAlign w:val="center"/>
          </w:tcPr>
          <w:p w14:paraId="4CB023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r>
      <w:tr w14:paraId="4C3B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 w:hRule="atLeast"/>
          <w:jc w:val="center"/>
        </w:trPr>
        <w:tc>
          <w:tcPr>
            <w:tcW w:w="710" w:type="dxa"/>
            <w:shd w:val="clear" w:color="auto" w:fill="auto"/>
            <w:noWrap/>
            <w:vAlign w:val="center"/>
          </w:tcPr>
          <w:p w14:paraId="543EA0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1126" w:type="dxa"/>
            <w:shd w:val="clear" w:color="auto" w:fill="auto"/>
            <w:noWrap/>
            <w:vAlign w:val="center"/>
          </w:tcPr>
          <w:p w14:paraId="35EBC1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三基色平板灯(★核心产品)</w:t>
            </w:r>
          </w:p>
        </w:tc>
        <w:tc>
          <w:tcPr>
            <w:tcW w:w="5930" w:type="dxa"/>
            <w:shd w:val="clear" w:color="auto" w:fill="auto"/>
            <w:vAlign w:val="center"/>
          </w:tcPr>
          <w:p w14:paraId="6047E0A3">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1、电压：AC110-240V,50-60HZ</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2、★功率：≥200W色温：≥3200-5600K</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4、有效光照距离：≥8米</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5、驱动电流：20mA</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6、显色指数：Ra≥95</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7、★贴片数量：≥600颗</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8、显示控制：主控/DMX</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9、控制协议：DMX512</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10、调光：0-100%线性调光平滑无闪烁</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11、工作环境满足：室内-20℃~50℃；                             以上</w:t>
            </w:r>
            <w:r>
              <w:rPr>
                <w:rFonts w:hint="default" w:ascii="Times New Roman" w:hAnsi="Times New Roman" w:eastAsia="仿宋_GB2312" w:cs="Times New Roman"/>
                <w:b w:val="0"/>
                <w:bCs w:val="0"/>
                <w:sz w:val="24"/>
                <w:szCs w:val="24"/>
                <w:highlight w:val="none"/>
              </w:rPr>
              <w:t>带★核心参数需提供国家级认可检测机构</w:t>
            </w:r>
            <w:r>
              <w:rPr>
                <w:rFonts w:hint="eastAsia" w:ascii="Times New Roman" w:hAnsi="Times New Roman" w:eastAsia="仿宋_GB2312" w:cs="Times New Roman"/>
                <w:b w:val="0"/>
                <w:bCs w:val="0"/>
                <w:sz w:val="24"/>
                <w:szCs w:val="24"/>
                <w:highlight w:val="none"/>
                <w:lang w:eastAsia="zh-CN"/>
              </w:rPr>
              <w:t>三年内检测</w:t>
            </w:r>
            <w:r>
              <w:rPr>
                <w:rFonts w:hint="default" w:ascii="Times New Roman" w:hAnsi="Times New Roman" w:eastAsia="仿宋_GB2312" w:cs="Times New Roman"/>
                <w:b w:val="0"/>
                <w:bCs w:val="0"/>
                <w:sz w:val="24"/>
                <w:szCs w:val="24"/>
                <w:highlight w:val="none"/>
              </w:rPr>
              <w:t>报告佐证，无需逐条对应，覆盖核心指标即可</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tc>
        <w:tc>
          <w:tcPr>
            <w:tcW w:w="710" w:type="dxa"/>
            <w:shd w:val="clear" w:color="auto" w:fill="auto"/>
            <w:noWrap/>
            <w:vAlign w:val="center"/>
          </w:tcPr>
          <w:p w14:paraId="170D3A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16</w:t>
            </w:r>
          </w:p>
        </w:tc>
        <w:tc>
          <w:tcPr>
            <w:tcW w:w="848" w:type="dxa"/>
            <w:shd w:val="clear" w:color="auto" w:fill="auto"/>
            <w:noWrap/>
            <w:vAlign w:val="center"/>
          </w:tcPr>
          <w:p w14:paraId="566CFC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r>
      <w:tr w14:paraId="7761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0" w:hRule="atLeast"/>
          <w:jc w:val="center"/>
        </w:trPr>
        <w:tc>
          <w:tcPr>
            <w:tcW w:w="710" w:type="dxa"/>
            <w:shd w:val="clear" w:color="auto" w:fill="auto"/>
            <w:noWrap/>
            <w:vAlign w:val="center"/>
          </w:tcPr>
          <w:p w14:paraId="0725F1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1126" w:type="dxa"/>
            <w:shd w:val="clear" w:color="auto" w:fill="auto"/>
            <w:vAlign w:val="center"/>
          </w:tcPr>
          <w:p w14:paraId="582BFF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电脑摇头灯(★核心产品)</w:t>
            </w:r>
          </w:p>
        </w:tc>
        <w:tc>
          <w:tcPr>
            <w:tcW w:w="5930" w:type="dxa"/>
            <w:shd w:val="clear" w:color="auto" w:fill="auto"/>
            <w:vAlign w:val="center"/>
          </w:tcPr>
          <w:p w14:paraId="4C710205">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1、电压：AC110-240V 50/60HZ</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2、★光源：≥420W</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3、额定功率：≥600W</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4、频闪：支持机械频闪和可调速频闪效果，支持</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5、★散热系统：风冷散热，且风扇材质为阻燃材质。</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6、光学系统：独立研发先进的光学系统确保清晰</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7、★颜色：≥9个颜色+白光，线性CTO:3200K-6500K，图案：不劣于13个固图+白光，棱镜：8+24菱镜，可叠加效果正反向滤动</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8、色片：≥6色片彩虹效果</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9、雾化：独立的雾化功能</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10、光角：≥0-2°</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11、★透镜：≥2组光学透镜；≥6层渡膜透镜</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12、★色温：≥6700K/4500K/3200K</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13、通道：标准20CH/精简16CH</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14、★电机：</w:t>
            </w:r>
            <w:r>
              <w:rPr>
                <w:rFonts w:hint="default" w:ascii="Times New Roman" w:hAnsi="Times New Roman" w:eastAsia="仿宋_GB2312" w:cs="Times New Roman"/>
                <w:b w:val="0"/>
                <w:bCs w:val="0"/>
                <w:sz w:val="24"/>
                <w:szCs w:val="24"/>
                <w:highlight w:val="none"/>
              </w:rPr>
              <w:t>多组静音电机驱动，高精度扫描定位，支持多棱镜叠加特效、多档位色温调节</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15、★水平扫描：优于540°(16bit精度扫描)</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16、★垂直扫描：优于270°(16bit精度扫描)</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17、采用全新智能主板，支持智能倒显。                       18、★防护等级：IP20                                      以上</w:t>
            </w:r>
            <w:r>
              <w:rPr>
                <w:rFonts w:hint="default" w:ascii="Times New Roman" w:hAnsi="Times New Roman" w:eastAsia="仿宋_GB2312" w:cs="Times New Roman"/>
                <w:b w:val="0"/>
                <w:bCs w:val="0"/>
                <w:sz w:val="24"/>
                <w:szCs w:val="24"/>
                <w:highlight w:val="none"/>
              </w:rPr>
              <w:t>带★核心参数需提供国家级认可检测机构</w:t>
            </w:r>
            <w:r>
              <w:rPr>
                <w:rFonts w:hint="eastAsia" w:ascii="Times New Roman" w:hAnsi="Times New Roman" w:eastAsia="仿宋_GB2312" w:cs="Times New Roman"/>
                <w:b w:val="0"/>
                <w:bCs w:val="0"/>
                <w:sz w:val="24"/>
                <w:szCs w:val="24"/>
                <w:highlight w:val="none"/>
                <w:lang w:eastAsia="zh-CN"/>
              </w:rPr>
              <w:t>三年内检测</w:t>
            </w:r>
            <w:r>
              <w:rPr>
                <w:rFonts w:hint="default" w:ascii="Times New Roman" w:hAnsi="Times New Roman" w:eastAsia="仿宋_GB2312" w:cs="Times New Roman"/>
                <w:b w:val="0"/>
                <w:bCs w:val="0"/>
                <w:sz w:val="24"/>
                <w:szCs w:val="24"/>
                <w:highlight w:val="none"/>
              </w:rPr>
              <w:t>报告佐证，无需逐条对应，覆盖核心指标即可</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tc>
        <w:tc>
          <w:tcPr>
            <w:tcW w:w="710" w:type="dxa"/>
            <w:shd w:val="clear" w:color="auto" w:fill="auto"/>
            <w:noWrap/>
            <w:vAlign w:val="center"/>
          </w:tcPr>
          <w:p w14:paraId="31FD2A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24</w:t>
            </w:r>
          </w:p>
        </w:tc>
        <w:tc>
          <w:tcPr>
            <w:tcW w:w="848" w:type="dxa"/>
            <w:shd w:val="clear" w:color="auto" w:fill="auto"/>
            <w:noWrap/>
            <w:vAlign w:val="center"/>
          </w:tcPr>
          <w:p w14:paraId="66F1A3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r>
      <w:tr w14:paraId="2A97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0" w:hRule="atLeast"/>
          <w:jc w:val="center"/>
        </w:trPr>
        <w:tc>
          <w:tcPr>
            <w:tcW w:w="710" w:type="dxa"/>
            <w:shd w:val="clear" w:color="auto" w:fill="auto"/>
            <w:noWrap/>
            <w:vAlign w:val="center"/>
          </w:tcPr>
          <w:p w14:paraId="37B1A1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1126" w:type="dxa"/>
            <w:shd w:val="clear" w:color="auto" w:fill="auto"/>
            <w:noWrap/>
            <w:vAlign w:val="center"/>
          </w:tcPr>
          <w:p w14:paraId="5B0CEE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LED聚光灯</w:t>
            </w:r>
          </w:p>
        </w:tc>
        <w:tc>
          <w:tcPr>
            <w:tcW w:w="5930" w:type="dxa"/>
            <w:shd w:val="clear" w:color="auto" w:fill="auto"/>
            <w:vAlign w:val="center"/>
          </w:tcPr>
          <w:p w14:paraId="2AB032EE">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1、灯珠：1色COB≥400W LED 寿命：≥50000小时</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2、颜色：冷白或暖白，显指：&gt;95</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3、光学透镜角度：优于19-50°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4、调光：16BT线性调光0～100% 频闪：0～25/秒</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5、供电额定电压：AC100/240V, 50/60Hz</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6、额定功率：≥300W</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7、光通量：最佳投射距离：4-30米</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8、工作环境环境温度：-25℃～40℃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9、冷却：强制风冷防护等级：IP20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10、控制操作模式：DMX模式，主从模式</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11、DMX通道：2通道</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12、外型材质：铝合金+冷轧板+有机玻璃                      </w:t>
            </w:r>
          </w:p>
        </w:tc>
        <w:tc>
          <w:tcPr>
            <w:tcW w:w="710" w:type="dxa"/>
            <w:shd w:val="clear" w:color="auto" w:fill="auto"/>
            <w:noWrap/>
            <w:vAlign w:val="center"/>
          </w:tcPr>
          <w:p w14:paraId="5848CB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w:t>
            </w:r>
          </w:p>
        </w:tc>
        <w:tc>
          <w:tcPr>
            <w:tcW w:w="848" w:type="dxa"/>
            <w:shd w:val="clear" w:color="auto" w:fill="auto"/>
            <w:noWrap/>
            <w:vAlign w:val="center"/>
          </w:tcPr>
          <w:p w14:paraId="223710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r>
      <w:tr w14:paraId="4498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0" w:hRule="atLeast"/>
          <w:jc w:val="center"/>
        </w:trPr>
        <w:tc>
          <w:tcPr>
            <w:tcW w:w="710" w:type="dxa"/>
            <w:shd w:val="clear" w:color="auto" w:fill="auto"/>
            <w:noWrap/>
            <w:vAlign w:val="center"/>
          </w:tcPr>
          <w:p w14:paraId="5F685E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7</w:t>
            </w:r>
          </w:p>
        </w:tc>
        <w:tc>
          <w:tcPr>
            <w:tcW w:w="1126" w:type="dxa"/>
            <w:shd w:val="clear" w:color="auto" w:fill="auto"/>
            <w:vAlign w:val="center"/>
          </w:tcPr>
          <w:p w14:paraId="225E7B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放大器</w:t>
            </w:r>
          </w:p>
        </w:tc>
        <w:tc>
          <w:tcPr>
            <w:tcW w:w="5930" w:type="dxa"/>
            <w:shd w:val="clear" w:color="auto" w:fill="auto"/>
            <w:vAlign w:val="center"/>
          </w:tcPr>
          <w:p w14:paraId="547AFAB1">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1、8路光电隔离DMX信号分配器</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2、≥1路DMX512数码输入，≥1路DMX512直接输出，输入/输出光电隔离。</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3、≥8路独立放大驱动输出。</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4、保护灯光控制台DMX512输出接口</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5、电源: AC100V-240V / 50-60Hz；                           </w:t>
            </w:r>
          </w:p>
        </w:tc>
        <w:tc>
          <w:tcPr>
            <w:tcW w:w="710" w:type="dxa"/>
            <w:shd w:val="clear" w:color="auto" w:fill="auto"/>
            <w:noWrap/>
            <w:vAlign w:val="center"/>
          </w:tcPr>
          <w:p w14:paraId="448ED7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848" w:type="dxa"/>
            <w:shd w:val="clear" w:color="auto" w:fill="auto"/>
            <w:noWrap/>
            <w:vAlign w:val="center"/>
          </w:tcPr>
          <w:p w14:paraId="7AD682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r>
      <w:tr w14:paraId="37F5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0" w:hRule="atLeast"/>
          <w:jc w:val="center"/>
        </w:trPr>
        <w:tc>
          <w:tcPr>
            <w:tcW w:w="710" w:type="dxa"/>
            <w:shd w:val="clear" w:color="auto" w:fill="auto"/>
            <w:noWrap/>
            <w:vAlign w:val="center"/>
          </w:tcPr>
          <w:p w14:paraId="6816CB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w:t>
            </w:r>
          </w:p>
        </w:tc>
        <w:tc>
          <w:tcPr>
            <w:tcW w:w="1126" w:type="dxa"/>
            <w:shd w:val="clear" w:color="auto" w:fill="auto"/>
            <w:vAlign w:val="center"/>
          </w:tcPr>
          <w:p w14:paraId="7B6BFC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网络控制器</w:t>
            </w:r>
          </w:p>
        </w:tc>
        <w:tc>
          <w:tcPr>
            <w:tcW w:w="5930" w:type="dxa"/>
            <w:shd w:val="clear" w:color="auto" w:fill="auto"/>
            <w:vAlign w:val="center"/>
          </w:tcPr>
          <w:p w14:paraId="75B1581E">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1、网络信号：ART NET TCP IP</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2、信号通道数：≥8路DMX512输出与输入</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3、工作电压：AC100V~240V 47/60HZ</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4、支持所有ART NET网络协议的控制台</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5、可以将常规的DMX512信号转换成ART NET 网络信号</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6、信号输出卡侬座采用原装瑞士NEUTRIK三芯座（可选五芯座）</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7、设备固件可通过U盘或者网络升级</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8、系统参数可通过液晶屏或者网络设置；</w:t>
            </w:r>
          </w:p>
        </w:tc>
        <w:tc>
          <w:tcPr>
            <w:tcW w:w="710" w:type="dxa"/>
            <w:shd w:val="clear" w:color="auto" w:fill="auto"/>
            <w:noWrap/>
            <w:vAlign w:val="center"/>
          </w:tcPr>
          <w:p w14:paraId="6D830B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848" w:type="dxa"/>
            <w:shd w:val="clear" w:color="auto" w:fill="auto"/>
            <w:noWrap/>
            <w:vAlign w:val="center"/>
          </w:tcPr>
          <w:p w14:paraId="5B62EF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r>
      <w:tr w14:paraId="3DB9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0" w:hRule="atLeast"/>
          <w:jc w:val="center"/>
        </w:trPr>
        <w:tc>
          <w:tcPr>
            <w:tcW w:w="710" w:type="dxa"/>
            <w:shd w:val="clear" w:color="auto" w:fill="auto"/>
            <w:noWrap/>
            <w:vAlign w:val="center"/>
          </w:tcPr>
          <w:p w14:paraId="646877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9</w:t>
            </w:r>
          </w:p>
        </w:tc>
        <w:tc>
          <w:tcPr>
            <w:tcW w:w="1126" w:type="dxa"/>
            <w:shd w:val="clear" w:color="auto" w:fill="auto"/>
            <w:vAlign w:val="center"/>
          </w:tcPr>
          <w:p w14:paraId="777AFC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电源直通箱</w:t>
            </w:r>
          </w:p>
        </w:tc>
        <w:tc>
          <w:tcPr>
            <w:tcW w:w="5930" w:type="dxa"/>
            <w:shd w:val="clear" w:color="auto" w:fill="auto"/>
            <w:vAlign w:val="top"/>
          </w:tcPr>
          <w:p w14:paraId="4F749D28">
            <w:pPr>
              <w:keepNext w:val="0"/>
              <w:keepLines w:val="0"/>
              <w:widowControl/>
              <w:suppressLineNumbers w:val="0"/>
              <w:jc w:val="left"/>
              <w:textAlignment w:val="top"/>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 供电：三相五线AC380±10%，频率50HZ±5%</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 输入额定电流：400A，≥36路</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 有独立液晶电流、电压监测表和A B C三相指灯指示</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4. ≥36路40A输出,每路输出带指示灯指示 </w:t>
            </w:r>
          </w:p>
        </w:tc>
        <w:tc>
          <w:tcPr>
            <w:tcW w:w="710" w:type="dxa"/>
            <w:shd w:val="clear" w:color="auto" w:fill="auto"/>
            <w:noWrap/>
            <w:vAlign w:val="center"/>
          </w:tcPr>
          <w:p w14:paraId="32E221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848" w:type="dxa"/>
            <w:shd w:val="clear" w:color="auto" w:fill="auto"/>
            <w:noWrap/>
            <w:vAlign w:val="center"/>
          </w:tcPr>
          <w:p w14:paraId="00DA91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r>
      <w:tr w14:paraId="5188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710" w:type="dxa"/>
            <w:shd w:val="clear" w:color="auto" w:fill="auto"/>
            <w:noWrap/>
            <w:vAlign w:val="center"/>
          </w:tcPr>
          <w:p w14:paraId="423BCA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10</w:t>
            </w:r>
          </w:p>
        </w:tc>
        <w:tc>
          <w:tcPr>
            <w:tcW w:w="1126" w:type="dxa"/>
            <w:shd w:val="clear" w:color="auto" w:fill="auto"/>
            <w:vAlign w:val="center"/>
          </w:tcPr>
          <w:p w14:paraId="290D17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灯光控台</w:t>
            </w:r>
          </w:p>
        </w:tc>
        <w:tc>
          <w:tcPr>
            <w:tcW w:w="5930" w:type="dxa"/>
            <w:shd w:val="clear" w:color="auto" w:fill="auto"/>
            <w:vAlign w:val="center"/>
          </w:tcPr>
          <w:p w14:paraId="0D3DE690">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i w:val="0"/>
                <w:iCs w:val="0"/>
                <w:color w:val="000000"/>
                <w:kern w:val="0"/>
                <w:sz w:val="24"/>
                <w:szCs w:val="24"/>
                <w:highlight w:val="none"/>
                <w:lang w:val="en-US" w:eastAsia="zh-CN" w:bidi="ar"/>
              </w:rPr>
              <w:t>1</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sz w:val="24"/>
                <w:szCs w:val="24"/>
                <w:highlight w:val="none"/>
              </w:rPr>
              <w:t>专业舞台灯光控台，配置</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酷睿i5</w:t>
            </w:r>
            <w:r>
              <w:rPr>
                <w:rFonts w:hint="default" w:ascii="Times New Roman" w:hAnsi="Times New Roman" w:eastAsia="仿宋_GB2312" w:cs="Times New Roman"/>
                <w:b w:val="0"/>
                <w:bCs w:val="0"/>
                <w:sz w:val="24"/>
                <w:szCs w:val="24"/>
                <w:highlight w:val="none"/>
              </w:rPr>
              <w:t>及以上处理器</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sz w:val="24"/>
                <w:szCs w:val="24"/>
                <w:highlight w:val="none"/>
              </w:rPr>
              <w:t>固态硬盘≥</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120GB，内存</w:t>
            </w:r>
            <w:r>
              <w:rPr>
                <w:rFonts w:hint="default" w:ascii="Times New Roman" w:hAnsi="Times New Roman" w:eastAsia="仿宋_GB2312" w:cs="Times New Roman"/>
                <w:b w:val="0"/>
                <w:bCs w:val="0"/>
                <w:sz w:val="24"/>
                <w:szCs w:val="24"/>
                <w:highlight w:val="none"/>
              </w:rPr>
              <w:t>≥4G</w:t>
            </w:r>
            <w:r>
              <w:rPr>
                <w:rFonts w:hint="default" w:ascii="Times New Roman" w:hAnsi="Times New Roman" w:eastAsia="仿宋_GB2312" w:cs="Times New Roman"/>
                <w:b w:val="0"/>
                <w:bCs w:val="0"/>
                <w:sz w:val="24"/>
                <w:szCs w:val="24"/>
                <w:highlight w:val="none"/>
                <w:lang w:val="en-US" w:eastAsia="zh-CN"/>
              </w:rPr>
              <w:t>B</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w:t>
            </w:r>
            <w:r>
              <w:rPr>
                <w:rFonts w:hint="default" w:ascii="Times New Roman" w:hAnsi="Times New Roman" w:eastAsia="仿宋_GB2312" w:cs="Times New Roman"/>
                <w:b w:val="0"/>
                <w:bCs w:val="0"/>
                <w:sz w:val="24"/>
                <w:szCs w:val="24"/>
                <w:highlight w:val="none"/>
              </w:rPr>
              <w:t>光电隔离信号输出口通道容量≥6144</w:t>
            </w:r>
          </w:p>
          <w:p w14:paraId="44C9F54A">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3、内置</w:t>
            </w:r>
            <w:r>
              <w:rPr>
                <w:rFonts w:hint="default" w:ascii="Times New Roman" w:hAnsi="Times New Roman" w:eastAsia="仿宋_GB2312" w:cs="Times New Roman"/>
                <w:b w:val="0"/>
                <w:bCs w:val="0"/>
                <w:sz w:val="24"/>
                <w:szCs w:val="24"/>
                <w:highlight w:val="none"/>
              </w:rPr>
              <w:t>双高清触控屏</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p w14:paraId="51F7802D">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4、支持Wi-Fi接入，无线控灯、移动设备、远程控制灯具、</w:t>
            </w:r>
            <w:r>
              <w:rPr>
                <w:rFonts w:hint="default" w:ascii="Times New Roman" w:hAnsi="Times New Roman" w:eastAsia="仿宋_GB2312" w:cs="Times New Roman"/>
                <w:b w:val="0"/>
                <w:bCs w:val="0"/>
                <w:sz w:val="24"/>
                <w:szCs w:val="24"/>
                <w:highlight w:val="none"/>
              </w:rPr>
              <w:t>主流灯光控制协议</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p w14:paraId="302F52E7">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p>
        </w:tc>
        <w:tc>
          <w:tcPr>
            <w:tcW w:w="710" w:type="dxa"/>
            <w:shd w:val="clear" w:color="auto" w:fill="auto"/>
            <w:noWrap/>
            <w:vAlign w:val="center"/>
          </w:tcPr>
          <w:p w14:paraId="0FC773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848" w:type="dxa"/>
            <w:shd w:val="clear" w:color="auto" w:fill="auto"/>
            <w:noWrap/>
            <w:vAlign w:val="center"/>
          </w:tcPr>
          <w:p w14:paraId="3B0F2F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台</w:t>
            </w:r>
          </w:p>
        </w:tc>
      </w:tr>
      <w:tr w14:paraId="45D9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710" w:type="dxa"/>
            <w:shd w:val="clear" w:color="auto" w:fill="auto"/>
            <w:noWrap/>
            <w:vAlign w:val="center"/>
          </w:tcPr>
          <w:p w14:paraId="2373CB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11</w:t>
            </w:r>
          </w:p>
        </w:tc>
        <w:tc>
          <w:tcPr>
            <w:tcW w:w="1126" w:type="dxa"/>
            <w:shd w:val="clear" w:color="auto" w:fill="auto"/>
            <w:noWrap/>
            <w:vAlign w:val="center"/>
          </w:tcPr>
          <w:p w14:paraId="7BD750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灯钩</w:t>
            </w:r>
          </w:p>
        </w:tc>
        <w:tc>
          <w:tcPr>
            <w:tcW w:w="5930" w:type="dxa"/>
            <w:shd w:val="clear" w:color="auto" w:fill="auto"/>
            <w:vAlign w:val="center"/>
          </w:tcPr>
          <w:p w14:paraId="183F9827">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1、材质：6061</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noBreakHyphen/>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T6 / 6082</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noBreakHyphen/>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T6 / 6063</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noBreakHyphen/>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T6 高强度铝合金（主流）</w:t>
            </w:r>
          </w:p>
        </w:tc>
        <w:tc>
          <w:tcPr>
            <w:tcW w:w="710" w:type="dxa"/>
            <w:shd w:val="clear" w:color="auto" w:fill="auto"/>
            <w:noWrap/>
            <w:vAlign w:val="center"/>
          </w:tcPr>
          <w:p w14:paraId="71F9AB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260</w:t>
            </w:r>
          </w:p>
        </w:tc>
        <w:tc>
          <w:tcPr>
            <w:tcW w:w="848" w:type="dxa"/>
            <w:shd w:val="clear" w:color="auto" w:fill="auto"/>
            <w:noWrap/>
            <w:vAlign w:val="center"/>
          </w:tcPr>
          <w:p w14:paraId="371EBF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个</w:t>
            </w:r>
          </w:p>
        </w:tc>
      </w:tr>
      <w:tr w14:paraId="39EF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710" w:type="dxa"/>
            <w:shd w:val="clear" w:color="auto" w:fill="auto"/>
            <w:noWrap/>
            <w:vAlign w:val="center"/>
          </w:tcPr>
          <w:p w14:paraId="7E2D88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w:t>
            </w:r>
          </w:p>
        </w:tc>
        <w:tc>
          <w:tcPr>
            <w:tcW w:w="1126" w:type="dxa"/>
            <w:shd w:val="clear" w:color="auto" w:fill="auto"/>
            <w:noWrap/>
            <w:vAlign w:val="center"/>
          </w:tcPr>
          <w:p w14:paraId="4CFCB3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电源线</w:t>
            </w:r>
          </w:p>
        </w:tc>
        <w:tc>
          <w:tcPr>
            <w:tcW w:w="5930" w:type="dxa"/>
            <w:shd w:val="clear" w:color="auto" w:fill="auto"/>
            <w:noWrap/>
            <w:vAlign w:val="center"/>
          </w:tcPr>
          <w:p w14:paraId="2F2A57F4">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sz w:val="24"/>
                <w:szCs w:val="24"/>
                <w:highlight w:val="none"/>
              </w:rPr>
              <w:t>采用国标舞台专用材料，阻燃、耐压、抗干扰性能符合舞台演出安全标准，数量、规格满足项目整体施工、安装、调试及长期稳定运行需求，完工后符合国家灯光工程验收规范</w:t>
            </w:r>
          </w:p>
        </w:tc>
        <w:tc>
          <w:tcPr>
            <w:tcW w:w="710" w:type="dxa"/>
            <w:shd w:val="clear" w:color="auto" w:fill="auto"/>
            <w:noWrap/>
            <w:vAlign w:val="center"/>
          </w:tcPr>
          <w:p w14:paraId="42FC9A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2000</w:t>
            </w:r>
          </w:p>
        </w:tc>
        <w:tc>
          <w:tcPr>
            <w:tcW w:w="848" w:type="dxa"/>
            <w:shd w:val="clear" w:color="auto" w:fill="auto"/>
            <w:noWrap/>
            <w:vAlign w:val="center"/>
          </w:tcPr>
          <w:p w14:paraId="219F1A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r>
      <w:tr w14:paraId="6D60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710" w:type="dxa"/>
            <w:shd w:val="clear" w:color="auto" w:fill="auto"/>
            <w:noWrap/>
            <w:vAlign w:val="center"/>
          </w:tcPr>
          <w:p w14:paraId="000E65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13</w:t>
            </w:r>
          </w:p>
        </w:tc>
        <w:tc>
          <w:tcPr>
            <w:tcW w:w="1126" w:type="dxa"/>
            <w:shd w:val="clear" w:color="auto" w:fill="auto"/>
            <w:noWrap/>
            <w:vAlign w:val="center"/>
          </w:tcPr>
          <w:p w14:paraId="4A904E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信号线</w:t>
            </w:r>
          </w:p>
        </w:tc>
        <w:tc>
          <w:tcPr>
            <w:tcW w:w="5930" w:type="dxa"/>
            <w:shd w:val="clear" w:color="auto" w:fill="auto"/>
            <w:noWrap/>
            <w:vAlign w:val="center"/>
          </w:tcPr>
          <w:p w14:paraId="52F5529D">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sz w:val="24"/>
                <w:szCs w:val="24"/>
                <w:highlight w:val="none"/>
              </w:rPr>
              <w:t>采用国标舞台专用材料，阻燃、耐压、抗干扰性能符合舞台演出安全标准，数量、规格满足项目整体施工、安装、调试及长期稳定运行需求，完工后符合国家灯光工程验收规范</w:t>
            </w:r>
          </w:p>
        </w:tc>
        <w:tc>
          <w:tcPr>
            <w:tcW w:w="710" w:type="dxa"/>
            <w:shd w:val="clear" w:color="auto" w:fill="auto"/>
            <w:noWrap/>
            <w:vAlign w:val="center"/>
          </w:tcPr>
          <w:p w14:paraId="2FF648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1500</w:t>
            </w:r>
          </w:p>
        </w:tc>
        <w:tc>
          <w:tcPr>
            <w:tcW w:w="848" w:type="dxa"/>
            <w:shd w:val="clear" w:color="auto" w:fill="auto"/>
            <w:noWrap/>
            <w:vAlign w:val="center"/>
          </w:tcPr>
          <w:p w14:paraId="4C1592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r>
      <w:tr w14:paraId="1D7A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710" w:type="dxa"/>
            <w:shd w:val="clear" w:color="auto" w:fill="auto"/>
            <w:noWrap/>
            <w:vAlign w:val="center"/>
          </w:tcPr>
          <w:p w14:paraId="31BCE1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14</w:t>
            </w:r>
          </w:p>
        </w:tc>
        <w:tc>
          <w:tcPr>
            <w:tcW w:w="1126" w:type="dxa"/>
            <w:shd w:val="clear" w:color="auto" w:fill="auto"/>
            <w:noWrap/>
            <w:vAlign w:val="center"/>
          </w:tcPr>
          <w:p w14:paraId="62F273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辅料</w:t>
            </w:r>
          </w:p>
        </w:tc>
        <w:tc>
          <w:tcPr>
            <w:tcW w:w="5930" w:type="dxa"/>
            <w:shd w:val="clear" w:color="auto" w:fill="auto"/>
            <w:noWrap/>
            <w:vAlign w:val="center"/>
          </w:tcPr>
          <w:p w14:paraId="7BFC32D4">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sz w:val="24"/>
                <w:szCs w:val="24"/>
                <w:highlight w:val="none"/>
              </w:rPr>
              <w:t>采用国标舞台专用材料，阻燃、耐压、抗干扰性能符合舞台演出安全标准，数量、规格满足项目整体施工、安装、调试及长期稳定运行需求，完工后符合国家灯光工程验收规范</w:t>
            </w:r>
          </w:p>
        </w:tc>
        <w:tc>
          <w:tcPr>
            <w:tcW w:w="710" w:type="dxa"/>
            <w:shd w:val="clear" w:color="auto" w:fill="auto"/>
            <w:noWrap/>
            <w:vAlign w:val="center"/>
          </w:tcPr>
          <w:p w14:paraId="23C851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848" w:type="dxa"/>
            <w:shd w:val="clear" w:color="auto" w:fill="auto"/>
            <w:noWrap/>
            <w:vAlign w:val="center"/>
          </w:tcPr>
          <w:p w14:paraId="115E85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批</w:t>
            </w:r>
          </w:p>
        </w:tc>
      </w:tr>
      <w:tr w14:paraId="4313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710" w:type="dxa"/>
            <w:shd w:val="clear" w:color="auto" w:fill="auto"/>
            <w:noWrap/>
            <w:vAlign w:val="center"/>
          </w:tcPr>
          <w:p w14:paraId="49442F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15</w:t>
            </w:r>
          </w:p>
        </w:tc>
        <w:tc>
          <w:tcPr>
            <w:tcW w:w="1126" w:type="dxa"/>
            <w:shd w:val="clear" w:color="auto" w:fill="auto"/>
            <w:noWrap/>
            <w:vAlign w:val="center"/>
          </w:tcPr>
          <w:p w14:paraId="1AB292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安装调试</w:t>
            </w:r>
          </w:p>
        </w:tc>
        <w:tc>
          <w:tcPr>
            <w:tcW w:w="5930" w:type="dxa"/>
            <w:shd w:val="clear" w:color="auto" w:fill="auto"/>
            <w:noWrap/>
            <w:vAlign w:val="center"/>
          </w:tcPr>
          <w:p w14:paraId="545F7BDB">
            <w:pPr>
              <w:jc w:val="left"/>
              <w:rPr>
                <w:rFonts w:hint="default" w:ascii="Times New Roman" w:hAnsi="Times New Roman" w:eastAsia="仿宋_GB2312" w:cs="Times New Roman"/>
                <w:i w:val="0"/>
                <w:iCs w:val="0"/>
                <w:color w:val="000000"/>
                <w:sz w:val="24"/>
                <w:szCs w:val="24"/>
                <w:highlight w:val="none"/>
                <w:u w:val="none"/>
              </w:rPr>
            </w:pPr>
          </w:p>
        </w:tc>
        <w:tc>
          <w:tcPr>
            <w:tcW w:w="710" w:type="dxa"/>
            <w:shd w:val="clear" w:color="auto" w:fill="auto"/>
            <w:noWrap/>
            <w:vAlign w:val="center"/>
          </w:tcPr>
          <w:p w14:paraId="2B085C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848" w:type="dxa"/>
            <w:shd w:val="clear" w:color="auto" w:fill="auto"/>
            <w:noWrap/>
            <w:vAlign w:val="center"/>
          </w:tcPr>
          <w:p w14:paraId="40962D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项</w:t>
            </w:r>
          </w:p>
        </w:tc>
      </w:tr>
    </w:tbl>
    <w:p w14:paraId="65EC138F">
      <w:pPr>
        <w:pStyle w:val="8"/>
        <w:ind w:left="0" w:leftChars="0" w:firstLine="0" w:firstLineChars="0"/>
        <w:rPr>
          <w:rFonts w:hint="eastAsia"/>
          <w:highlight w:val="none"/>
        </w:rPr>
      </w:pPr>
    </w:p>
    <w:p w14:paraId="07A405C0">
      <w:pPr>
        <w:rPr>
          <w:rFonts w:hint="eastAsia"/>
          <w:highlight w:val="none"/>
        </w:rPr>
      </w:pPr>
    </w:p>
    <w:tbl>
      <w:tblPr>
        <w:tblStyle w:val="34"/>
        <w:tblW w:w="5455" w:type="pct"/>
        <w:tblInd w:w="-3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196"/>
        <w:gridCol w:w="4945"/>
        <w:gridCol w:w="902"/>
        <w:gridCol w:w="681"/>
        <w:gridCol w:w="911"/>
      </w:tblGrid>
      <w:tr w14:paraId="0F51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000" w:type="pct"/>
            <w:gridSpan w:val="6"/>
            <w:tcBorders>
              <w:top w:val="nil"/>
              <w:left w:val="nil"/>
              <w:bottom w:val="nil"/>
              <w:right w:val="nil"/>
            </w:tcBorders>
            <w:shd w:val="clear" w:color="auto" w:fill="auto"/>
            <w:noWrap/>
            <w:vAlign w:val="center"/>
          </w:tcPr>
          <w:p w14:paraId="1CD4B3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吊杆机械部分</w:t>
            </w:r>
          </w:p>
        </w:tc>
      </w:tr>
      <w:tr w14:paraId="3312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928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97A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设备名称</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304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设备参数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953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数量</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362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50F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备注</w:t>
            </w:r>
          </w:p>
        </w:tc>
      </w:tr>
      <w:tr w14:paraId="1E9B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35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w:t>
            </w:r>
          </w:p>
        </w:tc>
        <w:tc>
          <w:tcPr>
            <w:tcW w:w="643" w:type="pct"/>
            <w:tcBorders>
              <w:top w:val="single" w:color="000000" w:sz="4" w:space="0"/>
              <w:left w:val="single" w:color="000000" w:sz="4" w:space="0"/>
              <w:bottom w:val="single" w:color="000000" w:sz="4" w:space="0"/>
              <w:right w:val="nil"/>
            </w:tcBorders>
            <w:shd w:val="clear" w:color="auto" w:fill="auto"/>
            <w:vAlign w:val="center"/>
          </w:tcPr>
          <w:p w14:paraId="686038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对开大幕机械部分(★核心产品)</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BE40">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电机功率≥1.1KW；</w:t>
            </w:r>
          </w:p>
          <w:p w14:paraId="44116BC3">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auto"/>
                <w:sz w:val="24"/>
                <w:szCs w:val="24"/>
                <w:highlight w:val="none"/>
                <w:u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2、拉幕机牵引力≥800N；</w:t>
            </w:r>
          </w:p>
          <w:p w14:paraId="1F1525CA">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3、</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导轨载荷≥800kg；                            4、采用R系列减速箱，</w:t>
            </w:r>
            <w:r>
              <w:rPr>
                <w:rFonts w:hint="default" w:ascii="Times New Roman" w:hAnsi="Times New Roman" w:eastAsia="仿宋_GB2312" w:cs="Times New Roman"/>
                <w:b w:val="0"/>
                <w:bCs w:val="0"/>
                <w:sz w:val="24"/>
                <w:szCs w:val="24"/>
                <w:highlight w:val="none"/>
              </w:rPr>
              <w:t>变频调速三相异步电机</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 xml:space="preserve">；                           </w:t>
            </w:r>
          </w:p>
          <w:p w14:paraId="24DA076C">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5、</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对开速度</w:t>
            </w:r>
            <w:r>
              <w:rPr>
                <w:rFonts w:hint="default" w:ascii="Times New Roman" w:hAnsi="Times New Roman" w:eastAsia="仿宋_GB2312" w:cs="Times New Roman"/>
                <w:b w:val="0"/>
                <w:bCs w:val="0"/>
                <w:sz w:val="24"/>
                <w:szCs w:val="24"/>
                <w:highlight w:val="none"/>
              </w:rPr>
              <w:t>0.01~1.0m/s无级可调</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                   6、运行噪音</w:t>
            </w:r>
            <w:r>
              <w:rPr>
                <w:rFonts w:hint="default" w:ascii="Times New Roman" w:hAnsi="Times New Roman" w:eastAsia="仿宋_GB2312" w:cs="Times New Roman"/>
                <w:b w:val="0"/>
                <w:bCs w:val="0"/>
                <w:sz w:val="24"/>
                <w:szCs w:val="24"/>
                <w:highlight w:val="none"/>
              </w:rPr>
              <w:t>≤</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50dB(A)；                            7、</w:t>
            </w:r>
            <w:r>
              <w:rPr>
                <w:rFonts w:hint="default" w:ascii="Times New Roman" w:hAnsi="Times New Roman" w:eastAsia="仿宋_GB2312" w:cs="Times New Roman"/>
                <w:b w:val="0"/>
                <w:bCs w:val="0"/>
                <w:sz w:val="24"/>
                <w:szCs w:val="24"/>
                <w:highlight w:val="none"/>
              </w:rPr>
              <w:t>配置国标航用镀锌钢丝绳，带限位安全保护，最大适配幕布宽度≥30m</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w:t>
            </w:r>
          </w:p>
          <w:p w14:paraId="42E37BE1">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以上</w:t>
            </w:r>
            <w:r>
              <w:rPr>
                <w:rFonts w:hint="default" w:ascii="Times New Roman" w:hAnsi="Times New Roman" w:eastAsia="仿宋_GB2312" w:cs="Times New Roman"/>
                <w:b w:val="0"/>
                <w:bCs w:val="0"/>
                <w:sz w:val="24"/>
                <w:szCs w:val="24"/>
                <w:highlight w:val="none"/>
              </w:rPr>
              <w:t>带★核心参数需提供国家级认可检测机构</w:t>
            </w:r>
            <w:r>
              <w:rPr>
                <w:rFonts w:hint="eastAsia" w:ascii="Times New Roman" w:hAnsi="Times New Roman" w:eastAsia="仿宋_GB2312" w:cs="Times New Roman"/>
                <w:b w:val="0"/>
                <w:bCs w:val="0"/>
                <w:sz w:val="24"/>
                <w:szCs w:val="24"/>
                <w:highlight w:val="none"/>
                <w:lang w:eastAsia="zh-CN"/>
              </w:rPr>
              <w:t>三年内检测</w:t>
            </w:r>
            <w:r>
              <w:rPr>
                <w:rFonts w:hint="default" w:ascii="Times New Roman" w:hAnsi="Times New Roman" w:eastAsia="仿宋_GB2312" w:cs="Times New Roman"/>
                <w:b w:val="0"/>
                <w:bCs w:val="0"/>
                <w:sz w:val="24"/>
                <w:szCs w:val="24"/>
                <w:highlight w:val="none"/>
              </w:rPr>
              <w:t>报告佐证，无需逐条对应，覆盖核心指标即可</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29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5C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62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新增</w:t>
            </w:r>
          </w:p>
        </w:tc>
      </w:tr>
      <w:tr w14:paraId="46B2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7C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2</w:t>
            </w:r>
          </w:p>
        </w:tc>
        <w:tc>
          <w:tcPr>
            <w:tcW w:w="643" w:type="pct"/>
            <w:tcBorders>
              <w:top w:val="single" w:color="000000" w:sz="4" w:space="0"/>
              <w:left w:val="single" w:color="000000" w:sz="4" w:space="0"/>
              <w:bottom w:val="single" w:color="000000" w:sz="4" w:space="0"/>
              <w:right w:val="nil"/>
            </w:tcBorders>
            <w:shd w:val="clear" w:color="auto" w:fill="auto"/>
            <w:vAlign w:val="center"/>
          </w:tcPr>
          <w:p w14:paraId="7C9C3D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对开二道幕机械部分(★核心产品)</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8F3E">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电机功率≥1.1KW；</w:t>
            </w:r>
          </w:p>
          <w:p w14:paraId="148182F7">
            <w:pPr>
              <w:keepNext w:val="0"/>
              <w:keepLines w:val="0"/>
              <w:widowControl/>
              <w:numPr>
                <w:ilvl w:val="0"/>
                <w:numId w:val="0"/>
              </w:numPr>
              <w:suppressLineNumbers w:val="0"/>
              <w:jc w:val="left"/>
              <w:textAlignment w:val="center"/>
              <w:rPr>
                <w:rFonts w:hint="default" w:ascii="Times New Roman" w:hAnsi="Times New Roman" w:eastAsia="仿宋_GB2312" w:cs="Times New Roman"/>
                <w:b w:val="0"/>
                <w:bCs w:val="0"/>
                <w:i w:val="0"/>
                <w:iCs w:val="0"/>
                <w:color w:val="auto"/>
                <w:sz w:val="24"/>
                <w:szCs w:val="24"/>
                <w:highlight w:val="none"/>
                <w:u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2、拉幕机牵引力≥800N；</w:t>
            </w:r>
          </w:p>
          <w:p w14:paraId="615FA0EC">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3、</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导轨载荷≥800kg；                            4、采用R系列减速箱，</w:t>
            </w:r>
            <w:r>
              <w:rPr>
                <w:rFonts w:hint="default" w:ascii="Times New Roman" w:hAnsi="Times New Roman" w:eastAsia="仿宋_GB2312" w:cs="Times New Roman"/>
                <w:b w:val="0"/>
                <w:bCs w:val="0"/>
                <w:sz w:val="24"/>
                <w:szCs w:val="24"/>
                <w:highlight w:val="none"/>
              </w:rPr>
              <w:t>变频调速三相异步电机</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 xml:space="preserve">；                           </w:t>
            </w:r>
          </w:p>
          <w:p w14:paraId="017454A5">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5、</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对开速度</w:t>
            </w:r>
            <w:r>
              <w:rPr>
                <w:rFonts w:hint="default" w:ascii="Times New Roman" w:hAnsi="Times New Roman" w:eastAsia="仿宋_GB2312" w:cs="Times New Roman"/>
                <w:b w:val="0"/>
                <w:bCs w:val="0"/>
                <w:sz w:val="24"/>
                <w:szCs w:val="24"/>
                <w:highlight w:val="none"/>
              </w:rPr>
              <w:t>0.01~1.0m/s无级可调</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                   6、运行噪音</w:t>
            </w:r>
            <w:r>
              <w:rPr>
                <w:rFonts w:hint="default" w:ascii="Times New Roman" w:hAnsi="Times New Roman" w:eastAsia="仿宋_GB2312" w:cs="Times New Roman"/>
                <w:b w:val="0"/>
                <w:bCs w:val="0"/>
                <w:sz w:val="24"/>
                <w:szCs w:val="24"/>
                <w:highlight w:val="none"/>
              </w:rPr>
              <w:t>≤</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小于50dB(A)；                             7、</w:t>
            </w:r>
            <w:r>
              <w:rPr>
                <w:rFonts w:hint="default" w:ascii="Times New Roman" w:hAnsi="Times New Roman" w:eastAsia="仿宋_GB2312" w:cs="Times New Roman"/>
                <w:b w:val="0"/>
                <w:bCs w:val="0"/>
                <w:sz w:val="24"/>
                <w:szCs w:val="24"/>
                <w:highlight w:val="none"/>
              </w:rPr>
              <w:t>配置国标航用镀锌钢丝绳，带限位安全保护，最大适配幕布宽度≥30m</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w:t>
            </w:r>
          </w:p>
          <w:p w14:paraId="42CDB4F3">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以上</w:t>
            </w:r>
            <w:r>
              <w:rPr>
                <w:rFonts w:hint="default" w:ascii="Times New Roman" w:hAnsi="Times New Roman" w:eastAsia="仿宋_GB2312" w:cs="Times New Roman"/>
                <w:b w:val="0"/>
                <w:bCs w:val="0"/>
                <w:sz w:val="24"/>
                <w:szCs w:val="24"/>
                <w:highlight w:val="none"/>
              </w:rPr>
              <w:t>带★核心参数需提供国家级认可检测机构</w:t>
            </w:r>
            <w:r>
              <w:rPr>
                <w:rFonts w:hint="eastAsia" w:ascii="Times New Roman" w:hAnsi="Times New Roman" w:eastAsia="仿宋_GB2312" w:cs="Times New Roman"/>
                <w:b w:val="0"/>
                <w:bCs w:val="0"/>
                <w:sz w:val="24"/>
                <w:szCs w:val="24"/>
                <w:highlight w:val="none"/>
                <w:lang w:eastAsia="zh-CN"/>
              </w:rPr>
              <w:t>三年内检测</w:t>
            </w:r>
            <w:r>
              <w:rPr>
                <w:rFonts w:hint="default" w:ascii="Times New Roman" w:hAnsi="Times New Roman" w:eastAsia="仿宋_GB2312" w:cs="Times New Roman"/>
                <w:b w:val="0"/>
                <w:bCs w:val="0"/>
                <w:sz w:val="24"/>
                <w:szCs w:val="24"/>
                <w:highlight w:val="none"/>
              </w:rPr>
              <w:t>报告佐证，无需逐条对应，覆盖核心指标即可</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B5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BC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6F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新增</w:t>
            </w:r>
          </w:p>
        </w:tc>
      </w:tr>
      <w:tr w14:paraId="03D9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26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3</w:t>
            </w:r>
          </w:p>
        </w:tc>
        <w:tc>
          <w:tcPr>
            <w:tcW w:w="643" w:type="pct"/>
            <w:tcBorders>
              <w:top w:val="single" w:color="000000" w:sz="4" w:space="0"/>
              <w:left w:val="single" w:color="000000" w:sz="4" w:space="0"/>
              <w:bottom w:val="single" w:color="000000" w:sz="4" w:space="0"/>
              <w:right w:val="nil"/>
            </w:tcBorders>
            <w:shd w:val="clear" w:color="auto" w:fill="auto"/>
            <w:vAlign w:val="center"/>
          </w:tcPr>
          <w:p w14:paraId="775CA8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color w:val="000000"/>
                <w:kern w:val="0"/>
                <w:sz w:val="24"/>
                <w:szCs w:val="24"/>
                <w:highlight w:val="none"/>
                <w:u w:val="none"/>
                <w:lang w:val="en-US" w:eastAsia="zh-CN" w:bidi="ar"/>
              </w:rPr>
              <w:t>对开导轨（大幕、二幕）</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D703">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sz w:val="24"/>
                <w:szCs w:val="24"/>
                <w:highlight w:val="none"/>
              </w:rPr>
              <w:t>采用国标槽钢、角铁制作对开导轨，长度按现场台口实际尺寸适配，含行程限位及安全防护装置</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BE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B1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道</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83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新增</w:t>
            </w:r>
          </w:p>
        </w:tc>
      </w:tr>
      <w:tr w14:paraId="09F2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4"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AF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4</w:t>
            </w:r>
          </w:p>
        </w:tc>
        <w:tc>
          <w:tcPr>
            <w:tcW w:w="643" w:type="pct"/>
            <w:tcBorders>
              <w:top w:val="single" w:color="000000" w:sz="4" w:space="0"/>
              <w:left w:val="single" w:color="000000" w:sz="4" w:space="0"/>
              <w:bottom w:val="single" w:color="000000" w:sz="4" w:space="0"/>
              <w:right w:val="nil"/>
            </w:tcBorders>
            <w:shd w:val="clear" w:color="auto" w:fill="auto"/>
            <w:vAlign w:val="center"/>
          </w:tcPr>
          <w:p w14:paraId="452C9E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color w:val="000000"/>
                <w:kern w:val="0"/>
                <w:sz w:val="24"/>
                <w:szCs w:val="24"/>
                <w:highlight w:val="none"/>
                <w:u w:val="none"/>
                <w:lang w:val="en-US" w:eastAsia="zh-CN" w:bidi="ar"/>
              </w:rPr>
              <w:t>顶光吊杆及机械部分(★核心产品)</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9D91">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w:t>
            </w:r>
            <w:r>
              <w:rPr>
                <w:rFonts w:hint="default" w:ascii="Times New Roman" w:hAnsi="Times New Roman" w:eastAsia="仿宋_GB2312" w:cs="Times New Roman"/>
                <w:b w:val="0"/>
                <w:bCs w:val="0"/>
                <w:sz w:val="24"/>
                <w:szCs w:val="24"/>
                <w:highlight w:val="none"/>
              </w:rPr>
              <w:t>采用多吊点单层缠绕大滚筒吊机，适配礼堂舞台尺寸</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p w14:paraId="5F1E3329">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2、★</w:t>
            </w:r>
            <w:r>
              <w:rPr>
                <w:rFonts w:hint="default" w:ascii="Times New Roman" w:hAnsi="Times New Roman" w:eastAsia="仿宋_GB2312" w:cs="Times New Roman"/>
                <w:b w:val="0"/>
                <w:bCs w:val="0"/>
                <w:sz w:val="24"/>
                <w:szCs w:val="24"/>
                <w:highlight w:val="none"/>
              </w:rPr>
              <w:t>变频调速运行速度0.1m/s-1.0m/s（误差±8%）</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                 </w:t>
            </w:r>
          </w:p>
          <w:p w14:paraId="66C944E1">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lang w:val="en-US" w:eastAsia="zh-CN" w:bidi="ar"/>
              </w:rPr>
              <w:t>3、</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★载荷≥800KG；                                  4、制动方式：盘式制动电机，                                         5、定位精度</w:t>
            </w:r>
            <w:r>
              <w:rPr>
                <w:rFonts w:hint="default" w:ascii="Times New Roman" w:hAnsi="Times New Roman" w:eastAsia="仿宋_GB2312" w:cs="Times New Roman"/>
                <w:b w:val="0"/>
                <w:bCs w:val="0"/>
                <w:sz w:val="24"/>
                <w:szCs w:val="24"/>
                <w:highlight w:val="none"/>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5mm；</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6、噪音≤50dB；卷筒直径≥320mm；                                 7、</w:t>
            </w:r>
            <w:r>
              <w:rPr>
                <w:rFonts w:hint="default" w:ascii="Times New Roman" w:hAnsi="Times New Roman" w:eastAsia="仿宋_GB2312" w:cs="Times New Roman"/>
                <w:b w:val="0"/>
                <w:bCs w:val="0"/>
                <w:sz w:val="24"/>
                <w:szCs w:val="24"/>
                <w:highlight w:val="none"/>
              </w:rPr>
              <w:t>配备超程保护、松绳叠绳检测、冲顶断电极限保护等多重安全装置，符合舞台机械安全规范</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p w14:paraId="13F902E8">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以上</w:t>
            </w:r>
            <w:r>
              <w:rPr>
                <w:rFonts w:hint="default" w:ascii="Times New Roman" w:hAnsi="Times New Roman" w:eastAsia="仿宋_GB2312" w:cs="Times New Roman"/>
                <w:b w:val="0"/>
                <w:bCs w:val="0"/>
                <w:sz w:val="24"/>
                <w:szCs w:val="24"/>
                <w:highlight w:val="none"/>
              </w:rPr>
              <w:t>带★核心参数需提供国家级认可检测机构</w:t>
            </w:r>
            <w:r>
              <w:rPr>
                <w:rFonts w:hint="eastAsia" w:ascii="Times New Roman" w:hAnsi="Times New Roman" w:eastAsia="仿宋_GB2312" w:cs="Times New Roman"/>
                <w:b w:val="0"/>
                <w:bCs w:val="0"/>
                <w:sz w:val="24"/>
                <w:szCs w:val="24"/>
                <w:highlight w:val="none"/>
                <w:lang w:eastAsia="zh-CN"/>
              </w:rPr>
              <w:t>三年内检测</w:t>
            </w:r>
            <w:r>
              <w:rPr>
                <w:rFonts w:hint="default" w:ascii="Times New Roman" w:hAnsi="Times New Roman" w:eastAsia="仿宋_GB2312" w:cs="Times New Roman"/>
                <w:b w:val="0"/>
                <w:bCs w:val="0"/>
                <w:sz w:val="24"/>
                <w:szCs w:val="24"/>
                <w:highlight w:val="none"/>
              </w:rPr>
              <w:t>报告佐证，无需逐条对应，覆盖核心指标即可</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9A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D6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9F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新增</w:t>
            </w:r>
          </w:p>
        </w:tc>
      </w:tr>
      <w:tr w14:paraId="3266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FB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5</w:t>
            </w:r>
          </w:p>
        </w:tc>
        <w:tc>
          <w:tcPr>
            <w:tcW w:w="643" w:type="pct"/>
            <w:tcBorders>
              <w:top w:val="single" w:color="000000" w:sz="4" w:space="0"/>
              <w:left w:val="single" w:color="000000" w:sz="4" w:space="0"/>
              <w:bottom w:val="single" w:color="000000" w:sz="4" w:space="0"/>
              <w:right w:val="nil"/>
            </w:tcBorders>
            <w:shd w:val="clear" w:color="auto" w:fill="auto"/>
            <w:vAlign w:val="center"/>
          </w:tcPr>
          <w:p w14:paraId="0BBDB3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侧光吊杆及机械部分(★核心产品)</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F5F2">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w:t>
            </w:r>
            <w:r>
              <w:rPr>
                <w:rFonts w:hint="default" w:ascii="Times New Roman" w:hAnsi="Times New Roman" w:eastAsia="仿宋_GB2312" w:cs="Times New Roman"/>
                <w:b w:val="0"/>
                <w:bCs w:val="0"/>
                <w:sz w:val="24"/>
                <w:szCs w:val="24"/>
                <w:highlight w:val="none"/>
              </w:rPr>
              <w:t>采用多吊点单层缠绕大滚筒吊机，适配礼堂舞台尺寸</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2、长度：≥8m；                                   3、行程：≥15.0m；                                4、★</w:t>
            </w:r>
            <w:r>
              <w:rPr>
                <w:rFonts w:hint="default" w:ascii="Times New Roman" w:hAnsi="Times New Roman" w:eastAsia="仿宋_GB2312" w:cs="Times New Roman"/>
                <w:b w:val="0"/>
                <w:bCs w:val="0"/>
                <w:sz w:val="24"/>
                <w:szCs w:val="24"/>
                <w:highlight w:val="none"/>
              </w:rPr>
              <w:t>变频调速运行速度0.1m/s-1.0m/s（误差±8%）</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 xml:space="preserve">                                 5、★载荷≥800KG；                                6、制动方式：盘式制动电机，                         7、定位精度</w:t>
            </w:r>
            <w:r>
              <w:rPr>
                <w:rFonts w:hint="default" w:ascii="Times New Roman" w:hAnsi="Times New Roman" w:eastAsia="仿宋_GB2312" w:cs="Times New Roman"/>
                <w:b w:val="0"/>
                <w:bCs w:val="0"/>
                <w:sz w:val="24"/>
                <w:szCs w:val="24"/>
                <w:highlight w:val="none"/>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5mm；</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8、噪音≤50dB；卷筒直径≥320mm；                   9、</w:t>
            </w:r>
            <w:r>
              <w:rPr>
                <w:rFonts w:hint="default" w:ascii="Times New Roman" w:hAnsi="Times New Roman" w:eastAsia="仿宋_GB2312" w:cs="Times New Roman"/>
                <w:b w:val="0"/>
                <w:bCs w:val="0"/>
                <w:sz w:val="24"/>
                <w:szCs w:val="24"/>
                <w:highlight w:val="none"/>
              </w:rPr>
              <w:t>配备超程保护、松绳叠绳检测、冲顶断电极限保护等多重安全装置，符合舞台机械安全规范</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p w14:paraId="10227D2C">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以上</w:t>
            </w:r>
            <w:r>
              <w:rPr>
                <w:rFonts w:hint="default" w:ascii="Times New Roman" w:hAnsi="Times New Roman" w:eastAsia="仿宋_GB2312" w:cs="Times New Roman"/>
                <w:b w:val="0"/>
                <w:bCs w:val="0"/>
                <w:sz w:val="24"/>
                <w:szCs w:val="24"/>
                <w:highlight w:val="none"/>
              </w:rPr>
              <w:t>带★核心参数需提供国家级认可检测机构</w:t>
            </w:r>
            <w:r>
              <w:rPr>
                <w:rFonts w:hint="eastAsia" w:ascii="Times New Roman" w:hAnsi="Times New Roman" w:eastAsia="仿宋_GB2312" w:cs="Times New Roman"/>
                <w:b w:val="0"/>
                <w:bCs w:val="0"/>
                <w:sz w:val="24"/>
                <w:szCs w:val="24"/>
                <w:highlight w:val="none"/>
                <w:lang w:eastAsia="zh-CN"/>
              </w:rPr>
              <w:t>三年内检测</w:t>
            </w:r>
            <w:r>
              <w:rPr>
                <w:rFonts w:hint="default" w:ascii="Times New Roman" w:hAnsi="Times New Roman" w:eastAsia="仿宋_GB2312" w:cs="Times New Roman"/>
                <w:b w:val="0"/>
                <w:bCs w:val="0"/>
                <w:sz w:val="24"/>
                <w:szCs w:val="24"/>
                <w:highlight w:val="none"/>
              </w:rPr>
              <w:t>报告佐证，无需逐条对应，覆盖核心指标即可</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FA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B6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A3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新增</w:t>
            </w:r>
          </w:p>
        </w:tc>
      </w:tr>
      <w:tr w14:paraId="3BA2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D0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6</w:t>
            </w:r>
          </w:p>
        </w:tc>
        <w:tc>
          <w:tcPr>
            <w:tcW w:w="643" w:type="pct"/>
            <w:tcBorders>
              <w:top w:val="single" w:color="000000" w:sz="4" w:space="0"/>
              <w:left w:val="single" w:color="000000" w:sz="4" w:space="0"/>
              <w:bottom w:val="single" w:color="000000" w:sz="4" w:space="0"/>
              <w:right w:val="nil"/>
            </w:tcBorders>
            <w:shd w:val="clear" w:color="auto" w:fill="auto"/>
            <w:vAlign w:val="center"/>
          </w:tcPr>
          <w:p w14:paraId="1C5697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景杆、灯杆位置改造</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F9B7">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1、拆除：7套景杆、5套顶光、2套侧光，               2、电机机座钢结构全部拆除，                       3、根据灯光设计方案重新布局安装。                 4、</w:t>
            </w:r>
            <w:r>
              <w:rPr>
                <w:rFonts w:hint="default" w:ascii="Times New Roman" w:hAnsi="Times New Roman" w:eastAsia="仿宋_GB2312" w:cs="Times New Roman"/>
                <w:b w:val="0"/>
                <w:bCs w:val="0"/>
                <w:sz w:val="24"/>
                <w:szCs w:val="24"/>
                <w:highlight w:val="none"/>
              </w:rPr>
              <w:t>严格执行《舞台机械工程技术规范》《建筑钢结构施工规范》</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86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04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套</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62C4">
            <w:pPr>
              <w:jc w:val="center"/>
              <w:rPr>
                <w:rFonts w:hint="default" w:ascii="Times New Roman" w:hAnsi="Times New Roman" w:eastAsia="仿宋_GB2312" w:cs="Times New Roman"/>
                <w:i w:val="0"/>
                <w:iCs w:val="0"/>
                <w:color w:val="000000"/>
                <w:sz w:val="24"/>
                <w:szCs w:val="24"/>
                <w:highlight w:val="none"/>
                <w:u w:val="none"/>
              </w:rPr>
            </w:pPr>
          </w:p>
        </w:tc>
      </w:tr>
      <w:tr w14:paraId="71FA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5D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7</w:t>
            </w:r>
          </w:p>
        </w:tc>
        <w:tc>
          <w:tcPr>
            <w:tcW w:w="643" w:type="pct"/>
            <w:tcBorders>
              <w:top w:val="single" w:color="000000" w:sz="4" w:space="0"/>
              <w:left w:val="single" w:color="000000" w:sz="4" w:space="0"/>
              <w:bottom w:val="single" w:color="000000" w:sz="4" w:space="0"/>
              <w:right w:val="nil"/>
            </w:tcBorders>
            <w:shd w:val="clear" w:color="auto" w:fill="auto"/>
            <w:vAlign w:val="center"/>
          </w:tcPr>
          <w:p w14:paraId="6BC60B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左右电机设备层加固加宽马道</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D2FA">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1、电机设备层，马道加宽加固加宽50CM.槽钢；</w:t>
            </w:r>
          </w:p>
          <w:p w14:paraId="7023B295">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2、</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sz w:val="24"/>
                <w:szCs w:val="24"/>
                <w:highlight w:val="none"/>
              </w:rPr>
              <w:t>符合国标舞台钢结构施工标准，用材满足荷载及安全规范要求，投标单位承诺施工质量符合国家现行规范</w:t>
            </w: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DC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F8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B202">
            <w:pPr>
              <w:jc w:val="center"/>
              <w:rPr>
                <w:rFonts w:hint="default" w:ascii="Times New Roman" w:hAnsi="Times New Roman" w:eastAsia="仿宋_GB2312" w:cs="Times New Roman"/>
                <w:i w:val="0"/>
                <w:iCs w:val="0"/>
                <w:color w:val="000000"/>
                <w:sz w:val="24"/>
                <w:szCs w:val="24"/>
                <w:highlight w:val="none"/>
                <w:u w:val="none"/>
              </w:rPr>
            </w:pPr>
          </w:p>
        </w:tc>
      </w:tr>
      <w:tr w14:paraId="13F3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59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8</w:t>
            </w:r>
          </w:p>
        </w:tc>
        <w:tc>
          <w:tcPr>
            <w:tcW w:w="643" w:type="pct"/>
            <w:tcBorders>
              <w:top w:val="single" w:color="000000" w:sz="4" w:space="0"/>
              <w:left w:val="single" w:color="000000" w:sz="4" w:space="0"/>
              <w:bottom w:val="single" w:color="000000" w:sz="4" w:space="0"/>
              <w:right w:val="nil"/>
            </w:tcBorders>
            <w:shd w:val="clear" w:color="auto" w:fill="auto"/>
            <w:vAlign w:val="center"/>
          </w:tcPr>
          <w:p w14:paraId="4C347B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主马道制作</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4AE2">
            <w:pPr>
              <w:keepNext w:val="0"/>
              <w:keepLines w:val="0"/>
              <w:pageBreakBefore w:val="0"/>
              <w:widowControl/>
              <w:suppressLineNumbers w:val="0"/>
              <w:kinsoku/>
              <w:wordWrap/>
              <w:overflowPunct/>
              <w:topLinePunct w:val="0"/>
              <w:autoSpaceDE/>
              <w:autoSpaceDN/>
              <w:bidi w:val="0"/>
              <w:adjustRightInd/>
              <w:snapToGrid/>
              <w:ind w:left="0" w:firstLine="0" w:firstLineChars="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1、主马道宽70CM长300CM;                    2、</w:t>
            </w:r>
            <w:r>
              <w:rPr>
                <w:rFonts w:hint="default" w:ascii="Times New Roman" w:hAnsi="Times New Roman" w:eastAsia="仿宋_GB2312" w:cs="Times New Roman"/>
                <w:b w:val="0"/>
                <w:bCs w:val="0"/>
                <w:sz w:val="24"/>
                <w:szCs w:val="24"/>
                <w:highlight w:val="none"/>
              </w:rPr>
              <w:t>符合国标舞台钢结构施工标准，用材满足荷载及安全规范要求，投标单位承诺施工质量符合国家现行规范</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14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AC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09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现有马道变形有部分断裂拆除重新制作。</w:t>
            </w:r>
          </w:p>
        </w:tc>
      </w:tr>
      <w:tr w14:paraId="6BF4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A3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9</w:t>
            </w:r>
          </w:p>
        </w:tc>
        <w:tc>
          <w:tcPr>
            <w:tcW w:w="643" w:type="pct"/>
            <w:tcBorders>
              <w:top w:val="single" w:color="000000" w:sz="4" w:space="0"/>
              <w:left w:val="single" w:color="000000" w:sz="4" w:space="0"/>
              <w:bottom w:val="single" w:color="000000" w:sz="4" w:space="0"/>
              <w:right w:val="nil"/>
            </w:tcBorders>
            <w:shd w:val="clear" w:color="auto" w:fill="auto"/>
            <w:vAlign w:val="center"/>
          </w:tcPr>
          <w:p w14:paraId="385D5E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机械电气和控制系统</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0B37">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1、吊杆控制台单独设有吊杆上、下行的点控按钮。     2、控制柜内装有分路空气开关和上、下交流接触器，分路空气开关既可人作为供电开关，安全可靠性高，有紧急停车保护，控制面板上装有上行、下行、电源、启动指示灯，分体式控制系统，冲顶，相序保护系统，大幕对开调速系统及台口单独放置配备，</w:t>
            </w:r>
            <w:r>
              <w:rPr>
                <w:rFonts w:hint="default" w:ascii="Times New Roman" w:hAnsi="Times New Roman" w:eastAsia="仿宋_GB2312" w:cs="Times New Roman"/>
                <w:b w:val="0"/>
                <w:bCs w:val="0"/>
                <w:sz w:val="24"/>
                <w:szCs w:val="24"/>
                <w:highlight w:val="none"/>
              </w:rPr>
              <w:t>符合国家舞台机械现行标准</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5B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FE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67D3">
            <w:pPr>
              <w:jc w:val="center"/>
              <w:rPr>
                <w:rFonts w:hint="default" w:ascii="Times New Roman" w:hAnsi="Times New Roman" w:eastAsia="仿宋_GB2312" w:cs="Times New Roman"/>
                <w:i w:val="0"/>
                <w:iCs w:val="0"/>
                <w:color w:val="000000"/>
                <w:sz w:val="24"/>
                <w:szCs w:val="24"/>
                <w:highlight w:val="none"/>
                <w:u w:val="none"/>
              </w:rPr>
            </w:pPr>
          </w:p>
        </w:tc>
      </w:tr>
      <w:tr w14:paraId="5F2F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02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D7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转向滑轮组</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3580">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防跳绳装置，防钢丝绳槽卡绳，采用滚动轴承支承，有防止钢丝绳脱槽的保护装置。</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0C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14</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A9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道</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9F1F">
            <w:pPr>
              <w:jc w:val="center"/>
              <w:rPr>
                <w:rFonts w:hint="default" w:ascii="Times New Roman" w:hAnsi="Times New Roman" w:eastAsia="仿宋_GB2312" w:cs="Times New Roman"/>
                <w:i w:val="0"/>
                <w:iCs w:val="0"/>
                <w:color w:val="000000"/>
                <w:sz w:val="24"/>
                <w:szCs w:val="24"/>
                <w:highlight w:val="none"/>
                <w:u w:val="none"/>
              </w:rPr>
            </w:pPr>
          </w:p>
        </w:tc>
      </w:tr>
      <w:tr w14:paraId="14C7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5A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E4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吊顶滑轮组</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A483">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防跳绳装置，托绳装置，防钢丝绳槽卡绳，采用滚动轴承支承，有防止钢丝绳脱槽的保护装置。</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EE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14</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38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道</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2993">
            <w:pPr>
              <w:jc w:val="center"/>
              <w:rPr>
                <w:rFonts w:hint="default" w:ascii="Times New Roman" w:hAnsi="Times New Roman" w:eastAsia="仿宋_GB2312" w:cs="Times New Roman"/>
                <w:i w:val="0"/>
                <w:iCs w:val="0"/>
                <w:color w:val="000000"/>
                <w:sz w:val="24"/>
                <w:szCs w:val="24"/>
                <w:highlight w:val="none"/>
                <w:u w:val="none"/>
              </w:rPr>
            </w:pPr>
          </w:p>
        </w:tc>
      </w:tr>
      <w:tr w14:paraId="2EC5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F6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20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钢丝绳</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C208">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舞台机械专用，航空钢丝绳，数量规格完全满足项目完工需求</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25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98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02C7">
            <w:pPr>
              <w:jc w:val="center"/>
              <w:rPr>
                <w:rFonts w:hint="default" w:ascii="Times New Roman" w:hAnsi="Times New Roman" w:eastAsia="仿宋_GB2312" w:cs="Times New Roman"/>
                <w:i w:val="0"/>
                <w:iCs w:val="0"/>
                <w:color w:val="000000"/>
                <w:sz w:val="24"/>
                <w:szCs w:val="24"/>
                <w:highlight w:val="none"/>
                <w:u w:val="none"/>
              </w:rPr>
            </w:pPr>
          </w:p>
        </w:tc>
      </w:tr>
      <w:tr w14:paraId="2C62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6A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AC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收线框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2808">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根据现场定制，符合美观好用，工艺精细。</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69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95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个</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6C42">
            <w:pPr>
              <w:jc w:val="center"/>
              <w:rPr>
                <w:rFonts w:hint="default" w:ascii="Times New Roman" w:hAnsi="Times New Roman" w:eastAsia="仿宋_GB2312" w:cs="Times New Roman"/>
                <w:i w:val="0"/>
                <w:iCs w:val="0"/>
                <w:color w:val="000000"/>
                <w:sz w:val="24"/>
                <w:szCs w:val="24"/>
                <w:highlight w:val="none"/>
                <w:u w:val="none"/>
              </w:rPr>
            </w:pPr>
          </w:p>
        </w:tc>
      </w:tr>
      <w:tr w14:paraId="67DC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99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04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水平调节装置、紧绳装置</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77B0">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5眼抱箍、封闭式花篮螺丝、紧绳配件等</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0F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28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551C">
            <w:pPr>
              <w:jc w:val="center"/>
              <w:rPr>
                <w:rFonts w:hint="default" w:ascii="Times New Roman" w:hAnsi="Times New Roman" w:eastAsia="仿宋_GB2312" w:cs="Times New Roman"/>
                <w:i w:val="0"/>
                <w:iCs w:val="0"/>
                <w:color w:val="000000"/>
                <w:sz w:val="24"/>
                <w:szCs w:val="24"/>
                <w:highlight w:val="none"/>
                <w:u w:val="none"/>
              </w:rPr>
            </w:pPr>
          </w:p>
        </w:tc>
      </w:tr>
      <w:tr w14:paraId="376D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E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18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动力阻燃电缆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8274">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国标，满足舞台机械运行要求（以现场为准，要满足项目完工要求）</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D7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46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E882">
            <w:pPr>
              <w:jc w:val="center"/>
              <w:rPr>
                <w:rFonts w:hint="default" w:ascii="Times New Roman" w:hAnsi="Times New Roman" w:eastAsia="仿宋_GB2312" w:cs="Times New Roman"/>
                <w:i w:val="0"/>
                <w:iCs w:val="0"/>
                <w:color w:val="000000"/>
                <w:sz w:val="24"/>
                <w:szCs w:val="24"/>
                <w:highlight w:val="none"/>
                <w:u w:val="none"/>
              </w:rPr>
            </w:pPr>
          </w:p>
        </w:tc>
      </w:tr>
      <w:tr w14:paraId="176C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29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C3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机械信号线</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E8C4">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国标，满足舞台机械运行要求（以现场为准，要满足项目完工要求）</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BB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1500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45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7F3F">
            <w:pPr>
              <w:jc w:val="center"/>
              <w:rPr>
                <w:rFonts w:hint="default" w:ascii="Times New Roman" w:hAnsi="Times New Roman" w:eastAsia="仿宋_GB2312" w:cs="Times New Roman"/>
                <w:i w:val="0"/>
                <w:iCs w:val="0"/>
                <w:color w:val="000000"/>
                <w:sz w:val="24"/>
                <w:szCs w:val="24"/>
                <w:highlight w:val="none"/>
                <w:u w:val="none"/>
              </w:rPr>
            </w:pPr>
          </w:p>
        </w:tc>
      </w:tr>
      <w:tr w14:paraId="0CBD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70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E1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控制电缆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6A38">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国标，满足舞台机械运行要求（以现场为准，要满足项目完工要求）</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D8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EB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5992">
            <w:pPr>
              <w:jc w:val="center"/>
              <w:rPr>
                <w:rFonts w:hint="default" w:ascii="Times New Roman" w:hAnsi="Times New Roman" w:eastAsia="仿宋_GB2312" w:cs="Times New Roman"/>
                <w:i w:val="0"/>
                <w:iCs w:val="0"/>
                <w:color w:val="000000"/>
                <w:sz w:val="24"/>
                <w:szCs w:val="24"/>
                <w:highlight w:val="none"/>
                <w:u w:val="none"/>
              </w:rPr>
            </w:pPr>
          </w:p>
        </w:tc>
      </w:tr>
      <w:tr w14:paraId="0231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58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87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桥架</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C5F7">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100×100型、100×50型（以现场为准，要满足项目完工要求）</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81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16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米</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D7F6">
            <w:pPr>
              <w:jc w:val="center"/>
              <w:rPr>
                <w:rFonts w:hint="default" w:ascii="Times New Roman" w:hAnsi="Times New Roman" w:eastAsia="仿宋_GB2312" w:cs="Times New Roman"/>
                <w:i w:val="0"/>
                <w:iCs w:val="0"/>
                <w:color w:val="000000"/>
                <w:sz w:val="24"/>
                <w:szCs w:val="24"/>
                <w:highlight w:val="none"/>
                <w:u w:val="none"/>
              </w:rPr>
            </w:pPr>
          </w:p>
        </w:tc>
      </w:tr>
      <w:tr w14:paraId="3780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6E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19</w:t>
            </w:r>
          </w:p>
        </w:tc>
        <w:tc>
          <w:tcPr>
            <w:tcW w:w="643" w:type="pct"/>
            <w:tcBorders>
              <w:top w:val="single" w:color="000000" w:sz="4" w:space="0"/>
              <w:left w:val="single" w:color="000000" w:sz="4" w:space="0"/>
              <w:bottom w:val="single" w:color="000000" w:sz="4" w:space="0"/>
              <w:right w:val="nil"/>
            </w:tcBorders>
            <w:shd w:val="clear" w:color="auto" w:fill="auto"/>
            <w:vAlign w:val="center"/>
          </w:tcPr>
          <w:p w14:paraId="09ABB1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安装辅材</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5091">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highlight w:val="none"/>
                <w:u w:val="none"/>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满足系统运行所需的相关设施材料</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D1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D1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项</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953F">
            <w:pPr>
              <w:jc w:val="center"/>
              <w:rPr>
                <w:rFonts w:hint="default" w:ascii="Times New Roman" w:hAnsi="Times New Roman" w:eastAsia="仿宋_GB2312" w:cs="Times New Roman"/>
                <w:i w:val="0"/>
                <w:iCs w:val="0"/>
                <w:color w:val="000000"/>
                <w:sz w:val="24"/>
                <w:szCs w:val="24"/>
                <w:highlight w:val="none"/>
                <w:u w:val="none"/>
              </w:rPr>
            </w:pPr>
          </w:p>
        </w:tc>
      </w:tr>
    </w:tbl>
    <w:p w14:paraId="157D8F78">
      <w:pPr>
        <w:adjustRightInd w:val="0"/>
        <w:spacing w:line="360" w:lineRule="auto"/>
        <w:ind w:firstLine="482" w:firstLineChars="200"/>
        <w:textAlignment w:val="baseline"/>
        <w:rPr>
          <w:rFonts w:hint="eastAsia" w:ascii="仿宋" w:hAnsi="仿宋" w:eastAsia="仿宋" w:cs="仿宋"/>
          <w:b/>
          <w:bCs/>
          <w:color w:val="auto"/>
          <w:kern w:val="0"/>
          <w:sz w:val="24"/>
          <w:highlight w:val="none"/>
        </w:rPr>
      </w:pPr>
    </w:p>
    <w:p w14:paraId="3C9FEB07">
      <w:pPr>
        <w:adjustRightInd w:val="0"/>
        <w:spacing w:line="360" w:lineRule="auto"/>
        <w:ind w:firstLine="482" w:firstLineChars="200"/>
        <w:textAlignment w:val="baseline"/>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（二）供货及报价要求：</w:t>
      </w:r>
    </w:p>
    <w:p w14:paraId="2BB3F5B4">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1、供货要求：</w:t>
      </w:r>
      <w:r>
        <w:rPr>
          <w:rFonts w:hint="eastAsia" w:ascii="仿宋" w:hAnsi="仿宋" w:eastAsia="仿宋" w:cs="仿宋"/>
          <w:bCs/>
          <w:color w:val="auto"/>
          <w:sz w:val="24"/>
          <w:szCs w:val="24"/>
          <w:highlight w:val="none"/>
          <w:lang w:val="en-US" w:eastAsia="zh-CN"/>
        </w:rPr>
        <w:t>自合同签订之日起30个日历日</w:t>
      </w:r>
      <w:r>
        <w:rPr>
          <w:rFonts w:hint="eastAsia" w:ascii="仿宋" w:hAnsi="仿宋" w:eastAsia="仿宋" w:cs="仿宋"/>
          <w:bCs/>
          <w:color w:val="auto"/>
          <w:sz w:val="24"/>
          <w:szCs w:val="24"/>
          <w:highlight w:val="none"/>
          <w:lang w:eastAsia="zh-CN"/>
        </w:rPr>
        <w:t>完成设备的供货、安装、调试、培训等，且验收合格；</w:t>
      </w:r>
    </w:p>
    <w:p w14:paraId="5842FE47">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2、报价要求：报价货币为人民币报价投标人的报价应包含货物及其包装、运输、安装、调试、培训费、人工费、管理费、税费等货物交付正常使用前的全部费用，采购人无需再另外支付任何费用</w:t>
      </w:r>
      <w:bookmarkStart w:id="204" w:name="_Hlk173223487"/>
      <w:r>
        <w:rPr>
          <w:rFonts w:hint="eastAsia" w:ascii="仿宋" w:hAnsi="仿宋" w:eastAsia="仿宋" w:cs="仿宋"/>
          <w:color w:val="auto"/>
          <w:kern w:val="0"/>
          <w:sz w:val="24"/>
          <w:highlight w:val="none"/>
        </w:rPr>
        <w:t>。</w:t>
      </w:r>
    </w:p>
    <w:p w14:paraId="062BFDB5">
      <w:pPr>
        <w:adjustRightInd w:val="0"/>
        <w:spacing w:line="360" w:lineRule="auto"/>
        <w:ind w:firstLine="482" w:firstLineChars="200"/>
        <w:textAlignment w:val="baseline"/>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（三）付款方式：</w:t>
      </w:r>
    </w:p>
    <w:p w14:paraId="13596647">
      <w:pPr>
        <w:adjustRightInd w:val="0"/>
        <w:spacing w:line="360" w:lineRule="auto"/>
        <w:ind w:firstLine="480" w:firstLineChars="200"/>
        <w:textAlignment w:val="baseline"/>
        <w:rPr>
          <w:rFonts w:hint="eastAsia" w:ascii="仿宋" w:hAnsi="仿宋" w:eastAsia="仿宋" w:cs="仿宋"/>
          <w:color w:val="auto"/>
          <w:kern w:val="0"/>
          <w:sz w:val="24"/>
          <w:highlight w:val="none"/>
        </w:rPr>
      </w:pPr>
      <w:bookmarkStart w:id="205" w:name="_Hlk173223588"/>
      <w:r>
        <w:rPr>
          <w:rFonts w:hint="eastAsia" w:ascii="仿宋" w:hAnsi="仿宋" w:eastAsia="仿宋" w:cs="仿宋"/>
          <w:color w:val="auto"/>
          <w:kern w:val="0"/>
          <w:sz w:val="24"/>
          <w:highlight w:val="none"/>
        </w:rPr>
        <w:t>1、</w:t>
      </w:r>
      <w:r>
        <w:rPr>
          <w:rFonts w:hint="eastAsia" w:ascii="仿宋" w:hAnsi="仿宋" w:eastAsia="仿宋" w:cs="仿宋"/>
          <w:bCs/>
          <w:color w:val="auto"/>
          <w:kern w:val="2"/>
          <w:sz w:val="24"/>
          <w:szCs w:val="24"/>
          <w:highlight w:val="none"/>
          <w:lang w:val="en-US" w:eastAsia="zh-CN" w:bidi="ar-SA"/>
        </w:rPr>
        <w:t>合同签订后，招标人支付30%的预付款，交货验收后支付剩余设备款，具体以合同签订为主。</w:t>
      </w:r>
    </w:p>
    <w:p w14:paraId="14B11EAB">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2、中标供应商根据国家税法依法纳税。如中标供应商按照国家税法缴纳税率与合同约定税率不一致或根据国家政策法规变化按照新的增值税率开具增值税专用发票，合同结算费用不变。</w:t>
      </w:r>
    </w:p>
    <w:p w14:paraId="33030D44">
      <w:pPr>
        <w:adjustRightInd w:val="0"/>
        <w:spacing w:line="360" w:lineRule="auto"/>
        <w:ind w:firstLine="482" w:firstLineChars="200"/>
        <w:textAlignment w:val="baseline"/>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（四）履约验收：</w:t>
      </w:r>
    </w:p>
    <w:p w14:paraId="7A07F97E">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1、履约验收标准：采购人按照《财政部关于进一步加强政府采购需求和履约验收管理的指导意见》及招标文件的规定验收。</w:t>
      </w:r>
    </w:p>
    <w:p w14:paraId="0670B9E6">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2、履约验收主体：甲方指定地点。</w:t>
      </w:r>
    </w:p>
    <w:p w14:paraId="1B49BD6A">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3、履约验收时间：货物送达采购人指定交货地点，安装调试并试运行成功后十个工作日内进行验收。</w:t>
      </w:r>
    </w:p>
    <w:p w14:paraId="1825E3CE">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4、履约验收方式：采购人单位内部验收。</w:t>
      </w:r>
    </w:p>
    <w:p w14:paraId="045A6117">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5、履约验收程序：多次验收，分为开箱及技术验收和综合验收两个阶段。开箱及技术验收由采购人使用单位完成，合格后由使用单位联系国有资产管理处组织综合验收。综合验收合格后，参与验收的各方在验收资料上签字及加盖单位印章。 </w:t>
      </w:r>
    </w:p>
    <w:p w14:paraId="1607612B">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6、履约验收内容详见招标文件、投标文件、采购合同中技术、服务要求及商务要求条款。</w:t>
      </w:r>
    </w:p>
    <w:p w14:paraId="682E4F99">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7、验收程序：</w:t>
      </w:r>
    </w:p>
    <w:p w14:paraId="50CE3595">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7.1货物送达交货地点后，分为开箱及技术验收和综合验收两个阶段。开箱及技术验收由采购人使用单位完成，合格后由使用单位联系国有资产管理处组织综合验收。</w:t>
      </w:r>
    </w:p>
    <w:bookmarkEnd w:id="205"/>
    <w:p w14:paraId="6FB0296C">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7.2验收合格后，参与验收的各方在验收资料上签字及加盖单位印章。</w:t>
      </w:r>
    </w:p>
    <w:p w14:paraId="04040389">
      <w:pPr>
        <w:adjustRightInd w:val="0"/>
        <w:spacing w:line="360" w:lineRule="auto"/>
        <w:ind w:firstLine="482" w:firstLineChars="200"/>
        <w:textAlignment w:val="baseline"/>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（五）售后服务要求：</w:t>
      </w:r>
    </w:p>
    <w:p w14:paraId="6BA41E5C">
      <w:pPr>
        <w:adjustRightInd w:val="0"/>
        <w:spacing w:line="360" w:lineRule="auto"/>
        <w:ind w:firstLine="480" w:firstLineChars="200"/>
        <w:textAlignment w:val="baseline"/>
        <w:rPr>
          <w:rFonts w:hint="eastAsia" w:ascii="仿宋" w:hAnsi="仿宋" w:eastAsia="仿宋" w:cs="仿宋"/>
          <w:color w:val="auto"/>
          <w:kern w:val="0"/>
          <w:sz w:val="24"/>
          <w:highlight w:val="none"/>
        </w:rPr>
      </w:pPr>
      <w:bookmarkStart w:id="206" w:name="_Hlk173223660"/>
      <w:r>
        <w:rPr>
          <w:rFonts w:hint="eastAsia" w:ascii="仿宋" w:hAnsi="仿宋" w:eastAsia="仿宋" w:cs="仿宋"/>
          <w:color w:val="auto"/>
          <w:kern w:val="0"/>
          <w:sz w:val="24"/>
          <w:highlight w:val="none"/>
        </w:rPr>
        <w:t>1、货物质保期：货物综合验收合格之日起</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年。</w:t>
      </w:r>
    </w:p>
    <w:p w14:paraId="3F8DD215">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2、1年内设备如出现重大故障停机可进行包换。</w:t>
      </w:r>
    </w:p>
    <w:bookmarkEnd w:id="206"/>
    <w:p w14:paraId="4F7CA9D5">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质保期内提供7*24小时故障报修，并在1小时内作出电话响应，如遇电话支持无法解决的问题，于24小时内派技术人员赶赴现场进行故障排查，并在3日内排除故障，如在3日内无法排除故障，中标供应商为采购人提供同类型货物，以保障采购人的正常使用；如因货物性能故障连续维修两次仍不能正常使用的，中标供应商应在一个月内更换相同品牌型号的全新货物给采购人，并重新计算质保期。</w:t>
      </w:r>
    </w:p>
    <w:p w14:paraId="56D01A59">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3、质保期外中标供应商继续提供服务，差旅费（包括机票、住宿、交通费等）和人工服务费包含在本次报价中，如需更换零配件、购买附件，按成本价收取费用。</w:t>
      </w:r>
    </w:p>
    <w:p w14:paraId="4B49CEFB">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4、中标供应商负责上门安装调试，现场操作培训，培训包括货物的基本原理、操作及货物维护保养知识。</w:t>
      </w:r>
    </w:p>
    <w:p w14:paraId="61E3B219">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如中标供应商维修联系人和维修电话发生变更，应于变更后两日内书面告知采购人。中标供应商怠于履行售后服务义务，经采购人书面催告后仍未履行售后服务义务的，采购人有权退货并要求中标供应商承担退货产生的全部费用；同时，采购人有权要求中标供应商退还已支付的全部货款并按中标总价款的20%支付违约金。</w:t>
      </w:r>
    </w:p>
    <w:p w14:paraId="1ADF3853">
      <w:pPr>
        <w:adjustRightInd w:val="0"/>
        <w:spacing w:line="360" w:lineRule="auto"/>
        <w:ind w:firstLine="482" w:firstLineChars="200"/>
        <w:textAlignment w:val="baseline"/>
        <w:rPr>
          <w:rFonts w:hint="eastAsia" w:ascii="仿宋" w:hAnsi="仿宋" w:eastAsia="仿宋" w:cs="仿宋"/>
          <w:color w:val="auto"/>
          <w:kern w:val="0"/>
          <w:sz w:val="24"/>
          <w:highlight w:val="none"/>
        </w:rPr>
      </w:pPr>
      <w:bookmarkStart w:id="207" w:name="_Hlk173223876"/>
      <w:r>
        <w:rPr>
          <w:rFonts w:hint="eastAsia" w:ascii="仿宋" w:hAnsi="仿宋" w:eastAsia="仿宋" w:cs="仿宋"/>
          <w:b/>
          <w:bCs/>
          <w:color w:val="auto"/>
          <w:kern w:val="0"/>
          <w:sz w:val="24"/>
          <w:highlight w:val="none"/>
        </w:rPr>
        <w:t>（六）知识产权</w:t>
      </w:r>
    </w:p>
    <w:p w14:paraId="1C5578AB">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标供应商在本项目使用任何产品和服务(包括部分使用)时,不会产生因第三方提出侵犯其专利权、商标权、著作权或其它知识产权而引起的法律和经济纠纷，如因专利权、商标权或其它知识产权而引起法律和经济纠纷，由成交供应商承担所有相关责任。</w:t>
      </w:r>
    </w:p>
    <w:p w14:paraId="7C2D9207">
      <w:pPr>
        <w:adjustRightInd w:val="0"/>
        <w:spacing w:line="360" w:lineRule="auto"/>
        <w:ind w:firstLine="482" w:firstLineChars="200"/>
        <w:textAlignment w:val="baseline"/>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（七）质量保证</w:t>
      </w:r>
    </w:p>
    <w:p w14:paraId="06E7C947">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 中标供应商应保证所供货物是全新的、未使用过的，并完全符合项目采购要求，中标供应商投标文件所响应的品牌、型号规格、数量、技术参数及招标文件所规定其他实质性条款要求。中标供应商应保证其货物在使用寿命期内，在正确安装、正常使用和保养条件下具有满意的性能。质保期内，中标供应商应对货物的所有质量问题（包括但不限于因设计、工艺或材料的缺陷而发生的任何故障等）负全责，因质量问题所产生的故障、事故、人身损害、经济损失等责任与费用均由中标供应商承担。</w:t>
      </w:r>
    </w:p>
    <w:p w14:paraId="7F7D6E6C">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 如中标供应商交付品牌、型号规格、数量、技术参数与合同不符，或证实货物存在缺陷，包括潜在的缺陷或使用不符合要求的材料等，采购人有权要求中标供应商对已交付货物进行退换并承担由此产生的全部费用。</w:t>
      </w:r>
    </w:p>
    <w:p w14:paraId="6BA17D99">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 质保期内，中标供应商应在接到采购人通知后，应在项目约定的响应时间内维修或更换有缺陷的货物或部件。如果中标供应商未在约定响应时间内维修或更换有缺陷的货物，采购人可采取必要的补救措施（</w:t>
      </w:r>
      <w:r>
        <w:rPr>
          <w:rFonts w:hint="eastAsia" w:ascii="仿宋" w:hAnsi="仿宋" w:eastAsia="仿宋" w:cs="仿宋"/>
          <w:color w:val="auto"/>
          <w:kern w:val="0"/>
          <w:sz w:val="24"/>
          <w:highlight w:val="none"/>
          <w:lang w:eastAsia="zh-Hans"/>
        </w:rPr>
        <w:t>如委托第三方予以维修等</w:t>
      </w:r>
      <w:r>
        <w:rPr>
          <w:rFonts w:hint="eastAsia" w:ascii="仿宋" w:hAnsi="仿宋" w:eastAsia="仿宋" w:cs="仿宋"/>
          <w:color w:val="auto"/>
          <w:kern w:val="0"/>
          <w:sz w:val="24"/>
          <w:highlight w:val="none"/>
        </w:rPr>
        <w:t>），但其风险和费用将由中标供应商负担，采购人根据合同约定对中标供应商行使的其他权利不受影响。</w:t>
      </w:r>
    </w:p>
    <w:p w14:paraId="454964E2">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 质保期内，中标供应商所供货物经维修两次或更换一次后，采购人仍不能正常使用的，视为中标供应商违约，采购人有权退货，中标供应商应承担因采购人退货所产生的全部费用并按货物总金额的20%向采购人支付违约金及赔偿损失。</w:t>
      </w:r>
    </w:p>
    <w:p w14:paraId="5550DEC3">
      <w:pPr>
        <w:adjustRightInd w:val="0"/>
        <w:spacing w:line="360" w:lineRule="auto"/>
        <w:ind w:firstLine="482" w:firstLineChars="200"/>
        <w:textAlignment w:val="baseline"/>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（八）误期赔偿</w:t>
      </w:r>
    </w:p>
    <w:p w14:paraId="4E03231A">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如果中标供应商没有按照合同约定的时间将货物送至采购人指定地点并完成安装调试，视为违约，采购人有权从应付未付款合同款中扣除违约金，违约金按每周支付合同总价的百分之一（1%）计收，直至交货、安装调试完毕为止。一周按七（7）天计算，不足七（7）天按一周计算。同时，采购人有权解除合同，并保留向中标供应商索赔的权利。</w:t>
      </w:r>
    </w:p>
    <w:p w14:paraId="031778A4">
      <w:pPr>
        <w:adjustRightInd w:val="0"/>
        <w:spacing w:line="360" w:lineRule="auto"/>
        <w:ind w:firstLine="482" w:firstLineChars="200"/>
        <w:textAlignment w:val="baseline"/>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（九）双方需要说明的其他事项</w:t>
      </w:r>
    </w:p>
    <w:p w14:paraId="6FE1B424">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1、中标供应商免费为采购人相关人员进行培训指导，保证采购人相关人员能正常使用货物。采购人在使用货物时可通过电话、传真、网上通讯等方式随时咨询中标供应商。</w:t>
      </w:r>
    </w:p>
    <w:p w14:paraId="58099CB8">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2、凡与合同有关的任何争议，由双方友好协商解决，协商不成的，可向采购人所在地人民法院提起诉讼。</w:t>
      </w:r>
    </w:p>
    <w:p w14:paraId="147038D3">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3、合同内容（含附件）不涉及中标供应商的商业秘密，中标供应商同意公告合同。</w:t>
      </w:r>
    </w:p>
    <w:p w14:paraId="7E3975C4">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 除非另有约定，中标供应商履行合同不符合合同约定或怠于履行合同义务，经采购人催告后拒不改正或不履行的，或者因中标供应商的履行导致合同目的不能实现，采购人有权单方面解除合同。</w:t>
      </w:r>
    </w:p>
    <w:p w14:paraId="77073A1E">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除非合同另有约定，因中标供应商原因导致的合同终止或解除的，如果采购人尚未支付中标供应商费用，采购人有权不再支付中标供应商费用，如果采购人已经支付中标供应商费用，中标供应商需退还采购人已支付的所有款项。同时，中标供应商按合同总金额费用的20%向采购人另行支付违约金。</w:t>
      </w:r>
    </w:p>
    <w:p w14:paraId="10242A11">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6、中标供应商违约金不足以弥补损失的，就不足部分，中标供应商还应向采购人承担赔偿责任。</w:t>
      </w:r>
    </w:p>
    <w:p w14:paraId="3E6F65A0">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7、中标供应商违约，除承担上述违约责任外，中标供应商还应当承担采购人因主张权利产生的包括但不限于调查费、评估费、鉴定费、律师费、公证费、诉讼费、财产保全费、担保费、差旅费等合理费用。</w:t>
      </w:r>
    </w:p>
    <w:p w14:paraId="2879DB4C">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8、采购人有权在未支付的合同价款、履约保证金中扣除中标供应商应支付给采购人的违约金、赔偿金及其他费用等。</w:t>
      </w:r>
    </w:p>
    <w:p w14:paraId="2C33B619">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9、违约金的特别约定：</w:t>
      </w:r>
    </w:p>
    <w:p w14:paraId="2F5D5EF1">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项目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合同所约定的违约金具有惩罚性违约金性质。在充分理解和认可上述原则的基础上，双方在违约情况发生后，一方向违约方主张违约责任时，中标供应商均不再以“违约金过分高于/低于损失”等为由作为抗辩要求调低/调高违约金，采购人亦无需举证具体损失。</w:t>
      </w:r>
    </w:p>
    <w:p w14:paraId="3BE2F9DF">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在合同履行中及合同结束后，因中标供应商过错导致的纠纷，采购人有权委托采购人员工、律师或中标供应商相关人员参加诉讼和各种协调工作；并有权暂不向中标供应商支付案件或纠纷对应的款项。在诉讼和协调过程中采购人产生的任何损失和费用，均由中标供应商承担，包括但不限于采购人承担的实际损失、差旅费、律师费、诉讼费、鉴定费等；并有权在履约保证金中直接扣除。</w:t>
      </w:r>
    </w:p>
    <w:bookmarkEnd w:id="207"/>
    <w:p w14:paraId="0E9E699B">
      <w:pPr>
        <w:adjustRightInd w:val="0"/>
        <w:spacing w:line="360" w:lineRule="auto"/>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11、中标承诺，按照采购人提供的合同模板签订采购合同。</w:t>
      </w:r>
    </w:p>
    <w:bookmarkEnd w:id="204"/>
    <w:p w14:paraId="3F3F7002">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12、人员培训：对使用人员要中标供应商或所投货物的生产厂商提供不少于5工作日的现场培训(可以和安装调试同时进行)，中标供应商或所投货物的生产厂商提供,2人/次5天的初级操作培训及2人/次5天针对采购人实际样品的高级培训（采购人提供样品）。能对采购人进行专业的使用和拓展培训，同时在质保期内当采购人仪器出现故障时能帮助采购人测试样品。（费用包含在本次报价中）。</w:t>
      </w:r>
    </w:p>
    <w:p w14:paraId="030A838F">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2D2A79D">
      <w:pPr>
        <w:pStyle w:val="4"/>
        <w:rPr>
          <w:rFonts w:hint="eastAsia" w:ascii="仿宋" w:hAnsi="仿宋" w:eastAsia="仿宋" w:cs="仿宋"/>
          <w:color w:val="auto"/>
          <w:highlight w:val="none"/>
        </w:rPr>
      </w:pPr>
      <w:bookmarkStart w:id="208" w:name="_Toc15595"/>
      <w:r>
        <w:rPr>
          <w:rFonts w:hint="eastAsia" w:ascii="仿宋" w:hAnsi="仿宋" w:eastAsia="仿宋" w:cs="仿宋"/>
          <w:color w:val="auto"/>
          <w:highlight w:val="none"/>
        </w:rPr>
        <w:t>第五章  评标办法</w:t>
      </w:r>
      <w:bookmarkEnd w:id="201"/>
      <w:bookmarkEnd w:id="202"/>
      <w:bookmarkEnd w:id="203"/>
      <w:bookmarkEnd w:id="208"/>
      <w:bookmarkStart w:id="209" w:name="_Hlt101846155"/>
      <w:bookmarkEnd w:id="209"/>
      <w:bookmarkStart w:id="210" w:name="_Toc217446097"/>
      <w:bookmarkStart w:id="211" w:name="_Toc183682415"/>
      <w:bookmarkStart w:id="212" w:name="_Toc183582280"/>
      <w:bookmarkStart w:id="213" w:name="_Toc208849007"/>
    </w:p>
    <w:p w14:paraId="4D328C8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总则</w:t>
      </w:r>
      <w:bookmarkEnd w:id="210"/>
      <w:bookmarkEnd w:id="211"/>
      <w:bookmarkEnd w:id="212"/>
      <w:bookmarkEnd w:id="213"/>
    </w:p>
    <w:p w14:paraId="7D0DFA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2DD168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 </w:t>
      </w:r>
      <w:r>
        <w:rPr>
          <w:rFonts w:hint="eastAsia" w:ascii="仿宋" w:hAnsi="仿宋" w:eastAsia="仿宋" w:cs="仿宋"/>
          <w:bCs/>
          <w:color w:val="auto"/>
          <w:sz w:val="24"/>
          <w:highlight w:val="none"/>
        </w:rPr>
        <w:t>评标工作由采购人负责组织，具体评标工作由采购人依法组建的评标委员会负责。评标委员会由采购人代表和有关技术、经济等方面的专家组成。</w:t>
      </w:r>
    </w:p>
    <w:p w14:paraId="2A3B687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 评标工作应遵循公平、公正、科学及择优的原则。</w:t>
      </w:r>
    </w:p>
    <w:p w14:paraId="273648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 评标委员会按照招标文件规定的评标方法和标准进行评标，并独立履行下列职责：</w:t>
      </w:r>
    </w:p>
    <w:p w14:paraId="4D37B7E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（1）审查投标文件是否符合招标文件要求，并作出评价；</w:t>
      </w:r>
    </w:p>
    <w:p w14:paraId="71570FE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（2）要求投标投标人对投标文件有关事项作出解释或者澄清；</w:t>
      </w:r>
    </w:p>
    <w:p w14:paraId="6618E0B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（3）推荐中标候选投标人名单，或者受采购人委托按照事先确定的办法直接确定中标投标人；</w:t>
      </w:r>
    </w:p>
    <w:p w14:paraId="1E88ECD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（4）向采购人或者有关部门报告非法干预评标工作的行为。</w:t>
      </w:r>
      <w:bookmarkStart w:id="214" w:name="_Toc217446098"/>
    </w:p>
    <w:p w14:paraId="16B68B1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 评标过程严格保密。投标人对评标委员会的评标过程或合同授予决定施加影响的任何行为都可能导致其投标被拒绝。</w:t>
      </w:r>
    </w:p>
    <w:p w14:paraId="4CF36E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1.6评标委员会决定投标文件的响应性应依据投标文件本身的内容，而不寻求外部的证据。</w:t>
      </w:r>
    </w:p>
    <w:p w14:paraId="6B3A60D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1.7评标委员会发现招标文件表述不明确或需要说明的事项，可提请采购人书面解释说明。发现招标文件违反法律、法规、规章和相关规定的，可以拒绝评标，并向采购人书面说明情况。</w:t>
      </w:r>
    </w:p>
    <w:p w14:paraId="727272CA">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评标方法</w:t>
      </w:r>
    </w:p>
    <w:p w14:paraId="6C50FC8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本项目评标方法为：综合评分法。</w:t>
      </w:r>
    </w:p>
    <w:p w14:paraId="386C5925">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评标程序</w:t>
      </w:r>
      <w:bookmarkEnd w:id="214"/>
    </w:p>
    <w:p w14:paraId="50ED942E">
      <w:pPr>
        <w:spacing w:line="360" w:lineRule="auto"/>
        <w:ind w:firstLine="480" w:firstLineChars="200"/>
        <w:rPr>
          <w:rFonts w:hint="eastAsia" w:ascii="仿宋" w:hAnsi="仿宋" w:eastAsia="仿宋" w:cs="仿宋"/>
          <w:color w:val="auto"/>
          <w:sz w:val="24"/>
          <w:highlight w:val="none"/>
        </w:rPr>
      </w:pPr>
      <w:bookmarkStart w:id="215" w:name="_Toc217446099"/>
      <w:r>
        <w:rPr>
          <w:rFonts w:hint="eastAsia" w:ascii="仿宋" w:hAnsi="仿宋" w:eastAsia="仿宋" w:cs="仿宋"/>
          <w:color w:val="auto"/>
          <w:sz w:val="24"/>
          <w:highlight w:val="none"/>
        </w:rPr>
        <w:t>3.1资格审查</w:t>
      </w:r>
    </w:p>
    <w:p w14:paraId="5F8E70FB">
      <w:pPr>
        <w:keepNext/>
        <w:keepLines/>
        <w:spacing w:line="360" w:lineRule="auto"/>
        <w:jc w:val="center"/>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br w:type="page"/>
      </w:r>
      <w:r>
        <w:rPr>
          <w:rFonts w:hint="eastAsia" w:ascii="仿宋" w:hAnsi="仿宋" w:eastAsia="仿宋" w:cs="仿宋"/>
          <w:b/>
          <w:color w:val="auto"/>
          <w:sz w:val="24"/>
          <w:highlight w:val="none"/>
        </w:rPr>
        <w:t>资格审查表</w:t>
      </w:r>
    </w:p>
    <w:tbl>
      <w:tblPr>
        <w:tblStyle w:val="34"/>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6516"/>
        <w:gridCol w:w="622"/>
        <w:gridCol w:w="673"/>
      </w:tblGrid>
      <w:tr w14:paraId="7E6F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2" w:type="dxa"/>
            <w:vMerge w:val="restart"/>
            <w:vAlign w:val="center"/>
          </w:tcPr>
          <w:p w14:paraId="7E58F07E">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516" w:type="dxa"/>
            <w:vMerge w:val="restart"/>
            <w:vAlign w:val="center"/>
          </w:tcPr>
          <w:p w14:paraId="083C6906">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审   查   标   准</w:t>
            </w:r>
          </w:p>
        </w:tc>
        <w:tc>
          <w:tcPr>
            <w:tcW w:w="1295" w:type="dxa"/>
            <w:gridSpan w:val="2"/>
            <w:vAlign w:val="center"/>
          </w:tcPr>
          <w:p w14:paraId="670D8EB8">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审查结果</w:t>
            </w:r>
          </w:p>
        </w:tc>
      </w:tr>
      <w:tr w14:paraId="62BC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2" w:type="dxa"/>
            <w:vMerge w:val="continue"/>
            <w:vAlign w:val="center"/>
          </w:tcPr>
          <w:p w14:paraId="7B0E3F07">
            <w:pPr>
              <w:pStyle w:val="54"/>
              <w:spacing w:line="360" w:lineRule="auto"/>
              <w:jc w:val="center"/>
              <w:textAlignment w:val="center"/>
              <w:rPr>
                <w:rFonts w:hint="eastAsia" w:ascii="仿宋" w:hAnsi="仿宋" w:eastAsia="仿宋" w:cs="仿宋"/>
                <w:color w:val="auto"/>
                <w:highlight w:val="none"/>
              </w:rPr>
            </w:pPr>
          </w:p>
        </w:tc>
        <w:tc>
          <w:tcPr>
            <w:tcW w:w="6516" w:type="dxa"/>
            <w:vMerge w:val="continue"/>
            <w:vAlign w:val="center"/>
          </w:tcPr>
          <w:p w14:paraId="7A090873">
            <w:pPr>
              <w:pStyle w:val="54"/>
              <w:spacing w:line="360" w:lineRule="auto"/>
              <w:jc w:val="center"/>
              <w:textAlignment w:val="center"/>
              <w:rPr>
                <w:rFonts w:hint="eastAsia" w:ascii="仿宋" w:hAnsi="仿宋" w:eastAsia="仿宋" w:cs="仿宋"/>
                <w:color w:val="auto"/>
                <w:highlight w:val="none"/>
              </w:rPr>
            </w:pPr>
          </w:p>
        </w:tc>
        <w:tc>
          <w:tcPr>
            <w:tcW w:w="622" w:type="dxa"/>
            <w:vAlign w:val="center"/>
          </w:tcPr>
          <w:p w14:paraId="7813E465">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通过</w:t>
            </w:r>
          </w:p>
        </w:tc>
        <w:tc>
          <w:tcPr>
            <w:tcW w:w="673" w:type="dxa"/>
            <w:vAlign w:val="center"/>
          </w:tcPr>
          <w:p w14:paraId="3D87D76E">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不通过</w:t>
            </w:r>
          </w:p>
        </w:tc>
      </w:tr>
      <w:tr w14:paraId="2D2D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2755A47C">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516" w:type="dxa"/>
            <w:shd w:val="clear" w:color="auto" w:fill="auto"/>
            <w:vAlign w:val="center"/>
          </w:tcPr>
          <w:p w14:paraId="5534C295">
            <w:pPr>
              <w:pStyle w:val="54"/>
              <w:spacing w:line="360" w:lineRule="auto"/>
              <w:textAlignment w:val="center"/>
              <w:rPr>
                <w:rFonts w:hint="eastAsia" w:ascii="仿宋" w:hAnsi="仿宋" w:eastAsia="仿宋" w:cs="仿宋"/>
                <w:color w:val="auto"/>
                <w:highlight w:val="none"/>
              </w:rPr>
            </w:pPr>
            <w:r>
              <w:rPr>
                <w:rFonts w:hint="eastAsia" w:ascii="仿宋" w:hAnsi="仿宋" w:eastAsia="仿宋" w:cs="仿宋"/>
                <w:color w:val="auto"/>
                <w:highlight w:val="none"/>
              </w:rPr>
              <w:t>具有独立承担民事责任的能力；</w:t>
            </w:r>
          </w:p>
          <w:p w14:paraId="667906F7">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【供应商满足以下条件之一即可：</w:t>
            </w:r>
          </w:p>
          <w:p w14:paraId="7271FAB4">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供应商为企业（包括合伙企业）的，应提供有效的“营业执照”；</w:t>
            </w:r>
          </w:p>
          <w:p w14:paraId="0A00414B">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供应商为事业单位的，应提供有效的“事业单位法人证书”；</w:t>
            </w:r>
          </w:p>
          <w:p w14:paraId="34F51FBA">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供应商是非企业机构的，应提供有效的“执业许可证”、“登记证书”等证明文件；</w:t>
            </w:r>
          </w:p>
          <w:p w14:paraId="5A884B0B">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供应商是个体工商户的，应提供有效的“个体工商户营业执照”；</w:t>
            </w:r>
          </w:p>
          <w:p w14:paraId="31A6CD96">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供应商是自然人的，应提供有效的自然人身份证明。</w:t>
            </w:r>
          </w:p>
          <w:p w14:paraId="01D3CA13">
            <w:pPr>
              <w:pStyle w:val="54"/>
              <w:spacing w:line="360" w:lineRule="auto"/>
              <w:textAlignment w:val="center"/>
              <w:rPr>
                <w:rFonts w:hint="eastAsia" w:ascii="仿宋" w:hAnsi="仿宋" w:eastAsia="仿宋" w:cs="仿宋"/>
                <w:color w:val="auto"/>
                <w:highlight w:val="none"/>
              </w:rPr>
            </w:pPr>
            <w:r>
              <w:rPr>
                <w:rFonts w:hint="eastAsia" w:ascii="仿宋" w:hAnsi="仿宋" w:eastAsia="仿宋" w:cs="仿宋"/>
                <w:color w:val="auto"/>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22" w:type="dxa"/>
            <w:vAlign w:val="center"/>
          </w:tcPr>
          <w:p w14:paraId="6F3A72DF">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3A1E8193">
            <w:pPr>
              <w:pStyle w:val="54"/>
              <w:spacing w:line="360" w:lineRule="auto"/>
              <w:jc w:val="center"/>
              <w:textAlignment w:val="center"/>
              <w:rPr>
                <w:rFonts w:hint="eastAsia" w:ascii="仿宋" w:hAnsi="仿宋" w:eastAsia="仿宋" w:cs="仿宋"/>
                <w:color w:val="auto"/>
                <w:highlight w:val="none"/>
              </w:rPr>
            </w:pPr>
          </w:p>
        </w:tc>
      </w:tr>
      <w:tr w14:paraId="32DD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7B6C41CB">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516" w:type="dxa"/>
            <w:shd w:val="clear" w:color="auto" w:fill="auto"/>
            <w:vAlign w:val="center"/>
          </w:tcPr>
          <w:p w14:paraId="004B86BB">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具有良好的商业信誉和健全的财务会计制度；</w:t>
            </w:r>
          </w:p>
          <w:p w14:paraId="11C8460C">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1）以开标截止时间点投标人未列入“信用中国”&lt;www.creditchina.gov.cn&gt;网站的“失信被执行人”和“重大税收违法失信主体”及“中国政府采购网”&lt;www.ccgp.gov.cn&gt;网站的“政府采购严重违法失信行为记录名单”，开标截止时间后，由采购代理公司统一登陆网站查询上传投标文件的投标人信誉情况，并以保存的网页查询截图为准；</w:t>
            </w:r>
          </w:p>
          <w:p w14:paraId="7F57F77E">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（2）银行出具的近1年内资信证明或2025年度经审计并赋码的财务报告，新成立企业无需提供。</w:t>
            </w:r>
          </w:p>
          <w:p w14:paraId="706F420D">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新成立企业是指：营业执照申领时间至今未满一年的企业，新成立企业仅需提供近3个月内任意1个月银行出具的资信证明即可】。</w:t>
            </w:r>
          </w:p>
        </w:tc>
        <w:tc>
          <w:tcPr>
            <w:tcW w:w="622" w:type="dxa"/>
            <w:vAlign w:val="center"/>
          </w:tcPr>
          <w:p w14:paraId="3D2C3866">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21D2555D">
            <w:pPr>
              <w:pStyle w:val="54"/>
              <w:spacing w:line="360" w:lineRule="auto"/>
              <w:jc w:val="center"/>
              <w:textAlignment w:val="center"/>
              <w:rPr>
                <w:rFonts w:hint="eastAsia" w:ascii="仿宋" w:hAnsi="仿宋" w:eastAsia="仿宋" w:cs="仿宋"/>
                <w:color w:val="auto"/>
                <w:highlight w:val="none"/>
              </w:rPr>
            </w:pPr>
          </w:p>
        </w:tc>
      </w:tr>
      <w:tr w14:paraId="6111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51A4A978">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516" w:type="dxa"/>
            <w:shd w:val="clear" w:color="auto" w:fill="auto"/>
            <w:vAlign w:val="center"/>
          </w:tcPr>
          <w:p w14:paraId="7760B866">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具有履行合同所必需的设备和专业技术能力；</w:t>
            </w:r>
          </w:p>
          <w:p w14:paraId="47902F95">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【须提供：①相关设备或设施的购置发票或单据（任一）或提供承诺函；②</w:t>
            </w:r>
            <w:r>
              <w:rPr>
                <w:rFonts w:hint="eastAsia" w:ascii="仿宋" w:hAnsi="仿宋" w:eastAsia="仿宋" w:cs="仿宋"/>
                <w:color w:val="auto"/>
                <w:spacing w:val="-2"/>
                <w:sz w:val="24"/>
                <w:highlight w:val="none"/>
              </w:rPr>
              <w:t>提供具有履行合同所必需的专业技术能力相关证明材料或声明</w:t>
            </w:r>
            <w:r>
              <w:rPr>
                <w:rFonts w:hint="eastAsia" w:ascii="仿宋" w:hAnsi="仿宋" w:eastAsia="仿宋" w:cs="仿宋"/>
                <w:color w:val="auto"/>
                <w:sz w:val="24"/>
                <w:highlight w:val="none"/>
              </w:rPr>
              <w:t>】。</w:t>
            </w:r>
          </w:p>
        </w:tc>
        <w:tc>
          <w:tcPr>
            <w:tcW w:w="622" w:type="dxa"/>
            <w:vAlign w:val="center"/>
          </w:tcPr>
          <w:p w14:paraId="63D3B3FF">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637F9696">
            <w:pPr>
              <w:pStyle w:val="54"/>
              <w:spacing w:line="360" w:lineRule="auto"/>
              <w:jc w:val="center"/>
              <w:textAlignment w:val="center"/>
              <w:rPr>
                <w:rFonts w:hint="eastAsia" w:ascii="仿宋" w:hAnsi="仿宋" w:eastAsia="仿宋" w:cs="仿宋"/>
                <w:color w:val="auto"/>
                <w:highlight w:val="none"/>
              </w:rPr>
            </w:pPr>
          </w:p>
        </w:tc>
      </w:tr>
      <w:tr w14:paraId="31F5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17E9CDBA">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6516" w:type="dxa"/>
            <w:shd w:val="clear" w:color="auto" w:fill="auto"/>
            <w:vAlign w:val="center"/>
          </w:tcPr>
          <w:p w14:paraId="762E0F12">
            <w:pPr>
              <w:pStyle w:val="12"/>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有依法缴纳税收和社会保障资金的良好记录；</w:t>
            </w:r>
          </w:p>
          <w:p w14:paraId="5AB49340">
            <w:pPr>
              <w:pStyle w:val="12"/>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【须提供：①近6个月内任意1个月已依法缴纳税收的凭据；②近6个月内任意1个月已依法缴纳社会保险的凭据（依法免税的投标人，应提供相应证明文件，新成立企业或自然人无需提供）】。</w:t>
            </w:r>
          </w:p>
        </w:tc>
        <w:tc>
          <w:tcPr>
            <w:tcW w:w="622" w:type="dxa"/>
            <w:vAlign w:val="center"/>
          </w:tcPr>
          <w:p w14:paraId="258435D2">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1428A0EB">
            <w:pPr>
              <w:pStyle w:val="54"/>
              <w:spacing w:line="360" w:lineRule="auto"/>
              <w:jc w:val="center"/>
              <w:textAlignment w:val="center"/>
              <w:rPr>
                <w:rFonts w:hint="eastAsia" w:ascii="仿宋" w:hAnsi="仿宋" w:eastAsia="仿宋" w:cs="仿宋"/>
                <w:color w:val="auto"/>
                <w:highlight w:val="none"/>
              </w:rPr>
            </w:pPr>
          </w:p>
        </w:tc>
      </w:tr>
      <w:tr w14:paraId="187C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566B116E">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6516" w:type="dxa"/>
            <w:shd w:val="clear" w:color="auto" w:fill="auto"/>
            <w:vAlign w:val="center"/>
          </w:tcPr>
          <w:p w14:paraId="70569882">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参加本次政府采购活动前三年内，在经营活动中没有重大违法记录；</w:t>
            </w:r>
          </w:p>
          <w:p w14:paraId="79D3143B">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【须提供：书面承诺（投标人自行承诺并承担后果，声明不实的，按《政府采购法》及相关法律法规中提供虚假材料的有关规定处理）】。 </w:t>
            </w:r>
          </w:p>
        </w:tc>
        <w:tc>
          <w:tcPr>
            <w:tcW w:w="622" w:type="dxa"/>
            <w:vAlign w:val="center"/>
          </w:tcPr>
          <w:p w14:paraId="6CD352CE">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22D21EC0">
            <w:pPr>
              <w:pStyle w:val="54"/>
              <w:spacing w:line="360" w:lineRule="auto"/>
              <w:jc w:val="center"/>
              <w:textAlignment w:val="center"/>
              <w:rPr>
                <w:rFonts w:hint="eastAsia" w:ascii="仿宋" w:hAnsi="仿宋" w:eastAsia="仿宋" w:cs="仿宋"/>
                <w:color w:val="auto"/>
                <w:highlight w:val="none"/>
              </w:rPr>
            </w:pPr>
          </w:p>
        </w:tc>
      </w:tr>
      <w:tr w14:paraId="7A71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38153C27">
            <w:pPr>
              <w:pStyle w:val="54"/>
              <w:spacing w:line="360" w:lineRule="auto"/>
              <w:jc w:val="center"/>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6516" w:type="dxa"/>
            <w:shd w:val="clear" w:color="auto" w:fill="auto"/>
            <w:vAlign w:val="center"/>
          </w:tcPr>
          <w:p w14:paraId="2CCD62C4">
            <w:pPr>
              <w:widowControl/>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本项目为专门面向中小企业（含中型、小型、微型企业）采购项目；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须提供中小企业声明函</w:t>
            </w:r>
            <w:r>
              <w:rPr>
                <w:rFonts w:hint="eastAsia" w:ascii="仿宋" w:hAnsi="仿宋" w:eastAsia="仿宋" w:cs="仿宋"/>
                <w:color w:val="auto"/>
                <w:sz w:val="24"/>
                <w:highlight w:val="none"/>
                <w:lang w:eastAsia="zh-CN"/>
              </w:rPr>
              <w:t>】</w:t>
            </w:r>
          </w:p>
        </w:tc>
        <w:tc>
          <w:tcPr>
            <w:tcW w:w="622" w:type="dxa"/>
            <w:vAlign w:val="center"/>
          </w:tcPr>
          <w:p w14:paraId="2C1E23B5">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5B03932B">
            <w:pPr>
              <w:pStyle w:val="54"/>
              <w:spacing w:line="360" w:lineRule="auto"/>
              <w:jc w:val="center"/>
              <w:textAlignment w:val="center"/>
              <w:rPr>
                <w:rFonts w:hint="eastAsia" w:ascii="仿宋" w:hAnsi="仿宋" w:eastAsia="仿宋" w:cs="仿宋"/>
                <w:color w:val="auto"/>
                <w:highlight w:val="none"/>
              </w:rPr>
            </w:pPr>
          </w:p>
        </w:tc>
      </w:tr>
      <w:tr w14:paraId="3C63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241F46CF">
            <w:pPr>
              <w:pStyle w:val="54"/>
              <w:spacing w:line="360" w:lineRule="auto"/>
              <w:jc w:val="center"/>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p>
        </w:tc>
        <w:tc>
          <w:tcPr>
            <w:tcW w:w="6516" w:type="dxa"/>
            <w:shd w:val="clear" w:color="auto" w:fill="auto"/>
            <w:vAlign w:val="center"/>
          </w:tcPr>
          <w:p w14:paraId="70C20BF5">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须提供：书面承诺（投标人自行承诺并承担后果，声明函不实的，按《政府采购法》及相关法律法规中提供虚假材料的有关规定处理）】。</w:t>
            </w:r>
          </w:p>
        </w:tc>
        <w:tc>
          <w:tcPr>
            <w:tcW w:w="622" w:type="dxa"/>
            <w:vAlign w:val="center"/>
          </w:tcPr>
          <w:p w14:paraId="46812C57">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4AF5C3A9">
            <w:pPr>
              <w:pStyle w:val="54"/>
              <w:spacing w:line="360" w:lineRule="auto"/>
              <w:jc w:val="center"/>
              <w:textAlignment w:val="center"/>
              <w:rPr>
                <w:rFonts w:hint="eastAsia" w:ascii="仿宋" w:hAnsi="仿宋" w:eastAsia="仿宋" w:cs="仿宋"/>
                <w:color w:val="auto"/>
                <w:highlight w:val="none"/>
              </w:rPr>
            </w:pPr>
          </w:p>
        </w:tc>
      </w:tr>
      <w:tr w14:paraId="1891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8" w:type="dxa"/>
            <w:gridSpan w:val="2"/>
            <w:vAlign w:val="center"/>
          </w:tcPr>
          <w:p w14:paraId="64AC633C">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审查结果（通过/不通过）</w:t>
            </w:r>
          </w:p>
        </w:tc>
        <w:tc>
          <w:tcPr>
            <w:tcW w:w="622" w:type="dxa"/>
            <w:vAlign w:val="center"/>
          </w:tcPr>
          <w:p w14:paraId="1C750E96">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07663A49">
            <w:pPr>
              <w:pStyle w:val="54"/>
              <w:spacing w:line="360" w:lineRule="auto"/>
              <w:jc w:val="center"/>
              <w:textAlignment w:val="center"/>
              <w:rPr>
                <w:rFonts w:hint="eastAsia" w:ascii="仿宋" w:hAnsi="仿宋" w:eastAsia="仿宋" w:cs="仿宋"/>
                <w:color w:val="auto"/>
                <w:highlight w:val="none"/>
              </w:rPr>
            </w:pPr>
          </w:p>
        </w:tc>
      </w:tr>
      <w:tr w14:paraId="0D32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343" w:type="dxa"/>
            <w:gridSpan w:val="4"/>
            <w:vAlign w:val="center"/>
          </w:tcPr>
          <w:p w14:paraId="5D4D22CD">
            <w:pPr>
              <w:pStyle w:val="54"/>
              <w:spacing w:line="360" w:lineRule="auto"/>
              <w:textAlignment w:val="center"/>
              <w:rPr>
                <w:rFonts w:hint="eastAsia" w:ascii="仿宋" w:hAnsi="仿宋" w:eastAsia="仿宋" w:cs="仿宋"/>
                <w:color w:val="auto"/>
                <w:highlight w:val="none"/>
              </w:rPr>
            </w:pPr>
            <w:r>
              <w:rPr>
                <w:rFonts w:hint="eastAsia" w:ascii="仿宋" w:hAnsi="仿宋" w:eastAsia="仿宋" w:cs="仿宋"/>
                <w:color w:val="auto"/>
                <w:highlight w:val="none"/>
              </w:rPr>
              <w:t>备注：如果投标文件中有一项未通过上述审查标准，评标委员会将认定整个投标文件不响应招标件而予以无效处理，并且不允许投标人通过修改或撤销其不符合要求的差异或保留，使之成为具有响应性的投标。</w:t>
            </w:r>
          </w:p>
        </w:tc>
      </w:tr>
    </w:tbl>
    <w:p w14:paraId="2E4A2142">
      <w:pPr>
        <w:spacing w:line="360" w:lineRule="auto"/>
        <w:ind w:firstLine="480" w:firstLineChars="200"/>
        <w:rPr>
          <w:rFonts w:hint="eastAsia" w:ascii="仿宋" w:hAnsi="仿宋" w:eastAsia="仿宋" w:cs="仿宋"/>
          <w:strike/>
          <w:color w:val="auto"/>
          <w:sz w:val="24"/>
          <w:highlight w:val="none"/>
        </w:rPr>
      </w:pPr>
      <w:r>
        <w:rPr>
          <w:rFonts w:hint="eastAsia" w:ascii="仿宋" w:hAnsi="仿宋" w:eastAsia="仿宋" w:cs="仿宋"/>
          <w:color w:val="auto"/>
          <w:sz w:val="24"/>
          <w:highlight w:val="none"/>
        </w:rPr>
        <w:t>3.2符合性审查。依据招标文件的规定，从投标文件的有效性、完整性和对招标文件的响应程度进行审查，以确定是否对招标文件的实质性要求作出响应。</w:t>
      </w:r>
    </w:p>
    <w:p w14:paraId="694B2739">
      <w:pPr>
        <w:pStyle w:val="33"/>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符合性审查表</w:t>
      </w:r>
    </w:p>
    <w:tbl>
      <w:tblPr>
        <w:tblStyle w:val="34"/>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6100"/>
        <w:gridCol w:w="782"/>
        <w:gridCol w:w="853"/>
      </w:tblGrid>
      <w:tr w14:paraId="7DB1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16" w:type="dxa"/>
            <w:vMerge w:val="restart"/>
            <w:vAlign w:val="center"/>
          </w:tcPr>
          <w:p w14:paraId="17B1BC79">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100" w:type="dxa"/>
            <w:vMerge w:val="restart"/>
            <w:vAlign w:val="center"/>
          </w:tcPr>
          <w:p w14:paraId="16908B01">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审   查   标   准</w:t>
            </w:r>
          </w:p>
        </w:tc>
        <w:tc>
          <w:tcPr>
            <w:tcW w:w="1635" w:type="dxa"/>
            <w:gridSpan w:val="2"/>
            <w:vAlign w:val="center"/>
          </w:tcPr>
          <w:p w14:paraId="3E8B6FD0">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审查结果</w:t>
            </w:r>
          </w:p>
        </w:tc>
      </w:tr>
      <w:tr w14:paraId="5DB5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16" w:type="dxa"/>
            <w:vMerge w:val="continue"/>
            <w:vAlign w:val="center"/>
          </w:tcPr>
          <w:p w14:paraId="0C282F63">
            <w:pPr>
              <w:pStyle w:val="54"/>
              <w:spacing w:line="360" w:lineRule="auto"/>
              <w:jc w:val="center"/>
              <w:textAlignment w:val="center"/>
              <w:rPr>
                <w:rFonts w:hint="eastAsia" w:ascii="仿宋" w:hAnsi="仿宋" w:eastAsia="仿宋" w:cs="仿宋"/>
                <w:color w:val="auto"/>
                <w:highlight w:val="none"/>
              </w:rPr>
            </w:pPr>
          </w:p>
        </w:tc>
        <w:tc>
          <w:tcPr>
            <w:tcW w:w="6100" w:type="dxa"/>
            <w:vMerge w:val="continue"/>
            <w:vAlign w:val="center"/>
          </w:tcPr>
          <w:p w14:paraId="44E59F8D">
            <w:pPr>
              <w:pStyle w:val="54"/>
              <w:spacing w:line="360" w:lineRule="auto"/>
              <w:jc w:val="center"/>
              <w:textAlignment w:val="center"/>
              <w:rPr>
                <w:rFonts w:hint="eastAsia" w:ascii="仿宋" w:hAnsi="仿宋" w:eastAsia="仿宋" w:cs="仿宋"/>
                <w:color w:val="auto"/>
                <w:highlight w:val="none"/>
              </w:rPr>
            </w:pPr>
          </w:p>
        </w:tc>
        <w:tc>
          <w:tcPr>
            <w:tcW w:w="782" w:type="dxa"/>
            <w:vAlign w:val="center"/>
          </w:tcPr>
          <w:p w14:paraId="4626AB88">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通过</w:t>
            </w:r>
          </w:p>
        </w:tc>
        <w:tc>
          <w:tcPr>
            <w:tcW w:w="853" w:type="dxa"/>
            <w:vAlign w:val="center"/>
          </w:tcPr>
          <w:p w14:paraId="3EC9ED4C">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不通过</w:t>
            </w:r>
          </w:p>
        </w:tc>
      </w:tr>
      <w:tr w14:paraId="1C02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1310FD3A">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100" w:type="dxa"/>
            <w:vAlign w:val="center"/>
          </w:tcPr>
          <w:p w14:paraId="1A8D2586">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投标文件的编制符合招标文件要求；</w:t>
            </w:r>
          </w:p>
        </w:tc>
        <w:tc>
          <w:tcPr>
            <w:tcW w:w="782" w:type="dxa"/>
            <w:vAlign w:val="center"/>
          </w:tcPr>
          <w:p w14:paraId="23BD1F50">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16CC2532">
            <w:pPr>
              <w:pStyle w:val="54"/>
              <w:spacing w:line="360" w:lineRule="auto"/>
              <w:jc w:val="center"/>
              <w:textAlignment w:val="center"/>
              <w:rPr>
                <w:rFonts w:hint="eastAsia" w:ascii="仿宋" w:hAnsi="仿宋" w:eastAsia="仿宋" w:cs="仿宋"/>
                <w:color w:val="auto"/>
                <w:highlight w:val="none"/>
              </w:rPr>
            </w:pPr>
          </w:p>
        </w:tc>
      </w:tr>
      <w:tr w14:paraId="03E3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129AE1AF">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100" w:type="dxa"/>
            <w:vAlign w:val="center"/>
          </w:tcPr>
          <w:p w14:paraId="6D855334">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按照招标文件规定和要求加密、</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rPr>
              <w:t>；</w:t>
            </w:r>
          </w:p>
        </w:tc>
        <w:tc>
          <w:tcPr>
            <w:tcW w:w="782" w:type="dxa"/>
            <w:vAlign w:val="center"/>
          </w:tcPr>
          <w:p w14:paraId="6C7ADBBB">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363ADDF8">
            <w:pPr>
              <w:pStyle w:val="54"/>
              <w:spacing w:line="360" w:lineRule="auto"/>
              <w:jc w:val="center"/>
              <w:textAlignment w:val="center"/>
              <w:rPr>
                <w:rFonts w:hint="eastAsia" w:ascii="仿宋" w:hAnsi="仿宋" w:eastAsia="仿宋" w:cs="仿宋"/>
                <w:color w:val="auto"/>
                <w:highlight w:val="none"/>
              </w:rPr>
            </w:pPr>
          </w:p>
        </w:tc>
      </w:tr>
      <w:tr w14:paraId="5F06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1EC1E3B1">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100" w:type="dxa"/>
            <w:vAlign w:val="center"/>
          </w:tcPr>
          <w:p w14:paraId="4CCF69B6">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按照招标文件规定缴纳投标保证金；</w:t>
            </w:r>
          </w:p>
        </w:tc>
        <w:tc>
          <w:tcPr>
            <w:tcW w:w="782" w:type="dxa"/>
            <w:vAlign w:val="center"/>
          </w:tcPr>
          <w:p w14:paraId="4BDF27E8">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11C31616">
            <w:pPr>
              <w:pStyle w:val="54"/>
              <w:spacing w:line="360" w:lineRule="auto"/>
              <w:jc w:val="center"/>
              <w:textAlignment w:val="center"/>
              <w:rPr>
                <w:rFonts w:hint="eastAsia" w:ascii="仿宋" w:hAnsi="仿宋" w:eastAsia="仿宋" w:cs="仿宋"/>
                <w:color w:val="auto"/>
                <w:highlight w:val="none"/>
              </w:rPr>
            </w:pPr>
          </w:p>
        </w:tc>
      </w:tr>
      <w:tr w14:paraId="2D67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13AFB2E1">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6100" w:type="dxa"/>
            <w:vAlign w:val="center"/>
          </w:tcPr>
          <w:p w14:paraId="1DA8FBC9">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投标报价不得高于设定的最高限价；</w:t>
            </w:r>
          </w:p>
        </w:tc>
        <w:tc>
          <w:tcPr>
            <w:tcW w:w="782" w:type="dxa"/>
            <w:vAlign w:val="center"/>
          </w:tcPr>
          <w:p w14:paraId="0A826C2E">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5623D0C7">
            <w:pPr>
              <w:pStyle w:val="54"/>
              <w:spacing w:line="360" w:lineRule="auto"/>
              <w:jc w:val="center"/>
              <w:textAlignment w:val="center"/>
              <w:rPr>
                <w:rFonts w:hint="eastAsia" w:ascii="仿宋" w:hAnsi="仿宋" w:eastAsia="仿宋" w:cs="仿宋"/>
                <w:color w:val="auto"/>
                <w:highlight w:val="none"/>
              </w:rPr>
            </w:pPr>
          </w:p>
        </w:tc>
      </w:tr>
      <w:tr w14:paraId="2446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0A2A4B04">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6100" w:type="dxa"/>
            <w:vAlign w:val="center"/>
          </w:tcPr>
          <w:p w14:paraId="1F016D57">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合同履约期限符合招标文件规定期限；</w:t>
            </w:r>
          </w:p>
        </w:tc>
        <w:tc>
          <w:tcPr>
            <w:tcW w:w="782" w:type="dxa"/>
            <w:vAlign w:val="center"/>
          </w:tcPr>
          <w:p w14:paraId="36A5D796">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5B552B4A">
            <w:pPr>
              <w:pStyle w:val="54"/>
              <w:spacing w:line="360" w:lineRule="auto"/>
              <w:jc w:val="center"/>
              <w:textAlignment w:val="center"/>
              <w:rPr>
                <w:rFonts w:hint="eastAsia" w:ascii="仿宋" w:hAnsi="仿宋" w:eastAsia="仿宋" w:cs="仿宋"/>
                <w:color w:val="auto"/>
                <w:highlight w:val="none"/>
              </w:rPr>
            </w:pPr>
          </w:p>
        </w:tc>
      </w:tr>
      <w:tr w14:paraId="1E01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616" w:type="dxa"/>
            <w:vAlign w:val="center"/>
          </w:tcPr>
          <w:p w14:paraId="3841C780">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6100" w:type="dxa"/>
            <w:vAlign w:val="center"/>
          </w:tcPr>
          <w:p w14:paraId="4F49E424">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按照招标文件规定的格式要求编制投标文件，实质性响应招标文件内容；</w:t>
            </w:r>
          </w:p>
        </w:tc>
        <w:tc>
          <w:tcPr>
            <w:tcW w:w="782" w:type="dxa"/>
            <w:vAlign w:val="center"/>
          </w:tcPr>
          <w:p w14:paraId="5DEE05BE">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5774E9E2">
            <w:pPr>
              <w:pStyle w:val="54"/>
              <w:spacing w:line="360" w:lineRule="auto"/>
              <w:jc w:val="center"/>
              <w:textAlignment w:val="center"/>
              <w:rPr>
                <w:rFonts w:hint="eastAsia" w:ascii="仿宋" w:hAnsi="仿宋" w:eastAsia="仿宋" w:cs="仿宋"/>
                <w:color w:val="auto"/>
                <w:highlight w:val="none"/>
              </w:rPr>
            </w:pPr>
          </w:p>
        </w:tc>
      </w:tr>
      <w:tr w14:paraId="092D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616" w:type="dxa"/>
            <w:vAlign w:val="center"/>
          </w:tcPr>
          <w:p w14:paraId="789A5DF4">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6100" w:type="dxa"/>
            <w:vAlign w:val="center"/>
          </w:tcPr>
          <w:p w14:paraId="43493282">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投标文件不得附有采购人不能接受的条件。</w:t>
            </w:r>
          </w:p>
        </w:tc>
        <w:tc>
          <w:tcPr>
            <w:tcW w:w="782" w:type="dxa"/>
            <w:vAlign w:val="center"/>
          </w:tcPr>
          <w:p w14:paraId="2C81534D">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3436CBBB">
            <w:pPr>
              <w:pStyle w:val="54"/>
              <w:spacing w:line="360" w:lineRule="auto"/>
              <w:jc w:val="center"/>
              <w:textAlignment w:val="center"/>
              <w:rPr>
                <w:rFonts w:hint="eastAsia" w:ascii="仿宋" w:hAnsi="仿宋" w:eastAsia="仿宋" w:cs="仿宋"/>
                <w:color w:val="auto"/>
                <w:highlight w:val="none"/>
              </w:rPr>
            </w:pPr>
          </w:p>
        </w:tc>
      </w:tr>
      <w:tr w14:paraId="18B3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716" w:type="dxa"/>
            <w:gridSpan w:val="2"/>
            <w:vAlign w:val="center"/>
          </w:tcPr>
          <w:p w14:paraId="21E0AE19">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审查结果（通过/不通过）</w:t>
            </w:r>
          </w:p>
        </w:tc>
        <w:tc>
          <w:tcPr>
            <w:tcW w:w="782" w:type="dxa"/>
            <w:vAlign w:val="center"/>
          </w:tcPr>
          <w:p w14:paraId="7F58C358">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23B51FF1">
            <w:pPr>
              <w:pStyle w:val="54"/>
              <w:spacing w:line="360" w:lineRule="auto"/>
              <w:jc w:val="center"/>
              <w:textAlignment w:val="center"/>
              <w:rPr>
                <w:rFonts w:hint="eastAsia" w:ascii="仿宋" w:hAnsi="仿宋" w:eastAsia="仿宋" w:cs="仿宋"/>
                <w:color w:val="auto"/>
                <w:highlight w:val="none"/>
              </w:rPr>
            </w:pPr>
          </w:p>
        </w:tc>
      </w:tr>
      <w:tr w14:paraId="1736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8351" w:type="dxa"/>
            <w:gridSpan w:val="4"/>
            <w:vAlign w:val="center"/>
          </w:tcPr>
          <w:p w14:paraId="7DF0C253">
            <w:pPr>
              <w:pStyle w:val="54"/>
              <w:spacing w:line="360" w:lineRule="auto"/>
              <w:textAlignment w:val="center"/>
              <w:rPr>
                <w:rFonts w:hint="eastAsia" w:ascii="仿宋" w:hAnsi="仿宋" w:eastAsia="仿宋" w:cs="仿宋"/>
                <w:color w:val="auto"/>
                <w:highlight w:val="none"/>
              </w:rPr>
            </w:pPr>
            <w:r>
              <w:rPr>
                <w:rFonts w:hint="eastAsia" w:ascii="仿宋" w:hAnsi="仿宋" w:eastAsia="仿宋" w:cs="仿宋"/>
                <w:color w:val="auto"/>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4595E5B7">
      <w:pPr>
        <w:pStyle w:val="13"/>
        <w:tabs>
          <w:tab w:val="left" w:pos="6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04D6D7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216" w:name="_Toc183582287"/>
      <w:bookmarkStart w:id="217" w:name="_Toc183682422"/>
      <w:bookmarkStart w:id="218" w:name="_Toc217446104"/>
    </w:p>
    <w:bookmarkEnd w:id="216"/>
    <w:bookmarkEnd w:id="217"/>
    <w:bookmarkEnd w:id="218"/>
    <w:p w14:paraId="38CF9B3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3.4比较与评价。按招标文件中规定的评标方法和标准，对符合性审查合格的投标文件进行综合比较与评价。</w:t>
      </w:r>
    </w:p>
    <w:p w14:paraId="55FEF7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3.5推荐中标候选人名单。中标候选人数量应当根据招标文件确定，但必须按顺序排列中标候选人。</w:t>
      </w:r>
    </w:p>
    <w:p w14:paraId="0625E5EC">
      <w:pPr>
        <w:pStyle w:val="48"/>
        <w:rPr>
          <w:rFonts w:hint="eastAsia" w:ascii="仿宋" w:hAnsi="仿宋" w:cs="仿宋"/>
          <w:color w:val="auto"/>
          <w:highlight w:val="none"/>
        </w:rPr>
      </w:pPr>
      <w:r>
        <w:rPr>
          <w:rFonts w:hint="eastAsia" w:ascii="仿宋" w:hAnsi="仿宋" w:cs="仿宋"/>
          <w:color w:val="auto"/>
          <w:highlight w:val="none"/>
        </w:rPr>
        <w:t>3.5.1评标委员会根据综合评分情况，按照评标得分由高到低顺序推荐3名中标候选人，并编写评标报告。得分相同的，按投标报价由低到高顺序排列。得分且投标报价相同的</w:t>
      </w:r>
      <w:r>
        <w:rPr>
          <w:rFonts w:hint="eastAsia" w:ascii="仿宋" w:hAnsi="仿宋" w:cs="仿宋"/>
          <w:color w:val="auto"/>
          <w:highlight w:val="none"/>
          <w:shd w:val="clear" w:color="auto" w:fill="FAFAFA"/>
        </w:rPr>
        <w:t>，按照技术指标优劣顺序推荐</w:t>
      </w:r>
      <w:r>
        <w:rPr>
          <w:rFonts w:hint="eastAsia" w:ascii="仿宋" w:hAnsi="仿宋" w:cs="仿宋"/>
          <w:color w:val="auto"/>
          <w:highlight w:val="none"/>
        </w:rPr>
        <w:t>。</w:t>
      </w:r>
    </w:p>
    <w:p w14:paraId="0566AB6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3.6编写评标报告。评标报告是评标委员会根据评标委员成员签字的原始评标记录和评标结果编写的报告，其主要内容包括：</w:t>
      </w:r>
    </w:p>
    <w:p w14:paraId="436357E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（1）项目概况、开标日期和地点；</w:t>
      </w:r>
    </w:p>
    <w:p w14:paraId="55A635C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（2）参与竞争的的投标人名单和评标委员会成员名单；</w:t>
      </w:r>
    </w:p>
    <w:p w14:paraId="494A9C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（3）评审因素和评分标准；</w:t>
      </w:r>
    </w:p>
    <w:p w14:paraId="55EC611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（4）开标记录和评标情况及说明，包括投标无效投标人名单及原因；</w:t>
      </w:r>
    </w:p>
    <w:p w14:paraId="44C50D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（5）评标结果和中标候选人排序。</w:t>
      </w:r>
    </w:p>
    <w:p w14:paraId="0677F4C7">
      <w:pPr>
        <w:spacing w:line="360" w:lineRule="auto"/>
        <w:ind w:firstLine="480" w:firstLineChars="200"/>
        <w:rPr>
          <w:rFonts w:hint="eastAsia" w:ascii="仿宋" w:hAnsi="仿宋" w:eastAsia="仿宋" w:cs="仿宋"/>
          <w:color w:val="auto"/>
          <w:sz w:val="24"/>
          <w:highlight w:val="none"/>
        </w:rPr>
      </w:pPr>
      <w:bookmarkStart w:id="219" w:name="_Toc217446103"/>
      <w:r>
        <w:rPr>
          <w:rFonts w:hint="eastAsia" w:ascii="仿宋" w:hAnsi="仿宋" w:eastAsia="仿宋" w:cs="仿宋"/>
          <w:color w:val="auto"/>
          <w:sz w:val="24"/>
          <w:highlight w:val="none"/>
        </w:rPr>
        <w:t>4. 评标细则及标准</w:t>
      </w:r>
      <w:bookmarkEnd w:id="219"/>
    </w:p>
    <w:p w14:paraId="71E47F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 评标委员会只对通过符合性审查的投标文件，根据招标文件的要求采用相同的评标程序、评分办法及标准进行评价和比较。</w:t>
      </w:r>
    </w:p>
    <w:p w14:paraId="48C413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 本次综合评分的因素是：商务、价格、技术服务、业绩、对招标文件的响应程度以及投标文件规范性等。</w:t>
      </w:r>
    </w:p>
    <w:p w14:paraId="2945C1C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 除价格因素外，评标委员会成员应依据投标文件规定的评审因素和评分标准进行比较打分。</w:t>
      </w:r>
    </w:p>
    <w:p w14:paraId="06405C90">
      <w:pPr>
        <w:pStyle w:val="13"/>
        <w:tabs>
          <w:tab w:val="left" w:pos="6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4.4评标细则及标准的制定以科学合理、降低评标委员会自由裁量权为原则。</w:t>
      </w:r>
    </w:p>
    <w:p w14:paraId="4DB4CA2E">
      <w:pPr>
        <w:pStyle w:val="13"/>
        <w:tabs>
          <w:tab w:val="left" w:pos="6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4.5评标委员会将按照下述评分标准对通过符合性审查的投标文件进行详细评标，投标人评标得分等于所有评委评分的算术平均值，结果保留两位小数。</w:t>
      </w:r>
    </w:p>
    <w:p w14:paraId="01B872DD">
      <w:pPr>
        <w:pStyle w:val="13"/>
        <w:tabs>
          <w:tab w:val="left" w:pos="600"/>
        </w:tabs>
        <w:spacing w:line="360" w:lineRule="auto"/>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评审因素权重表</w:t>
      </w:r>
    </w:p>
    <w:tbl>
      <w:tblPr>
        <w:tblStyle w:val="3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4"/>
        <w:gridCol w:w="2241"/>
        <w:gridCol w:w="2698"/>
      </w:tblGrid>
      <w:tr w14:paraId="2CE3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AB5BBF5">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序号</w:t>
            </w:r>
          </w:p>
        </w:tc>
        <w:tc>
          <w:tcPr>
            <w:tcW w:w="1974" w:type="dxa"/>
            <w:tcBorders>
              <w:top w:val="single" w:color="auto" w:sz="4" w:space="0"/>
              <w:left w:val="single" w:color="auto" w:sz="4" w:space="0"/>
              <w:bottom w:val="single" w:color="auto" w:sz="4" w:space="0"/>
              <w:right w:val="single" w:color="auto" w:sz="4" w:space="0"/>
            </w:tcBorders>
            <w:vAlign w:val="center"/>
          </w:tcPr>
          <w:p w14:paraId="2DB8A422">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1</w:t>
            </w:r>
          </w:p>
        </w:tc>
        <w:tc>
          <w:tcPr>
            <w:tcW w:w="2241" w:type="dxa"/>
            <w:tcBorders>
              <w:top w:val="single" w:color="auto" w:sz="4" w:space="0"/>
              <w:left w:val="single" w:color="auto" w:sz="4" w:space="0"/>
              <w:bottom w:val="single" w:color="auto" w:sz="4" w:space="0"/>
              <w:right w:val="single" w:color="auto" w:sz="4" w:space="0"/>
            </w:tcBorders>
            <w:vAlign w:val="center"/>
          </w:tcPr>
          <w:p w14:paraId="1D6183E3">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2</w:t>
            </w:r>
          </w:p>
        </w:tc>
        <w:tc>
          <w:tcPr>
            <w:tcW w:w="2698" w:type="dxa"/>
            <w:tcBorders>
              <w:top w:val="single" w:color="auto" w:sz="4" w:space="0"/>
              <w:left w:val="single" w:color="auto" w:sz="4" w:space="0"/>
              <w:bottom w:val="single" w:color="auto" w:sz="4" w:space="0"/>
              <w:right w:val="single" w:color="auto" w:sz="4" w:space="0"/>
            </w:tcBorders>
            <w:vAlign w:val="center"/>
          </w:tcPr>
          <w:p w14:paraId="10B8A1CE">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3</w:t>
            </w:r>
          </w:p>
        </w:tc>
      </w:tr>
      <w:tr w14:paraId="1F1E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D27D540">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评审因素</w:t>
            </w:r>
          </w:p>
        </w:tc>
        <w:tc>
          <w:tcPr>
            <w:tcW w:w="1974" w:type="dxa"/>
            <w:tcBorders>
              <w:top w:val="single" w:color="auto" w:sz="4" w:space="0"/>
              <w:left w:val="single" w:color="auto" w:sz="4" w:space="0"/>
              <w:bottom w:val="single" w:color="auto" w:sz="4" w:space="0"/>
              <w:right w:val="single" w:color="auto" w:sz="4" w:space="0"/>
            </w:tcBorders>
            <w:vAlign w:val="center"/>
          </w:tcPr>
          <w:p w14:paraId="2B0C1BFD">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投标报价</w:t>
            </w:r>
          </w:p>
        </w:tc>
        <w:tc>
          <w:tcPr>
            <w:tcW w:w="2241" w:type="dxa"/>
            <w:tcBorders>
              <w:top w:val="single" w:color="auto" w:sz="4" w:space="0"/>
              <w:left w:val="single" w:color="auto" w:sz="4" w:space="0"/>
              <w:bottom w:val="single" w:color="auto" w:sz="4" w:space="0"/>
              <w:right w:val="single" w:color="auto" w:sz="4" w:space="0"/>
            </w:tcBorders>
            <w:vAlign w:val="center"/>
          </w:tcPr>
          <w:p w14:paraId="037F6B75">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技术、商务部分</w:t>
            </w:r>
          </w:p>
        </w:tc>
        <w:tc>
          <w:tcPr>
            <w:tcW w:w="2698" w:type="dxa"/>
            <w:tcBorders>
              <w:top w:val="single" w:color="auto" w:sz="4" w:space="0"/>
              <w:left w:val="single" w:color="auto" w:sz="4" w:space="0"/>
              <w:bottom w:val="single" w:color="auto" w:sz="4" w:space="0"/>
              <w:right w:val="single" w:color="auto" w:sz="4" w:space="0"/>
            </w:tcBorders>
            <w:vAlign w:val="center"/>
          </w:tcPr>
          <w:p w14:paraId="55193B2B">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合计</w:t>
            </w:r>
          </w:p>
        </w:tc>
      </w:tr>
      <w:tr w14:paraId="50B1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3613F06">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权重</w:t>
            </w:r>
          </w:p>
        </w:tc>
        <w:tc>
          <w:tcPr>
            <w:tcW w:w="1974" w:type="dxa"/>
            <w:tcBorders>
              <w:top w:val="single" w:color="auto" w:sz="4" w:space="0"/>
              <w:left w:val="single" w:color="auto" w:sz="4" w:space="0"/>
              <w:bottom w:val="single" w:color="auto" w:sz="4" w:space="0"/>
              <w:right w:val="single" w:color="auto" w:sz="4" w:space="0"/>
            </w:tcBorders>
            <w:vAlign w:val="center"/>
          </w:tcPr>
          <w:p w14:paraId="37B836E5">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30%</w:t>
            </w:r>
          </w:p>
        </w:tc>
        <w:tc>
          <w:tcPr>
            <w:tcW w:w="2241" w:type="dxa"/>
            <w:tcBorders>
              <w:top w:val="single" w:color="auto" w:sz="4" w:space="0"/>
              <w:left w:val="single" w:color="auto" w:sz="4" w:space="0"/>
              <w:bottom w:val="single" w:color="auto" w:sz="4" w:space="0"/>
              <w:right w:val="single" w:color="auto" w:sz="4" w:space="0"/>
            </w:tcBorders>
            <w:vAlign w:val="center"/>
          </w:tcPr>
          <w:p w14:paraId="7BA6ECDC">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70%</w:t>
            </w:r>
          </w:p>
        </w:tc>
        <w:tc>
          <w:tcPr>
            <w:tcW w:w="2698" w:type="dxa"/>
            <w:tcBorders>
              <w:top w:val="single" w:color="auto" w:sz="4" w:space="0"/>
              <w:left w:val="single" w:color="auto" w:sz="4" w:space="0"/>
              <w:bottom w:val="single" w:color="auto" w:sz="4" w:space="0"/>
              <w:right w:val="single" w:color="auto" w:sz="4" w:space="0"/>
            </w:tcBorders>
            <w:vAlign w:val="center"/>
          </w:tcPr>
          <w:p w14:paraId="12FE9CF5">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100%</w:t>
            </w:r>
          </w:p>
        </w:tc>
      </w:tr>
    </w:tbl>
    <w:p w14:paraId="0FA69628">
      <w:pPr>
        <w:pStyle w:val="13"/>
        <w:tabs>
          <w:tab w:val="left" w:pos="600"/>
        </w:tabs>
        <w:spacing w:line="360" w:lineRule="auto"/>
        <w:ind w:firstLine="0"/>
        <w:jc w:val="center"/>
        <w:rPr>
          <w:rFonts w:hint="eastAsia" w:ascii="仿宋" w:hAnsi="仿宋" w:eastAsia="仿宋" w:cs="仿宋"/>
          <w:color w:val="auto"/>
          <w:sz w:val="24"/>
          <w:szCs w:val="24"/>
          <w:highlight w:val="none"/>
        </w:rPr>
      </w:pPr>
    </w:p>
    <w:p w14:paraId="4AADF963">
      <w:pPr>
        <w:pStyle w:val="18"/>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第一包</w:t>
      </w:r>
      <w:r>
        <w:rPr>
          <w:rFonts w:hint="eastAsia" w:ascii="仿宋" w:hAnsi="仿宋" w:eastAsia="仿宋" w:cs="仿宋"/>
          <w:b/>
          <w:bCs/>
          <w:color w:val="auto"/>
          <w:sz w:val="24"/>
          <w:highlight w:val="none"/>
        </w:rPr>
        <w:t>技术、商务部分评审标准（70分）</w:t>
      </w:r>
    </w:p>
    <w:tbl>
      <w:tblPr>
        <w:tblStyle w:val="34"/>
        <w:tblpPr w:leftFromText="180" w:rightFromText="180" w:vertAnchor="text" w:horzAnchor="page" w:tblpX="1756" w:tblpY="447"/>
        <w:tblOverlap w:val="never"/>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146"/>
        <w:gridCol w:w="6146"/>
      </w:tblGrid>
      <w:tr w14:paraId="47BC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8584" w:type="dxa"/>
            <w:gridSpan w:val="3"/>
            <w:tcBorders>
              <w:top w:val="single" w:color="auto" w:sz="4" w:space="0"/>
              <w:left w:val="single" w:color="auto" w:sz="4" w:space="0"/>
              <w:bottom w:val="single" w:color="auto" w:sz="4" w:space="0"/>
              <w:right w:val="single" w:color="auto" w:sz="4" w:space="0"/>
            </w:tcBorders>
            <w:vAlign w:val="center"/>
          </w:tcPr>
          <w:p w14:paraId="353A5ADF">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b/>
                <w:bCs/>
                <w:color w:val="auto"/>
                <w:spacing w:val="6"/>
                <w:kern w:val="0"/>
                <w:sz w:val="24"/>
                <w:highlight w:val="none"/>
              </w:rPr>
              <w:t>商务部分（</w:t>
            </w:r>
            <w:r>
              <w:rPr>
                <w:rFonts w:hint="eastAsia" w:ascii="仿宋" w:hAnsi="仿宋" w:eastAsia="仿宋" w:cs="仿宋"/>
                <w:b/>
                <w:bCs/>
                <w:color w:val="auto"/>
                <w:spacing w:val="6"/>
                <w:kern w:val="0"/>
                <w:sz w:val="24"/>
                <w:highlight w:val="none"/>
                <w:lang w:val="en-US" w:eastAsia="zh-CN"/>
              </w:rPr>
              <w:t>5</w:t>
            </w:r>
            <w:r>
              <w:rPr>
                <w:rFonts w:hint="eastAsia" w:ascii="仿宋" w:hAnsi="仿宋" w:eastAsia="仿宋" w:cs="仿宋"/>
                <w:b/>
                <w:bCs/>
                <w:color w:val="auto"/>
                <w:spacing w:val="6"/>
                <w:kern w:val="0"/>
                <w:sz w:val="24"/>
                <w:highlight w:val="none"/>
              </w:rPr>
              <w:t>分）</w:t>
            </w:r>
          </w:p>
        </w:tc>
      </w:tr>
      <w:tr w14:paraId="4A59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left w:val="single" w:color="auto" w:sz="4" w:space="0"/>
              <w:right w:val="single" w:color="auto" w:sz="4" w:space="0"/>
            </w:tcBorders>
            <w:shd w:val="clear" w:color="auto" w:fill="auto"/>
            <w:vAlign w:val="center"/>
          </w:tcPr>
          <w:p w14:paraId="3D9BC7F7">
            <w:pPr>
              <w:autoSpaceDE w:val="0"/>
              <w:autoSpaceDN w:val="0"/>
              <w:adjustRightInd w:val="0"/>
              <w:spacing w:line="360" w:lineRule="auto"/>
              <w:jc w:val="center"/>
              <w:rPr>
                <w:rFonts w:hint="eastAsia" w:ascii="仿宋" w:hAnsi="仿宋" w:eastAsia="仿宋" w:cs="仿宋"/>
                <w:b/>
                <w:bCs/>
                <w:color w:val="auto"/>
                <w:spacing w:val="6"/>
                <w:kern w:val="0"/>
                <w:sz w:val="24"/>
                <w:highlight w:val="none"/>
                <w:lang w:val="en-US" w:eastAsia="zh-CN"/>
              </w:rPr>
            </w:pPr>
            <w:r>
              <w:rPr>
                <w:rFonts w:hint="eastAsia" w:ascii="仿宋" w:hAnsi="仿宋" w:eastAsia="仿宋" w:cs="仿宋"/>
                <w:b/>
                <w:bCs/>
                <w:color w:val="auto"/>
                <w:spacing w:val="6"/>
                <w:kern w:val="0"/>
                <w:sz w:val="24"/>
                <w:highlight w:val="none"/>
              </w:rPr>
              <w:br w:type="page"/>
            </w:r>
            <w:r>
              <w:rPr>
                <w:rFonts w:hint="eastAsia" w:ascii="仿宋" w:hAnsi="仿宋" w:eastAsia="仿宋" w:cs="仿宋"/>
                <w:b/>
                <w:bCs/>
                <w:color w:val="auto"/>
                <w:spacing w:val="6"/>
                <w:kern w:val="0"/>
                <w:sz w:val="24"/>
                <w:highlight w:val="none"/>
              </w:rPr>
              <w:t>评分项目</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760DF143">
            <w:pPr>
              <w:autoSpaceDE w:val="0"/>
              <w:autoSpaceDN w:val="0"/>
              <w:adjustRightInd w:val="0"/>
              <w:spacing w:line="360" w:lineRule="auto"/>
              <w:jc w:val="center"/>
              <w:rPr>
                <w:rFonts w:hint="eastAsia" w:ascii="仿宋" w:hAnsi="仿宋" w:eastAsia="仿宋" w:cs="仿宋"/>
                <w:b/>
                <w:bCs/>
                <w:color w:val="auto"/>
                <w:spacing w:val="6"/>
                <w:kern w:val="0"/>
                <w:sz w:val="24"/>
                <w:highlight w:val="none"/>
                <w:lang w:val="en-US" w:eastAsia="zh-CN"/>
              </w:rPr>
            </w:pPr>
            <w:r>
              <w:rPr>
                <w:rFonts w:hint="eastAsia" w:ascii="仿宋" w:hAnsi="仿宋" w:eastAsia="仿宋" w:cs="仿宋"/>
                <w:b/>
                <w:bCs/>
                <w:color w:val="auto"/>
                <w:spacing w:val="6"/>
                <w:kern w:val="0"/>
                <w:sz w:val="24"/>
                <w:highlight w:val="none"/>
                <w:lang w:val="zh-CN"/>
              </w:rPr>
              <w:t>分值</w:t>
            </w:r>
          </w:p>
        </w:tc>
        <w:tc>
          <w:tcPr>
            <w:tcW w:w="6146" w:type="dxa"/>
            <w:tcBorders>
              <w:top w:val="single" w:color="auto" w:sz="4" w:space="0"/>
              <w:left w:val="single" w:color="auto" w:sz="4" w:space="0"/>
              <w:bottom w:val="single" w:color="auto" w:sz="4" w:space="0"/>
              <w:right w:val="single" w:color="auto" w:sz="4" w:space="0"/>
            </w:tcBorders>
            <w:shd w:val="clear" w:color="auto" w:fill="auto"/>
            <w:vAlign w:val="center"/>
          </w:tcPr>
          <w:p w14:paraId="4A96C000">
            <w:pPr>
              <w:autoSpaceDE w:val="0"/>
              <w:autoSpaceDN w:val="0"/>
              <w:adjustRightInd w:val="0"/>
              <w:spacing w:line="360" w:lineRule="auto"/>
              <w:jc w:val="center"/>
              <w:rPr>
                <w:rFonts w:hint="eastAsia" w:ascii="仿宋" w:hAnsi="仿宋" w:eastAsia="仿宋" w:cs="仿宋"/>
                <w:b/>
                <w:bCs/>
                <w:color w:val="auto"/>
                <w:spacing w:val="6"/>
                <w:kern w:val="0"/>
                <w:sz w:val="24"/>
                <w:highlight w:val="none"/>
                <w:lang w:val="en-US" w:eastAsia="zh-CN"/>
              </w:rPr>
            </w:pPr>
            <w:r>
              <w:rPr>
                <w:rFonts w:hint="eastAsia" w:ascii="仿宋" w:hAnsi="仿宋" w:eastAsia="仿宋" w:cs="仿宋"/>
                <w:b/>
                <w:bCs/>
                <w:color w:val="auto"/>
                <w:spacing w:val="6"/>
                <w:kern w:val="0"/>
                <w:sz w:val="24"/>
                <w:highlight w:val="none"/>
                <w:lang w:val="zh-CN"/>
              </w:rPr>
              <w:t>标准</w:t>
            </w:r>
          </w:p>
        </w:tc>
      </w:tr>
      <w:tr w14:paraId="7FD8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left w:val="single" w:color="auto" w:sz="4" w:space="0"/>
              <w:right w:val="single" w:color="auto" w:sz="4" w:space="0"/>
            </w:tcBorders>
            <w:shd w:val="clear" w:color="auto" w:fill="auto"/>
            <w:vAlign w:val="center"/>
          </w:tcPr>
          <w:p w14:paraId="24BBFE2F">
            <w:pPr>
              <w:spacing w:line="36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2"/>
                <w:sz w:val="24"/>
                <w:szCs w:val="24"/>
                <w:highlight w:val="none"/>
                <w:lang w:val="en-US" w:eastAsia="zh-CN" w:bidi="ar-SA"/>
              </w:rPr>
              <w:t>企业</w:t>
            </w:r>
            <w:r>
              <w:rPr>
                <w:rFonts w:hint="eastAsia" w:ascii="仿宋" w:hAnsi="仿宋" w:eastAsia="仿宋" w:cs="仿宋"/>
                <w:color w:val="auto"/>
                <w:sz w:val="24"/>
                <w:szCs w:val="24"/>
                <w:highlight w:val="none"/>
                <w:lang w:val="en-US" w:eastAsia="zh-CN"/>
              </w:rPr>
              <w:t>关键技术和商务履约能力</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FF6037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6146" w:type="dxa"/>
            <w:tcBorders>
              <w:top w:val="single" w:color="auto" w:sz="4" w:space="0"/>
              <w:left w:val="single" w:color="auto" w:sz="4" w:space="0"/>
              <w:bottom w:val="single" w:color="auto" w:sz="4" w:space="0"/>
              <w:right w:val="single" w:color="auto" w:sz="4" w:space="0"/>
            </w:tcBorders>
            <w:shd w:val="clear" w:color="auto" w:fill="auto"/>
            <w:vAlign w:val="center"/>
          </w:tcPr>
          <w:p w14:paraId="4B5F7C2C">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提供本项目设备完整设计方案，提供包含本项目所有采购的系统设计施工图。</w:t>
            </w:r>
          </w:p>
          <w:p w14:paraId="33906E17">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1.EASE专业软件绘制的音频声场图（1分）。 </w:t>
            </w:r>
          </w:p>
          <w:p w14:paraId="15BABB29">
            <w:pPr>
              <w:spacing w:line="360" w:lineRule="auto"/>
              <w:jc w:val="left"/>
              <w:rPr>
                <w:rFonts w:hint="eastAsia" w:ascii="仿宋" w:hAnsi="仿宋" w:eastAsia="仿宋" w:cs="仿宋"/>
                <w:b/>
                <w:bCs/>
                <w:color w:val="auto"/>
                <w:kern w:val="0"/>
                <w:sz w:val="24"/>
                <w:szCs w:val="24"/>
                <w:highlight w:val="none"/>
                <w:lang w:val="zh-CN"/>
              </w:rPr>
            </w:pPr>
            <w:r>
              <w:rPr>
                <w:rFonts w:hint="eastAsia" w:ascii="仿宋" w:hAnsi="仿宋" w:eastAsia="仿宋" w:cs="仿宋"/>
                <w:color w:val="auto"/>
                <w:sz w:val="24"/>
                <w:highlight w:val="none"/>
                <w:lang w:val="en-US" w:eastAsia="zh-CN"/>
              </w:rPr>
              <w:t xml:space="preserve">2.专业扩声系统设备系统链接图、点位布置图（1分）。                                     </w:t>
            </w: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color w:val="auto"/>
                <w:sz w:val="24"/>
                <w:highlight w:val="none"/>
                <w:lang w:val="en-US" w:eastAsia="zh-CN"/>
              </w:rPr>
              <w:t>根据实际情况提供方案基本完整、设计够合理，图纸够清晰得2分；提供方案不完整、设计不合理、图纸不清晰得不得分；</w:t>
            </w:r>
          </w:p>
        </w:tc>
      </w:tr>
      <w:tr w14:paraId="7DD7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left w:val="single" w:color="auto" w:sz="4" w:space="0"/>
              <w:right w:val="single" w:color="auto" w:sz="4" w:space="0"/>
            </w:tcBorders>
            <w:shd w:val="clear" w:color="auto" w:fill="auto"/>
            <w:vAlign w:val="center"/>
          </w:tcPr>
          <w:p w14:paraId="4F0A6718">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BB15287">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c>
          <w:tcPr>
            <w:tcW w:w="6146" w:type="dxa"/>
            <w:tcBorders>
              <w:top w:val="single" w:color="auto" w:sz="4" w:space="0"/>
              <w:left w:val="single" w:color="auto" w:sz="4" w:space="0"/>
              <w:bottom w:val="single" w:color="auto" w:sz="4" w:space="0"/>
              <w:right w:val="single" w:color="auto" w:sz="4" w:space="0"/>
            </w:tcBorders>
            <w:shd w:val="clear" w:color="auto" w:fill="auto"/>
            <w:vAlign w:val="center"/>
          </w:tcPr>
          <w:p w14:paraId="51413E04">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1.投标人提供（2023年1月1日至投标截止之日）完成类似项目的业绩，每提供一个得1分，最高得3分。</w:t>
            </w:r>
          </w:p>
          <w:p w14:paraId="4BFE8C05">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2.同一单位多个片区（校区）的合同只算一份有效合同。</w:t>
            </w:r>
          </w:p>
          <w:p w14:paraId="3ED8D572">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注：须提供中标通知书（或网站可查中标结果公示截图）、及项目合同（包含但不限于合同首页、关键信息页、双方签章页、验收报告），未提供或提供不全不得分。</w:t>
            </w:r>
          </w:p>
        </w:tc>
      </w:tr>
      <w:tr w14:paraId="128E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4" w:type="dxa"/>
            <w:gridSpan w:val="3"/>
            <w:tcBorders>
              <w:left w:val="single" w:color="auto" w:sz="4" w:space="0"/>
              <w:right w:val="single" w:color="auto" w:sz="4" w:space="0"/>
            </w:tcBorders>
            <w:shd w:val="clear" w:color="auto" w:fill="auto"/>
            <w:vAlign w:val="center"/>
          </w:tcPr>
          <w:p w14:paraId="6ED0AEA4">
            <w:pPr>
              <w:widowControl/>
              <w:spacing w:line="360" w:lineRule="auto"/>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技术部分（</w:t>
            </w:r>
            <w:r>
              <w:rPr>
                <w:rFonts w:hint="eastAsia" w:ascii="仿宋" w:hAnsi="仿宋" w:eastAsia="仿宋" w:cs="仿宋"/>
                <w:b/>
                <w:bCs/>
                <w:color w:val="auto"/>
                <w:kern w:val="0"/>
                <w:sz w:val="24"/>
                <w:szCs w:val="24"/>
                <w:highlight w:val="none"/>
                <w:lang w:val="en-US" w:eastAsia="zh-CN"/>
              </w:rPr>
              <w:t>65</w:t>
            </w:r>
            <w:r>
              <w:rPr>
                <w:rFonts w:hint="eastAsia" w:ascii="仿宋" w:hAnsi="仿宋" w:eastAsia="仿宋" w:cs="仿宋"/>
                <w:b/>
                <w:bCs/>
                <w:color w:val="auto"/>
                <w:kern w:val="0"/>
                <w:sz w:val="24"/>
                <w:szCs w:val="24"/>
                <w:highlight w:val="none"/>
              </w:rPr>
              <w:t>分）</w:t>
            </w:r>
          </w:p>
        </w:tc>
      </w:tr>
      <w:tr w14:paraId="58D2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92" w:type="dxa"/>
            <w:tcBorders>
              <w:left w:val="single" w:color="auto" w:sz="4" w:space="0"/>
              <w:right w:val="single" w:color="auto" w:sz="4" w:space="0"/>
            </w:tcBorders>
            <w:shd w:val="clear" w:color="auto" w:fill="auto"/>
            <w:vAlign w:val="center"/>
          </w:tcPr>
          <w:p w14:paraId="7AD86805">
            <w:pPr>
              <w:spacing w:line="360" w:lineRule="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br w:type="page"/>
            </w:r>
            <w:r>
              <w:rPr>
                <w:rFonts w:hint="eastAsia" w:ascii="仿宋" w:hAnsi="仿宋" w:eastAsia="仿宋" w:cs="仿宋"/>
                <w:b/>
                <w:bCs/>
                <w:snapToGrid w:val="0"/>
                <w:color w:val="auto"/>
                <w:kern w:val="0"/>
                <w:sz w:val="24"/>
                <w:szCs w:val="24"/>
                <w:highlight w:val="none"/>
              </w:rPr>
              <w:t>评分项目</w:t>
            </w:r>
          </w:p>
        </w:tc>
        <w:tc>
          <w:tcPr>
            <w:tcW w:w="1146" w:type="dxa"/>
            <w:tcBorders>
              <w:top w:val="single" w:color="auto" w:sz="4" w:space="0"/>
              <w:left w:val="single" w:color="auto" w:sz="4" w:space="0"/>
              <w:right w:val="single" w:color="auto" w:sz="4" w:space="0"/>
            </w:tcBorders>
            <w:shd w:val="clear" w:color="auto" w:fill="auto"/>
            <w:vAlign w:val="center"/>
          </w:tcPr>
          <w:p w14:paraId="1805117C">
            <w:pPr>
              <w:widowControl/>
              <w:kinsoku w:val="0"/>
              <w:autoSpaceDE w:val="0"/>
              <w:autoSpaceDN w:val="0"/>
              <w:adjustRightInd w:val="0"/>
              <w:snapToGrid w:val="0"/>
              <w:spacing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snapToGrid w:val="0"/>
                <w:color w:val="auto"/>
                <w:kern w:val="0"/>
                <w:sz w:val="24"/>
                <w:szCs w:val="24"/>
                <w:highlight w:val="none"/>
                <w:lang w:val="zh-CN"/>
              </w:rPr>
              <w:t>分值</w:t>
            </w:r>
          </w:p>
        </w:tc>
        <w:tc>
          <w:tcPr>
            <w:tcW w:w="6146" w:type="dxa"/>
            <w:tcBorders>
              <w:top w:val="single" w:color="auto" w:sz="4" w:space="0"/>
              <w:left w:val="single" w:color="auto" w:sz="4" w:space="0"/>
              <w:right w:val="single" w:color="auto" w:sz="4" w:space="0"/>
            </w:tcBorders>
            <w:shd w:val="clear" w:color="auto" w:fill="auto"/>
            <w:vAlign w:val="center"/>
          </w:tcPr>
          <w:p w14:paraId="76ED7246">
            <w:pPr>
              <w:widowControl/>
              <w:kinsoku w:val="0"/>
              <w:autoSpaceDE w:val="0"/>
              <w:autoSpaceDN w:val="0"/>
              <w:adjustRightInd w:val="0"/>
              <w:snapToGrid w:val="0"/>
              <w:spacing w:line="360" w:lineRule="auto"/>
              <w:jc w:val="center"/>
              <w:textAlignment w:val="baseline"/>
              <w:rPr>
                <w:rFonts w:hint="eastAsia" w:ascii="仿宋" w:hAnsi="仿宋" w:eastAsia="仿宋" w:cs="仿宋"/>
                <w:b/>
                <w:bCs/>
                <w:color w:val="auto"/>
                <w:kern w:val="0"/>
                <w:sz w:val="24"/>
                <w:szCs w:val="24"/>
                <w:highlight w:val="none"/>
              </w:rPr>
            </w:pPr>
            <w:r>
              <w:rPr>
                <w:rFonts w:hint="eastAsia" w:ascii="仿宋" w:hAnsi="仿宋" w:eastAsia="仿宋" w:cs="仿宋"/>
                <w:b/>
                <w:bCs/>
                <w:snapToGrid w:val="0"/>
                <w:color w:val="auto"/>
                <w:kern w:val="0"/>
                <w:sz w:val="24"/>
                <w:szCs w:val="24"/>
                <w:highlight w:val="none"/>
                <w:lang w:val="zh-CN"/>
              </w:rPr>
              <w:t>标准</w:t>
            </w:r>
          </w:p>
        </w:tc>
      </w:tr>
      <w:tr w14:paraId="07F7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92" w:type="dxa"/>
            <w:tcBorders>
              <w:left w:val="single" w:color="auto" w:sz="4" w:space="0"/>
              <w:right w:val="single" w:color="auto" w:sz="4" w:space="0"/>
            </w:tcBorders>
            <w:shd w:val="clear" w:color="auto" w:fill="auto"/>
            <w:vAlign w:val="center"/>
          </w:tcPr>
          <w:p w14:paraId="4970ED2E">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产品性能指标</w:t>
            </w:r>
          </w:p>
        </w:tc>
        <w:tc>
          <w:tcPr>
            <w:tcW w:w="1146" w:type="dxa"/>
            <w:tcBorders>
              <w:top w:val="single" w:color="auto" w:sz="4" w:space="0"/>
              <w:left w:val="single" w:color="auto" w:sz="4" w:space="0"/>
              <w:right w:val="single" w:color="auto" w:sz="4" w:space="0"/>
            </w:tcBorders>
            <w:shd w:val="clear" w:color="auto" w:fill="auto"/>
            <w:vAlign w:val="center"/>
          </w:tcPr>
          <w:p w14:paraId="6104D96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rPr>
              <w:t>分</w:t>
            </w:r>
          </w:p>
        </w:tc>
        <w:tc>
          <w:tcPr>
            <w:tcW w:w="6146" w:type="dxa"/>
            <w:tcBorders>
              <w:top w:val="single" w:color="auto" w:sz="4" w:space="0"/>
              <w:left w:val="single" w:color="auto" w:sz="4" w:space="0"/>
              <w:right w:val="single" w:color="auto" w:sz="4" w:space="0"/>
            </w:tcBorders>
            <w:shd w:val="clear" w:color="auto" w:fill="auto"/>
            <w:vAlign w:val="center"/>
          </w:tcPr>
          <w:p w14:paraId="7E68FB66">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招标文件第四章“货物内容及项目要求”技术参数（每条技术参数前标注“★”的为主要技术参数，未标注的为一般技术参数），根据投标人提供的产品配置及技术性能指标的响应情况进行评审。所投产品技术参数完全响应招标文件要求的得45分；</w:t>
            </w:r>
          </w:p>
          <w:p w14:paraId="0302F07C">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标注“★”的技术参数，每有一项负偏离的扣1分，最多扣30分；一般技术参数，每有一项负偏离的扣0.5分，最多扣15分，扣完为止。</w:t>
            </w:r>
          </w:p>
          <w:p w14:paraId="2A083156">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1.负偏离评审依据：①所提供产品技术参数要求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p w14:paraId="165D529D">
            <w:pPr>
              <w:numPr>
                <w:ilvl w:val="0"/>
                <w:numId w:val="0"/>
              </w:num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如投标人技术响应与检测报告不一致，将以检测报告为准。</w:t>
            </w:r>
          </w:p>
          <w:p w14:paraId="2A304DEE">
            <w:pPr>
              <w:numPr>
                <w:ilvl w:val="0"/>
                <w:numId w:val="0"/>
              </w:num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highlight w:val="none"/>
                <w:lang w:val="en-US" w:eastAsia="zh-CN"/>
              </w:rPr>
              <w:t>投标人需按照采购文件中的要求提供证明材料复印件。</w:t>
            </w:r>
          </w:p>
        </w:tc>
      </w:tr>
      <w:tr w14:paraId="5B60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92" w:type="dxa"/>
            <w:tcBorders>
              <w:left w:val="single" w:color="auto" w:sz="4" w:space="0"/>
              <w:right w:val="single" w:color="auto" w:sz="4" w:space="0"/>
            </w:tcBorders>
            <w:shd w:val="clear" w:color="auto" w:fill="auto"/>
            <w:vAlign w:val="center"/>
          </w:tcPr>
          <w:p w14:paraId="3C98A28F">
            <w:pPr>
              <w:snapToGrid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项目组织</w:t>
            </w:r>
          </w:p>
          <w:p w14:paraId="0541CC08">
            <w:pPr>
              <w:snapToGrid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实施方案</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50D77F8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c>
          <w:tcPr>
            <w:tcW w:w="6146" w:type="dxa"/>
            <w:tcBorders>
              <w:top w:val="single" w:color="auto" w:sz="4" w:space="0"/>
              <w:left w:val="single" w:color="auto" w:sz="4" w:space="0"/>
              <w:bottom w:val="single" w:color="auto" w:sz="4" w:space="0"/>
              <w:right w:val="single" w:color="auto" w:sz="4" w:space="0"/>
            </w:tcBorders>
            <w:shd w:val="clear" w:color="auto" w:fill="auto"/>
            <w:vAlign w:val="center"/>
          </w:tcPr>
          <w:p w14:paraId="73725577">
            <w:pPr>
              <w:adjustRightInd w:val="0"/>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针对本项目编制详细的项目实施方案，包含但不限于以下内容：①项目的设备及设施实施的详细计划及相关流程(供货流程、退货流程、换货流程）；②项目人员组织保障责任分工（附本项目参与成员表及岗位分配表、职责；③项目实施进度计划图（附交货期、供货时间进度表）；④设备节能方案；⑤项目实施期间投入的调试人员、工器具配置方案；⑥应急方案，必须考虑在整个项目执行过程中可能存在风险和突发情况，针对不同的突发情形提供详细的应急措施及应对方案；⑦针对安装设备安装流程作出详细方案；⑧设备安装完成后统计数据并做档案管理作出详细方案等。</w:t>
            </w:r>
          </w:p>
          <w:p w14:paraId="02146C15">
            <w:pPr>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highlight w:val="none"/>
                <w:lang w:val="zh-CN"/>
              </w:rPr>
              <w:t>以上内容完整且完全满足项目需求得</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lang w:val="zh-CN"/>
              </w:rPr>
              <w:t>分，每缺失一项内容扣</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分，每项内容中每有一处内容缺陷扣</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lang w:val="zh-CN"/>
              </w:rPr>
              <w:t>分(缺陷是指：存在不适用项目实际情况的情形、凭空编造、内容前后不一致、前后逻辑错误、涉及的规范及标准错误、地点区域错误、内容遗漏、不符合项目需求等)。</w:t>
            </w:r>
          </w:p>
        </w:tc>
      </w:tr>
      <w:tr w14:paraId="2630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292" w:type="dxa"/>
            <w:tcBorders>
              <w:left w:val="single" w:color="auto" w:sz="4" w:space="0"/>
              <w:right w:val="single" w:color="auto" w:sz="4" w:space="0"/>
            </w:tcBorders>
            <w:shd w:val="clear" w:color="auto" w:fill="auto"/>
            <w:vAlign w:val="center"/>
          </w:tcPr>
          <w:p w14:paraId="4836D978">
            <w:pPr>
              <w:snapToGrid w:val="0"/>
              <w:spacing w:line="36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售后服务保障与支持</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11C9C2B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6146" w:type="dxa"/>
            <w:tcBorders>
              <w:top w:val="single" w:color="auto" w:sz="4" w:space="0"/>
              <w:left w:val="single" w:color="auto" w:sz="4" w:space="0"/>
              <w:bottom w:val="single" w:color="auto" w:sz="4" w:space="0"/>
              <w:right w:val="single" w:color="auto" w:sz="4" w:space="0"/>
            </w:tcBorders>
            <w:shd w:val="clear" w:color="auto" w:fill="auto"/>
            <w:vAlign w:val="center"/>
          </w:tcPr>
          <w:p w14:paraId="220E6667">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投标人针对本项目提供技术支持服务，在满足招标文件要求的质保期（保修期）前提下，售后服务方案制定完善：包含但不限于：①响应时效：承诺7×24小时服务热线；</w:t>
            </w:r>
          </w:p>
          <w:p w14:paraId="41E18202">
            <w:pPr>
              <w:snapToGrid w:val="0"/>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highlight w:val="none"/>
                <w:lang w:val="en-US" w:eastAsia="zh-CN"/>
              </w:rPr>
              <w:t>②紧急故障（如活动前设备宕机、无声音输出）：1小时内电话/远程指导排查），质保期后，按照合同约定提供技术支持服务；③根据项目特点，提供备品备件；④其他售后及增值服务。</w:t>
            </w:r>
            <w:r>
              <w:rPr>
                <w:rFonts w:hint="eastAsia" w:ascii="仿宋" w:hAnsi="仿宋" w:eastAsia="仿宋" w:cs="仿宋"/>
                <w:color w:val="auto"/>
                <w:kern w:val="0"/>
                <w:sz w:val="24"/>
                <w:highlight w:val="none"/>
                <w:lang w:val="zh-CN"/>
              </w:rPr>
              <w:t>以上内容完整且完全满足项目需求得</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CN"/>
              </w:rPr>
              <w:t>分，每缺失一项内容扣</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分，每项内容中每有一处内容缺陷扣</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lang w:val="zh-CN"/>
              </w:rPr>
              <w:t>分(缺陷是指：存在不适用项目实际情况的情形、凭空编造、内容前后不一致、前后逻辑错误、涉及的规范及标准错误、地点区域错误、内容遗漏、不符合项目需求等)。</w:t>
            </w:r>
          </w:p>
        </w:tc>
      </w:tr>
      <w:tr w14:paraId="5CF7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292" w:type="dxa"/>
            <w:tcBorders>
              <w:left w:val="single" w:color="auto" w:sz="4" w:space="0"/>
              <w:right w:val="single" w:color="auto" w:sz="4" w:space="0"/>
            </w:tcBorders>
            <w:shd w:val="clear" w:color="auto" w:fill="auto"/>
            <w:vAlign w:val="center"/>
          </w:tcPr>
          <w:p w14:paraId="345BE03A">
            <w:pPr>
              <w:snapToGrid w:val="0"/>
              <w:spacing w:line="36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培训方案</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63151502">
            <w:pPr>
              <w:snapToGrid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c>
          <w:tcPr>
            <w:tcW w:w="6146" w:type="dxa"/>
            <w:tcBorders>
              <w:top w:val="single" w:color="auto" w:sz="4" w:space="0"/>
              <w:left w:val="single" w:color="auto" w:sz="4" w:space="0"/>
              <w:bottom w:val="single" w:color="auto" w:sz="4" w:space="0"/>
              <w:right w:val="single" w:color="auto" w:sz="4" w:space="0"/>
            </w:tcBorders>
            <w:shd w:val="clear" w:color="auto" w:fill="auto"/>
            <w:vAlign w:val="center"/>
          </w:tcPr>
          <w:p w14:paraId="40BDA791">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根据采购人要求针对其指定的4名人员开展不少于60小时覆盖舞台设备全流程操作的专业培训（包含理论讲解与实操指导），确保参训人员熟练掌握相关技能，提供详细的培训方案，包含但不限于以下内容：①详细的指导时间及地点；②所投产品设备使用基本原理、设备操作使用和维修保养；③培训设备发生故障应对措施及应急预案；</w:t>
            </w:r>
          </w:p>
          <w:p w14:paraId="3A9D90D5">
            <w:pPr>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highlight w:val="none"/>
                <w:lang w:val="zh-CN"/>
              </w:rPr>
              <w:t>以上内容完整且完全满足项目需求得</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val="zh-CN"/>
              </w:rPr>
              <w:t>分，每缺失一项内容扣</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分，每项内容中每有一处内容缺陷扣</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lang w:val="zh-CN"/>
              </w:rPr>
              <w:t>分(缺陷是指：存在不适用项目实际情况的情形、凭空编造、内容前后不一致、前后逻辑错误、涉及的规范及标准错误、地点区域错误、内容遗漏、不符合项目需求等)。</w:t>
            </w:r>
          </w:p>
        </w:tc>
      </w:tr>
      <w:tr w14:paraId="7C13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292" w:type="dxa"/>
            <w:tcBorders>
              <w:left w:val="single" w:color="auto" w:sz="4" w:space="0"/>
              <w:right w:val="single" w:color="auto" w:sz="4" w:space="0"/>
            </w:tcBorders>
            <w:shd w:val="clear" w:color="auto" w:fill="auto"/>
            <w:vAlign w:val="center"/>
          </w:tcPr>
          <w:p w14:paraId="4E555C07">
            <w:pPr>
              <w:snapToGrid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供货方案</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4254B0B">
            <w:pPr>
              <w:snapToGrid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6146" w:type="dxa"/>
            <w:tcBorders>
              <w:top w:val="single" w:color="auto" w:sz="4" w:space="0"/>
              <w:left w:val="single" w:color="auto" w:sz="4" w:space="0"/>
              <w:bottom w:val="single" w:color="auto" w:sz="4" w:space="0"/>
              <w:right w:val="single" w:color="auto" w:sz="4" w:space="0"/>
            </w:tcBorders>
            <w:shd w:val="clear" w:color="auto" w:fill="auto"/>
            <w:vAlign w:val="center"/>
          </w:tcPr>
          <w:p w14:paraId="2102B0FD">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提供针对本项目的供货方案，包括：①供货计划（供货流程安排、供货时间安排等）； ②供货渠道； ③验收方案。 </w:t>
            </w:r>
          </w:p>
          <w:p w14:paraId="3B53795A">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zh-CN"/>
              </w:rPr>
              <w:t>以上内容完整且完全满足项目需求得</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val="zh-CN"/>
              </w:rPr>
              <w:t>分，每缺失一项内容扣</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分，每项内容中每有一处内容缺陷扣</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lang w:val="zh-CN"/>
              </w:rPr>
              <w:t>分(缺陷是指：存在不适用项目实际情况的情形、凭空编造、内容前后不一致、前后逻辑错误、涉及的规范及标准错误、地点区域错误、内容遗漏、不符合项目需求等)。</w:t>
            </w:r>
          </w:p>
        </w:tc>
      </w:tr>
      <w:tr w14:paraId="62D8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292" w:type="dxa"/>
            <w:tcBorders>
              <w:left w:val="single" w:color="auto" w:sz="4" w:space="0"/>
              <w:right w:val="single" w:color="auto" w:sz="4" w:space="0"/>
            </w:tcBorders>
            <w:shd w:val="clear" w:color="auto" w:fill="auto"/>
            <w:vAlign w:val="center"/>
          </w:tcPr>
          <w:p w14:paraId="24B4313E">
            <w:pPr>
              <w:snapToGrid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产品质量保证措施</w:t>
            </w:r>
          </w:p>
          <w:p w14:paraId="30D36359">
            <w:pPr>
              <w:snapToGrid w:val="0"/>
              <w:spacing w:line="360" w:lineRule="auto"/>
              <w:jc w:val="center"/>
              <w:rPr>
                <w:rFonts w:hint="eastAsia" w:ascii="仿宋" w:hAnsi="仿宋" w:eastAsia="仿宋" w:cs="仿宋"/>
                <w:color w:val="auto"/>
                <w:kern w:val="0"/>
                <w:sz w:val="24"/>
                <w:szCs w:val="24"/>
                <w:highlight w:val="none"/>
                <w:lang w:val="en-US" w:eastAsia="zh-CN"/>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6419CE17">
            <w:pPr>
              <w:snapToGrid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2分</w:t>
            </w:r>
          </w:p>
        </w:tc>
        <w:tc>
          <w:tcPr>
            <w:tcW w:w="6146" w:type="dxa"/>
            <w:tcBorders>
              <w:top w:val="single" w:color="auto" w:sz="4" w:space="0"/>
              <w:left w:val="single" w:color="auto" w:sz="4" w:space="0"/>
              <w:bottom w:val="single" w:color="auto" w:sz="4" w:space="0"/>
              <w:right w:val="single" w:color="auto" w:sz="4" w:space="0"/>
            </w:tcBorders>
            <w:shd w:val="clear" w:color="auto" w:fill="auto"/>
            <w:vAlign w:val="center"/>
          </w:tcPr>
          <w:p w14:paraId="1C63F2F6">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投标人根据本项目需求提供详细的质量保障措施，内容包含但不限于：①进货渠道及货源品质保障、备货、货物质量检查；②货物包装、防护保障；③内部质量监督管理；④临时存放与配送途中货物质量保证。</w:t>
            </w:r>
          </w:p>
          <w:p w14:paraId="501E9967">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zh-CN"/>
              </w:rPr>
              <w:t>以上内容完整且完全满足项目需求得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val="zh-CN"/>
              </w:rPr>
              <w:t>分，每缺失一项内容扣</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lang w:val="zh-CN"/>
              </w:rPr>
              <w:t>分，每项内容中每有一处内容缺陷扣</w:t>
            </w:r>
            <w:r>
              <w:rPr>
                <w:rFonts w:hint="eastAsia" w:ascii="仿宋" w:hAnsi="仿宋" w:eastAsia="仿宋" w:cs="仿宋"/>
                <w:color w:val="auto"/>
                <w:kern w:val="0"/>
                <w:sz w:val="24"/>
                <w:highlight w:val="none"/>
                <w:lang w:val="en-US" w:eastAsia="zh-CN"/>
              </w:rPr>
              <w:t>0.25</w:t>
            </w:r>
            <w:r>
              <w:rPr>
                <w:rFonts w:hint="eastAsia" w:ascii="仿宋" w:hAnsi="仿宋" w:eastAsia="仿宋" w:cs="仿宋"/>
                <w:color w:val="auto"/>
                <w:kern w:val="0"/>
                <w:sz w:val="24"/>
                <w:highlight w:val="none"/>
                <w:lang w:val="zh-CN"/>
              </w:rPr>
              <w:t>分(缺陷是指：存在不适用项目实际情况的情形、凭空编造、内容前后不一致、前后逻辑错误、涉及的规范及标准错误、地点区域错误、内容遗漏、不符合项目需求等)。</w:t>
            </w:r>
          </w:p>
        </w:tc>
      </w:tr>
    </w:tbl>
    <w:p w14:paraId="6B04AD3E">
      <w:pPr>
        <w:autoSpaceDE w:val="0"/>
        <w:autoSpaceDN w:val="0"/>
        <w:adjustRightInd w:val="0"/>
        <w:spacing w:line="360" w:lineRule="auto"/>
        <w:jc w:val="center"/>
        <w:rPr>
          <w:rFonts w:hint="eastAsia" w:ascii="仿宋" w:hAnsi="仿宋" w:eastAsia="仿宋" w:cs="仿宋"/>
          <w:b/>
          <w:bCs/>
          <w:color w:val="auto"/>
          <w:sz w:val="24"/>
          <w:highlight w:val="none"/>
          <w:lang w:val="en-US" w:eastAsia="zh-CN"/>
        </w:rPr>
      </w:pPr>
    </w:p>
    <w:p w14:paraId="789C9D3D">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b/>
          <w:bCs/>
          <w:color w:val="auto"/>
          <w:sz w:val="24"/>
          <w:highlight w:val="none"/>
          <w:lang w:val="en-US" w:eastAsia="zh-CN"/>
        </w:rPr>
        <w:t>第二包</w:t>
      </w:r>
      <w:r>
        <w:rPr>
          <w:rFonts w:hint="eastAsia" w:ascii="仿宋" w:hAnsi="仿宋" w:eastAsia="仿宋" w:cs="仿宋"/>
          <w:b/>
          <w:bCs/>
          <w:color w:val="auto"/>
          <w:sz w:val="24"/>
          <w:highlight w:val="none"/>
        </w:rPr>
        <w:t>技术、商务部分评审标准（70分）</w:t>
      </w:r>
    </w:p>
    <w:tbl>
      <w:tblPr>
        <w:tblStyle w:val="34"/>
        <w:tblpPr w:leftFromText="180" w:rightFromText="180" w:vertAnchor="text" w:horzAnchor="page" w:tblpX="1756" w:tblpY="447"/>
        <w:tblOverlap w:val="never"/>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840"/>
        <w:gridCol w:w="6452"/>
      </w:tblGrid>
      <w:tr w14:paraId="4ADF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8584" w:type="dxa"/>
            <w:gridSpan w:val="3"/>
            <w:tcBorders>
              <w:top w:val="single" w:color="auto" w:sz="4" w:space="0"/>
              <w:left w:val="single" w:color="auto" w:sz="4" w:space="0"/>
              <w:bottom w:val="single" w:color="auto" w:sz="4" w:space="0"/>
              <w:right w:val="single" w:color="auto" w:sz="4" w:space="0"/>
            </w:tcBorders>
            <w:vAlign w:val="center"/>
          </w:tcPr>
          <w:p w14:paraId="5E3DD65E">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b/>
                <w:bCs/>
                <w:color w:val="auto"/>
                <w:spacing w:val="6"/>
                <w:kern w:val="0"/>
                <w:sz w:val="24"/>
                <w:highlight w:val="none"/>
              </w:rPr>
              <w:t>商务部分（</w:t>
            </w:r>
            <w:r>
              <w:rPr>
                <w:rFonts w:hint="eastAsia" w:ascii="仿宋" w:hAnsi="仿宋" w:eastAsia="仿宋" w:cs="仿宋"/>
                <w:b/>
                <w:bCs/>
                <w:color w:val="auto"/>
                <w:spacing w:val="6"/>
                <w:kern w:val="0"/>
                <w:sz w:val="24"/>
                <w:highlight w:val="none"/>
                <w:lang w:val="en-US" w:eastAsia="zh-CN"/>
              </w:rPr>
              <w:t>5</w:t>
            </w:r>
            <w:r>
              <w:rPr>
                <w:rFonts w:hint="eastAsia" w:ascii="仿宋" w:hAnsi="仿宋" w:eastAsia="仿宋" w:cs="仿宋"/>
                <w:b/>
                <w:bCs/>
                <w:color w:val="auto"/>
                <w:spacing w:val="6"/>
                <w:kern w:val="0"/>
                <w:sz w:val="24"/>
                <w:highlight w:val="none"/>
              </w:rPr>
              <w:t>分）</w:t>
            </w:r>
          </w:p>
        </w:tc>
      </w:tr>
      <w:tr w14:paraId="7D57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left w:val="single" w:color="auto" w:sz="4" w:space="0"/>
              <w:right w:val="single" w:color="auto" w:sz="4" w:space="0"/>
            </w:tcBorders>
            <w:shd w:val="clear" w:color="auto" w:fill="auto"/>
            <w:vAlign w:val="center"/>
          </w:tcPr>
          <w:p w14:paraId="17F7D882">
            <w:pPr>
              <w:autoSpaceDE w:val="0"/>
              <w:autoSpaceDN w:val="0"/>
              <w:adjustRightInd w:val="0"/>
              <w:spacing w:line="360" w:lineRule="auto"/>
              <w:jc w:val="center"/>
              <w:rPr>
                <w:rFonts w:hint="eastAsia" w:ascii="仿宋" w:hAnsi="仿宋" w:eastAsia="仿宋" w:cs="仿宋"/>
                <w:b/>
                <w:bCs/>
                <w:color w:val="auto"/>
                <w:spacing w:val="6"/>
                <w:kern w:val="0"/>
                <w:sz w:val="24"/>
                <w:highlight w:val="none"/>
                <w:lang w:val="en-US" w:eastAsia="zh-CN"/>
              </w:rPr>
            </w:pPr>
            <w:r>
              <w:rPr>
                <w:rFonts w:hint="eastAsia" w:ascii="仿宋" w:hAnsi="仿宋" w:eastAsia="仿宋" w:cs="仿宋"/>
                <w:b/>
                <w:bCs/>
                <w:color w:val="auto"/>
                <w:spacing w:val="6"/>
                <w:kern w:val="0"/>
                <w:sz w:val="24"/>
                <w:highlight w:val="none"/>
              </w:rPr>
              <w:br w:type="page"/>
            </w:r>
            <w:r>
              <w:rPr>
                <w:rFonts w:hint="eastAsia" w:ascii="仿宋" w:hAnsi="仿宋" w:eastAsia="仿宋" w:cs="仿宋"/>
                <w:b/>
                <w:bCs/>
                <w:color w:val="auto"/>
                <w:spacing w:val="6"/>
                <w:kern w:val="0"/>
                <w:sz w:val="24"/>
                <w:highlight w:val="none"/>
              </w:rPr>
              <w:t>评分项目</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D1E5313">
            <w:pPr>
              <w:autoSpaceDE w:val="0"/>
              <w:autoSpaceDN w:val="0"/>
              <w:adjustRightInd w:val="0"/>
              <w:spacing w:line="360" w:lineRule="auto"/>
              <w:jc w:val="center"/>
              <w:rPr>
                <w:rFonts w:hint="eastAsia" w:ascii="仿宋" w:hAnsi="仿宋" w:eastAsia="仿宋" w:cs="仿宋"/>
                <w:b/>
                <w:bCs/>
                <w:color w:val="auto"/>
                <w:spacing w:val="6"/>
                <w:kern w:val="0"/>
                <w:sz w:val="24"/>
                <w:highlight w:val="none"/>
                <w:lang w:val="en-US" w:eastAsia="zh-CN"/>
              </w:rPr>
            </w:pPr>
            <w:r>
              <w:rPr>
                <w:rFonts w:hint="eastAsia" w:ascii="仿宋" w:hAnsi="仿宋" w:eastAsia="仿宋" w:cs="仿宋"/>
                <w:b/>
                <w:bCs/>
                <w:color w:val="auto"/>
                <w:spacing w:val="6"/>
                <w:kern w:val="0"/>
                <w:sz w:val="24"/>
                <w:highlight w:val="none"/>
                <w:lang w:val="zh-CN"/>
              </w:rPr>
              <w:t>分值</w:t>
            </w:r>
          </w:p>
        </w:tc>
        <w:tc>
          <w:tcPr>
            <w:tcW w:w="6452" w:type="dxa"/>
            <w:tcBorders>
              <w:top w:val="single" w:color="auto" w:sz="4" w:space="0"/>
              <w:left w:val="single" w:color="auto" w:sz="4" w:space="0"/>
              <w:bottom w:val="single" w:color="auto" w:sz="4" w:space="0"/>
              <w:right w:val="single" w:color="auto" w:sz="4" w:space="0"/>
            </w:tcBorders>
            <w:shd w:val="clear" w:color="auto" w:fill="auto"/>
            <w:vAlign w:val="center"/>
          </w:tcPr>
          <w:p w14:paraId="6FE7E6A0">
            <w:pPr>
              <w:autoSpaceDE w:val="0"/>
              <w:autoSpaceDN w:val="0"/>
              <w:adjustRightInd w:val="0"/>
              <w:spacing w:line="360" w:lineRule="auto"/>
              <w:jc w:val="center"/>
              <w:rPr>
                <w:rFonts w:hint="eastAsia" w:ascii="仿宋" w:hAnsi="仿宋" w:eastAsia="仿宋" w:cs="仿宋"/>
                <w:b/>
                <w:bCs/>
                <w:color w:val="auto"/>
                <w:spacing w:val="6"/>
                <w:kern w:val="0"/>
                <w:sz w:val="24"/>
                <w:highlight w:val="none"/>
                <w:lang w:val="en-US" w:eastAsia="zh-CN"/>
              </w:rPr>
            </w:pPr>
            <w:r>
              <w:rPr>
                <w:rFonts w:hint="eastAsia" w:ascii="仿宋" w:hAnsi="仿宋" w:eastAsia="仿宋" w:cs="仿宋"/>
                <w:b/>
                <w:bCs/>
                <w:color w:val="auto"/>
                <w:spacing w:val="6"/>
                <w:kern w:val="0"/>
                <w:sz w:val="24"/>
                <w:highlight w:val="none"/>
                <w:lang w:val="zh-CN"/>
              </w:rPr>
              <w:t>标准</w:t>
            </w:r>
          </w:p>
        </w:tc>
      </w:tr>
      <w:tr w14:paraId="50F6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left w:val="single" w:color="auto" w:sz="4" w:space="0"/>
              <w:right w:val="single" w:color="auto" w:sz="4" w:space="0"/>
            </w:tcBorders>
            <w:shd w:val="clear" w:color="auto" w:fill="auto"/>
            <w:vAlign w:val="center"/>
          </w:tcPr>
          <w:p w14:paraId="53613CB1">
            <w:pPr>
              <w:spacing w:line="36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2"/>
                <w:sz w:val="24"/>
                <w:szCs w:val="24"/>
                <w:highlight w:val="none"/>
                <w:lang w:val="en-US" w:eastAsia="zh-CN" w:bidi="ar-SA"/>
              </w:rPr>
              <w:t>企业</w:t>
            </w:r>
            <w:r>
              <w:rPr>
                <w:rFonts w:hint="eastAsia" w:ascii="仿宋" w:hAnsi="仿宋" w:eastAsia="仿宋" w:cs="仿宋"/>
                <w:color w:val="auto"/>
                <w:sz w:val="24"/>
                <w:szCs w:val="24"/>
                <w:highlight w:val="none"/>
                <w:lang w:val="en-US" w:eastAsia="zh-CN"/>
              </w:rPr>
              <w:t>关键技术和商务履约能力</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416222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6452" w:type="dxa"/>
            <w:tcBorders>
              <w:top w:val="single" w:color="auto" w:sz="4" w:space="0"/>
              <w:left w:val="single" w:color="auto" w:sz="4" w:space="0"/>
              <w:bottom w:val="single" w:color="auto" w:sz="4" w:space="0"/>
              <w:right w:val="single" w:color="auto" w:sz="4" w:space="0"/>
            </w:tcBorders>
            <w:shd w:val="clear" w:color="auto" w:fill="auto"/>
            <w:vAlign w:val="center"/>
          </w:tcPr>
          <w:p w14:paraId="0A3A9E98">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提供本项目设备完整设计方案，提供包含本项目所有采购的系统设计施工图（包含：舞台灯光系统、舞台机械等）。 </w:t>
            </w:r>
          </w:p>
          <w:p w14:paraId="6021E1A0">
            <w:pPr>
              <w:numPr>
                <w:ilvl w:val="0"/>
                <w:numId w:val="0"/>
              </w:num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val="en-US" w:eastAsia="zh-CN"/>
              </w:rPr>
              <w:t>舞台灯具吊挂结构剖面图，点位布置图，系统连接图（1分）。</w:t>
            </w:r>
          </w:p>
          <w:p w14:paraId="07BD7F7B">
            <w:pPr>
              <w:numPr>
                <w:ilvl w:val="0"/>
                <w:numId w:val="0"/>
              </w:num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2.舞台机械设备搭建图(包括但不限于灯杆幕布分布图，马道制做)（1分）。                 </w:t>
            </w:r>
          </w:p>
          <w:p w14:paraId="1DF892DE">
            <w:pPr>
              <w:numPr>
                <w:ilvl w:val="0"/>
                <w:numId w:val="0"/>
              </w:numPr>
              <w:spacing w:line="360" w:lineRule="auto"/>
              <w:jc w:val="left"/>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color w:val="auto"/>
                <w:sz w:val="24"/>
                <w:highlight w:val="none"/>
                <w:lang w:val="en-US" w:eastAsia="zh-CN"/>
              </w:rPr>
              <w:t>根据现场情况提供方案系统基本完整、设计够合理，图纸够清晰得2分；提供方案系统不完整、设计较不合理、图纸不清晰得不得分；</w:t>
            </w:r>
          </w:p>
        </w:tc>
      </w:tr>
      <w:tr w14:paraId="0B21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left w:val="single" w:color="auto" w:sz="4" w:space="0"/>
              <w:right w:val="single" w:color="auto" w:sz="4" w:space="0"/>
            </w:tcBorders>
            <w:shd w:val="clear" w:color="auto" w:fill="auto"/>
            <w:vAlign w:val="center"/>
          </w:tcPr>
          <w:p w14:paraId="786AC796">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F5C6BF6">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c>
          <w:tcPr>
            <w:tcW w:w="6452" w:type="dxa"/>
            <w:tcBorders>
              <w:top w:val="single" w:color="auto" w:sz="4" w:space="0"/>
              <w:left w:val="single" w:color="auto" w:sz="4" w:space="0"/>
              <w:bottom w:val="single" w:color="auto" w:sz="4" w:space="0"/>
              <w:right w:val="single" w:color="auto" w:sz="4" w:space="0"/>
            </w:tcBorders>
            <w:shd w:val="clear" w:color="auto" w:fill="auto"/>
            <w:vAlign w:val="center"/>
          </w:tcPr>
          <w:p w14:paraId="38164117">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1.投标人提供（2023年1月1日至投标截止之日）完成类似项目的业绩，每提供一个得1分，最高得3分。</w:t>
            </w:r>
          </w:p>
          <w:p w14:paraId="19DA1930">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2.同一单位多个片区（校区）的合同只算一份有效合同。</w:t>
            </w:r>
          </w:p>
          <w:p w14:paraId="0017D5A8">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注：须提供中标通知书（或网站可查中标结果公示截图）、及项目合同（包含但不限于合同首页、关键信息页、双方签章页、验收报告），未提供或提供不全不得分。</w:t>
            </w:r>
          </w:p>
        </w:tc>
      </w:tr>
      <w:tr w14:paraId="4249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4" w:type="dxa"/>
            <w:gridSpan w:val="3"/>
            <w:tcBorders>
              <w:left w:val="single" w:color="auto" w:sz="4" w:space="0"/>
              <w:right w:val="single" w:color="auto" w:sz="4" w:space="0"/>
            </w:tcBorders>
            <w:shd w:val="clear" w:color="auto" w:fill="auto"/>
            <w:vAlign w:val="center"/>
          </w:tcPr>
          <w:p w14:paraId="7B35BC18">
            <w:pPr>
              <w:widowControl/>
              <w:spacing w:line="360" w:lineRule="auto"/>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技术部分（</w:t>
            </w:r>
            <w:r>
              <w:rPr>
                <w:rFonts w:hint="eastAsia" w:ascii="仿宋" w:hAnsi="仿宋" w:eastAsia="仿宋" w:cs="仿宋"/>
                <w:b/>
                <w:bCs/>
                <w:color w:val="auto"/>
                <w:kern w:val="0"/>
                <w:sz w:val="24"/>
                <w:szCs w:val="24"/>
                <w:highlight w:val="none"/>
                <w:lang w:val="en-US" w:eastAsia="zh-CN"/>
              </w:rPr>
              <w:t>65</w:t>
            </w:r>
            <w:r>
              <w:rPr>
                <w:rFonts w:hint="eastAsia" w:ascii="仿宋" w:hAnsi="仿宋" w:eastAsia="仿宋" w:cs="仿宋"/>
                <w:b/>
                <w:bCs/>
                <w:color w:val="auto"/>
                <w:kern w:val="0"/>
                <w:sz w:val="24"/>
                <w:szCs w:val="24"/>
                <w:highlight w:val="none"/>
              </w:rPr>
              <w:t>分）</w:t>
            </w:r>
          </w:p>
        </w:tc>
      </w:tr>
      <w:tr w14:paraId="4BCC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92" w:type="dxa"/>
            <w:tcBorders>
              <w:left w:val="single" w:color="auto" w:sz="4" w:space="0"/>
              <w:right w:val="single" w:color="auto" w:sz="4" w:space="0"/>
            </w:tcBorders>
            <w:shd w:val="clear" w:color="auto" w:fill="auto"/>
            <w:vAlign w:val="center"/>
          </w:tcPr>
          <w:p w14:paraId="57DFD897">
            <w:pPr>
              <w:spacing w:line="360" w:lineRule="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br w:type="page"/>
            </w:r>
            <w:r>
              <w:rPr>
                <w:rFonts w:hint="eastAsia" w:ascii="仿宋" w:hAnsi="仿宋" w:eastAsia="仿宋" w:cs="仿宋"/>
                <w:b/>
                <w:bCs/>
                <w:snapToGrid w:val="0"/>
                <w:color w:val="auto"/>
                <w:kern w:val="0"/>
                <w:sz w:val="24"/>
                <w:szCs w:val="24"/>
                <w:highlight w:val="none"/>
              </w:rPr>
              <w:t>评分项目</w:t>
            </w:r>
          </w:p>
        </w:tc>
        <w:tc>
          <w:tcPr>
            <w:tcW w:w="840" w:type="dxa"/>
            <w:tcBorders>
              <w:top w:val="single" w:color="auto" w:sz="4" w:space="0"/>
              <w:left w:val="single" w:color="auto" w:sz="4" w:space="0"/>
              <w:right w:val="single" w:color="auto" w:sz="4" w:space="0"/>
            </w:tcBorders>
            <w:shd w:val="clear" w:color="auto" w:fill="auto"/>
            <w:vAlign w:val="center"/>
          </w:tcPr>
          <w:p w14:paraId="6C050D4E">
            <w:pPr>
              <w:widowControl/>
              <w:kinsoku w:val="0"/>
              <w:autoSpaceDE w:val="0"/>
              <w:autoSpaceDN w:val="0"/>
              <w:adjustRightInd w:val="0"/>
              <w:snapToGrid w:val="0"/>
              <w:spacing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snapToGrid w:val="0"/>
                <w:color w:val="auto"/>
                <w:kern w:val="0"/>
                <w:sz w:val="24"/>
                <w:szCs w:val="24"/>
                <w:highlight w:val="none"/>
                <w:lang w:val="zh-CN"/>
              </w:rPr>
              <w:t>分值</w:t>
            </w:r>
          </w:p>
        </w:tc>
        <w:tc>
          <w:tcPr>
            <w:tcW w:w="6452" w:type="dxa"/>
            <w:tcBorders>
              <w:top w:val="single" w:color="auto" w:sz="4" w:space="0"/>
              <w:left w:val="single" w:color="auto" w:sz="4" w:space="0"/>
              <w:right w:val="single" w:color="auto" w:sz="4" w:space="0"/>
            </w:tcBorders>
            <w:shd w:val="clear" w:color="auto" w:fill="auto"/>
            <w:vAlign w:val="center"/>
          </w:tcPr>
          <w:p w14:paraId="499665FF">
            <w:pPr>
              <w:widowControl/>
              <w:kinsoku w:val="0"/>
              <w:autoSpaceDE w:val="0"/>
              <w:autoSpaceDN w:val="0"/>
              <w:adjustRightInd w:val="0"/>
              <w:snapToGrid w:val="0"/>
              <w:spacing w:line="360" w:lineRule="auto"/>
              <w:jc w:val="center"/>
              <w:textAlignment w:val="baseline"/>
              <w:rPr>
                <w:rFonts w:hint="eastAsia" w:ascii="仿宋" w:hAnsi="仿宋" w:eastAsia="仿宋" w:cs="仿宋"/>
                <w:b/>
                <w:bCs/>
                <w:color w:val="auto"/>
                <w:kern w:val="0"/>
                <w:sz w:val="24"/>
                <w:szCs w:val="24"/>
                <w:highlight w:val="none"/>
              </w:rPr>
            </w:pPr>
            <w:r>
              <w:rPr>
                <w:rFonts w:hint="eastAsia" w:ascii="仿宋" w:hAnsi="仿宋" w:eastAsia="仿宋" w:cs="仿宋"/>
                <w:b/>
                <w:bCs/>
                <w:snapToGrid w:val="0"/>
                <w:color w:val="auto"/>
                <w:kern w:val="0"/>
                <w:sz w:val="24"/>
                <w:szCs w:val="24"/>
                <w:highlight w:val="none"/>
                <w:lang w:val="zh-CN"/>
              </w:rPr>
              <w:t>标准</w:t>
            </w:r>
          </w:p>
        </w:tc>
      </w:tr>
      <w:tr w14:paraId="5B85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92" w:type="dxa"/>
            <w:tcBorders>
              <w:left w:val="single" w:color="auto" w:sz="4" w:space="0"/>
              <w:right w:val="single" w:color="auto" w:sz="4" w:space="0"/>
            </w:tcBorders>
            <w:shd w:val="clear" w:color="auto" w:fill="auto"/>
            <w:vAlign w:val="center"/>
          </w:tcPr>
          <w:p w14:paraId="71006518">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产品性能指标</w:t>
            </w:r>
          </w:p>
        </w:tc>
        <w:tc>
          <w:tcPr>
            <w:tcW w:w="840" w:type="dxa"/>
            <w:tcBorders>
              <w:top w:val="single" w:color="auto" w:sz="4" w:space="0"/>
              <w:left w:val="single" w:color="auto" w:sz="4" w:space="0"/>
              <w:right w:val="single" w:color="auto" w:sz="4" w:space="0"/>
            </w:tcBorders>
            <w:shd w:val="clear" w:color="auto" w:fill="auto"/>
            <w:vAlign w:val="center"/>
          </w:tcPr>
          <w:p w14:paraId="4BDEAE0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rPr>
              <w:t>分</w:t>
            </w:r>
          </w:p>
        </w:tc>
        <w:tc>
          <w:tcPr>
            <w:tcW w:w="6452" w:type="dxa"/>
            <w:tcBorders>
              <w:top w:val="single" w:color="auto" w:sz="4" w:space="0"/>
              <w:left w:val="single" w:color="auto" w:sz="4" w:space="0"/>
              <w:right w:val="single" w:color="auto" w:sz="4" w:space="0"/>
            </w:tcBorders>
            <w:shd w:val="clear" w:color="auto" w:fill="auto"/>
            <w:vAlign w:val="center"/>
          </w:tcPr>
          <w:p w14:paraId="3FCE2B77">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招标文件第四章“货物内容及项目要求”技术参数（每条技术参数前标注“★”的为主要技术参数，未标注的为一般技术参数），根据投标人提供的产品配置及技术性能指标的响应情况进行评审。所投产品技术参数完全响应招标文件要求的得45分；</w:t>
            </w:r>
          </w:p>
          <w:p w14:paraId="1767F3BE">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标注“★”的技术参数，每有一项负偏离的扣1分，最多扣30分；一般技术参数，每有一项负偏离的扣0.5分，最多扣15分，扣完为止。</w:t>
            </w:r>
          </w:p>
          <w:p w14:paraId="2AB47EA4">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1.负偏离评审依据：①所提供产品技术参数要求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p w14:paraId="03AFAADA">
            <w:pPr>
              <w:numPr>
                <w:ilvl w:val="0"/>
                <w:numId w:val="0"/>
              </w:num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如投标人技术响应与检测报告不一致，将以检测报告为准。</w:t>
            </w:r>
          </w:p>
          <w:p w14:paraId="6D472D85">
            <w:pPr>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highlight w:val="none"/>
                <w:lang w:val="en-US" w:eastAsia="zh-CN"/>
              </w:rPr>
              <w:t>3.投标人需按照采购文件中的要求提供证明材料复印件。</w:t>
            </w:r>
          </w:p>
        </w:tc>
      </w:tr>
      <w:tr w14:paraId="2E73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92" w:type="dxa"/>
            <w:tcBorders>
              <w:left w:val="single" w:color="auto" w:sz="4" w:space="0"/>
              <w:right w:val="single" w:color="auto" w:sz="4" w:space="0"/>
            </w:tcBorders>
            <w:shd w:val="clear" w:color="auto" w:fill="auto"/>
            <w:vAlign w:val="center"/>
          </w:tcPr>
          <w:p w14:paraId="1EFAD7D0">
            <w:pPr>
              <w:snapToGrid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项目组织</w:t>
            </w:r>
          </w:p>
          <w:p w14:paraId="798FB7CA">
            <w:pPr>
              <w:snapToGrid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实施方案</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3DEE08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c>
          <w:tcPr>
            <w:tcW w:w="6452" w:type="dxa"/>
            <w:tcBorders>
              <w:top w:val="single" w:color="auto" w:sz="4" w:space="0"/>
              <w:left w:val="single" w:color="auto" w:sz="4" w:space="0"/>
              <w:bottom w:val="single" w:color="auto" w:sz="4" w:space="0"/>
              <w:right w:val="single" w:color="auto" w:sz="4" w:space="0"/>
            </w:tcBorders>
            <w:shd w:val="clear" w:color="auto" w:fill="auto"/>
            <w:vAlign w:val="center"/>
          </w:tcPr>
          <w:p w14:paraId="16220302">
            <w:pPr>
              <w:adjustRightInd w:val="0"/>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投标人针对本项目编制详细的项目实施方案，包含但不限于以下内容：①项目的设备及设施实施的详细计划及相关流程(供货流程、退货流程、换货流程）；②项目人员组织保障责任分工（附本项目参与成员表及岗位分配表、职责；③项目实施进度计划图（附交货期、供货时间进度表）；④设备节能方案；⑤项目实施期间投入的调试人员、工器具配置方案；⑥应急方案，必须考虑在整个项目执行过程中可能存在风险和突发情况，针对不同的突发情形提供详细的应急措施及应对方案；⑦针对安装设备安装流程作出详细方案；⑧设备安装完成后统计数据并做档案管理作出详细方案等。 </w:t>
            </w:r>
          </w:p>
          <w:p w14:paraId="172182FF">
            <w:pPr>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highlight w:val="none"/>
                <w:lang w:val="zh-CN"/>
              </w:rPr>
              <w:t>以上内容完整且完全满足项目需求得</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lang w:val="zh-CN"/>
              </w:rPr>
              <w:t>分，每缺失一项内容扣</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分，每项内容中每有一处内容缺陷扣</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lang w:val="zh-CN"/>
              </w:rPr>
              <w:t>分(缺陷是指：存在不适用项目实际情况的情形、凭空编造、内容前后不一致、前后逻辑错误、涉及的规范及标准错误、地点区域错误、内容遗漏、不符合项目需求等)。</w:t>
            </w:r>
          </w:p>
        </w:tc>
      </w:tr>
      <w:tr w14:paraId="431C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292" w:type="dxa"/>
            <w:tcBorders>
              <w:left w:val="single" w:color="auto" w:sz="4" w:space="0"/>
              <w:right w:val="single" w:color="auto" w:sz="4" w:space="0"/>
            </w:tcBorders>
            <w:shd w:val="clear" w:color="auto" w:fill="auto"/>
            <w:vAlign w:val="center"/>
          </w:tcPr>
          <w:p w14:paraId="1697DDF5">
            <w:pPr>
              <w:snapToGrid w:val="0"/>
              <w:spacing w:line="36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售后服务保障与支持</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80D704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6452" w:type="dxa"/>
            <w:tcBorders>
              <w:top w:val="single" w:color="auto" w:sz="4" w:space="0"/>
              <w:left w:val="single" w:color="auto" w:sz="4" w:space="0"/>
              <w:bottom w:val="single" w:color="auto" w:sz="4" w:space="0"/>
              <w:right w:val="single" w:color="auto" w:sz="4" w:space="0"/>
            </w:tcBorders>
            <w:shd w:val="clear" w:color="auto" w:fill="auto"/>
            <w:vAlign w:val="center"/>
          </w:tcPr>
          <w:p w14:paraId="654092EA">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投标人针对本项目提供技术支持服务，在满足招标文件要求的质保期（保修期）前提下，售后服务方案制定完善：包含但不限于：</w:t>
            </w:r>
          </w:p>
          <w:p w14:paraId="3135E570">
            <w:pPr>
              <w:snapToGrid w:val="0"/>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highlight w:val="none"/>
                <w:lang w:val="en-US" w:eastAsia="zh-CN"/>
              </w:rPr>
              <w:t>①响应时效：承诺7×24小时服务热线；②紧急故障（如活动前设备宕机、无声音输出）：1小时内电话/远程指导排查），质保期后，按照合同约定提供技术支持服务；③根据项目特点，提供备品备件；④其他售后及增值服务。</w:t>
            </w:r>
            <w:r>
              <w:rPr>
                <w:rFonts w:hint="eastAsia" w:ascii="仿宋" w:hAnsi="仿宋" w:eastAsia="仿宋" w:cs="仿宋"/>
                <w:color w:val="auto"/>
                <w:kern w:val="0"/>
                <w:sz w:val="24"/>
                <w:highlight w:val="none"/>
                <w:lang w:val="zh-CN"/>
              </w:rPr>
              <w:t>以上内容完整且完全满足项目需求得</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CN"/>
              </w:rPr>
              <w:t>分，每缺失一项内容扣</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分，每项内容中每有一处内容缺陷扣</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lang w:val="zh-CN"/>
              </w:rPr>
              <w:t>分(缺陷是指：存在不适用项目实际情况的情形、凭空编造、内容前后不一致、前后逻辑错误、涉及的规范及标准错误、地点区域错误、内容遗漏、不符合项目需求等)。</w:t>
            </w:r>
          </w:p>
        </w:tc>
      </w:tr>
      <w:tr w14:paraId="1E04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292" w:type="dxa"/>
            <w:tcBorders>
              <w:left w:val="single" w:color="auto" w:sz="4" w:space="0"/>
              <w:right w:val="single" w:color="auto" w:sz="4" w:space="0"/>
            </w:tcBorders>
            <w:shd w:val="clear" w:color="auto" w:fill="auto"/>
            <w:vAlign w:val="center"/>
          </w:tcPr>
          <w:p w14:paraId="63909B16">
            <w:pPr>
              <w:snapToGrid w:val="0"/>
              <w:spacing w:line="36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培训方案</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BDBB4D7">
            <w:pPr>
              <w:snapToGrid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c>
          <w:tcPr>
            <w:tcW w:w="6452" w:type="dxa"/>
            <w:tcBorders>
              <w:top w:val="single" w:color="auto" w:sz="4" w:space="0"/>
              <w:left w:val="single" w:color="auto" w:sz="4" w:space="0"/>
              <w:bottom w:val="single" w:color="auto" w:sz="4" w:space="0"/>
              <w:right w:val="single" w:color="auto" w:sz="4" w:space="0"/>
            </w:tcBorders>
            <w:shd w:val="clear" w:color="auto" w:fill="auto"/>
            <w:vAlign w:val="center"/>
          </w:tcPr>
          <w:p w14:paraId="3A932DD2">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根据采购人要求针对其指定的4名人员开展不少于60小时覆盖舞台设备全流程操作的专业培训（包含理论讲解与实操指导），确保参训人员熟练掌握相关技能，提供详细的培训方案，包含但不限于以下内容：①详细的指导时间及地点；②所投产品设 备使用基本原理、设备操作使用和维修保养；③培训设备发生故障应对措施及应急预案；</w:t>
            </w:r>
          </w:p>
          <w:p w14:paraId="5D256574">
            <w:pPr>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highlight w:val="none"/>
                <w:lang w:val="zh-CN"/>
              </w:rPr>
              <w:t>以上内容完整且完全满足项目需求得</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val="zh-CN"/>
              </w:rPr>
              <w:t>分，每缺失一项内容扣</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分，每项内容中每有一处内容缺陷扣</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lang w:val="zh-CN"/>
              </w:rPr>
              <w:t>分(缺陷是指：存在不适用项目实际情况的情形、凭空编造、内容前后不一致、前后逻辑错误、涉及的规范及标准错误、地点区域错误、内容遗漏、不符合项目需求等)。</w:t>
            </w:r>
          </w:p>
        </w:tc>
      </w:tr>
      <w:tr w14:paraId="76B4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292" w:type="dxa"/>
            <w:tcBorders>
              <w:left w:val="single" w:color="auto" w:sz="4" w:space="0"/>
              <w:right w:val="single" w:color="auto" w:sz="4" w:space="0"/>
            </w:tcBorders>
            <w:shd w:val="clear" w:color="auto" w:fill="auto"/>
            <w:vAlign w:val="center"/>
          </w:tcPr>
          <w:p w14:paraId="27CFBB7E">
            <w:pPr>
              <w:snapToGrid w:val="0"/>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供货方案</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70B6DC">
            <w:pPr>
              <w:snapToGrid w:val="0"/>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6452" w:type="dxa"/>
            <w:tcBorders>
              <w:top w:val="single" w:color="auto" w:sz="4" w:space="0"/>
              <w:left w:val="single" w:color="auto" w:sz="4" w:space="0"/>
              <w:bottom w:val="single" w:color="auto" w:sz="4" w:space="0"/>
              <w:right w:val="single" w:color="auto" w:sz="4" w:space="0"/>
            </w:tcBorders>
            <w:shd w:val="clear" w:color="auto" w:fill="auto"/>
            <w:vAlign w:val="center"/>
          </w:tcPr>
          <w:p w14:paraId="5BCD3D35">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提供针对本项目的供货方案，包括：①供货计划（供货流程安排、供货时间安排等；②供货渠道；③验收方案。 </w:t>
            </w:r>
          </w:p>
          <w:p w14:paraId="732F9189">
            <w:pPr>
              <w:snapToGrid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lang w:val="zh-CN"/>
              </w:rPr>
              <w:t>以上内容完整且完全满足项目需求得</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val="zh-CN"/>
              </w:rPr>
              <w:t>分，每缺失一项内容扣</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分，每项内容中每有一处内容缺陷扣</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lang w:val="zh-CN"/>
              </w:rPr>
              <w:t>分(缺陷是指：存在不适用项目实际情况的情形、凭空编造、内容前后不一致、前后逻辑错误、涉及的规范及标准错误、地点区域错误、内容遗漏、不符合项目需求等)。</w:t>
            </w:r>
          </w:p>
        </w:tc>
      </w:tr>
      <w:tr w14:paraId="2B84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92" w:type="dxa"/>
            <w:tcBorders>
              <w:left w:val="single" w:color="auto" w:sz="4" w:space="0"/>
              <w:right w:val="single" w:color="auto" w:sz="4" w:space="0"/>
            </w:tcBorders>
            <w:shd w:val="clear" w:color="auto" w:fill="auto"/>
            <w:vAlign w:val="center"/>
          </w:tcPr>
          <w:p w14:paraId="66C22D0C">
            <w:pPr>
              <w:snapToGrid w:val="0"/>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产品质量保证措施</w:t>
            </w:r>
          </w:p>
          <w:p w14:paraId="49606CCF">
            <w:pPr>
              <w:snapToGrid w:val="0"/>
              <w:spacing w:line="360" w:lineRule="auto"/>
              <w:jc w:val="center"/>
              <w:rPr>
                <w:rFonts w:hint="eastAsia" w:ascii="仿宋" w:hAnsi="仿宋" w:eastAsia="仿宋" w:cs="仿宋"/>
                <w:color w:val="auto"/>
                <w:kern w:val="0"/>
                <w:sz w:val="24"/>
                <w:szCs w:val="24"/>
                <w:highlight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C9C12EC">
            <w:pPr>
              <w:snapToGrid w:val="0"/>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2分</w:t>
            </w:r>
          </w:p>
        </w:tc>
        <w:tc>
          <w:tcPr>
            <w:tcW w:w="6452" w:type="dxa"/>
            <w:tcBorders>
              <w:top w:val="single" w:color="auto" w:sz="4" w:space="0"/>
              <w:left w:val="single" w:color="auto" w:sz="4" w:space="0"/>
              <w:bottom w:val="single" w:color="auto" w:sz="4" w:space="0"/>
              <w:right w:val="single" w:color="auto" w:sz="4" w:space="0"/>
            </w:tcBorders>
            <w:shd w:val="clear" w:color="auto" w:fill="auto"/>
            <w:vAlign w:val="center"/>
          </w:tcPr>
          <w:p w14:paraId="1B6396F6">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投标人根据本项目需求提供详细的质量保障措施，内容包含但不限于：①进货渠道及货源品质保障、备货、货物质量检查；②货物包装、防护保障；③内部质量监督管理；④临时存放与配送途中货物质量保证。</w:t>
            </w:r>
          </w:p>
          <w:p w14:paraId="1729EE21">
            <w:pPr>
              <w:snapToGrid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lang w:val="zh-CN"/>
              </w:rPr>
              <w:t>以上内容完整且完全满足项目需求得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val="zh-CN"/>
              </w:rPr>
              <w:t>分，每缺失一项内容扣</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lang w:val="zh-CN"/>
              </w:rPr>
              <w:t>分，每项内容中每有一处内容缺陷扣</w:t>
            </w:r>
            <w:r>
              <w:rPr>
                <w:rFonts w:hint="eastAsia" w:ascii="仿宋" w:hAnsi="仿宋" w:eastAsia="仿宋" w:cs="仿宋"/>
                <w:color w:val="auto"/>
                <w:kern w:val="0"/>
                <w:sz w:val="24"/>
                <w:highlight w:val="none"/>
                <w:lang w:val="en-US" w:eastAsia="zh-CN"/>
              </w:rPr>
              <w:t>0.25</w:t>
            </w:r>
            <w:r>
              <w:rPr>
                <w:rFonts w:hint="eastAsia" w:ascii="仿宋" w:hAnsi="仿宋" w:eastAsia="仿宋" w:cs="仿宋"/>
                <w:color w:val="auto"/>
                <w:kern w:val="0"/>
                <w:sz w:val="24"/>
                <w:highlight w:val="none"/>
                <w:lang w:val="zh-CN"/>
              </w:rPr>
              <w:t>分(缺陷是指：存在不适用项目实际情况的情形、凭空编造、内容前后不一致、前后逻辑错误、涉及的规范及标准错误、地点区域错误、内容遗漏、不符合项目需求等)。</w:t>
            </w:r>
          </w:p>
        </w:tc>
      </w:tr>
    </w:tbl>
    <w:p w14:paraId="23C3FE97">
      <w:pPr>
        <w:spacing w:line="360" w:lineRule="auto"/>
        <w:jc w:val="center"/>
        <w:rPr>
          <w:rFonts w:hint="eastAsia" w:ascii="仿宋" w:hAnsi="仿宋" w:eastAsia="仿宋" w:cs="仿宋"/>
          <w:b/>
          <w:bCs/>
          <w:color w:val="auto"/>
          <w:sz w:val="24"/>
          <w:highlight w:val="none"/>
        </w:rPr>
      </w:pPr>
    </w:p>
    <w:p w14:paraId="6DC4FCAC">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报价部分评</w:t>
      </w:r>
      <w:r>
        <w:rPr>
          <w:rFonts w:hint="eastAsia" w:ascii="仿宋" w:hAnsi="仿宋" w:eastAsia="仿宋" w:cs="仿宋"/>
          <w:b/>
          <w:bCs/>
          <w:color w:val="auto"/>
          <w:sz w:val="24"/>
          <w:highlight w:val="none"/>
          <w:lang w:val="zh-CN"/>
        </w:rPr>
        <w:t>审</w:t>
      </w:r>
      <w:r>
        <w:rPr>
          <w:rFonts w:hint="eastAsia" w:ascii="仿宋" w:hAnsi="仿宋" w:eastAsia="仿宋" w:cs="仿宋"/>
          <w:b/>
          <w:bCs/>
          <w:color w:val="auto"/>
          <w:sz w:val="24"/>
          <w:highlight w:val="none"/>
        </w:rPr>
        <w:t>标准（30分）</w:t>
      </w:r>
    </w:p>
    <w:tbl>
      <w:tblPr>
        <w:tblStyle w:val="3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57"/>
        <w:gridCol w:w="1104"/>
        <w:gridCol w:w="6301"/>
      </w:tblGrid>
      <w:tr w14:paraId="2E5B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Align w:val="center"/>
          </w:tcPr>
          <w:p w14:paraId="515079EA">
            <w:pPr>
              <w:autoSpaceDE w:val="0"/>
              <w:autoSpaceDN w:val="0"/>
              <w:adjustRightInd w:val="0"/>
              <w:spacing w:line="360" w:lineRule="auto"/>
              <w:jc w:val="center"/>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序号</w:t>
            </w:r>
          </w:p>
        </w:tc>
        <w:tc>
          <w:tcPr>
            <w:tcW w:w="1661" w:type="dxa"/>
            <w:gridSpan w:val="2"/>
            <w:vAlign w:val="center"/>
          </w:tcPr>
          <w:p w14:paraId="50FDEE46">
            <w:pPr>
              <w:autoSpaceDE w:val="0"/>
              <w:autoSpaceDN w:val="0"/>
              <w:adjustRightInd w:val="0"/>
              <w:spacing w:line="360" w:lineRule="auto"/>
              <w:jc w:val="center"/>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评审因素</w:t>
            </w:r>
          </w:p>
        </w:tc>
        <w:tc>
          <w:tcPr>
            <w:tcW w:w="6301" w:type="dxa"/>
            <w:vAlign w:val="center"/>
          </w:tcPr>
          <w:p w14:paraId="3FDB0084">
            <w:pPr>
              <w:autoSpaceDE w:val="0"/>
              <w:autoSpaceDN w:val="0"/>
              <w:adjustRightInd w:val="0"/>
              <w:spacing w:line="360" w:lineRule="auto"/>
              <w:jc w:val="center"/>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评审标准</w:t>
            </w:r>
          </w:p>
        </w:tc>
      </w:tr>
      <w:tr w14:paraId="2939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restart"/>
            <w:vAlign w:val="center"/>
          </w:tcPr>
          <w:p w14:paraId="583EE600">
            <w:pPr>
              <w:autoSpaceDE w:val="0"/>
              <w:autoSpaceDN w:val="0"/>
              <w:adjustRightInd w:val="0"/>
              <w:spacing w:line="360" w:lineRule="auto"/>
              <w:jc w:val="center"/>
              <w:rPr>
                <w:rFonts w:hint="eastAsia"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1</w:t>
            </w:r>
          </w:p>
        </w:tc>
        <w:tc>
          <w:tcPr>
            <w:tcW w:w="1661" w:type="dxa"/>
            <w:gridSpan w:val="2"/>
            <w:vMerge w:val="restart"/>
            <w:vAlign w:val="center"/>
          </w:tcPr>
          <w:p w14:paraId="177E86B3">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投标报价</w:t>
            </w:r>
          </w:p>
        </w:tc>
        <w:tc>
          <w:tcPr>
            <w:tcW w:w="6301" w:type="dxa"/>
            <w:vAlign w:val="center"/>
          </w:tcPr>
          <w:p w14:paraId="17217930">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评标基准价即满足招标文件要求且投标价格最低的投标报价。</w:t>
            </w:r>
          </w:p>
          <w:p w14:paraId="06A3FFC1">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投标报价得分=（评标基准价/投标报价）×</w:t>
            </w:r>
            <w:r>
              <w:rPr>
                <w:rFonts w:hint="eastAsia" w:ascii="仿宋" w:hAnsi="仿宋" w:eastAsia="仿宋" w:cs="仿宋"/>
                <w:color w:val="auto"/>
                <w:sz w:val="24"/>
                <w:highlight w:val="none"/>
              </w:rPr>
              <w:t>30</w:t>
            </w:r>
          </w:p>
        </w:tc>
      </w:tr>
      <w:tr w14:paraId="28C9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55" w:type="dxa"/>
            <w:vMerge w:val="continue"/>
            <w:vAlign w:val="center"/>
          </w:tcPr>
          <w:p w14:paraId="49D8A93F">
            <w:pPr>
              <w:autoSpaceDE w:val="0"/>
              <w:autoSpaceDN w:val="0"/>
              <w:adjustRightInd w:val="0"/>
              <w:spacing w:line="360" w:lineRule="auto"/>
              <w:jc w:val="center"/>
              <w:rPr>
                <w:rFonts w:hint="eastAsia" w:ascii="仿宋" w:hAnsi="仿宋" w:eastAsia="仿宋" w:cs="仿宋"/>
                <w:bCs/>
                <w:color w:val="auto"/>
                <w:sz w:val="24"/>
                <w:highlight w:val="none"/>
                <w:lang w:val="zh-CN"/>
              </w:rPr>
            </w:pPr>
          </w:p>
        </w:tc>
        <w:tc>
          <w:tcPr>
            <w:tcW w:w="1661" w:type="dxa"/>
            <w:gridSpan w:val="2"/>
            <w:vMerge w:val="continue"/>
            <w:vAlign w:val="center"/>
          </w:tcPr>
          <w:p w14:paraId="5833CCC0">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6301" w:type="dxa"/>
            <w:vAlign w:val="center"/>
          </w:tcPr>
          <w:p w14:paraId="59B93173">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本项目为专门面向中小企业（含中型、小型、微型企业）采购项目，根据《政府采购促进中小企业发展管理办法》（财库[2020]46号）的规定，评标时</w:t>
            </w:r>
            <w:r>
              <w:rPr>
                <w:rFonts w:hint="eastAsia" w:ascii="仿宋" w:hAnsi="仿宋" w:eastAsia="仿宋" w:cs="仿宋"/>
                <w:color w:val="auto"/>
                <w:sz w:val="24"/>
                <w:highlight w:val="none"/>
                <w:lang w:val="en-US" w:eastAsia="zh-CN"/>
              </w:rPr>
              <w:t>不再执行价格优惠扣除</w:t>
            </w:r>
            <w:r>
              <w:rPr>
                <w:rFonts w:hint="eastAsia" w:ascii="仿宋" w:hAnsi="仿宋" w:eastAsia="仿宋" w:cs="仿宋"/>
                <w:color w:val="auto"/>
                <w:sz w:val="24"/>
                <w:highlight w:val="none"/>
              </w:rPr>
              <w:t>。</w:t>
            </w:r>
          </w:p>
          <w:p w14:paraId="64E36A80">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根据《国务院办公厅关于在政府采购中实施本国产品标准及相关政策的通知》（国办发[2025]34号），对符合规定的本国产品报价给予20%的扣除，用扣除后的价格参加评审。</w:t>
            </w:r>
          </w:p>
        </w:tc>
      </w:tr>
      <w:tr w14:paraId="21E6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55" w:type="dxa"/>
            <w:vMerge w:val="restart"/>
            <w:vAlign w:val="center"/>
          </w:tcPr>
          <w:p w14:paraId="3C75EF8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57" w:type="dxa"/>
            <w:vMerge w:val="restart"/>
            <w:vAlign w:val="center"/>
          </w:tcPr>
          <w:p w14:paraId="5D61450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政府采购价格折扣优惠政策说明</w:t>
            </w:r>
          </w:p>
        </w:tc>
        <w:tc>
          <w:tcPr>
            <w:tcW w:w="1104" w:type="dxa"/>
            <w:vAlign w:val="center"/>
          </w:tcPr>
          <w:p w14:paraId="254131E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w:t>
            </w:r>
          </w:p>
        </w:tc>
        <w:tc>
          <w:tcPr>
            <w:tcW w:w="6301" w:type="dxa"/>
            <w:vAlign w:val="center"/>
          </w:tcPr>
          <w:p w14:paraId="222E48B7">
            <w:pPr>
              <w:spacing w:line="360" w:lineRule="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根据工信部等部委发布的《关于印发中小企业划型标准规定的通知》（工信部联企业〔2011〕300号），按照本次政府采购标的所属行业的划型标准（采购文件载明的行业），符合条件的中小企业须提供采购文件提供格式的《中小企业声明函》。投标人应当对其出具的《中小企业声明函》真实性负责，投标人出具的《中小企业声明函》内容不实的，属于提供虚假材料谋取成交，依照《中华人民共和国政府采购法》等国家有关规定追究相应责任。</w:t>
            </w:r>
          </w:p>
        </w:tc>
      </w:tr>
      <w:tr w14:paraId="6639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22438376">
            <w:pPr>
              <w:spacing w:line="360" w:lineRule="auto"/>
              <w:jc w:val="center"/>
              <w:rPr>
                <w:rFonts w:hint="eastAsia" w:ascii="仿宋" w:hAnsi="仿宋" w:eastAsia="仿宋" w:cs="仿宋"/>
                <w:color w:val="auto"/>
                <w:sz w:val="24"/>
                <w:highlight w:val="none"/>
              </w:rPr>
            </w:pPr>
          </w:p>
        </w:tc>
        <w:tc>
          <w:tcPr>
            <w:tcW w:w="557" w:type="dxa"/>
            <w:vMerge w:val="continue"/>
            <w:vAlign w:val="center"/>
          </w:tcPr>
          <w:p w14:paraId="58BB88E4">
            <w:pPr>
              <w:spacing w:line="360" w:lineRule="auto"/>
              <w:jc w:val="center"/>
              <w:rPr>
                <w:rFonts w:hint="eastAsia" w:ascii="仿宋" w:hAnsi="仿宋" w:eastAsia="仿宋" w:cs="仿宋"/>
                <w:color w:val="auto"/>
                <w:sz w:val="24"/>
                <w:highlight w:val="none"/>
              </w:rPr>
            </w:pPr>
          </w:p>
        </w:tc>
        <w:tc>
          <w:tcPr>
            <w:tcW w:w="1104" w:type="dxa"/>
            <w:vAlign w:val="center"/>
          </w:tcPr>
          <w:p w14:paraId="5FC4A22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w:t>
            </w:r>
          </w:p>
        </w:tc>
        <w:tc>
          <w:tcPr>
            <w:tcW w:w="6301" w:type="dxa"/>
            <w:vAlign w:val="center"/>
          </w:tcPr>
          <w:p w14:paraId="195A5D38">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根据财库〔2014〕68号《财政部司法部关于政府采购支持监狱企业发展有关问题的通知》，能够</w:t>
            </w:r>
            <w:r>
              <w:rPr>
                <w:rFonts w:hint="eastAsia" w:ascii="仿宋" w:hAnsi="仿宋" w:eastAsia="仿宋" w:cs="仿宋"/>
                <w:color w:val="auto"/>
                <w:sz w:val="24"/>
                <w:highlight w:val="none"/>
              </w:rPr>
              <w:t>提供由省级以上监狱管理局、戒毒管理局（含新疆生产建设兵团）出具的“属于监狱企业的证明文件”的监狱企业，</w:t>
            </w:r>
            <w:r>
              <w:rPr>
                <w:rFonts w:hint="eastAsia" w:ascii="仿宋" w:hAnsi="仿宋" w:eastAsia="仿宋" w:cs="仿宋"/>
                <w:bCs/>
                <w:color w:val="auto"/>
                <w:sz w:val="24"/>
                <w:highlight w:val="none"/>
              </w:rPr>
              <w:t>视同小型。</w:t>
            </w:r>
          </w:p>
        </w:tc>
      </w:tr>
      <w:tr w14:paraId="241F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0779C941">
            <w:pPr>
              <w:spacing w:line="360" w:lineRule="auto"/>
              <w:jc w:val="center"/>
              <w:rPr>
                <w:rFonts w:hint="eastAsia" w:ascii="仿宋" w:hAnsi="仿宋" w:eastAsia="仿宋" w:cs="仿宋"/>
                <w:color w:val="auto"/>
                <w:sz w:val="24"/>
                <w:highlight w:val="none"/>
              </w:rPr>
            </w:pPr>
          </w:p>
        </w:tc>
        <w:tc>
          <w:tcPr>
            <w:tcW w:w="557" w:type="dxa"/>
            <w:vMerge w:val="continue"/>
            <w:vAlign w:val="center"/>
          </w:tcPr>
          <w:p w14:paraId="288ACA52">
            <w:pPr>
              <w:spacing w:line="360" w:lineRule="auto"/>
              <w:jc w:val="center"/>
              <w:rPr>
                <w:rFonts w:hint="eastAsia" w:ascii="仿宋" w:hAnsi="仿宋" w:eastAsia="仿宋" w:cs="仿宋"/>
                <w:color w:val="auto"/>
                <w:sz w:val="24"/>
                <w:highlight w:val="none"/>
              </w:rPr>
            </w:pPr>
          </w:p>
        </w:tc>
        <w:tc>
          <w:tcPr>
            <w:tcW w:w="1104" w:type="dxa"/>
            <w:vAlign w:val="center"/>
          </w:tcPr>
          <w:p w14:paraId="2B5A23D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福利企业</w:t>
            </w:r>
          </w:p>
        </w:tc>
        <w:tc>
          <w:tcPr>
            <w:tcW w:w="6301" w:type="dxa"/>
            <w:vAlign w:val="center"/>
          </w:tcPr>
          <w:p w14:paraId="49CB6BD7">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根据财库〔2017〕141号《财政部民政部中国残疾人联合会关于促进残疾人就业政府采购政策的通知》，符合享受政府采购支持政策的残疾人福利性单位条件且提供</w:t>
            </w:r>
            <w:r>
              <w:rPr>
                <w:rFonts w:hint="eastAsia" w:ascii="仿宋" w:hAnsi="仿宋" w:eastAsia="仿宋" w:cs="仿宋"/>
                <w:color w:val="auto"/>
                <w:sz w:val="24"/>
                <w:highlight w:val="none"/>
              </w:rPr>
              <w:t>自拟格式的</w:t>
            </w:r>
            <w:r>
              <w:rPr>
                <w:rFonts w:hint="eastAsia" w:ascii="仿宋" w:hAnsi="仿宋" w:eastAsia="仿宋" w:cs="仿宋"/>
                <w:bCs/>
                <w:color w:val="auto"/>
                <w:sz w:val="24"/>
                <w:highlight w:val="none"/>
              </w:rPr>
              <w:t>《残疾人福利性单位声明函》的残疾人福利性单位，视同小型。</w:t>
            </w:r>
          </w:p>
        </w:tc>
      </w:tr>
      <w:tr w14:paraId="168C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517" w:type="dxa"/>
            <w:gridSpan w:val="4"/>
            <w:vAlign w:val="center"/>
          </w:tcPr>
          <w:p w14:paraId="4E017F4C">
            <w:pPr>
              <w:spacing w:line="360" w:lineRule="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评分注意事项：</w:t>
            </w:r>
          </w:p>
          <w:p w14:paraId="575F17D9">
            <w:pPr>
              <w:spacing w:line="360" w:lineRule="auto"/>
              <w:ind w:firstLine="481"/>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因落实政府采购政策进行价格调整的，评标委员会应记录价格调整的依据、计算过程及计算结果。</w:t>
            </w:r>
          </w:p>
          <w:p w14:paraId="53D40054">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报价合理性审查：</w:t>
            </w:r>
          </w:p>
          <w:p w14:paraId="49588AA9">
            <w:pPr>
              <w:spacing w:line="360" w:lineRule="auto"/>
              <w:ind w:firstLine="481"/>
              <w:rPr>
                <w:rFonts w:hint="eastAsia" w:ascii="仿宋" w:hAnsi="仿宋" w:eastAsia="仿宋" w:cs="仿宋"/>
                <w:color w:val="auto"/>
                <w:sz w:val="24"/>
                <w:highlight w:val="none"/>
                <w:lang w:val="zh-CN"/>
              </w:rPr>
            </w:pPr>
            <w:r>
              <w:rPr>
                <w:rFonts w:hint="eastAsia" w:ascii="仿宋" w:hAnsi="仿宋" w:eastAsia="仿宋" w:cs="仿宋"/>
                <w:b/>
                <w:bCs/>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4DE05A14">
      <w:pPr>
        <w:pStyle w:val="13"/>
        <w:tabs>
          <w:tab w:val="left" w:pos="6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4.5.1投标人总分=报价部分得分+技术、商务部分得分，结果保留两位小数。</w:t>
      </w:r>
    </w:p>
    <w:p w14:paraId="1719FF28">
      <w:pPr>
        <w:spacing w:line="360" w:lineRule="auto"/>
        <w:ind w:firstLine="480" w:firstLineChars="200"/>
        <w:rPr>
          <w:rFonts w:hint="eastAsia" w:ascii="仿宋" w:hAnsi="仿宋" w:eastAsia="仿宋" w:cs="仿宋"/>
          <w:color w:val="auto"/>
          <w:sz w:val="24"/>
          <w:highlight w:val="none"/>
        </w:rPr>
      </w:pPr>
      <w:bookmarkStart w:id="220" w:name="_Toc217446060"/>
    </w:p>
    <w:p w14:paraId="68E4B8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 终止招标</w:t>
      </w:r>
    </w:p>
    <w:p w14:paraId="37C4228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采购人、采购代理机构在发布招标公告、资格预审公告或者发出投标邀请书后，除因重大变故采购任务取消情况外，不得擅自终止招标活动。</w:t>
      </w:r>
    </w:p>
    <w:p w14:paraId="05E5A6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19D00E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 定标</w:t>
      </w:r>
      <w:bookmarkEnd w:id="220"/>
      <w:bookmarkStart w:id="221" w:name="_Toc217446061"/>
    </w:p>
    <w:p w14:paraId="342C4DF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 定标原则</w:t>
      </w:r>
      <w:bookmarkEnd w:id="221"/>
      <w:r>
        <w:rPr>
          <w:rFonts w:hint="eastAsia" w:ascii="仿宋" w:hAnsi="仿宋" w:eastAsia="仿宋" w:cs="仿宋"/>
          <w:color w:val="auto"/>
          <w:sz w:val="24"/>
          <w:highlight w:val="none"/>
        </w:rPr>
        <w:t>：本项目根据评标委员会推荐的中标候选人名单，按顺序确定中标人。</w:t>
      </w:r>
    </w:p>
    <w:p w14:paraId="09F9CBCD">
      <w:pPr>
        <w:spacing w:line="360" w:lineRule="auto"/>
        <w:ind w:firstLine="480" w:firstLineChars="200"/>
        <w:rPr>
          <w:rFonts w:hint="eastAsia" w:ascii="仿宋" w:hAnsi="仿宋" w:eastAsia="仿宋" w:cs="仿宋"/>
          <w:color w:val="auto"/>
          <w:sz w:val="24"/>
          <w:highlight w:val="none"/>
        </w:rPr>
      </w:pPr>
      <w:bookmarkStart w:id="222" w:name="_Toc217446062"/>
      <w:r>
        <w:rPr>
          <w:rFonts w:hint="eastAsia" w:ascii="仿宋" w:hAnsi="仿宋" w:eastAsia="仿宋" w:cs="仿宋"/>
          <w:color w:val="auto"/>
          <w:sz w:val="24"/>
          <w:highlight w:val="none"/>
        </w:rPr>
        <w:t>6.2. 定标程序</w:t>
      </w:r>
      <w:bookmarkEnd w:id="222"/>
    </w:p>
    <w:p w14:paraId="3FB6D8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7C08103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6.2.2 采购代理机构在评标结束后两个工作日内将评标报告送至采购人。</w:t>
      </w:r>
    </w:p>
    <w:p w14:paraId="7320953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6.2.3 采购人应当自收到评标报告之日起5个工作日内在评标报告推荐的中标候选人中按顺序确定中标人。</w:t>
      </w:r>
    </w:p>
    <w:p w14:paraId="0FACCD1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6.2.4 根据采购人确定的中标人，采购人在招标公告发布的媒体上发布中标公告，同时向中标人发出中标通知书。</w:t>
      </w:r>
    </w:p>
    <w:p w14:paraId="602556B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6.2.5 采购人不退回投标文件和其他投标资料。</w:t>
      </w:r>
    </w:p>
    <w:bookmarkEnd w:id="215"/>
    <w:p w14:paraId="413CEEDC">
      <w:pPr>
        <w:spacing w:line="360" w:lineRule="auto"/>
        <w:ind w:firstLine="480" w:firstLineChars="200"/>
        <w:rPr>
          <w:rFonts w:hint="eastAsia" w:ascii="仿宋" w:hAnsi="仿宋" w:eastAsia="仿宋" w:cs="仿宋"/>
          <w:color w:val="auto"/>
          <w:sz w:val="24"/>
          <w:highlight w:val="none"/>
        </w:rPr>
      </w:pPr>
      <w:bookmarkStart w:id="223" w:name="_Toc183582297"/>
      <w:bookmarkStart w:id="224" w:name="_Toc217446105"/>
      <w:bookmarkStart w:id="225" w:name="_Toc183682432"/>
      <w:bookmarkStart w:id="226" w:name="_Toc208849022"/>
      <w:r>
        <w:rPr>
          <w:rFonts w:hint="eastAsia" w:ascii="仿宋" w:hAnsi="仿宋" w:eastAsia="仿宋" w:cs="仿宋"/>
          <w:color w:val="auto"/>
          <w:sz w:val="24"/>
          <w:highlight w:val="none"/>
        </w:rPr>
        <w:t xml:space="preserve">7. </w:t>
      </w:r>
      <w:bookmarkEnd w:id="223"/>
      <w:bookmarkEnd w:id="224"/>
      <w:bookmarkEnd w:id="225"/>
      <w:bookmarkEnd w:id="226"/>
      <w:r>
        <w:rPr>
          <w:rFonts w:hint="eastAsia" w:ascii="仿宋" w:hAnsi="仿宋" w:eastAsia="仿宋" w:cs="仿宋"/>
          <w:color w:val="auto"/>
          <w:sz w:val="24"/>
          <w:highlight w:val="none"/>
        </w:rPr>
        <w:t>评标专家在政府采购活动中承担以下义务：</w:t>
      </w:r>
    </w:p>
    <w:p w14:paraId="19A3E7C8">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7.1 遵纪守法，客观、公正、廉洁地履行职责。</w:t>
      </w:r>
    </w:p>
    <w:p w14:paraId="207B936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09141362">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7.3 保守秘密。不得透露招标项目情况，不得泄漏投标人的投标文件及知悉的商业秘密，不得向投标人透露评标情况。</w:t>
      </w:r>
    </w:p>
    <w:p w14:paraId="31E94BC4">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7.4 发现投标人在政府采购活动中有不正当竞争或恶意串通等违规行为，及时向政府采购评标工作的组织者或财政部门报告并加以制止。</w:t>
      </w:r>
    </w:p>
    <w:p w14:paraId="61D7D8B8">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发现采购人、采购代理机构及其工作人员在招标活动中有干预评标、发表倾向性和歧视性言论、受贿或者接受投标人的其他好处及其他违法违规行为，及时向财政部门报告。</w:t>
      </w:r>
    </w:p>
    <w:p w14:paraId="3B8E1C2F">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7.5 配合采购人或者采购代理机构答复投标人质疑，配合投诉处理工作等事宜。</w:t>
      </w:r>
    </w:p>
    <w:p w14:paraId="2727B75A">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7.6 法律、法规和规章规定的其他义务。</w:t>
      </w:r>
    </w:p>
    <w:p w14:paraId="786A9CC5">
      <w:pPr>
        <w:widowControl/>
        <w:autoSpaceDE w:val="0"/>
        <w:autoSpaceDN w:val="0"/>
        <w:spacing w:line="360" w:lineRule="auto"/>
        <w:ind w:firstLine="482" w:firstLineChars="200"/>
        <w:textAlignment w:val="bottom"/>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评标专家在招标活动中应当遵守以下工作纪律：</w:t>
      </w:r>
    </w:p>
    <w:p w14:paraId="75F27864">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8.1 应邀按时参加评标活动。遇特殊情况不能出席或途中遇阻不能按时参加评标的，应及时告知财政部门或者采购人或者采购代理机构，不得私自转托他人。</w:t>
      </w:r>
    </w:p>
    <w:p w14:paraId="5F90228C">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8.2 不得参加与自己有利害关系的招标项目的评标活动。对与自己有利害关系的评标项目，如受到邀请，应主动提出回避。财政部门、采购人或采购代理机构也可要求该评标专家回避。</w:t>
      </w:r>
    </w:p>
    <w:p w14:paraId="6402FEF6">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6798F735">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8.3 评标过程中关闭通讯设备，不得与外界联系。</w:t>
      </w:r>
    </w:p>
    <w:p w14:paraId="5BA54A00">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2A31C373">
      <w:pPr>
        <w:pStyle w:val="4"/>
        <w:rPr>
          <w:rFonts w:hint="eastAsia" w:ascii="仿宋" w:hAnsi="仿宋" w:eastAsia="仿宋" w:cs="仿宋"/>
          <w:color w:val="auto"/>
          <w:highlight w:val="none"/>
        </w:rPr>
      </w:pPr>
      <w:r>
        <w:rPr>
          <w:rFonts w:hint="eastAsia" w:ascii="仿宋" w:hAnsi="仿宋" w:eastAsia="仿宋" w:cs="仿宋"/>
          <w:b w:val="0"/>
          <w:bCs w:val="0"/>
          <w:color w:val="auto"/>
          <w:szCs w:val="24"/>
          <w:highlight w:val="none"/>
        </w:rPr>
        <w:br w:type="page"/>
      </w:r>
      <w:bookmarkStart w:id="227" w:name="_Toc5999"/>
      <w:bookmarkStart w:id="228" w:name="_Toc3329"/>
      <w:bookmarkStart w:id="229" w:name="_Toc22113"/>
      <w:r>
        <w:rPr>
          <w:rFonts w:hint="eastAsia" w:ascii="仿宋" w:hAnsi="仿宋" w:eastAsia="仿宋" w:cs="仿宋"/>
          <w:color w:val="auto"/>
          <w:highlight w:val="none"/>
        </w:rPr>
        <w:t>第六章  拟签订的合同文本</w:t>
      </w:r>
      <w:bookmarkEnd w:id="227"/>
      <w:bookmarkEnd w:id="228"/>
      <w:bookmarkEnd w:id="229"/>
    </w:p>
    <w:p w14:paraId="2DE7082C">
      <w:pPr>
        <w:pStyle w:val="8"/>
        <w:spacing w:line="360" w:lineRule="auto"/>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本合同仅供参考，最终以与采购人实际签订合同为准</w:t>
      </w:r>
    </w:p>
    <w:p w14:paraId="01207C97">
      <w:pPr>
        <w:spacing w:line="360" w:lineRule="auto"/>
        <w:ind w:firstLine="560"/>
        <w:rPr>
          <w:rFonts w:hint="eastAsia" w:ascii="仿宋" w:hAnsi="仿宋" w:eastAsia="仿宋" w:cs="仿宋"/>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color w:val="auto"/>
          <w:sz w:val="24"/>
          <w:highlight w:val="none"/>
          <w:lang w:bidi="ar"/>
        </w:rPr>
        <w:t>甲方（买方）：新疆农业大学</w:t>
      </w:r>
    </w:p>
    <w:p w14:paraId="122A2F5E">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地址：</w:t>
      </w:r>
    </w:p>
    <w:p w14:paraId="27B6AE67">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电话：</w:t>
      </w:r>
    </w:p>
    <w:p w14:paraId="366F128D">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乙方（卖方）：</w:t>
      </w:r>
    </w:p>
    <w:p w14:paraId="6468E99C">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地址：</w:t>
      </w:r>
    </w:p>
    <w:p w14:paraId="50A83A78">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电话: </w:t>
      </w:r>
    </w:p>
    <w:p w14:paraId="158557D1">
      <w:pPr>
        <w:spacing w:line="360" w:lineRule="auto"/>
        <w:ind w:left="237" w:leftChars="113" w:firstLine="398" w:firstLineChars="166"/>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新疆农业大学（以下简称甲方）与</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sz w:val="24"/>
          <w:highlight w:val="none"/>
          <w:lang w:bidi="ar"/>
        </w:rPr>
        <w:t>（以下简称乙方）就</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sz w:val="24"/>
          <w:highlight w:val="none"/>
          <w:lang w:bidi="ar"/>
        </w:rPr>
        <w:t xml:space="preserve">采购事宜，根据《中华人民共和国政府采购法》《中华人民共和国民法典》等规定，本着平等、自愿、互利、互惠的原则，经各方协商一致，订立本合同。  </w:t>
      </w:r>
    </w:p>
    <w:p w14:paraId="04013B6F">
      <w:pPr>
        <w:spacing w:line="360"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一、合同标的</w:t>
      </w:r>
    </w:p>
    <w:p w14:paraId="2E186C62">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1、货物</w:t>
      </w:r>
    </w:p>
    <w:p w14:paraId="559151D6">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乙方按照甲方提供的采购计划在商定的时限内保质、保量、及时组织配送，合同一经签订不得随意更改，同时，所供货物的品种、规格、数量、质量、价格、保质期等方面的标准应符合本合同约定的验收标准。</w:t>
      </w:r>
    </w:p>
    <w:p w14:paraId="2AA3F406">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2、货物的名称、生产厂家、品牌、规格型号及价格详见附表：</w:t>
      </w:r>
    </w:p>
    <w:tbl>
      <w:tblPr>
        <w:tblStyle w:val="34"/>
        <w:tblW w:w="5000" w:type="pct"/>
        <w:tblInd w:w="0" w:type="dxa"/>
        <w:tblLayout w:type="autofit"/>
        <w:tblCellMar>
          <w:top w:w="0" w:type="dxa"/>
          <w:left w:w="108" w:type="dxa"/>
          <w:bottom w:w="0" w:type="dxa"/>
          <w:right w:w="108" w:type="dxa"/>
        </w:tblCellMar>
      </w:tblPr>
      <w:tblGrid>
        <w:gridCol w:w="906"/>
        <w:gridCol w:w="1069"/>
        <w:gridCol w:w="1271"/>
        <w:gridCol w:w="1069"/>
        <w:gridCol w:w="1069"/>
        <w:gridCol w:w="907"/>
        <w:gridCol w:w="1314"/>
        <w:gridCol w:w="917"/>
      </w:tblGrid>
      <w:tr w14:paraId="4908DCE2">
        <w:tblPrEx>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508D667">
            <w:pPr>
              <w:spacing w:line="360" w:lineRule="auto"/>
              <w:ind w:firstLine="42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中标明细</w:t>
            </w:r>
          </w:p>
        </w:tc>
      </w:tr>
      <w:tr w14:paraId="102A87DC">
        <w:tblPrEx>
          <w:tblCellMar>
            <w:top w:w="0" w:type="dxa"/>
            <w:left w:w="108" w:type="dxa"/>
            <w:bottom w:w="0" w:type="dxa"/>
            <w:right w:w="108" w:type="dxa"/>
          </w:tblCellMar>
        </w:tblPrEx>
        <w:trPr>
          <w:trHeight w:val="540" w:hRule="atLeast"/>
        </w:trPr>
        <w:tc>
          <w:tcPr>
            <w:tcW w:w="532" w:type="pct"/>
            <w:tcBorders>
              <w:top w:val="nil"/>
              <w:left w:val="single" w:color="auto" w:sz="4" w:space="0"/>
              <w:bottom w:val="single" w:color="auto" w:sz="4" w:space="0"/>
              <w:right w:val="single" w:color="auto" w:sz="4" w:space="0"/>
            </w:tcBorders>
            <w:vAlign w:val="center"/>
          </w:tcPr>
          <w:p w14:paraId="0B833482">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序号</w:t>
            </w:r>
          </w:p>
        </w:tc>
        <w:tc>
          <w:tcPr>
            <w:tcW w:w="627" w:type="pct"/>
            <w:tcBorders>
              <w:top w:val="nil"/>
              <w:left w:val="nil"/>
              <w:bottom w:val="single" w:color="auto" w:sz="4" w:space="0"/>
              <w:right w:val="single" w:color="auto" w:sz="4" w:space="0"/>
            </w:tcBorders>
            <w:vAlign w:val="center"/>
          </w:tcPr>
          <w:p w14:paraId="3D81141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产品名称</w:t>
            </w:r>
          </w:p>
        </w:tc>
        <w:tc>
          <w:tcPr>
            <w:tcW w:w="746" w:type="pct"/>
            <w:tcBorders>
              <w:top w:val="nil"/>
              <w:left w:val="nil"/>
              <w:bottom w:val="single" w:color="auto" w:sz="4" w:space="0"/>
              <w:right w:val="single" w:color="auto" w:sz="4" w:space="0"/>
            </w:tcBorders>
            <w:vAlign w:val="center"/>
          </w:tcPr>
          <w:p w14:paraId="17C928B7">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生产厂家/品牌</w:t>
            </w:r>
          </w:p>
        </w:tc>
        <w:tc>
          <w:tcPr>
            <w:tcW w:w="627" w:type="pct"/>
            <w:tcBorders>
              <w:top w:val="nil"/>
              <w:left w:val="nil"/>
              <w:bottom w:val="single" w:color="auto" w:sz="4" w:space="0"/>
              <w:right w:val="single" w:color="auto" w:sz="4" w:space="0"/>
            </w:tcBorders>
            <w:vAlign w:val="center"/>
          </w:tcPr>
          <w:p w14:paraId="66D5E2A0">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注册证号</w:t>
            </w:r>
          </w:p>
        </w:tc>
        <w:tc>
          <w:tcPr>
            <w:tcW w:w="627" w:type="pct"/>
            <w:tcBorders>
              <w:top w:val="nil"/>
              <w:left w:val="nil"/>
              <w:bottom w:val="single" w:color="auto" w:sz="4" w:space="0"/>
              <w:right w:val="single" w:color="auto" w:sz="4" w:space="0"/>
            </w:tcBorders>
            <w:vAlign w:val="center"/>
          </w:tcPr>
          <w:p w14:paraId="2CE6BDC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规格型号</w:t>
            </w:r>
          </w:p>
        </w:tc>
        <w:tc>
          <w:tcPr>
            <w:tcW w:w="532" w:type="pct"/>
            <w:tcBorders>
              <w:top w:val="nil"/>
              <w:left w:val="nil"/>
              <w:bottom w:val="single" w:color="auto" w:sz="4" w:space="0"/>
              <w:right w:val="single" w:color="auto" w:sz="4" w:space="0"/>
            </w:tcBorders>
            <w:vAlign w:val="center"/>
          </w:tcPr>
          <w:p w14:paraId="2BDC0773">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单位</w:t>
            </w:r>
          </w:p>
        </w:tc>
        <w:tc>
          <w:tcPr>
            <w:tcW w:w="771" w:type="pct"/>
            <w:tcBorders>
              <w:top w:val="nil"/>
              <w:left w:val="nil"/>
              <w:bottom w:val="single" w:color="auto" w:sz="4" w:space="0"/>
              <w:right w:val="single" w:color="auto" w:sz="4" w:space="0"/>
            </w:tcBorders>
            <w:vAlign w:val="center"/>
          </w:tcPr>
          <w:p w14:paraId="69A1CE36">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固定单价（元）</w:t>
            </w:r>
          </w:p>
        </w:tc>
        <w:tc>
          <w:tcPr>
            <w:tcW w:w="533" w:type="pct"/>
            <w:tcBorders>
              <w:top w:val="nil"/>
              <w:left w:val="nil"/>
              <w:bottom w:val="single" w:color="auto" w:sz="4" w:space="0"/>
              <w:right w:val="single" w:color="auto" w:sz="4" w:space="0"/>
            </w:tcBorders>
            <w:vAlign w:val="center"/>
          </w:tcPr>
          <w:p w14:paraId="350945CD">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备注</w:t>
            </w:r>
          </w:p>
        </w:tc>
      </w:tr>
      <w:tr w14:paraId="3ED721A8">
        <w:tblPrEx>
          <w:tblCellMar>
            <w:top w:w="0" w:type="dxa"/>
            <w:left w:w="108" w:type="dxa"/>
            <w:bottom w:w="0" w:type="dxa"/>
            <w:right w:w="108" w:type="dxa"/>
          </w:tblCellMar>
        </w:tblPrEx>
        <w:trPr>
          <w:trHeight w:val="592" w:hRule="atLeast"/>
        </w:trPr>
        <w:tc>
          <w:tcPr>
            <w:tcW w:w="532" w:type="pct"/>
            <w:tcBorders>
              <w:top w:val="nil"/>
              <w:left w:val="single" w:color="auto" w:sz="4" w:space="0"/>
              <w:bottom w:val="single" w:color="auto" w:sz="4" w:space="0"/>
              <w:right w:val="single" w:color="auto" w:sz="4" w:space="0"/>
            </w:tcBorders>
            <w:vAlign w:val="center"/>
          </w:tcPr>
          <w:p w14:paraId="32C5FF6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w:t>
            </w:r>
          </w:p>
        </w:tc>
        <w:tc>
          <w:tcPr>
            <w:tcW w:w="627" w:type="pct"/>
            <w:tcBorders>
              <w:top w:val="nil"/>
              <w:left w:val="nil"/>
              <w:bottom w:val="single" w:color="auto" w:sz="4" w:space="0"/>
              <w:right w:val="single" w:color="auto" w:sz="4" w:space="0"/>
            </w:tcBorders>
            <w:vAlign w:val="center"/>
          </w:tcPr>
          <w:p w14:paraId="5DACD885">
            <w:pPr>
              <w:spacing w:line="360" w:lineRule="auto"/>
              <w:ind w:firstLine="420"/>
              <w:rPr>
                <w:rFonts w:hint="eastAsia" w:ascii="仿宋" w:hAnsi="仿宋" w:eastAsia="仿宋" w:cs="仿宋"/>
                <w:color w:val="auto"/>
                <w:sz w:val="24"/>
                <w:highlight w:val="none"/>
              </w:rPr>
            </w:pPr>
          </w:p>
        </w:tc>
        <w:tc>
          <w:tcPr>
            <w:tcW w:w="746" w:type="pct"/>
            <w:tcBorders>
              <w:top w:val="nil"/>
              <w:left w:val="nil"/>
              <w:bottom w:val="single" w:color="auto" w:sz="4" w:space="0"/>
              <w:right w:val="single" w:color="auto" w:sz="4" w:space="0"/>
            </w:tcBorders>
            <w:vAlign w:val="center"/>
          </w:tcPr>
          <w:p w14:paraId="542B1637">
            <w:pPr>
              <w:spacing w:line="360" w:lineRule="auto"/>
              <w:ind w:firstLine="420"/>
              <w:rPr>
                <w:rFonts w:hint="eastAsia" w:ascii="仿宋" w:hAnsi="仿宋" w:eastAsia="仿宋" w:cs="仿宋"/>
                <w:color w:val="auto"/>
                <w:sz w:val="24"/>
                <w:highlight w:val="none"/>
              </w:rPr>
            </w:pPr>
          </w:p>
        </w:tc>
        <w:tc>
          <w:tcPr>
            <w:tcW w:w="627" w:type="pct"/>
            <w:tcBorders>
              <w:top w:val="nil"/>
              <w:left w:val="nil"/>
              <w:bottom w:val="single" w:color="auto" w:sz="4" w:space="0"/>
              <w:right w:val="single" w:color="auto" w:sz="4" w:space="0"/>
            </w:tcBorders>
            <w:vAlign w:val="center"/>
          </w:tcPr>
          <w:p w14:paraId="12B7E305">
            <w:pPr>
              <w:spacing w:line="360" w:lineRule="auto"/>
              <w:ind w:firstLine="420"/>
              <w:rPr>
                <w:rFonts w:hint="eastAsia" w:ascii="仿宋" w:hAnsi="仿宋" w:eastAsia="仿宋" w:cs="仿宋"/>
                <w:color w:val="auto"/>
                <w:sz w:val="24"/>
                <w:highlight w:val="none"/>
              </w:rPr>
            </w:pPr>
          </w:p>
        </w:tc>
        <w:tc>
          <w:tcPr>
            <w:tcW w:w="627" w:type="pct"/>
            <w:tcBorders>
              <w:top w:val="nil"/>
              <w:left w:val="nil"/>
              <w:bottom w:val="single" w:color="auto" w:sz="4" w:space="0"/>
              <w:right w:val="single" w:color="auto" w:sz="4" w:space="0"/>
            </w:tcBorders>
            <w:vAlign w:val="center"/>
          </w:tcPr>
          <w:p w14:paraId="166B70F7">
            <w:pPr>
              <w:spacing w:line="360" w:lineRule="auto"/>
              <w:ind w:firstLine="420"/>
              <w:rPr>
                <w:rFonts w:hint="eastAsia" w:ascii="仿宋" w:hAnsi="仿宋" w:eastAsia="仿宋" w:cs="仿宋"/>
                <w:color w:val="auto"/>
                <w:sz w:val="24"/>
                <w:highlight w:val="none"/>
              </w:rPr>
            </w:pPr>
          </w:p>
        </w:tc>
        <w:tc>
          <w:tcPr>
            <w:tcW w:w="532" w:type="pct"/>
            <w:tcBorders>
              <w:top w:val="nil"/>
              <w:left w:val="nil"/>
              <w:bottom w:val="single" w:color="auto" w:sz="4" w:space="0"/>
              <w:right w:val="single" w:color="auto" w:sz="4" w:space="0"/>
            </w:tcBorders>
            <w:vAlign w:val="center"/>
          </w:tcPr>
          <w:p w14:paraId="04552DF6">
            <w:pPr>
              <w:spacing w:line="360" w:lineRule="auto"/>
              <w:ind w:firstLine="420"/>
              <w:rPr>
                <w:rFonts w:hint="eastAsia" w:ascii="仿宋" w:hAnsi="仿宋" w:eastAsia="仿宋" w:cs="仿宋"/>
                <w:color w:val="auto"/>
                <w:sz w:val="24"/>
                <w:highlight w:val="none"/>
              </w:rPr>
            </w:pPr>
          </w:p>
        </w:tc>
        <w:tc>
          <w:tcPr>
            <w:tcW w:w="771" w:type="pct"/>
            <w:tcBorders>
              <w:top w:val="nil"/>
              <w:left w:val="nil"/>
              <w:bottom w:val="single" w:color="auto" w:sz="4" w:space="0"/>
              <w:right w:val="single" w:color="auto" w:sz="4" w:space="0"/>
            </w:tcBorders>
            <w:vAlign w:val="center"/>
          </w:tcPr>
          <w:p w14:paraId="2B03F80D">
            <w:pPr>
              <w:spacing w:line="360" w:lineRule="auto"/>
              <w:ind w:firstLine="560"/>
              <w:rPr>
                <w:rFonts w:hint="eastAsia" w:ascii="仿宋" w:hAnsi="仿宋" w:eastAsia="仿宋" w:cs="仿宋"/>
                <w:color w:val="auto"/>
                <w:sz w:val="24"/>
                <w:highlight w:val="none"/>
              </w:rPr>
            </w:pPr>
          </w:p>
        </w:tc>
        <w:tc>
          <w:tcPr>
            <w:tcW w:w="533" w:type="pct"/>
            <w:tcBorders>
              <w:top w:val="nil"/>
              <w:left w:val="nil"/>
              <w:bottom w:val="single" w:color="auto" w:sz="4" w:space="0"/>
              <w:right w:val="single" w:color="auto" w:sz="4" w:space="0"/>
            </w:tcBorders>
          </w:tcPr>
          <w:p w14:paraId="58D7F9AC">
            <w:pPr>
              <w:spacing w:line="360" w:lineRule="auto"/>
              <w:ind w:firstLine="560"/>
              <w:rPr>
                <w:rFonts w:hint="eastAsia" w:ascii="仿宋" w:hAnsi="仿宋" w:eastAsia="仿宋" w:cs="仿宋"/>
                <w:color w:val="auto"/>
                <w:sz w:val="24"/>
                <w:highlight w:val="none"/>
              </w:rPr>
            </w:pPr>
          </w:p>
        </w:tc>
      </w:tr>
      <w:tr w14:paraId="7BDA1D86">
        <w:tblPrEx>
          <w:tblCellMar>
            <w:top w:w="0" w:type="dxa"/>
            <w:left w:w="108" w:type="dxa"/>
            <w:bottom w:w="0" w:type="dxa"/>
            <w:right w:w="108" w:type="dxa"/>
          </w:tblCellMar>
        </w:tblPrEx>
        <w:trPr>
          <w:trHeight w:val="540" w:hRule="atLeast"/>
        </w:trPr>
        <w:tc>
          <w:tcPr>
            <w:tcW w:w="532" w:type="pct"/>
            <w:tcBorders>
              <w:top w:val="nil"/>
              <w:left w:val="single" w:color="auto" w:sz="4" w:space="0"/>
              <w:bottom w:val="single" w:color="auto" w:sz="4" w:space="0"/>
              <w:right w:val="single" w:color="auto" w:sz="4" w:space="0"/>
            </w:tcBorders>
            <w:vAlign w:val="center"/>
          </w:tcPr>
          <w:p w14:paraId="655717A7">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w:t>
            </w:r>
          </w:p>
        </w:tc>
        <w:tc>
          <w:tcPr>
            <w:tcW w:w="627" w:type="pct"/>
            <w:tcBorders>
              <w:top w:val="nil"/>
              <w:left w:val="nil"/>
              <w:bottom w:val="single" w:color="auto" w:sz="4" w:space="0"/>
              <w:right w:val="single" w:color="auto" w:sz="4" w:space="0"/>
            </w:tcBorders>
            <w:vAlign w:val="center"/>
          </w:tcPr>
          <w:p w14:paraId="309E856C">
            <w:pPr>
              <w:spacing w:line="360" w:lineRule="auto"/>
              <w:rPr>
                <w:rFonts w:hint="eastAsia" w:ascii="仿宋" w:hAnsi="仿宋" w:eastAsia="仿宋" w:cs="仿宋"/>
                <w:color w:val="auto"/>
                <w:sz w:val="24"/>
                <w:highlight w:val="none"/>
                <w:lang w:bidi="ar"/>
              </w:rPr>
            </w:pPr>
          </w:p>
        </w:tc>
        <w:tc>
          <w:tcPr>
            <w:tcW w:w="746" w:type="pct"/>
            <w:tcBorders>
              <w:top w:val="nil"/>
              <w:left w:val="nil"/>
              <w:bottom w:val="single" w:color="auto" w:sz="4" w:space="0"/>
              <w:right w:val="single" w:color="auto" w:sz="4" w:space="0"/>
            </w:tcBorders>
            <w:vAlign w:val="center"/>
          </w:tcPr>
          <w:p w14:paraId="17458414">
            <w:pPr>
              <w:spacing w:line="360" w:lineRule="auto"/>
              <w:ind w:firstLine="420"/>
              <w:rPr>
                <w:rFonts w:hint="eastAsia" w:ascii="仿宋" w:hAnsi="仿宋" w:eastAsia="仿宋" w:cs="仿宋"/>
                <w:color w:val="auto"/>
                <w:sz w:val="24"/>
                <w:highlight w:val="none"/>
              </w:rPr>
            </w:pPr>
          </w:p>
        </w:tc>
        <w:tc>
          <w:tcPr>
            <w:tcW w:w="627" w:type="pct"/>
            <w:tcBorders>
              <w:top w:val="nil"/>
              <w:left w:val="nil"/>
              <w:bottom w:val="single" w:color="auto" w:sz="4" w:space="0"/>
              <w:right w:val="single" w:color="auto" w:sz="4" w:space="0"/>
            </w:tcBorders>
            <w:vAlign w:val="center"/>
          </w:tcPr>
          <w:p w14:paraId="44C27609">
            <w:pPr>
              <w:spacing w:line="360" w:lineRule="auto"/>
              <w:ind w:firstLine="420"/>
              <w:rPr>
                <w:rFonts w:hint="eastAsia" w:ascii="仿宋" w:hAnsi="仿宋" w:eastAsia="仿宋" w:cs="仿宋"/>
                <w:color w:val="auto"/>
                <w:sz w:val="24"/>
                <w:highlight w:val="none"/>
              </w:rPr>
            </w:pPr>
          </w:p>
        </w:tc>
        <w:tc>
          <w:tcPr>
            <w:tcW w:w="627" w:type="pct"/>
            <w:tcBorders>
              <w:top w:val="nil"/>
              <w:left w:val="nil"/>
              <w:bottom w:val="single" w:color="auto" w:sz="4" w:space="0"/>
              <w:right w:val="single" w:color="auto" w:sz="4" w:space="0"/>
            </w:tcBorders>
            <w:vAlign w:val="center"/>
          </w:tcPr>
          <w:p w14:paraId="2F7FB11D">
            <w:pPr>
              <w:spacing w:line="360" w:lineRule="auto"/>
              <w:ind w:firstLine="420"/>
              <w:rPr>
                <w:rFonts w:hint="eastAsia" w:ascii="仿宋" w:hAnsi="仿宋" w:eastAsia="仿宋" w:cs="仿宋"/>
                <w:color w:val="auto"/>
                <w:sz w:val="24"/>
                <w:highlight w:val="none"/>
              </w:rPr>
            </w:pPr>
          </w:p>
        </w:tc>
        <w:tc>
          <w:tcPr>
            <w:tcW w:w="532" w:type="pct"/>
            <w:tcBorders>
              <w:top w:val="nil"/>
              <w:left w:val="nil"/>
              <w:bottom w:val="single" w:color="auto" w:sz="4" w:space="0"/>
              <w:right w:val="single" w:color="auto" w:sz="4" w:space="0"/>
            </w:tcBorders>
            <w:vAlign w:val="center"/>
          </w:tcPr>
          <w:p w14:paraId="055C0E99">
            <w:pPr>
              <w:spacing w:line="360" w:lineRule="auto"/>
              <w:ind w:firstLine="420"/>
              <w:rPr>
                <w:rFonts w:hint="eastAsia" w:ascii="仿宋" w:hAnsi="仿宋" w:eastAsia="仿宋" w:cs="仿宋"/>
                <w:color w:val="auto"/>
                <w:sz w:val="24"/>
                <w:highlight w:val="none"/>
              </w:rPr>
            </w:pPr>
          </w:p>
        </w:tc>
        <w:tc>
          <w:tcPr>
            <w:tcW w:w="771" w:type="pct"/>
            <w:tcBorders>
              <w:top w:val="nil"/>
              <w:left w:val="nil"/>
              <w:bottom w:val="single" w:color="auto" w:sz="4" w:space="0"/>
              <w:right w:val="single" w:color="auto" w:sz="4" w:space="0"/>
            </w:tcBorders>
            <w:vAlign w:val="center"/>
          </w:tcPr>
          <w:p w14:paraId="480A9BCE">
            <w:pPr>
              <w:spacing w:line="360" w:lineRule="auto"/>
              <w:ind w:firstLine="560"/>
              <w:rPr>
                <w:rFonts w:hint="eastAsia" w:ascii="仿宋" w:hAnsi="仿宋" w:eastAsia="仿宋" w:cs="仿宋"/>
                <w:color w:val="auto"/>
                <w:sz w:val="24"/>
                <w:highlight w:val="none"/>
              </w:rPr>
            </w:pPr>
          </w:p>
        </w:tc>
        <w:tc>
          <w:tcPr>
            <w:tcW w:w="533" w:type="pct"/>
            <w:tcBorders>
              <w:top w:val="nil"/>
              <w:left w:val="nil"/>
              <w:bottom w:val="single" w:color="auto" w:sz="4" w:space="0"/>
              <w:right w:val="single" w:color="auto" w:sz="4" w:space="0"/>
            </w:tcBorders>
          </w:tcPr>
          <w:p w14:paraId="60921A66">
            <w:pPr>
              <w:spacing w:line="360" w:lineRule="auto"/>
              <w:ind w:firstLine="560"/>
              <w:rPr>
                <w:rFonts w:hint="eastAsia" w:ascii="仿宋" w:hAnsi="仿宋" w:eastAsia="仿宋" w:cs="仿宋"/>
                <w:color w:val="auto"/>
                <w:sz w:val="24"/>
                <w:highlight w:val="none"/>
              </w:rPr>
            </w:pPr>
          </w:p>
        </w:tc>
      </w:tr>
      <w:tr w14:paraId="163AF4FE">
        <w:tblPrEx>
          <w:tblCellMar>
            <w:top w:w="0" w:type="dxa"/>
            <w:left w:w="108" w:type="dxa"/>
            <w:bottom w:w="0" w:type="dxa"/>
            <w:right w:w="108" w:type="dxa"/>
          </w:tblCellMar>
        </w:tblPrEx>
        <w:trPr>
          <w:trHeight w:val="540" w:hRule="atLeast"/>
        </w:trPr>
        <w:tc>
          <w:tcPr>
            <w:tcW w:w="532" w:type="pct"/>
            <w:tcBorders>
              <w:top w:val="single" w:color="auto" w:sz="4" w:space="0"/>
              <w:left w:val="single" w:color="auto" w:sz="4" w:space="0"/>
              <w:bottom w:val="single" w:color="auto" w:sz="4" w:space="0"/>
              <w:right w:val="single" w:color="auto" w:sz="4" w:space="0"/>
            </w:tcBorders>
            <w:vAlign w:val="center"/>
          </w:tcPr>
          <w:p w14:paraId="6DD6C333">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w:t>
            </w:r>
          </w:p>
        </w:tc>
        <w:tc>
          <w:tcPr>
            <w:tcW w:w="627" w:type="pct"/>
            <w:tcBorders>
              <w:top w:val="single" w:color="auto" w:sz="4" w:space="0"/>
              <w:left w:val="nil"/>
              <w:bottom w:val="single" w:color="auto" w:sz="4" w:space="0"/>
              <w:right w:val="single" w:color="auto" w:sz="4" w:space="0"/>
            </w:tcBorders>
            <w:vAlign w:val="center"/>
          </w:tcPr>
          <w:p w14:paraId="01FFEF99">
            <w:pPr>
              <w:spacing w:line="360" w:lineRule="auto"/>
              <w:rPr>
                <w:rFonts w:hint="eastAsia" w:ascii="仿宋" w:hAnsi="仿宋" w:eastAsia="仿宋" w:cs="仿宋"/>
                <w:color w:val="auto"/>
                <w:sz w:val="24"/>
                <w:highlight w:val="none"/>
                <w:lang w:bidi="ar"/>
              </w:rPr>
            </w:pPr>
          </w:p>
        </w:tc>
        <w:tc>
          <w:tcPr>
            <w:tcW w:w="746" w:type="pct"/>
            <w:tcBorders>
              <w:top w:val="single" w:color="auto" w:sz="4" w:space="0"/>
              <w:left w:val="nil"/>
              <w:bottom w:val="single" w:color="auto" w:sz="4" w:space="0"/>
              <w:right w:val="single" w:color="auto" w:sz="4" w:space="0"/>
            </w:tcBorders>
            <w:vAlign w:val="center"/>
          </w:tcPr>
          <w:p w14:paraId="4BAFD95B">
            <w:pPr>
              <w:spacing w:line="360" w:lineRule="auto"/>
              <w:ind w:firstLine="420"/>
              <w:rPr>
                <w:rFonts w:hint="eastAsia" w:ascii="仿宋" w:hAnsi="仿宋" w:eastAsia="仿宋" w:cs="仿宋"/>
                <w:color w:val="auto"/>
                <w:sz w:val="24"/>
                <w:highlight w:val="none"/>
              </w:rPr>
            </w:pPr>
          </w:p>
        </w:tc>
        <w:tc>
          <w:tcPr>
            <w:tcW w:w="627" w:type="pct"/>
            <w:tcBorders>
              <w:top w:val="single" w:color="auto" w:sz="4" w:space="0"/>
              <w:left w:val="nil"/>
              <w:bottom w:val="single" w:color="auto" w:sz="4" w:space="0"/>
              <w:right w:val="single" w:color="auto" w:sz="4" w:space="0"/>
            </w:tcBorders>
            <w:vAlign w:val="center"/>
          </w:tcPr>
          <w:p w14:paraId="0DD2C0DF">
            <w:pPr>
              <w:spacing w:line="360" w:lineRule="auto"/>
              <w:ind w:firstLine="420"/>
              <w:rPr>
                <w:rFonts w:hint="eastAsia" w:ascii="仿宋" w:hAnsi="仿宋" w:eastAsia="仿宋" w:cs="仿宋"/>
                <w:color w:val="auto"/>
                <w:sz w:val="24"/>
                <w:highlight w:val="none"/>
              </w:rPr>
            </w:pPr>
          </w:p>
        </w:tc>
        <w:tc>
          <w:tcPr>
            <w:tcW w:w="627" w:type="pct"/>
            <w:tcBorders>
              <w:top w:val="single" w:color="auto" w:sz="4" w:space="0"/>
              <w:left w:val="nil"/>
              <w:bottom w:val="single" w:color="auto" w:sz="4" w:space="0"/>
              <w:right w:val="single" w:color="auto" w:sz="4" w:space="0"/>
            </w:tcBorders>
            <w:vAlign w:val="center"/>
          </w:tcPr>
          <w:p w14:paraId="7964078C">
            <w:pPr>
              <w:spacing w:line="360" w:lineRule="auto"/>
              <w:ind w:firstLine="420"/>
              <w:rPr>
                <w:rFonts w:hint="eastAsia" w:ascii="仿宋" w:hAnsi="仿宋" w:eastAsia="仿宋" w:cs="仿宋"/>
                <w:color w:val="auto"/>
                <w:sz w:val="24"/>
                <w:highlight w:val="none"/>
              </w:rPr>
            </w:pPr>
          </w:p>
        </w:tc>
        <w:tc>
          <w:tcPr>
            <w:tcW w:w="532" w:type="pct"/>
            <w:tcBorders>
              <w:top w:val="single" w:color="auto" w:sz="4" w:space="0"/>
              <w:left w:val="nil"/>
              <w:bottom w:val="single" w:color="auto" w:sz="4" w:space="0"/>
              <w:right w:val="single" w:color="auto" w:sz="4" w:space="0"/>
            </w:tcBorders>
            <w:vAlign w:val="center"/>
          </w:tcPr>
          <w:p w14:paraId="6E5DFDAE">
            <w:pPr>
              <w:spacing w:line="360" w:lineRule="auto"/>
              <w:ind w:firstLine="420"/>
              <w:rPr>
                <w:rFonts w:hint="eastAsia" w:ascii="仿宋" w:hAnsi="仿宋" w:eastAsia="仿宋" w:cs="仿宋"/>
                <w:color w:val="auto"/>
                <w:sz w:val="24"/>
                <w:highlight w:val="none"/>
              </w:rPr>
            </w:pPr>
          </w:p>
        </w:tc>
        <w:tc>
          <w:tcPr>
            <w:tcW w:w="771" w:type="pct"/>
            <w:tcBorders>
              <w:top w:val="single" w:color="auto" w:sz="4" w:space="0"/>
              <w:left w:val="nil"/>
              <w:bottom w:val="single" w:color="auto" w:sz="4" w:space="0"/>
              <w:right w:val="single" w:color="auto" w:sz="4" w:space="0"/>
            </w:tcBorders>
            <w:vAlign w:val="center"/>
          </w:tcPr>
          <w:p w14:paraId="1CFA7232">
            <w:pPr>
              <w:spacing w:line="360" w:lineRule="auto"/>
              <w:ind w:firstLine="560"/>
              <w:rPr>
                <w:rFonts w:hint="eastAsia" w:ascii="仿宋" w:hAnsi="仿宋" w:eastAsia="仿宋" w:cs="仿宋"/>
                <w:color w:val="auto"/>
                <w:sz w:val="24"/>
                <w:highlight w:val="none"/>
              </w:rPr>
            </w:pPr>
          </w:p>
        </w:tc>
        <w:tc>
          <w:tcPr>
            <w:tcW w:w="533" w:type="pct"/>
            <w:tcBorders>
              <w:top w:val="single" w:color="auto" w:sz="4" w:space="0"/>
              <w:left w:val="nil"/>
              <w:bottom w:val="single" w:color="auto" w:sz="4" w:space="0"/>
              <w:right w:val="single" w:color="auto" w:sz="4" w:space="0"/>
            </w:tcBorders>
            <w:vAlign w:val="center"/>
          </w:tcPr>
          <w:p w14:paraId="6F2CAB3A">
            <w:pPr>
              <w:spacing w:line="360" w:lineRule="auto"/>
              <w:ind w:firstLine="560"/>
              <w:rPr>
                <w:rFonts w:hint="eastAsia" w:ascii="仿宋" w:hAnsi="仿宋" w:eastAsia="仿宋" w:cs="仿宋"/>
                <w:color w:val="auto"/>
                <w:sz w:val="24"/>
                <w:highlight w:val="none"/>
              </w:rPr>
            </w:pPr>
          </w:p>
        </w:tc>
      </w:tr>
      <w:tr w14:paraId="5C3985A8">
        <w:tblPrEx>
          <w:tblCellMar>
            <w:top w:w="0" w:type="dxa"/>
            <w:left w:w="108" w:type="dxa"/>
            <w:bottom w:w="0" w:type="dxa"/>
            <w:right w:w="108" w:type="dxa"/>
          </w:tblCellMar>
        </w:tblPrEx>
        <w:trPr>
          <w:trHeight w:val="540" w:hRule="atLeast"/>
        </w:trPr>
        <w:tc>
          <w:tcPr>
            <w:tcW w:w="532" w:type="pct"/>
            <w:tcBorders>
              <w:top w:val="single" w:color="auto" w:sz="4" w:space="0"/>
              <w:left w:val="single" w:color="auto" w:sz="4" w:space="0"/>
              <w:bottom w:val="nil"/>
              <w:right w:val="single" w:color="auto" w:sz="4" w:space="0"/>
            </w:tcBorders>
            <w:vAlign w:val="center"/>
          </w:tcPr>
          <w:p w14:paraId="09C6175F">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w:t>
            </w:r>
          </w:p>
        </w:tc>
        <w:tc>
          <w:tcPr>
            <w:tcW w:w="627" w:type="pct"/>
            <w:tcBorders>
              <w:top w:val="single" w:color="auto" w:sz="4" w:space="0"/>
              <w:left w:val="nil"/>
              <w:bottom w:val="nil"/>
              <w:right w:val="single" w:color="auto" w:sz="4" w:space="0"/>
            </w:tcBorders>
            <w:vAlign w:val="center"/>
          </w:tcPr>
          <w:p w14:paraId="3B50865E">
            <w:pPr>
              <w:spacing w:line="360" w:lineRule="auto"/>
              <w:rPr>
                <w:rFonts w:hint="eastAsia" w:ascii="仿宋" w:hAnsi="仿宋" w:eastAsia="仿宋" w:cs="仿宋"/>
                <w:color w:val="auto"/>
                <w:sz w:val="24"/>
                <w:highlight w:val="none"/>
                <w:lang w:bidi="ar"/>
              </w:rPr>
            </w:pPr>
          </w:p>
        </w:tc>
        <w:tc>
          <w:tcPr>
            <w:tcW w:w="746" w:type="pct"/>
            <w:tcBorders>
              <w:top w:val="single" w:color="auto" w:sz="4" w:space="0"/>
              <w:left w:val="nil"/>
              <w:bottom w:val="nil"/>
              <w:right w:val="single" w:color="auto" w:sz="4" w:space="0"/>
            </w:tcBorders>
            <w:vAlign w:val="center"/>
          </w:tcPr>
          <w:p w14:paraId="2C180986">
            <w:pPr>
              <w:spacing w:line="360" w:lineRule="auto"/>
              <w:ind w:firstLine="420"/>
              <w:rPr>
                <w:rFonts w:hint="eastAsia" w:ascii="仿宋" w:hAnsi="仿宋" w:eastAsia="仿宋" w:cs="仿宋"/>
                <w:color w:val="auto"/>
                <w:sz w:val="24"/>
                <w:highlight w:val="none"/>
              </w:rPr>
            </w:pPr>
          </w:p>
        </w:tc>
        <w:tc>
          <w:tcPr>
            <w:tcW w:w="627" w:type="pct"/>
            <w:tcBorders>
              <w:top w:val="single" w:color="auto" w:sz="4" w:space="0"/>
              <w:left w:val="nil"/>
              <w:bottom w:val="nil"/>
              <w:right w:val="single" w:color="auto" w:sz="4" w:space="0"/>
            </w:tcBorders>
            <w:vAlign w:val="center"/>
          </w:tcPr>
          <w:p w14:paraId="51FBAB5D">
            <w:pPr>
              <w:spacing w:line="360" w:lineRule="auto"/>
              <w:ind w:firstLine="420"/>
              <w:rPr>
                <w:rFonts w:hint="eastAsia" w:ascii="仿宋" w:hAnsi="仿宋" w:eastAsia="仿宋" w:cs="仿宋"/>
                <w:color w:val="auto"/>
                <w:sz w:val="24"/>
                <w:highlight w:val="none"/>
              </w:rPr>
            </w:pPr>
          </w:p>
        </w:tc>
        <w:tc>
          <w:tcPr>
            <w:tcW w:w="627" w:type="pct"/>
            <w:tcBorders>
              <w:top w:val="single" w:color="auto" w:sz="4" w:space="0"/>
              <w:left w:val="nil"/>
              <w:bottom w:val="nil"/>
              <w:right w:val="single" w:color="auto" w:sz="4" w:space="0"/>
            </w:tcBorders>
            <w:vAlign w:val="center"/>
          </w:tcPr>
          <w:p w14:paraId="59F75927">
            <w:pPr>
              <w:spacing w:line="360" w:lineRule="auto"/>
              <w:ind w:firstLine="420"/>
              <w:rPr>
                <w:rFonts w:hint="eastAsia" w:ascii="仿宋" w:hAnsi="仿宋" w:eastAsia="仿宋" w:cs="仿宋"/>
                <w:color w:val="auto"/>
                <w:sz w:val="24"/>
                <w:highlight w:val="none"/>
              </w:rPr>
            </w:pPr>
          </w:p>
        </w:tc>
        <w:tc>
          <w:tcPr>
            <w:tcW w:w="532" w:type="pct"/>
            <w:tcBorders>
              <w:top w:val="single" w:color="auto" w:sz="4" w:space="0"/>
              <w:left w:val="nil"/>
              <w:bottom w:val="nil"/>
              <w:right w:val="single" w:color="auto" w:sz="4" w:space="0"/>
            </w:tcBorders>
            <w:vAlign w:val="center"/>
          </w:tcPr>
          <w:p w14:paraId="58E26752">
            <w:pPr>
              <w:spacing w:line="360" w:lineRule="auto"/>
              <w:ind w:firstLine="420"/>
              <w:rPr>
                <w:rFonts w:hint="eastAsia" w:ascii="仿宋" w:hAnsi="仿宋" w:eastAsia="仿宋" w:cs="仿宋"/>
                <w:color w:val="auto"/>
                <w:sz w:val="24"/>
                <w:highlight w:val="none"/>
              </w:rPr>
            </w:pPr>
          </w:p>
        </w:tc>
        <w:tc>
          <w:tcPr>
            <w:tcW w:w="771" w:type="pct"/>
            <w:tcBorders>
              <w:top w:val="single" w:color="auto" w:sz="4" w:space="0"/>
              <w:left w:val="nil"/>
              <w:bottom w:val="nil"/>
              <w:right w:val="single" w:color="auto" w:sz="4" w:space="0"/>
            </w:tcBorders>
            <w:vAlign w:val="center"/>
          </w:tcPr>
          <w:p w14:paraId="2E78DF87">
            <w:pPr>
              <w:spacing w:line="360" w:lineRule="auto"/>
              <w:ind w:firstLine="560"/>
              <w:rPr>
                <w:rFonts w:hint="eastAsia" w:ascii="仿宋" w:hAnsi="仿宋" w:eastAsia="仿宋" w:cs="仿宋"/>
                <w:color w:val="auto"/>
                <w:sz w:val="24"/>
                <w:highlight w:val="none"/>
              </w:rPr>
            </w:pPr>
          </w:p>
        </w:tc>
        <w:tc>
          <w:tcPr>
            <w:tcW w:w="533" w:type="pct"/>
            <w:tcBorders>
              <w:top w:val="single" w:color="auto" w:sz="4" w:space="0"/>
              <w:left w:val="nil"/>
              <w:bottom w:val="nil"/>
              <w:right w:val="single" w:color="auto" w:sz="4" w:space="0"/>
            </w:tcBorders>
          </w:tcPr>
          <w:p w14:paraId="2A4D0D89">
            <w:pPr>
              <w:spacing w:line="360" w:lineRule="auto"/>
              <w:ind w:firstLine="560"/>
              <w:rPr>
                <w:rFonts w:hint="eastAsia" w:ascii="仿宋" w:hAnsi="仿宋" w:eastAsia="仿宋" w:cs="仿宋"/>
                <w:color w:val="auto"/>
                <w:sz w:val="24"/>
                <w:highlight w:val="none"/>
              </w:rPr>
            </w:pPr>
          </w:p>
        </w:tc>
      </w:tr>
      <w:tr w14:paraId="32152259">
        <w:tblPrEx>
          <w:tblCellMar>
            <w:top w:w="0" w:type="dxa"/>
            <w:left w:w="108" w:type="dxa"/>
            <w:bottom w:w="0" w:type="dxa"/>
            <w:right w:w="108" w:type="dxa"/>
          </w:tblCellMar>
        </w:tblPrEx>
        <w:trPr>
          <w:trHeight w:val="54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98AC66C">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说明：含运输费、装卸费、技术指导、增值税</w:t>
            </w:r>
          </w:p>
        </w:tc>
      </w:tr>
    </w:tbl>
    <w:p w14:paraId="2FF7D4E7">
      <w:pPr>
        <w:spacing w:line="360" w:lineRule="auto"/>
        <w:ind w:firstLine="560"/>
        <w:rPr>
          <w:rFonts w:hint="eastAsia" w:ascii="仿宋" w:hAnsi="仿宋" w:eastAsia="仿宋" w:cs="仿宋"/>
          <w:color w:val="auto"/>
          <w:sz w:val="24"/>
          <w:highlight w:val="none"/>
        </w:rPr>
      </w:pPr>
    </w:p>
    <w:p w14:paraId="4B46DD36">
      <w:pPr>
        <w:spacing w:line="360" w:lineRule="auto"/>
        <w:ind w:left="210" w:leftChars="10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3、本合同为固定总价，本合同合计人民币小写</w:t>
      </w:r>
      <w:r>
        <w:rPr>
          <w:rFonts w:hint="eastAsia" w:ascii="仿宋" w:hAnsi="仿宋" w:eastAsia="仿宋" w:cs="仿宋"/>
          <w:color w:val="auto"/>
          <w:sz w:val="24"/>
          <w:highlight w:val="none"/>
          <w:u w:val="single"/>
          <w:lang w:bidi="ar"/>
        </w:rPr>
        <w:t>：   元</w:t>
      </w:r>
      <w:r>
        <w:rPr>
          <w:rFonts w:hint="eastAsia" w:ascii="仿宋" w:hAnsi="仿宋" w:eastAsia="仿宋" w:cs="仿宋"/>
          <w:color w:val="auto"/>
          <w:sz w:val="24"/>
          <w:highlight w:val="none"/>
          <w:lang w:bidi="ar"/>
        </w:rPr>
        <w:t>；大写：</w:t>
      </w:r>
      <w:r>
        <w:rPr>
          <w:rFonts w:hint="eastAsia" w:ascii="仿宋" w:hAnsi="仿宋" w:eastAsia="仿宋" w:cs="仿宋"/>
          <w:color w:val="auto"/>
          <w:sz w:val="24"/>
          <w:highlight w:val="none"/>
          <w:u w:val="single"/>
          <w:lang w:bidi="ar"/>
        </w:rPr>
        <w:t xml:space="preserve"> 元</w:t>
      </w:r>
      <w:r>
        <w:rPr>
          <w:rFonts w:hint="eastAsia" w:ascii="仿宋" w:hAnsi="仿宋" w:eastAsia="仿宋" w:cs="仿宋"/>
          <w:color w:val="auto"/>
          <w:sz w:val="24"/>
          <w:highlight w:val="none"/>
          <w:lang w:bidi="ar"/>
        </w:rPr>
        <w:t xml:space="preserve">整。包含增值税。合同价格已包括货物供给、货物包装、运输费、安装费、调试、装卸费和保险等的全部费用及相关税费。乙方应保证甲方除支付合同约定货款之外无需再行支付其他任何费用和款项。 </w:t>
      </w:r>
    </w:p>
    <w:p w14:paraId="796E6993">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5A1266A9">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5、货物的证件要求和乙方责任：</w:t>
      </w:r>
    </w:p>
    <w:p w14:paraId="6D72C1C3">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（1）乙方必须按照相关要求提供符合国家省、市有关管理规定的各种证件（如：营业执照、生产企业许可证、合格证书）等证明文件。</w:t>
      </w:r>
    </w:p>
    <w:p w14:paraId="1AB473EA">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（2）乙方提供的上述各种证件必须完整、真实、有效，协议期内，证件到期更换时乙方应及时向甲方提供更换后的有效证件。</w:t>
      </w:r>
    </w:p>
    <w:p w14:paraId="790A9258">
      <w:pPr>
        <w:spacing w:line="360" w:lineRule="auto"/>
        <w:ind w:firstLine="56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14083B49">
      <w:pPr>
        <w:pStyle w:val="40"/>
        <w:rPr>
          <w:rFonts w:hint="eastAsia" w:eastAsia="仿宋"/>
          <w:color w:val="auto"/>
          <w:highlight w:val="none"/>
        </w:rPr>
      </w:pPr>
      <w:r>
        <w:rPr>
          <w:rFonts w:hint="eastAsia" w:eastAsia="仿宋"/>
          <w:color w:val="auto"/>
          <w:highlight w:val="none"/>
        </w:rPr>
        <w:t>6、履约保证金</w:t>
      </w:r>
    </w:p>
    <w:p w14:paraId="07F97570">
      <w:pPr>
        <w:pStyle w:val="40"/>
        <w:rPr>
          <w:rFonts w:hint="eastAsia" w:eastAsia="仿宋"/>
          <w:color w:val="auto"/>
          <w:highlight w:val="none"/>
          <w:lang w:eastAsia="zh-CN"/>
        </w:rPr>
      </w:pPr>
      <w:r>
        <w:rPr>
          <w:rFonts w:hint="eastAsia" w:eastAsia="仿宋"/>
          <w:color w:val="auto"/>
          <w:highlight w:val="none"/>
        </w:rPr>
        <w:t>（1）缴纳金额：</w:t>
      </w:r>
      <w:r>
        <w:rPr>
          <w:rFonts w:hint="eastAsia" w:eastAsia="仿宋"/>
          <w:color w:val="auto"/>
          <w:highlight w:val="none"/>
          <w:lang w:val="en-US" w:eastAsia="zh-CN"/>
        </w:rPr>
        <w:t>/</w:t>
      </w:r>
    </w:p>
    <w:p w14:paraId="63EFFB99">
      <w:pPr>
        <w:spacing w:line="360" w:lineRule="auto"/>
        <w:ind w:firstLine="420" w:firstLineChars="200"/>
        <w:rPr>
          <w:rFonts w:hint="eastAsia" w:ascii="仿宋" w:hAnsi="仿宋" w:eastAsia="仿宋" w:cs="仿宋"/>
          <w:color w:val="auto"/>
          <w:sz w:val="24"/>
          <w:highlight w:val="none"/>
        </w:rPr>
      </w:pPr>
      <w:r>
        <w:rPr>
          <w:rFonts w:hint="eastAsia" w:eastAsia="仿宋"/>
          <w:color w:val="auto"/>
          <w:highlight w:val="none"/>
        </w:rPr>
        <w:t>（2）</w:t>
      </w:r>
      <w:r>
        <w:rPr>
          <w:rFonts w:hint="eastAsia" w:ascii="仿宋" w:hAnsi="仿宋" w:eastAsia="仿宋" w:cs="仿宋"/>
          <w:color w:val="auto"/>
          <w:sz w:val="24"/>
          <w:highlight w:val="none"/>
        </w:rPr>
        <w:t>提交履约保证金的时间：中标人应于中标通知书发出之日起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个工作日内；</w:t>
      </w:r>
    </w:p>
    <w:p w14:paraId="21178A35">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二、</w:t>
      </w:r>
      <w:r>
        <w:rPr>
          <w:rFonts w:hint="eastAsia" w:ascii="仿宋" w:hAnsi="仿宋" w:eastAsia="仿宋" w:cs="仿宋"/>
          <w:b/>
          <w:color w:val="auto"/>
          <w:sz w:val="24"/>
          <w:highlight w:val="none"/>
          <w:lang w:bidi="ar"/>
        </w:rPr>
        <w:t>质量保证</w:t>
      </w:r>
    </w:p>
    <w:p w14:paraId="2B6F25D7">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1A1F02F">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2、乙方保证本合同货物是全新的、未使用过的、标识清楚，并符合国家技术规格和国家质量标准的出厂原装合格产品，产品型号、数量、规格及技术、质量标准、售后服务必须满足甲方采购要求。</w:t>
      </w:r>
    </w:p>
    <w:p w14:paraId="422149CE">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3、乙方保证向甲方提供的货品必须资质齐全、信誉好、质量高、性价比合理、售后有保障的产品。因产品资质或质量问题引发的安全事故或纠纷，乙方应积极配合甲方的调查和处理。</w:t>
      </w:r>
    </w:p>
    <w:p w14:paraId="12BA5B3A">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4、乙方提供的货物进入甲方后，应接受国家、省、市有关行业主管部门的抽查或检查。由此发生的资质、标识或产品质量问题的罚没事项归责于乙方的均由乙方自行承担。</w:t>
      </w:r>
    </w:p>
    <w:p w14:paraId="77FD414D">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5、货物在交货过程中，发生意外事故和故障损失，如撞、刮、裂、损等均由乙方承担责任。</w:t>
      </w:r>
    </w:p>
    <w:p w14:paraId="52CAE302">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6、乙方提供的产品，如验收时发生过期、失效等问题时，由乙方全部负责，且自收到甲方书面通知后7日内无条件予以补充或调换。</w:t>
      </w:r>
    </w:p>
    <w:p w14:paraId="46DAA194">
      <w:pPr>
        <w:spacing w:line="360"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四、质量保证期</w:t>
      </w:r>
    </w:p>
    <w:p w14:paraId="4952BACD">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1、质保期自甲方书面验收合格之日起计算。</w:t>
      </w:r>
    </w:p>
    <w:p w14:paraId="75961182">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2、乙方提供产品的具体质保期以相关产品生产厂家提供的质保期为准。</w:t>
      </w:r>
    </w:p>
    <w:p w14:paraId="4BEF9428">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3、在质量保证期内，因产品质量出现问题，乙方负责免费更换，并承担与更换有关的运费、安装、调试、保险等一切费用。</w:t>
      </w:r>
    </w:p>
    <w:p w14:paraId="41874503">
      <w:pPr>
        <w:spacing w:line="360"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五、交货时间、地点</w:t>
      </w:r>
    </w:p>
    <w:p w14:paraId="5CA4EAB0">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7A5FC311">
      <w:pPr>
        <w:spacing w:line="360" w:lineRule="auto"/>
        <w:ind w:firstLine="5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bidi="ar"/>
        </w:rPr>
        <w:t>2、到货地点和接货单位（或接货人）</w:t>
      </w:r>
      <w:r>
        <w:rPr>
          <w:rFonts w:hint="eastAsia" w:ascii="仿宋" w:hAnsi="仿宋" w:eastAsia="仿宋" w:cs="仿宋"/>
          <w:color w:val="auto"/>
          <w:sz w:val="24"/>
          <w:highlight w:val="none"/>
          <w:u w:val="single"/>
          <w:lang w:bidi="ar"/>
        </w:rPr>
        <w:t xml:space="preserve"> 新疆农业大学</w:t>
      </w:r>
      <w:r>
        <w:rPr>
          <w:rFonts w:hint="eastAsia" w:ascii="仿宋" w:hAnsi="仿宋" w:eastAsia="仿宋" w:cs="仿宋"/>
          <w:color w:val="auto"/>
          <w:sz w:val="24"/>
          <w:highlight w:val="none"/>
          <w:lang w:bidi="ar"/>
        </w:rPr>
        <w:t>。甲方指定的接货人为：姓名：</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sz w:val="24"/>
          <w:highlight w:val="none"/>
          <w:lang w:bidi="ar"/>
        </w:rPr>
        <w:t>电话号码：</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sz w:val="24"/>
          <w:highlight w:val="none"/>
          <w:lang w:bidi="ar"/>
        </w:rPr>
        <w:t>；双方明确，除该指定接货人外，其他任何人员（包括甲方的其他任何工作人员）签署的接货单，甲方均不予认可。</w:t>
      </w:r>
    </w:p>
    <w:p w14:paraId="46B60528">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3、在交付时，乙方必须向甲方提供质量合格证书等一切相关资料及配件，否则，甲方有权不予付款且不承担违约责任。</w:t>
      </w:r>
    </w:p>
    <w:p w14:paraId="3803479F">
      <w:pPr>
        <w:spacing w:line="360"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六、产品包装及运输</w:t>
      </w:r>
    </w:p>
    <w:p w14:paraId="11DFCE06">
      <w:pPr>
        <w:spacing w:line="360" w:lineRule="auto"/>
        <w:ind w:firstLine="56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１、包装必须与运输方式相适应，包装方式的确定和包装费用均由乙方负责;由于不适当的包装而造成的货物有任何的损坏由乙方负责。</w:t>
      </w:r>
    </w:p>
    <w:p w14:paraId="6EB77582">
      <w:pPr>
        <w:spacing w:line="360" w:lineRule="auto"/>
        <w:ind w:firstLine="56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3BB41F39">
      <w:pPr>
        <w:spacing w:line="360" w:lineRule="auto"/>
        <w:ind w:firstLine="56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3、包装费、运输费、装卸费和保险费均已包含在合同单价内。</w:t>
      </w:r>
    </w:p>
    <w:p w14:paraId="232FC6AF">
      <w:pPr>
        <w:spacing w:line="360" w:lineRule="auto"/>
        <w:ind w:firstLine="56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4、运输途中的货物安全问题均由乙方负责。</w:t>
      </w:r>
    </w:p>
    <w:p w14:paraId="33A31281">
      <w:pPr>
        <w:spacing w:line="360" w:lineRule="auto"/>
        <w:ind w:firstLine="562"/>
        <w:rPr>
          <w:rFonts w:hint="eastAsia" w:ascii="仿宋" w:hAnsi="仿宋" w:eastAsia="仿宋" w:cs="仿宋"/>
          <w:bCs/>
          <w:color w:val="auto"/>
          <w:sz w:val="24"/>
          <w:highlight w:val="none"/>
        </w:rPr>
      </w:pPr>
      <w:r>
        <w:rPr>
          <w:rFonts w:hint="eastAsia" w:ascii="仿宋" w:hAnsi="仿宋" w:eastAsia="仿宋" w:cs="仿宋"/>
          <w:b/>
          <w:color w:val="auto"/>
          <w:sz w:val="24"/>
          <w:highlight w:val="none"/>
          <w:lang w:bidi="ar"/>
        </w:rPr>
        <w:t>七、验收</w:t>
      </w:r>
    </w:p>
    <w:p w14:paraId="4708AC12">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17136102">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2、数量: 乙方交货时，甲乙双方应各指定一名工作人员对货物数量进行统计，交货完成后，就甲方验收合格的货物数量，由双方各自指定的工作人员在随货通行单上签字确认，随货通行单一式肆份，作为今后双方结算的依据之一。</w:t>
      </w:r>
    </w:p>
    <w:p w14:paraId="1B534DEA">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p>
    <w:p w14:paraId="1A035A5B">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285E625B">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乙方提供货物的有效期至少在注册证有效期的三分之一以上，如发现有效期少于三个月的，甲方库房管理员有权拒绝验货，特殊产品双方另行协商。如乙方供货的的库房存货到达有效期期限，乙方应尽可能协调更换过期产品。</w:t>
      </w:r>
    </w:p>
    <w:p w14:paraId="7FCFBD37">
      <w:pPr>
        <w:spacing w:line="360"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八、货款的支付</w:t>
      </w:r>
    </w:p>
    <w:p w14:paraId="7ED5AE5E">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r>
        <w:rPr>
          <w:rFonts w:hint="eastAsia" w:ascii="仿宋" w:hAnsi="仿宋" w:eastAsia="仿宋" w:cs="仿宋"/>
          <w:color w:val="auto"/>
          <w:sz w:val="24"/>
          <w:szCs w:val="24"/>
          <w:highlight w:val="none"/>
        </w:rPr>
        <w:t>合同签订后，招标人支付30%的预付款，交货验收后支付剩余设备款，具体以合同签订为主</w:t>
      </w:r>
      <w:r>
        <w:rPr>
          <w:rFonts w:hint="eastAsia" w:ascii="仿宋" w:hAnsi="仿宋" w:eastAsia="仿宋" w:cs="仿宋"/>
          <w:color w:val="auto"/>
          <w:sz w:val="24"/>
          <w:szCs w:val="24"/>
          <w:highlight w:val="none"/>
          <w:lang w:eastAsia="zh-CN"/>
        </w:rPr>
        <w:t>。</w:t>
      </w:r>
    </w:p>
    <w:p w14:paraId="4D16779A">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2、甲方支付上述款项前，乙方应提供符合甲方财务做账要求的正规全额增值税发票，否则，甲方有权拒付款项且不承担违约责任。</w:t>
      </w:r>
    </w:p>
    <w:p w14:paraId="68986A45">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3</w:t>
      </w:r>
      <w:r>
        <w:rPr>
          <w:rFonts w:hint="eastAsia" w:ascii="仿宋" w:hAnsi="仿宋" w:eastAsia="仿宋" w:cs="仿宋"/>
          <w:color w:val="auto"/>
          <w:sz w:val="24"/>
          <w:highlight w:val="none"/>
          <w:lang w:bidi="ar"/>
        </w:rPr>
        <w:t>、甲方将上述款项支付至乙方指定的如下银行账户：</w:t>
      </w:r>
    </w:p>
    <w:p w14:paraId="507EDF34">
      <w:pPr>
        <w:spacing w:line="360" w:lineRule="auto"/>
        <w:ind w:firstLine="5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bidi="ar"/>
        </w:rPr>
        <w:t>开户行：</w:t>
      </w:r>
    </w:p>
    <w:p w14:paraId="0D5C04CE">
      <w:pPr>
        <w:spacing w:line="360" w:lineRule="auto"/>
        <w:ind w:firstLine="5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bidi="ar"/>
        </w:rPr>
        <w:t>账户名称：</w:t>
      </w:r>
    </w:p>
    <w:p w14:paraId="4CDDB0F8">
      <w:pPr>
        <w:spacing w:line="360" w:lineRule="auto"/>
        <w:ind w:firstLine="5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bidi="ar"/>
        </w:rPr>
        <w:t>银行账号：</w:t>
      </w:r>
    </w:p>
    <w:p w14:paraId="7BF2F178">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3F86643F">
      <w:pPr>
        <w:spacing w:line="360"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九、违约责任</w:t>
      </w:r>
    </w:p>
    <w:p w14:paraId="6D79ADA0">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乙方应严格按照合同约定的时间交货，如乙方延迟交货，甲方有权追究延迟交货的违约责任。乙方必须确保投标的产品和供货的产品一致，如发现供货产品生产厂家、质量和招标时不符的情况，甲方有权立即要求乙方退货、解除合同，并要求乙方承担违约供货产品货款20%的违约金。</w:t>
      </w:r>
    </w:p>
    <w:p w14:paraId="3DC5B374">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2）如果乙方提供的货物因质量问题或者设计瑕疵，导致甲方使用过程中安全事故等不良后果的，全部责任均由乙方承担，并赔偿由此给甲方带来的全部损失，同时，剩余未付货款作为违约金全部归甲方所有。</w:t>
      </w:r>
    </w:p>
    <w:p w14:paraId="12C3AEBA">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40A0530C">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4）上述条款中约定的违约金如不能弥补甲方实际损失的，以甲方实际损失为准（包括但不限于第三方索赔、律师费、诉讼费、鉴定费、公证费、差旅费等甲方采取诉讼途径发生的一切费用）。</w:t>
      </w:r>
    </w:p>
    <w:p w14:paraId="0C23EEA6">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乙方销售代表在合同签订及履行过程中，不得实施商业贿赂。若有商业贿赂行为，按照有关规定执行，或与甲方相关工作人员串通，做出损害甲方利益的任何行为，每次按合同总金额的20%的数额向甲方承担违约金。</w:t>
      </w:r>
    </w:p>
    <w:p w14:paraId="57A11E51">
      <w:pPr>
        <w:spacing w:line="360"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十、争议的解决</w:t>
      </w:r>
    </w:p>
    <w:p w14:paraId="5F8CE9A5">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本合同如发生纠纷，当事人双方应当及时协商解决，协商不成时，可提交甲方所在地法院诉讼解决。</w:t>
      </w:r>
    </w:p>
    <w:p w14:paraId="4A5CF90B">
      <w:pPr>
        <w:spacing w:line="360"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十一、合同的生效与文本</w:t>
      </w:r>
    </w:p>
    <w:p w14:paraId="06D647AE">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1、本合同经双方法定代表人签字或单位盖章或双方委托代理人签字成立生效。</w:t>
      </w:r>
    </w:p>
    <w:p w14:paraId="2DE3FD67">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2、本合同一式陆份，甲方执伍份，乙方执壹份，具有同等法律效力。</w:t>
      </w:r>
    </w:p>
    <w:p w14:paraId="207BC54D">
      <w:pPr>
        <w:spacing w:line="360"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十二、其他</w:t>
      </w:r>
    </w:p>
    <w:p w14:paraId="17F9A1B1">
      <w:pPr>
        <w:spacing w:line="360" w:lineRule="auto"/>
        <w:ind w:firstLine="560"/>
        <w:rPr>
          <w:rFonts w:hint="eastAsia" w:ascii="仿宋" w:hAnsi="仿宋" w:eastAsia="仿宋" w:cs="仿宋"/>
          <w:color w:val="auto"/>
          <w:sz w:val="24"/>
          <w:highlight w:val="none"/>
        </w:rPr>
      </w:pPr>
      <w:r>
        <w:rPr>
          <w:rFonts w:hint="eastAsia" w:ascii="仿宋" w:hAnsi="仿宋" w:eastAsia="仿宋" w:cs="仿宋"/>
          <w:bCs/>
          <w:color w:val="auto"/>
          <w:sz w:val="24"/>
          <w:highlight w:val="none"/>
          <w:lang w:bidi="ar"/>
        </w:rPr>
        <w:t>1</w:t>
      </w:r>
      <w:r>
        <w:rPr>
          <w:rFonts w:hint="eastAsia" w:ascii="仿宋" w:hAnsi="仿宋" w:eastAsia="仿宋" w:cs="仿宋"/>
          <w:color w:val="auto"/>
          <w:sz w:val="24"/>
          <w:highlight w:val="none"/>
          <w:lang w:bidi="ar"/>
        </w:rPr>
        <w:t>、本合同首尾部分签字页双方提供的双方信息，为双方确认的各方准确有效的送达地址信息，如有变更应书面通知对方，未通知视为未变更。双方同意按前述地址向对方送达各类文件、函件等，寄出及发送时间为送达时间。</w:t>
      </w:r>
    </w:p>
    <w:p w14:paraId="2C2EA43E">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2、与本合同有关的招投标文件、答疑附件、合同附件等均是本合同不可分割的组成部分，与本合同具有同等法律效力，其他未尽事宜从其规定。</w:t>
      </w:r>
    </w:p>
    <w:p w14:paraId="2B58E89F">
      <w:pPr>
        <w:spacing w:line="360" w:lineRule="auto"/>
        <w:ind w:firstLine="560"/>
        <w:rPr>
          <w:rFonts w:hint="eastAsia" w:ascii="仿宋" w:hAnsi="仿宋" w:eastAsia="仿宋" w:cs="仿宋"/>
          <w:color w:val="auto"/>
          <w:sz w:val="24"/>
          <w:highlight w:val="none"/>
        </w:rPr>
      </w:pPr>
    </w:p>
    <w:p w14:paraId="553D5697">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（以下无正文，为本合同签署页）</w:t>
      </w:r>
    </w:p>
    <w:p w14:paraId="4F5D7A7C">
      <w:pPr>
        <w:pStyle w:val="33"/>
        <w:spacing w:line="360" w:lineRule="auto"/>
        <w:rPr>
          <w:rFonts w:hint="eastAsia" w:ascii="仿宋" w:hAnsi="仿宋" w:eastAsia="仿宋" w:cs="仿宋"/>
          <w:color w:val="auto"/>
          <w:sz w:val="24"/>
          <w:szCs w:val="24"/>
          <w:highlight w:val="none"/>
        </w:rPr>
      </w:pPr>
    </w:p>
    <w:sectPr>
      <w:footerReference r:id="rId12"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2C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A55E">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5DD1">
    <w:pPr>
      <w:pStyle w:val="17"/>
      <w:jc w:val="center"/>
      <w:rPr>
        <w:rFonts w:hint="eastAsia" w:asciiTheme="minorEastAsia" w:hAnsiTheme="minorEastAsia" w:eastAsiaTheme="minorEastAsia"/>
        <w:sz w:val="21"/>
        <w:szCs w:val="21"/>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DDF">
    <w:pPr>
      <w:pStyle w:val="17"/>
      <w:jc w:val="center"/>
      <w:rPr>
        <w:rFonts w:hint="eastAsia" w:asciiTheme="minorEastAsia" w:hAnsiTheme="minorEastAsia" w:eastAsiaTheme="minorEastAsia"/>
        <w:sz w:val="21"/>
        <w:szCs w:val="21"/>
        <w:lang w:val="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BB22E">
                          <w:pPr>
                            <w:pStyle w:val="17"/>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6BB22E">
                    <w:pPr>
                      <w:pStyle w:val="17"/>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6402">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0465F">
                          <w:pPr>
                            <w:pStyle w:val="1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9A0465F">
                    <w:pPr>
                      <w:pStyle w:val="1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8047">
    <w:pPr>
      <w:autoSpaceDE w:val="0"/>
      <w:autoSpaceDN w:val="0"/>
      <w:adjustRightInd w:val="0"/>
      <w:spacing w:line="200" w:lineRule="exact"/>
      <w:jc w:val="left"/>
      <w:rPr>
        <w:rFonts w:ascii="Times New Roman" w:eastAsia="Times New Roman"/>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DE49D">
                          <w:pPr>
                            <w:pStyle w:val="17"/>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D8DE49D">
                    <w:pPr>
                      <w:pStyle w:val="17"/>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4FD3D">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E59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4D4C">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F4C4E">
    <w:pPr>
      <w:pStyle w:val="1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BCAA7"/>
    <w:multiLevelType w:val="singleLevel"/>
    <w:tmpl w:val="819BCAA7"/>
    <w:lvl w:ilvl="0" w:tentative="0">
      <w:start w:val="1"/>
      <w:numFmt w:val="decimal"/>
      <w:suff w:val="nothing"/>
      <w:lvlText w:val="%1、"/>
      <w:lvlJc w:val="left"/>
    </w:lvl>
  </w:abstractNum>
  <w:abstractNum w:abstractNumId="1">
    <w:nsid w:val="83B97A35"/>
    <w:multiLevelType w:val="singleLevel"/>
    <w:tmpl w:val="83B97A35"/>
    <w:lvl w:ilvl="0" w:tentative="0">
      <w:start w:val="2"/>
      <w:numFmt w:val="chineseCounting"/>
      <w:suff w:val="nothing"/>
      <w:lvlText w:val="%1、"/>
      <w:lvlJc w:val="left"/>
      <w:rPr>
        <w:rFonts w:hint="eastAsia"/>
      </w:rPr>
    </w:lvl>
  </w:abstractNum>
  <w:abstractNum w:abstractNumId="2">
    <w:nsid w:val="A7D08F78"/>
    <w:multiLevelType w:val="multilevel"/>
    <w:tmpl w:val="A7D08F78"/>
    <w:lvl w:ilvl="0" w:tentative="0">
      <w:start w:val="1"/>
      <w:numFmt w:val="chineseCounting"/>
      <w:suff w:val="nothing"/>
      <w:lvlText w:val="第%1章 "/>
      <w:lvlJc w:val="left"/>
      <w:pPr>
        <w:ind w:left="4685" w:hanging="432"/>
      </w:pPr>
      <w:rPr>
        <w:rFonts w:hint="eastAsia"/>
      </w:rPr>
    </w:lvl>
    <w:lvl w:ilvl="1" w:tentative="0">
      <w:start w:val="1"/>
      <w:numFmt w:val="decimal"/>
      <w:isLgl/>
      <w:lvlText w:val="%1.%2."/>
      <w:lvlJc w:val="left"/>
      <w:pPr>
        <w:ind w:left="1285" w:hanging="575"/>
      </w:pPr>
      <w:rPr>
        <w:rFonts w:hint="eastAsia"/>
      </w:rPr>
    </w:lvl>
    <w:lvl w:ilvl="2" w:tentative="0">
      <w:start w:val="1"/>
      <w:numFmt w:val="decimal"/>
      <w:pStyle w:val="5"/>
      <w:isLgl/>
      <w:lvlText w:val="%1.%2.%3."/>
      <w:lvlJc w:val="left"/>
      <w:pPr>
        <w:ind w:left="2422"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4">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5"/>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66E9225"/>
    <w:multiLevelType w:val="singleLevel"/>
    <w:tmpl w:val="666E9225"/>
    <w:lvl w:ilvl="0" w:tentative="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jRkYmY2NWJhNjA4MmU4YTc0NDY4YTNlNjVmNjgifQ=="/>
    <w:docVar w:name="KSO_WPS_MARK_KEY" w:val="2542d0e4-db01-47bc-9e30-3b31ec68f3a9"/>
  </w:docVars>
  <w:rsids>
    <w:rsidRoot w:val="006D6F44"/>
    <w:rsid w:val="00083A7D"/>
    <w:rsid w:val="00085DA1"/>
    <w:rsid w:val="00103897"/>
    <w:rsid w:val="001119CD"/>
    <w:rsid w:val="001343B1"/>
    <w:rsid w:val="00177ECA"/>
    <w:rsid w:val="001D0F5A"/>
    <w:rsid w:val="001E73D8"/>
    <w:rsid w:val="001F2966"/>
    <w:rsid w:val="002021CC"/>
    <w:rsid w:val="00212106"/>
    <w:rsid w:val="0022674C"/>
    <w:rsid w:val="00227709"/>
    <w:rsid w:val="00252FC0"/>
    <w:rsid w:val="002C54C8"/>
    <w:rsid w:val="00360E24"/>
    <w:rsid w:val="003C111D"/>
    <w:rsid w:val="00436CBC"/>
    <w:rsid w:val="0049263D"/>
    <w:rsid w:val="004D5BB6"/>
    <w:rsid w:val="00544619"/>
    <w:rsid w:val="005F58DE"/>
    <w:rsid w:val="00634FF2"/>
    <w:rsid w:val="006351B6"/>
    <w:rsid w:val="006B79D1"/>
    <w:rsid w:val="006D6F44"/>
    <w:rsid w:val="0073556F"/>
    <w:rsid w:val="00754BD2"/>
    <w:rsid w:val="00971785"/>
    <w:rsid w:val="00975909"/>
    <w:rsid w:val="00994FF1"/>
    <w:rsid w:val="00A17CC3"/>
    <w:rsid w:val="00A21929"/>
    <w:rsid w:val="00AD511E"/>
    <w:rsid w:val="00AF6717"/>
    <w:rsid w:val="00BA491C"/>
    <w:rsid w:val="00BD6145"/>
    <w:rsid w:val="00BD6897"/>
    <w:rsid w:val="00CC135F"/>
    <w:rsid w:val="00D02EF5"/>
    <w:rsid w:val="00D651EE"/>
    <w:rsid w:val="00DF14BB"/>
    <w:rsid w:val="00DF7C4C"/>
    <w:rsid w:val="00EC7FC3"/>
    <w:rsid w:val="00ED07B6"/>
    <w:rsid w:val="00F846DC"/>
    <w:rsid w:val="0102159D"/>
    <w:rsid w:val="01113D6B"/>
    <w:rsid w:val="011A058D"/>
    <w:rsid w:val="014F219D"/>
    <w:rsid w:val="015529D7"/>
    <w:rsid w:val="016043AA"/>
    <w:rsid w:val="01B110AA"/>
    <w:rsid w:val="01FE02D2"/>
    <w:rsid w:val="020236B3"/>
    <w:rsid w:val="021A27AB"/>
    <w:rsid w:val="022E2C35"/>
    <w:rsid w:val="02563B57"/>
    <w:rsid w:val="025E09B4"/>
    <w:rsid w:val="026F3743"/>
    <w:rsid w:val="02731484"/>
    <w:rsid w:val="0281282A"/>
    <w:rsid w:val="02B20C36"/>
    <w:rsid w:val="03870840"/>
    <w:rsid w:val="03870C59"/>
    <w:rsid w:val="03F86B1C"/>
    <w:rsid w:val="040C416E"/>
    <w:rsid w:val="044A50D4"/>
    <w:rsid w:val="04735682"/>
    <w:rsid w:val="04837C03"/>
    <w:rsid w:val="04AB0032"/>
    <w:rsid w:val="05164823"/>
    <w:rsid w:val="05681A7F"/>
    <w:rsid w:val="057C2119"/>
    <w:rsid w:val="05E82BC0"/>
    <w:rsid w:val="05EC445F"/>
    <w:rsid w:val="06371391"/>
    <w:rsid w:val="06432556"/>
    <w:rsid w:val="0664493D"/>
    <w:rsid w:val="067B3BB7"/>
    <w:rsid w:val="06815A00"/>
    <w:rsid w:val="069D2020"/>
    <w:rsid w:val="06B22791"/>
    <w:rsid w:val="07235BE6"/>
    <w:rsid w:val="07294B7B"/>
    <w:rsid w:val="0734173C"/>
    <w:rsid w:val="0767768E"/>
    <w:rsid w:val="079F3753"/>
    <w:rsid w:val="07A82607"/>
    <w:rsid w:val="07F910B5"/>
    <w:rsid w:val="08275C22"/>
    <w:rsid w:val="082F62F4"/>
    <w:rsid w:val="08386081"/>
    <w:rsid w:val="084014C7"/>
    <w:rsid w:val="084C38DA"/>
    <w:rsid w:val="089A1160"/>
    <w:rsid w:val="08A802E5"/>
    <w:rsid w:val="091B0085"/>
    <w:rsid w:val="092B1742"/>
    <w:rsid w:val="094665B2"/>
    <w:rsid w:val="096E011F"/>
    <w:rsid w:val="09B71227"/>
    <w:rsid w:val="09C82F26"/>
    <w:rsid w:val="0A081A83"/>
    <w:rsid w:val="0A1931E8"/>
    <w:rsid w:val="0A2A256E"/>
    <w:rsid w:val="0A8366CB"/>
    <w:rsid w:val="0A8649B5"/>
    <w:rsid w:val="0A8E1890"/>
    <w:rsid w:val="0AB87A3E"/>
    <w:rsid w:val="0B084C39"/>
    <w:rsid w:val="0B0D4C33"/>
    <w:rsid w:val="0B1229A8"/>
    <w:rsid w:val="0B770C6E"/>
    <w:rsid w:val="0BF7590B"/>
    <w:rsid w:val="0C423586"/>
    <w:rsid w:val="0C565B2A"/>
    <w:rsid w:val="0C71390F"/>
    <w:rsid w:val="0CB47CA0"/>
    <w:rsid w:val="0CB9519B"/>
    <w:rsid w:val="0CCD48BE"/>
    <w:rsid w:val="0CE57811"/>
    <w:rsid w:val="0D2E1801"/>
    <w:rsid w:val="0D3A01A5"/>
    <w:rsid w:val="0D850FBB"/>
    <w:rsid w:val="0D86113E"/>
    <w:rsid w:val="0D8853B5"/>
    <w:rsid w:val="0DBA12E6"/>
    <w:rsid w:val="0DC83A03"/>
    <w:rsid w:val="0DD87DE8"/>
    <w:rsid w:val="0E2B3F92"/>
    <w:rsid w:val="0E4B1F3E"/>
    <w:rsid w:val="0E5F3020"/>
    <w:rsid w:val="0EB16245"/>
    <w:rsid w:val="0EB36461"/>
    <w:rsid w:val="0EDC703A"/>
    <w:rsid w:val="0EF56A7A"/>
    <w:rsid w:val="0F2310FF"/>
    <w:rsid w:val="0F3D3F7D"/>
    <w:rsid w:val="0F887012"/>
    <w:rsid w:val="0FAE4E7B"/>
    <w:rsid w:val="104A6951"/>
    <w:rsid w:val="10906A1B"/>
    <w:rsid w:val="10A06571"/>
    <w:rsid w:val="10C66FE1"/>
    <w:rsid w:val="10CB5F5E"/>
    <w:rsid w:val="113A22D2"/>
    <w:rsid w:val="116A4DD1"/>
    <w:rsid w:val="11DA1F57"/>
    <w:rsid w:val="120E3388"/>
    <w:rsid w:val="12541D09"/>
    <w:rsid w:val="12A85BB1"/>
    <w:rsid w:val="12BE7F9E"/>
    <w:rsid w:val="12C33AC5"/>
    <w:rsid w:val="13C9021C"/>
    <w:rsid w:val="1415056B"/>
    <w:rsid w:val="141F0275"/>
    <w:rsid w:val="14795A57"/>
    <w:rsid w:val="14B27574"/>
    <w:rsid w:val="14D0319D"/>
    <w:rsid w:val="14F00AA2"/>
    <w:rsid w:val="15655FDB"/>
    <w:rsid w:val="15802E15"/>
    <w:rsid w:val="15B12FCF"/>
    <w:rsid w:val="1606156C"/>
    <w:rsid w:val="16161E94"/>
    <w:rsid w:val="161F43DC"/>
    <w:rsid w:val="16213877"/>
    <w:rsid w:val="16393655"/>
    <w:rsid w:val="16B65467"/>
    <w:rsid w:val="170F4451"/>
    <w:rsid w:val="17272C68"/>
    <w:rsid w:val="175045FA"/>
    <w:rsid w:val="1763654B"/>
    <w:rsid w:val="178275D3"/>
    <w:rsid w:val="178722FE"/>
    <w:rsid w:val="17B316F7"/>
    <w:rsid w:val="17C23271"/>
    <w:rsid w:val="17C90AA4"/>
    <w:rsid w:val="17D82A95"/>
    <w:rsid w:val="17D84283"/>
    <w:rsid w:val="17E71A50"/>
    <w:rsid w:val="184879E1"/>
    <w:rsid w:val="189866C8"/>
    <w:rsid w:val="18A04871"/>
    <w:rsid w:val="18AF5EEB"/>
    <w:rsid w:val="18B43502"/>
    <w:rsid w:val="18E3544F"/>
    <w:rsid w:val="18E831AB"/>
    <w:rsid w:val="19313DE0"/>
    <w:rsid w:val="1934019F"/>
    <w:rsid w:val="19403168"/>
    <w:rsid w:val="197233CD"/>
    <w:rsid w:val="19A33E76"/>
    <w:rsid w:val="19AC0CB4"/>
    <w:rsid w:val="19AF2B69"/>
    <w:rsid w:val="19BC1F42"/>
    <w:rsid w:val="19C37774"/>
    <w:rsid w:val="1A3C3108"/>
    <w:rsid w:val="1A9133CF"/>
    <w:rsid w:val="1AB570BD"/>
    <w:rsid w:val="1AFA0F74"/>
    <w:rsid w:val="1B0C4116"/>
    <w:rsid w:val="1B397CEE"/>
    <w:rsid w:val="1BAD3CEB"/>
    <w:rsid w:val="1BB750B7"/>
    <w:rsid w:val="1BCD1B0E"/>
    <w:rsid w:val="1BD46B05"/>
    <w:rsid w:val="1BDE0896"/>
    <w:rsid w:val="1BF846A0"/>
    <w:rsid w:val="1BFD5776"/>
    <w:rsid w:val="1C0D1768"/>
    <w:rsid w:val="1C111736"/>
    <w:rsid w:val="1C37598E"/>
    <w:rsid w:val="1C8E3164"/>
    <w:rsid w:val="1C9553F8"/>
    <w:rsid w:val="1D22539B"/>
    <w:rsid w:val="1D5252D9"/>
    <w:rsid w:val="1D677FC0"/>
    <w:rsid w:val="1D7A639C"/>
    <w:rsid w:val="1DC57731"/>
    <w:rsid w:val="1DD957B9"/>
    <w:rsid w:val="1DE226F6"/>
    <w:rsid w:val="1DE942FF"/>
    <w:rsid w:val="1E395337"/>
    <w:rsid w:val="1E4902C6"/>
    <w:rsid w:val="1E4946EC"/>
    <w:rsid w:val="1E5310C7"/>
    <w:rsid w:val="1E624A31"/>
    <w:rsid w:val="1EDA6996"/>
    <w:rsid w:val="1EEE29A8"/>
    <w:rsid w:val="1F046865"/>
    <w:rsid w:val="1F280811"/>
    <w:rsid w:val="1F78690B"/>
    <w:rsid w:val="1FB57B5F"/>
    <w:rsid w:val="1FEE40BC"/>
    <w:rsid w:val="20001D6A"/>
    <w:rsid w:val="206A5E42"/>
    <w:rsid w:val="20A17691"/>
    <w:rsid w:val="211A4921"/>
    <w:rsid w:val="2139587A"/>
    <w:rsid w:val="21417A0D"/>
    <w:rsid w:val="21DA4DF2"/>
    <w:rsid w:val="21F26EE5"/>
    <w:rsid w:val="2245341D"/>
    <w:rsid w:val="226A4C31"/>
    <w:rsid w:val="22A30143"/>
    <w:rsid w:val="22BD7457"/>
    <w:rsid w:val="22D24584"/>
    <w:rsid w:val="22DB49BE"/>
    <w:rsid w:val="22E67C91"/>
    <w:rsid w:val="22F378F8"/>
    <w:rsid w:val="231A6657"/>
    <w:rsid w:val="234611FA"/>
    <w:rsid w:val="235B27CC"/>
    <w:rsid w:val="23787408"/>
    <w:rsid w:val="23953F30"/>
    <w:rsid w:val="23A43B4C"/>
    <w:rsid w:val="23AB4992"/>
    <w:rsid w:val="244C35C8"/>
    <w:rsid w:val="246C62EA"/>
    <w:rsid w:val="249935AC"/>
    <w:rsid w:val="24AE1898"/>
    <w:rsid w:val="25090731"/>
    <w:rsid w:val="25140E84"/>
    <w:rsid w:val="25144BF2"/>
    <w:rsid w:val="25317169"/>
    <w:rsid w:val="254F010E"/>
    <w:rsid w:val="25513E86"/>
    <w:rsid w:val="256F4866"/>
    <w:rsid w:val="257E7FAA"/>
    <w:rsid w:val="25893620"/>
    <w:rsid w:val="25A91F14"/>
    <w:rsid w:val="25E92311"/>
    <w:rsid w:val="26592325"/>
    <w:rsid w:val="267C3185"/>
    <w:rsid w:val="26E322A8"/>
    <w:rsid w:val="26E52AD8"/>
    <w:rsid w:val="27072C08"/>
    <w:rsid w:val="27AF63B3"/>
    <w:rsid w:val="27B23302"/>
    <w:rsid w:val="27BC2A5B"/>
    <w:rsid w:val="27C41578"/>
    <w:rsid w:val="27D873E1"/>
    <w:rsid w:val="27E40FE2"/>
    <w:rsid w:val="27E47234"/>
    <w:rsid w:val="2838132E"/>
    <w:rsid w:val="2863070C"/>
    <w:rsid w:val="286B1703"/>
    <w:rsid w:val="288822B5"/>
    <w:rsid w:val="28BE433A"/>
    <w:rsid w:val="28CA467C"/>
    <w:rsid w:val="28D601EB"/>
    <w:rsid w:val="28EC2915"/>
    <w:rsid w:val="29096867"/>
    <w:rsid w:val="29134581"/>
    <w:rsid w:val="291E0523"/>
    <w:rsid w:val="299F1664"/>
    <w:rsid w:val="29DB1AEB"/>
    <w:rsid w:val="29DE5D3A"/>
    <w:rsid w:val="2A104310"/>
    <w:rsid w:val="2A181229"/>
    <w:rsid w:val="2A6E646D"/>
    <w:rsid w:val="2A7C60C8"/>
    <w:rsid w:val="2AEC5A97"/>
    <w:rsid w:val="2B1A4D1A"/>
    <w:rsid w:val="2B4917E2"/>
    <w:rsid w:val="2B731B25"/>
    <w:rsid w:val="2BAA609E"/>
    <w:rsid w:val="2BAC5784"/>
    <w:rsid w:val="2BB86A0D"/>
    <w:rsid w:val="2BC32A58"/>
    <w:rsid w:val="2C0B2F55"/>
    <w:rsid w:val="2C877DC8"/>
    <w:rsid w:val="2C8E3C12"/>
    <w:rsid w:val="2CA64AB8"/>
    <w:rsid w:val="2CDF0300"/>
    <w:rsid w:val="2D1063D5"/>
    <w:rsid w:val="2D7453B7"/>
    <w:rsid w:val="2D9D410D"/>
    <w:rsid w:val="2E536EC1"/>
    <w:rsid w:val="2E6B53DA"/>
    <w:rsid w:val="2E986820"/>
    <w:rsid w:val="2ED718A0"/>
    <w:rsid w:val="2EF42085"/>
    <w:rsid w:val="2F9028FF"/>
    <w:rsid w:val="2FB4672A"/>
    <w:rsid w:val="2FB971F8"/>
    <w:rsid w:val="2FEF6218"/>
    <w:rsid w:val="301A2DFD"/>
    <w:rsid w:val="30332B06"/>
    <w:rsid w:val="304940D8"/>
    <w:rsid w:val="306B247C"/>
    <w:rsid w:val="30C95219"/>
    <w:rsid w:val="310F3486"/>
    <w:rsid w:val="312406A1"/>
    <w:rsid w:val="312E1520"/>
    <w:rsid w:val="31AB69D8"/>
    <w:rsid w:val="31AD06C5"/>
    <w:rsid w:val="31B07BB6"/>
    <w:rsid w:val="31D609DB"/>
    <w:rsid w:val="31E01A47"/>
    <w:rsid w:val="31E02532"/>
    <w:rsid w:val="31FE6D3C"/>
    <w:rsid w:val="32024E86"/>
    <w:rsid w:val="322D5E7C"/>
    <w:rsid w:val="32382833"/>
    <w:rsid w:val="323B5CA2"/>
    <w:rsid w:val="329E236C"/>
    <w:rsid w:val="32BD0DAD"/>
    <w:rsid w:val="33522800"/>
    <w:rsid w:val="33574D5E"/>
    <w:rsid w:val="338D3D76"/>
    <w:rsid w:val="33935CB5"/>
    <w:rsid w:val="33DC582B"/>
    <w:rsid w:val="33DC6096"/>
    <w:rsid w:val="33FF6CC7"/>
    <w:rsid w:val="340F73E6"/>
    <w:rsid w:val="34101053"/>
    <w:rsid w:val="346040E6"/>
    <w:rsid w:val="3492329A"/>
    <w:rsid w:val="34BB756E"/>
    <w:rsid w:val="34DB111B"/>
    <w:rsid w:val="34E97A94"/>
    <w:rsid w:val="35040F15"/>
    <w:rsid w:val="352F2BEC"/>
    <w:rsid w:val="35466E38"/>
    <w:rsid w:val="35B93AAE"/>
    <w:rsid w:val="35DB7EC8"/>
    <w:rsid w:val="35E46E43"/>
    <w:rsid w:val="361231BE"/>
    <w:rsid w:val="36461837"/>
    <w:rsid w:val="36BB532C"/>
    <w:rsid w:val="36C21D99"/>
    <w:rsid w:val="374271D8"/>
    <w:rsid w:val="37447668"/>
    <w:rsid w:val="37735EDE"/>
    <w:rsid w:val="3776528F"/>
    <w:rsid w:val="37C47CD5"/>
    <w:rsid w:val="37C64260"/>
    <w:rsid w:val="37D739CE"/>
    <w:rsid w:val="37F214F9"/>
    <w:rsid w:val="37FE0133"/>
    <w:rsid w:val="385B52F0"/>
    <w:rsid w:val="38662298"/>
    <w:rsid w:val="388D51B3"/>
    <w:rsid w:val="38E01351"/>
    <w:rsid w:val="391F2D12"/>
    <w:rsid w:val="39700927"/>
    <w:rsid w:val="39804AD4"/>
    <w:rsid w:val="39A22AAB"/>
    <w:rsid w:val="39F37552"/>
    <w:rsid w:val="3A52002D"/>
    <w:rsid w:val="3ADE2D8C"/>
    <w:rsid w:val="3AE42FBA"/>
    <w:rsid w:val="3AF034F0"/>
    <w:rsid w:val="3B2E583A"/>
    <w:rsid w:val="3B551709"/>
    <w:rsid w:val="3B5E2C18"/>
    <w:rsid w:val="3B756F45"/>
    <w:rsid w:val="3BB32D4D"/>
    <w:rsid w:val="3BFA097C"/>
    <w:rsid w:val="3C3A521C"/>
    <w:rsid w:val="3C60501B"/>
    <w:rsid w:val="3C9B3F0D"/>
    <w:rsid w:val="3CEB7421"/>
    <w:rsid w:val="3D2F4655"/>
    <w:rsid w:val="3D516CC2"/>
    <w:rsid w:val="3DC00139"/>
    <w:rsid w:val="3E137A73"/>
    <w:rsid w:val="3E1F3D72"/>
    <w:rsid w:val="3E29430C"/>
    <w:rsid w:val="3E3C34CE"/>
    <w:rsid w:val="3E6C3FB1"/>
    <w:rsid w:val="3E7C1B1C"/>
    <w:rsid w:val="3EA76402"/>
    <w:rsid w:val="3EBC7034"/>
    <w:rsid w:val="3F00274D"/>
    <w:rsid w:val="3F143436"/>
    <w:rsid w:val="3F161F71"/>
    <w:rsid w:val="3F954FB1"/>
    <w:rsid w:val="3FF35E0E"/>
    <w:rsid w:val="3FF658FE"/>
    <w:rsid w:val="400D3BD6"/>
    <w:rsid w:val="40273D0A"/>
    <w:rsid w:val="403B71F1"/>
    <w:rsid w:val="405A5539"/>
    <w:rsid w:val="406003BF"/>
    <w:rsid w:val="40A50767"/>
    <w:rsid w:val="40A869C3"/>
    <w:rsid w:val="40FA58B4"/>
    <w:rsid w:val="41016309"/>
    <w:rsid w:val="412C0E52"/>
    <w:rsid w:val="412E1653"/>
    <w:rsid w:val="41315365"/>
    <w:rsid w:val="41686388"/>
    <w:rsid w:val="41A549A6"/>
    <w:rsid w:val="41AD023F"/>
    <w:rsid w:val="41F92C23"/>
    <w:rsid w:val="423A5F76"/>
    <w:rsid w:val="427B4863"/>
    <w:rsid w:val="428C078D"/>
    <w:rsid w:val="42B90275"/>
    <w:rsid w:val="42EE6E5E"/>
    <w:rsid w:val="4321644F"/>
    <w:rsid w:val="43217283"/>
    <w:rsid w:val="4338369B"/>
    <w:rsid w:val="434370AD"/>
    <w:rsid w:val="434F15AD"/>
    <w:rsid w:val="437C1EA5"/>
    <w:rsid w:val="43B12268"/>
    <w:rsid w:val="43D3310F"/>
    <w:rsid w:val="44005269"/>
    <w:rsid w:val="44240C8C"/>
    <w:rsid w:val="443A4EE8"/>
    <w:rsid w:val="44657BD2"/>
    <w:rsid w:val="44AF0345"/>
    <w:rsid w:val="44B435E3"/>
    <w:rsid w:val="44BB02A4"/>
    <w:rsid w:val="44C10289"/>
    <w:rsid w:val="44F71EFD"/>
    <w:rsid w:val="4541586E"/>
    <w:rsid w:val="45913BAE"/>
    <w:rsid w:val="45A8769B"/>
    <w:rsid w:val="45D3718B"/>
    <w:rsid w:val="45DC4237"/>
    <w:rsid w:val="46290CE3"/>
    <w:rsid w:val="472E08A8"/>
    <w:rsid w:val="4734568A"/>
    <w:rsid w:val="476C0877"/>
    <w:rsid w:val="479C6D8B"/>
    <w:rsid w:val="47D76015"/>
    <w:rsid w:val="480908C5"/>
    <w:rsid w:val="481B23A6"/>
    <w:rsid w:val="4825684B"/>
    <w:rsid w:val="4828061F"/>
    <w:rsid w:val="48855A71"/>
    <w:rsid w:val="48B00A3D"/>
    <w:rsid w:val="48B85E47"/>
    <w:rsid w:val="48CA1527"/>
    <w:rsid w:val="48DB38E3"/>
    <w:rsid w:val="4902013C"/>
    <w:rsid w:val="49153B3D"/>
    <w:rsid w:val="49492F43"/>
    <w:rsid w:val="495C67D2"/>
    <w:rsid w:val="495E0E1A"/>
    <w:rsid w:val="496863DC"/>
    <w:rsid w:val="49AB391A"/>
    <w:rsid w:val="49B02FC2"/>
    <w:rsid w:val="49B832FA"/>
    <w:rsid w:val="49F64E79"/>
    <w:rsid w:val="4A152E02"/>
    <w:rsid w:val="4A630034"/>
    <w:rsid w:val="4B74184D"/>
    <w:rsid w:val="4B833E6A"/>
    <w:rsid w:val="4B881494"/>
    <w:rsid w:val="4BBE19C6"/>
    <w:rsid w:val="4BF36A46"/>
    <w:rsid w:val="4C0B634F"/>
    <w:rsid w:val="4C15185F"/>
    <w:rsid w:val="4C993E74"/>
    <w:rsid w:val="4CC27294"/>
    <w:rsid w:val="4CC63226"/>
    <w:rsid w:val="4D6E0922"/>
    <w:rsid w:val="4D9C1893"/>
    <w:rsid w:val="4DDC6134"/>
    <w:rsid w:val="4DDD1F01"/>
    <w:rsid w:val="4DE374C2"/>
    <w:rsid w:val="4E0B6A19"/>
    <w:rsid w:val="4E2C0B7D"/>
    <w:rsid w:val="4EB2395E"/>
    <w:rsid w:val="4F166C4D"/>
    <w:rsid w:val="4F3F4BCC"/>
    <w:rsid w:val="4F443F90"/>
    <w:rsid w:val="4F5B752C"/>
    <w:rsid w:val="4F6603AB"/>
    <w:rsid w:val="4F8D1BA3"/>
    <w:rsid w:val="4F9B4859"/>
    <w:rsid w:val="50180913"/>
    <w:rsid w:val="5042188F"/>
    <w:rsid w:val="505617CA"/>
    <w:rsid w:val="506E2BAE"/>
    <w:rsid w:val="50BC224C"/>
    <w:rsid w:val="50F639B0"/>
    <w:rsid w:val="51491D32"/>
    <w:rsid w:val="514D15D6"/>
    <w:rsid w:val="515B2E61"/>
    <w:rsid w:val="51A0391C"/>
    <w:rsid w:val="51EC0F1C"/>
    <w:rsid w:val="521E31BF"/>
    <w:rsid w:val="5223325C"/>
    <w:rsid w:val="52284DBE"/>
    <w:rsid w:val="525F7333"/>
    <w:rsid w:val="52BF3272"/>
    <w:rsid w:val="530E3233"/>
    <w:rsid w:val="531000A5"/>
    <w:rsid w:val="532454E6"/>
    <w:rsid w:val="53394028"/>
    <w:rsid w:val="533B7DA0"/>
    <w:rsid w:val="53852DC9"/>
    <w:rsid w:val="5386726D"/>
    <w:rsid w:val="538B429A"/>
    <w:rsid w:val="540519ED"/>
    <w:rsid w:val="54341509"/>
    <w:rsid w:val="54971006"/>
    <w:rsid w:val="54AB6860"/>
    <w:rsid w:val="54DF6AF2"/>
    <w:rsid w:val="55435F41"/>
    <w:rsid w:val="55A7171D"/>
    <w:rsid w:val="55E661CC"/>
    <w:rsid w:val="55F52488"/>
    <w:rsid w:val="56015FA8"/>
    <w:rsid w:val="56102EB5"/>
    <w:rsid w:val="561B060A"/>
    <w:rsid w:val="567E11E9"/>
    <w:rsid w:val="56933C1B"/>
    <w:rsid w:val="56A63FEE"/>
    <w:rsid w:val="573C5F32"/>
    <w:rsid w:val="576458AF"/>
    <w:rsid w:val="57883566"/>
    <w:rsid w:val="57C14E61"/>
    <w:rsid w:val="57CD4B47"/>
    <w:rsid w:val="57F16C7F"/>
    <w:rsid w:val="586B76F6"/>
    <w:rsid w:val="58BE57B5"/>
    <w:rsid w:val="58C57F7D"/>
    <w:rsid w:val="58D00F8B"/>
    <w:rsid w:val="59044790"/>
    <w:rsid w:val="591F6B66"/>
    <w:rsid w:val="59611BE3"/>
    <w:rsid w:val="59875AED"/>
    <w:rsid w:val="59AC0B12"/>
    <w:rsid w:val="59CD102D"/>
    <w:rsid w:val="5A1629CD"/>
    <w:rsid w:val="5A517EA9"/>
    <w:rsid w:val="5A700229"/>
    <w:rsid w:val="5A9118FE"/>
    <w:rsid w:val="5AB67D0C"/>
    <w:rsid w:val="5AE14FD0"/>
    <w:rsid w:val="5AE42ACB"/>
    <w:rsid w:val="5AEB1782"/>
    <w:rsid w:val="5AFA22EF"/>
    <w:rsid w:val="5B2578B9"/>
    <w:rsid w:val="5B266F2F"/>
    <w:rsid w:val="5B6A1223"/>
    <w:rsid w:val="5BA83AF9"/>
    <w:rsid w:val="5BCA1926"/>
    <w:rsid w:val="5BF166F0"/>
    <w:rsid w:val="5BFD4FF9"/>
    <w:rsid w:val="5C1C6CDC"/>
    <w:rsid w:val="5C2A2963"/>
    <w:rsid w:val="5C337973"/>
    <w:rsid w:val="5C3A6E47"/>
    <w:rsid w:val="5C5D3D2F"/>
    <w:rsid w:val="5CE42047"/>
    <w:rsid w:val="5CFE4C15"/>
    <w:rsid w:val="5D6579D6"/>
    <w:rsid w:val="5D79574D"/>
    <w:rsid w:val="5DBD1BFF"/>
    <w:rsid w:val="5DBF3AD3"/>
    <w:rsid w:val="5E007C1C"/>
    <w:rsid w:val="5E024A48"/>
    <w:rsid w:val="5E1216FE"/>
    <w:rsid w:val="5E402EA6"/>
    <w:rsid w:val="5E826883"/>
    <w:rsid w:val="5EBF3388"/>
    <w:rsid w:val="5F26668D"/>
    <w:rsid w:val="5F313E05"/>
    <w:rsid w:val="5F64242D"/>
    <w:rsid w:val="5F806C73"/>
    <w:rsid w:val="5FD90725"/>
    <w:rsid w:val="5FE330BE"/>
    <w:rsid w:val="60077FCA"/>
    <w:rsid w:val="602A0F80"/>
    <w:rsid w:val="611D1FCC"/>
    <w:rsid w:val="616427FD"/>
    <w:rsid w:val="61F97775"/>
    <w:rsid w:val="62031A89"/>
    <w:rsid w:val="62115888"/>
    <w:rsid w:val="62436A55"/>
    <w:rsid w:val="627D34D2"/>
    <w:rsid w:val="62B43B05"/>
    <w:rsid w:val="62BB05B6"/>
    <w:rsid w:val="630062FA"/>
    <w:rsid w:val="631A4B6D"/>
    <w:rsid w:val="63606B41"/>
    <w:rsid w:val="63846BFA"/>
    <w:rsid w:val="641451FA"/>
    <w:rsid w:val="643C6AED"/>
    <w:rsid w:val="64736B8B"/>
    <w:rsid w:val="64C644FC"/>
    <w:rsid w:val="64CC50D8"/>
    <w:rsid w:val="64E75692"/>
    <w:rsid w:val="65071890"/>
    <w:rsid w:val="650801F6"/>
    <w:rsid w:val="654A79CF"/>
    <w:rsid w:val="657607C4"/>
    <w:rsid w:val="65815AE7"/>
    <w:rsid w:val="659737D4"/>
    <w:rsid w:val="65FC516D"/>
    <w:rsid w:val="6609614F"/>
    <w:rsid w:val="667F2FEE"/>
    <w:rsid w:val="66BC3FCC"/>
    <w:rsid w:val="67006EDF"/>
    <w:rsid w:val="670C04C4"/>
    <w:rsid w:val="675E2E21"/>
    <w:rsid w:val="67D87514"/>
    <w:rsid w:val="67DB2DD0"/>
    <w:rsid w:val="67E20393"/>
    <w:rsid w:val="680D06C2"/>
    <w:rsid w:val="681A3FD0"/>
    <w:rsid w:val="68623022"/>
    <w:rsid w:val="693F4F4A"/>
    <w:rsid w:val="6953779A"/>
    <w:rsid w:val="69A00D58"/>
    <w:rsid w:val="6A1D7E55"/>
    <w:rsid w:val="6A793230"/>
    <w:rsid w:val="6A834573"/>
    <w:rsid w:val="6B2B3DFF"/>
    <w:rsid w:val="6B4A747F"/>
    <w:rsid w:val="6B5B0B88"/>
    <w:rsid w:val="6C183D6E"/>
    <w:rsid w:val="6C376397"/>
    <w:rsid w:val="6C4C5660"/>
    <w:rsid w:val="6C5A7C87"/>
    <w:rsid w:val="6C8859AD"/>
    <w:rsid w:val="6C98319F"/>
    <w:rsid w:val="6C9F2CF6"/>
    <w:rsid w:val="6CBE13CE"/>
    <w:rsid w:val="6CD02EB0"/>
    <w:rsid w:val="6D064B23"/>
    <w:rsid w:val="6D083A4D"/>
    <w:rsid w:val="6D1014FE"/>
    <w:rsid w:val="6D6A1239"/>
    <w:rsid w:val="6D851EEC"/>
    <w:rsid w:val="6D8C12D3"/>
    <w:rsid w:val="6D8D367B"/>
    <w:rsid w:val="6DA13F45"/>
    <w:rsid w:val="6DC24EEE"/>
    <w:rsid w:val="6DCB0E05"/>
    <w:rsid w:val="6E3B07FD"/>
    <w:rsid w:val="6EFF182A"/>
    <w:rsid w:val="6F767D3E"/>
    <w:rsid w:val="6F93311C"/>
    <w:rsid w:val="7027728A"/>
    <w:rsid w:val="703379DD"/>
    <w:rsid w:val="7065389B"/>
    <w:rsid w:val="707A1AB0"/>
    <w:rsid w:val="70841E70"/>
    <w:rsid w:val="70D95DDC"/>
    <w:rsid w:val="715C7408"/>
    <w:rsid w:val="718C6E7D"/>
    <w:rsid w:val="718D305E"/>
    <w:rsid w:val="71E03B95"/>
    <w:rsid w:val="724E21E5"/>
    <w:rsid w:val="72541E8D"/>
    <w:rsid w:val="72FA31BB"/>
    <w:rsid w:val="72FD2525"/>
    <w:rsid w:val="733E1F3A"/>
    <w:rsid w:val="7367362A"/>
    <w:rsid w:val="73B54BAD"/>
    <w:rsid w:val="74493C73"/>
    <w:rsid w:val="7454695B"/>
    <w:rsid w:val="74650381"/>
    <w:rsid w:val="74767078"/>
    <w:rsid w:val="74925369"/>
    <w:rsid w:val="74A54E21"/>
    <w:rsid w:val="74B90B5D"/>
    <w:rsid w:val="74F14380"/>
    <w:rsid w:val="74FD4A5E"/>
    <w:rsid w:val="757B4FC6"/>
    <w:rsid w:val="757B6040"/>
    <w:rsid w:val="75956A44"/>
    <w:rsid w:val="75DB4D9F"/>
    <w:rsid w:val="76157B85"/>
    <w:rsid w:val="7623487F"/>
    <w:rsid w:val="7654306E"/>
    <w:rsid w:val="765C6FAE"/>
    <w:rsid w:val="76E2215D"/>
    <w:rsid w:val="76E33276"/>
    <w:rsid w:val="76F31C74"/>
    <w:rsid w:val="773504DF"/>
    <w:rsid w:val="778525FB"/>
    <w:rsid w:val="779B04B2"/>
    <w:rsid w:val="779B7F76"/>
    <w:rsid w:val="779E00DF"/>
    <w:rsid w:val="782E6982"/>
    <w:rsid w:val="784C5BB3"/>
    <w:rsid w:val="786077DD"/>
    <w:rsid w:val="7872538E"/>
    <w:rsid w:val="787D213D"/>
    <w:rsid w:val="78BB2C66"/>
    <w:rsid w:val="79304E75"/>
    <w:rsid w:val="795641A9"/>
    <w:rsid w:val="79664F44"/>
    <w:rsid w:val="798A0AC8"/>
    <w:rsid w:val="799040F2"/>
    <w:rsid w:val="7A2D500A"/>
    <w:rsid w:val="7A454EDD"/>
    <w:rsid w:val="7A4A4FAE"/>
    <w:rsid w:val="7A5213A8"/>
    <w:rsid w:val="7A715CD2"/>
    <w:rsid w:val="7A8157E9"/>
    <w:rsid w:val="7AF4245F"/>
    <w:rsid w:val="7B152F32"/>
    <w:rsid w:val="7B7B66DC"/>
    <w:rsid w:val="7B8E6410"/>
    <w:rsid w:val="7BAD2C98"/>
    <w:rsid w:val="7BBA5457"/>
    <w:rsid w:val="7BC609CC"/>
    <w:rsid w:val="7BDA540C"/>
    <w:rsid w:val="7C0B3F04"/>
    <w:rsid w:val="7C6F6241"/>
    <w:rsid w:val="7C885555"/>
    <w:rsid w:val="7C8B6DF3"/>
    <w:rsid w:val="7C9712F4"/>
    <w:rsid w:val="7CA16AA5"/>
    <w:rsid w:val="7CBC0D5A"/>
    <w:rsid w:val="7CD512EC"/>
    <w:rsid w:val="7D5209D5"/>
    <w:rsid w:val="7D7A4E9D"/>
    <w:rsid w:val="7D9F0FBC"/>
    <w:rsid w:val="7DA97531"/>
    <w:rsid w:val="7DBE3A17"/>
    <w:rsid w:val="7DBF0B02"/>
    <w:rsid w:val="7E0A4E21"/>
    <w:rsid w:val="7E3C65F7"/>
    <w:rsid w:val="7E554132"/>
    <w:rsid w:val="7E927FC5"/>
    <w:rsid w:val="7EB20667"/>
    <w:rsid w:val="7ED94418"/>
    <w:rsid w:val="7EE27891"/>
    <w:rsid w:val="7F313C82"/>
    <w:rsid w:val="7F653046"/>
    <w:rsid w:val="7F9164CE"/>
    <w:rsid w:val="7FA22FD9"/>
    <w:rsid w:val="7FA52933"/>
    <w:rsid w:val="7FD12D6F"/>
    <w:rsid w:val="DD33DE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50"/>
    <w:qFormat/>
    <w:uiPriority w:val="0"/>
    <w:pPr>
      <w:keepNext/>
      <w:keepLines/>
      <w:spacing w:before="340" w:after="330" w:line="578" w:lineRule="auto"/>
      <w:outlineLvl w:val="0"/>
    </w:pPr>
    <w:rPr>
      <w:kern w:val="44"/>
      <w:sz w:val="44"/>
      <w:szCs w:val="44"/>
    </w:rPr>
  </w:style>
  <w:style w:type="paragraph" w:styleId="4">
    <w:name w:val="heading 2"/>
    <w:basedOn w:val="1"/>
    <w:next w:val="1"/>
    <w:qFormat/>
    <w:uiPriority w:val="0"/>
    <w:pPr>
      <w:keepLines/>
      <w:spacing w:before="260" w:after="260" w:line="360" w:lineRule="auto"/>
      <w:jc w:val="center"/>
      <w:outlineLvl w:val="1"/>
    </w:pPr>
    <w:rPr>
      <w:rFonts w:ascii="Arial" w:hAnsi="Arial"/>
      <w:b/>
      <w:bCs/>
      <w:sz w:val="30"/>
      <w:szCs w:val="32"/>
    </w:rPr>
  </w:style>
  <w:style w:type="paragraph" w:styleId="5">
    <w:name w:val="heading 3"/>
    <w:basedOn w:val="1"/>
    <w:next w:val="1"/>
    <w:unhideWhenUsed/>
    <w:qFormat/>
    <w:uiPriority w:val="0"/>
    <w:pPr>
      <w:keepNext/>
      <w:keepLines/>
      <w:numPr>
        <w:ilvl w:val="2"/>
        <w:numId w:val="1"/>
      </w:numPr>
      <w:spacing w:before="100" w:after="100" w:line="560" w:lineRule="exact"/>
      <w:outlineLvl w:val="2"/>
    </w:pPr>
    <w:rPr>
      <w:rFonts w:ascii="Times New Roman" w:hAnsi="Times New Roman" w:eastAsia="楷体"/>
      <w:b/>
      <w:bCs/>
      <w:kern w:val="0"/>
      <w:sz w:val="32"/>
      <w:szCs w:val="32"/>
      <w:lang w:val="zh-CN"/>
    </w:rPr>
  </w:style>
  <w:style w:type="paragraph" w:styleId="6">
    <w:name w:val="heading 4"/>
    <w:basedOn w:val="1"/>
    <w:next w:val="1"/>
    <w:qFormat/>
    <w:uiPriority w:val="0"/>
    <w:pPr>
      <w:keepNext/>
      <w:keepLines/>
      <w:numPr>
        <w:ilvl w:val="3"/>
        <w:numId w:val="2"/>
      </w:numPr>
      <w:spacing w:before="280" w:after="290" w:line="372" w:lineRule="auto"/>
      <w:outlineLvl w:val="3"/>
    </w:pPr>
    <w:rPr>
      <w:rFonts w:ascii="Arial" w:hAnsi="Arial" w:eastAsia="黑体"/>
      <w:b/>
      <w:sz w:val="28"/>
    </w:rPr>
  </w:style>
  <w:style w:type="paragraph" w:styleId="7">
    <w:name w:val="heading 5"/>
    <w:basedOn w:val="1"/>
    <w:next w:val="1"/>
    <w:qFormat/>
    <w:uiPriority w:val="0"/>
    <w:pPr>
      <w:keepNext/>
      <w:keepLines/>
      <w:tabs>
        <w:tab w:val="left" w:pos="1440"/>
      </w:tabs>
      <w:spacing w:before="280" w:after="290" w:line="372" w:lineRule="auto"/>
      <w:ind w:left="1440" w:hanging="900"/>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3">
    <w:name w:val="C503-正文格式"/>
    <w:basedOn w:val="1"/>
    <w:qFormat/>
    <w:uiPriority w:val="0"/>
    <w:pPr>
      <w:spacing w:line="360" w:lineRule="auto"/>
      <w:ind w:firstLine="480" w:firstLineChars="200"/>
    </w:pPr>
    <w:rPr>
      <w:rFonts w:ascii="Times New Roman" w:hAnsi="Times New Roman"/>
      <w:sz w:val="24"/>
      <w:szCs w:val="20"/>
      <w:lang w:val="zh-CN"/>
    </w:rPr>
  </w:style>
  <w:style w:type="paragraph" w:styleId="8">
    <w:name w:val="Normal Indent"/>
    <w:basedOn w:val="1"/>
    <w:next w:val="1"/>
    <w:qFormat/>
    <w:uiPriority w:val="0"/>
    <w:pPr>
      <w:ind w:firstLine="420" w:firstLineChars="200"/>
    </w:pPr>
  </w:style>
  <w:style w:type="paragraph" w:styleId="9">
    <w:name w:val="caption"/>
    <w:basedOn w:val="1"/>
    <w:next w:val="1"/>
    <w:qFormat/>
    <w:uiPriority w:val="0"/>
    <w:rPr>
      <w:rFonts w:ascii="Arial" w:hAnsi="Arial" w:eastAsia="黑体" w:cs="Arial"/>
      <w:sz w:val="20"/>
      <w:szCs w:val="20"/>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link w:val="60"/>
    <w:qFormat/>
    <w:uiPriority w:val="0"/>
    <w:pPr>
      <w:jc w:val="left"/>
    </w:pPr>
  </w:style>
  <w:style w:type="paragraph" w:styleId="12">
    <w:name w:val="Body Text"/>
    <w:basedOn w:val="1"/>
    <w:qFormat/>
    <w:uiPriority w:val="0"/>
    <w:pPr>
      <w:spacing w:after="120"/>
    </w:pPr>
  </w:style>
  <w:style w:type="paragraph" w:styleId="13">
    <w:name w:val="Body Text Indent"/>
    <w:basedOn w:val="1"/>
    <w:next w:val="1"/>
    <w:qFormat/>
    <w:uiPriority w:val="0"/>
    <w:pPr>
      <w:ind w:firstLine="630"/>
    </w:pPr>
    <w:rPr>
      <w:sz w:val="32"/>
      <w:szCs w:val="20"/>
    </w:rPr>
  </w:style>
  <w:style w:type="paragraph" w:styleId="14">
    <w:name w:val="Plain Text"/>
    <w:basedOn w:val="1"/>
    <w:qFormat/>
    <w:uiPriority w:val="0"/>
    <w:rPr>
      <w:rFonts w:ascii="宋体" w:hAnsi="Courier New"/>
      <w:szCs w:val="20"/>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59"/>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envelope return"/>
    <w:basedOn w:val="1"/>
    <w:qFormat/>
    <w:uiPriority w:val="99"/>
    <w:pPr>
      <w:snapToGrid w:val="0"/>
    </w:pPr>
    <w:rPr>
      <w:rFonts w:ascii="Arial" w:hAnsi="Arial" w:cs="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pPr>
      <w:spacing w:line="480" w:lineRule="auto"/>
    </w:pPr>
    <w:rPr>
      <w:rFonts w:ascii="Times New Roman" w:hAnsi="Times New Roman"/>
      <w:sz w:val="30"/>
    </w:rPr>
  </w:style>
  <w:style w:type="paragraph" w:styleId="21">
    <w:name w:val="toc 4"/>
    <w:basedOn w:val="1"/>
    <w:next w:val="1"/>
    <w:qFormat/>
    <w:uiPriority w:val="0"/>
    <w:pPr>
      <w:ind w:left="1260" w:leftChars="600"/>
    </w:pPr>
  </w:style>
  <w:style w:type="paragraph" w:styleId="22">
    <w:name w:val="index heading"/>
    <w:basedOn w:val="1"/>
    <w:next w:val="23"/>
    <w:qFormat/>
    <w:uiPriority w:val="0"/>
    <w:pPr>
      <w:adjustRightInd w:val="0"/>
      <w:spacing w:line="312" w:lineRule="atLeast"/>
      <w:textAlignment w:val="baseline"/>
    </w:pPr>
    <w:rPr>
      <w:rFonts w:ascii="Arial" w:hAnsi="Arial" w:eastAsia="仿宋" w:cs="Arial"/>
      <w:b/>
      <w:bCs/>
      <w:kern w:val="0"/>
      <w:sz w:val="32"/>
      <w:szCs w:val="20"/>
    </w:rPr>
  </w:style>
  <w:style w:type="paragraph" w:styleId="23">
    <w:name w:val="index 1"/>
    <w:basedOn w:val="1"/>
    <w:next w:val="1"/>
    <w:unhideWhenUsed/>
    <w:qFormat/>
    <w:uiPriority w:val="0"/>
  </w:style>
  <w:style w:type="paragraph" w:styleId="24">
    <w:name w:val="footnote text"/>
    <w:basedOn w:val="1"/>
    <w:qFormat/>
    <w:uiPriority w:val="0"/>
    <w:pPr>
      <w:snapToGrid w:val="0"/>
      <w:jc w:val="left"/>
    </w:pPr>
    <w:rPr>
      <w:sz w:val="18"/>
    </w:rPr>
  </w:style>
  <w:style w:type="paragraph" w:styleId="25">
    <w:name w:val="List 5"/>
    <w:basedOn w:val="1"/>
    <w:qFormat/>
    <w:uiPriority w:val="0"/>
    <w:pPr>
      <w:ind w:left="2100" w:hanging="420"/>
    </w:pPr>
    <w:rPr>
      <w:rFonts w:eastAsia="楷体_GB2312"/>
      <w:sz w:val="32"/>
      <w:szCs w:val="20"/>
    </w:rPr>
  </w:style>
  <w:style w:type="paragraph" w:styleId="26">
    <w:name w:val="toc 2"/>
    <w:basedOn w:val="1"/>
    <w:next w:val="1"/>
    <w:qFormat/>
    <w:uiPriority w:val="0"/>
    <w:pPr>
      <w:ind w:left="420" w:leftChars="200"/>
    </w:pPr>
  </w:style>
  <w:style w:type="paragraph" w:styleId="27">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8">
    <w:name w:val="Normal (Web)"/>
    <w:basedOn w:val="1"/>
    <w:next w:val="29"/>
    <w:qFormat/>
    <w:uiPriority w:val="0"/>
    <w:pPr>
      <w:widowControl/>
      <w:spacing w:before="100" w:beforeAutospacing="1" w:after="100" w:afterAutospacing="1"/>
      <w:jc w:val="left"/>
    </w:pPr>
    <w:rPr>
      <w:rFonts w:ascii="宋体" w:hAnsi="宋体"/>
      <w:kern w:val="0"/>
      <w:sz w:val="18"/>
      <w:szCs w:val="18"/>
    </w:rPr>
  </w:style>
  <w:style w:type="paragraph" w:customStyle="1" w:styleId="2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0">
    <w:name w:val="Title"/>
    <w:basedOn w:val="1"/>
    <w:next w:val="1"/>
    <w:qFormat/>
    <w:uiPriority w:val="10"/>
    <w:pPr>
      <w:spacing w:before="240" w:after="60"/>
      <w:jc w:val="center"/>
      <w:outlineLvl w:val="0"/>
    </w:pPr>
    <w:rPr>
      <w:rFonts w:ascii="Cambria" w:hAnsi="Cambria"/>
      <w:b/>
      <w:bCs/>
      <w:sz w:val="32"/>
      <w:szCs w:val="32"/>
    </w:rPr>
  </w:style>
  <w:style w:type="paragraph" w:styleId="31">
    <w:name w:val="annotation subject"/>
    <w:basedOn w:val="11"/>
    <w:next w:val="11"/>
    <w:link w:val="61"/>
    <w:qFormat/>
    <w:uiPriority w:val="0"/>
    <w:rPr>
      <w:b/>
      <w:bCs/>
    </w:rPr>
  </w:style>
  <w:style w:type="paragraph" w:styleId="32">
    <w:name w:val="Body Text First Indent"/>
    <w:basedOn w:val="12"/>
    <w:next w:val="1"/>
    <w:qFormat/>
    <w:uiPriority w:val="0"/>
    <w:pPr>
      <w:ind w:firstLine="420" w:firstLineChars="100"/>
    </w:pPr>
  </w:style>
  <w:style w:type="paragraph" w:styleId="33">
    <w:name w:val="Body Text First Indent 2"/>
    <w:basedOn w:val="13"/>
    <w:next w:val="1"/>
    <w:qFormat/>
    <w:uiPriority w:val="0"/>
    <w:pPr>
      <w:ind w:firstLine="420"/>
    </w:p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Hyperlink"/>
    <w:basedOn w:val="36"/>
    <w:qFormat/>
    <w:uiPriority w:val="0"/>
    <w:rPr>
      <w:rFonts w:ascii="Times New Roman" w:hAnsi="Times New Roman" w:eastAsia="微软雅黑" w:cs="Times New Roman"/>
      <w:color w:val="0000FF"/>
      <w:u w:val="single"/>
    </w:rPr>
  </w:style>
  <w:style w:type="character" w:styleId="39">
    <w:name w:val="annotation reference"/>
    <w:basedOn w:val="36"/>
    <w:qFormat/>
    <w:uiPriority w:val="0"/>
    <w:rPr>
      <w:sz w:val="21"/>
      <w:szCs w:val="21"/>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styleId="42">
    <w:name w:val="Quote"/>
    <w:basedOn w:val="1"/>
    <w:next w:val="1"/>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43">
    <w:name w:val="3）三级标题 与下段同页"/>
    <w:basedOn w:val="1"/>
    <w:qFormat/>
    <w:uiPriority w:val="0"/>
    <w:pPr>
      <w:keepNext/>
      <w:spacing w:beforeLines="50" w:afterLines="50"/>
      <w:jc w:val="center"/>
      <w:outlineLvl w:val="2"/>
    </w:pPr>
    <w:rPr>
      <w:rFonts w:ascii="仿宋_GB2312" w:eastAsia="仿宋_GB2312"/>
      <w:b/>
      <w:sz w:val="32"/>
    </w:rPr>
  </w:style>
  <w:style w:type="character" w:customStyle="1" w:styleId="44">
    <w:name w:val="NormalCharacter"/>
    <w:link w:val="45"/>
    <w:qFormat/>
    <w:uiPriority w:val="0"/>
  </w:style>
  <w:style w:type="paragraph" w:customStyle="1" w:styleId="45">
    <w:name w:val="UserStyle_5"/>
    <w:basedOn w:val="1"/>
    <w:link w:val="44"/>
    <w:qFormat/>
    <w:uiPriority w:val="0"/>
    <w:pPr>
      <w:widowControl/>
      <w:spacing w:after="160" w:line="240" w:lineRule="exact"/>
      <w:jc w:val="left"/>
      <w:textAlignment w:val="baseline"/>
    </w:pPr>
  </w:style>
  <w:style w:type="character" w:customStyle="1" w:styleId="46">
    <w:name w:val="UserStyle_3"/>
    <w:qFormat/>
    <w:uiPriority w:val="0"/>
    <w:rPr>
      <w:rFonts w:ascii="宋体" w:hAnsi="宋体" w:eastAsia="宋体"/>
      <w:b/>
      <w:sz w:val="32"/>
      <w:szCs w:val="32"/>
    </w:rPr>
  </w:style>
  <w:style w:type="paragraph" w:customStyle="1" w:styleId="4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4正文"/>
    <w:basedOn w:val="1"/>
    <w:qFormat/>
    <w:uiPriority w:val="0"/>
    <w:pPr>
      <w:snapToGrid w:val="0"/>
      <w:spacing w:line="360" w:lineRule="auto"/>
      <w:ind w:firstLine="480" w:firstLineChars="200"/>
    </w:pPr>
    <w:rPr>
      <w:rFonts w:eastAsia="仿宋"/>
      <w:sz w:val="24"/>
    </w:rPr>
  </w:style>
  <w:style w:type="paragraph" w:customStyle="1" w:styleId="49">
    <w:name w:val="首行缩进:  0.85 厘米"/>
    <w:basedOn w:val="1"/>
    <w:qFormat/>
    <w:uiPriority w:val="0"/>
    <w:pPr>
      <w:widowControl/>
      <w:spacing w:after="100" w:line="360" w:lineRule="auto"/>
      <w:ind w:firstLine="482"/>
      <w:jc w:val="left"/>
    </w:pPr>
    <w:rPr>
      <w:kern w:val="0"/>
      <w:sz w:val="24"/>
      <w:lang w:eastAsia="en-US"/>
    </w:rPr>
  </w:style>
  <w:style w:type="character" w:customStyle="1" w:styleId="50">
    <w:name w:val="标题 1 字符"/>
    <w:link w:val="2"/>
    <w:qFormat/>
    <w:uiPriority w:val="0"/>
    <w:rPr>
      <w:rFonts w:ascii="Calibri" w:hAnsi="Calibri" w:eastAsia="宋体" w:cs="Times New Roman"/>
      <w:kern w:val="44"/>
      <w:sz w:val="44"/>
      <w:szCs w:val="44"/>
    </w:rPr>
  </w:style>
  <w:style w:type="paragraph" w:customStyle="1" w:styleId="51">
    <w:name w:val="Table Paragraph"/>
    <w:basedOn w:val="1"/>
    <w:unhideWhenUsed/>
    <w:qFormat/>
    <w:uiPriority w:val="1"/>
    <w:rPr>
      <w:sz w:val="24"/>
    </w:rPr>
  </w:style>
  <w:style w:type="paragraph" w:customStyle="1" w:styleId="52">
    <w:name w:val="列出段落1"/>
    <w:basedOn w:val="1"/>
    <w:qFormat/>
    <w:uiPriority w:val="0"/>
    <w:pPr>
      <w:spacing w:line="360" w:lineRule="auto"/>
      <w:ind w:firstLine="420" w:firstLineChars="200"/>
    </w:pPr>
    <w:rPr>
      <w:rFonts w:ascii="等线" w:hAnsi="等线"/>
      <w:szCs w:val="22"/>
    </w:rPr>
  </w:style>
  <w:style w:type="paragraph" w:customStyle="1" w:styleId="53">
    <w:name w:val="样式 正文缩进 + 首行缩进:  2 字符"/>
    <w:basedOn w:val="8"/>
    <w:qFormat/>
    <w:uiPriority w:val="0"/>
    <w:pPr>
      <w:spacing w:line="360" w:lineRule="auto"/>
      <w:ind w:firstLine="200"/>
    </w:pPr>
    <w:rPr>
      <w:rFonts w:cs="宋体"/>
      <w:sz w:val="24"/>
      <w:szCs w:val="20"/>
    </w:rPr>
  </w:style>
  <w:style w:type="paragraph" w:customStyle="1" w:styleId="54">
    <w:name w:val="WPS Plain"/>
    <w:basedOn w:val="1"/>
    <w:qFormat/>
    <w:uiPriority w:val="0"/>
    <w:pPr>
      <w:widowControl/>
      <w:jc w:val="left"/>
    </w:pPr>
    <w:rPr>
      <w:rFonts w:ascii="Times New Roman"/>
      <w:sz w:val="24"/>
    </w:rPr>
  </w:style>
  <w:style w:type="paragraph" w:customStyle="1" w:styleId="55">
    <w:name w:val="普通(网站)1"/>
    <w:basedOn w:val="1"/>
    <w:qFormat/>
    <w:uiPriority w:val="0"/>
    <w:pPr>
      <w:jc w:val="left"/>
    </w:pPr>
    <w:rPr>
      <w:kern w:val="0"/>
      <w:sz w:val="24"/>
    </w:rPr>
  </w:style>
  <w:style w:type="paragraph" w:customStyle="1" w:styleId="56">
    <w:name w:val="Body text|1"/>
    <w:basedOn w:val="1"/>
    <w:qFormat/>
    <w:uiPriority w:val="0"/>
    <w:pPr>
      <w:spacing w:line="290" w:lineRule="auto"/>
      <w:ind w:firstLine="400"/>
    </w:pPr>
    <w:rPr>
      <w:rFonts w:ascii="宋体" w:hAnsi="宋体" w:cs="宋体"/>
      <w:sz w:val="22"/>
      <w:szCs w:val="22"/>
      <w:lang w:val="zh-CN" w:bidi="zh-CN"/>
    </w:rPr>
  </w:style>
  <w:style w:type="paragraph" w:customStyle="1" w:styleId="57">
    <w:name w:val="纯文本1"/>
    <w:basedOn w:val="1"/>
    <w:qFormat/>
    <w:uiPriority w:val="0"/>
    <w:rPr>
      <w:rFonts w:ascii="宋体" w:hAnsi="Courier New"/>
      <w:szCs w:val="22"/>
    </w:rPr>
  </w:style>
  <w:style w:type="paragraph" w:styleId="58">
    <w:name w:val="List Paragraph"/>
    <w:basedOn w:val="1"/>
    <w:qFormat/>
    <w:uiPriority w:val="99"/>
    <w:pPr>
      <w:ind w:firstLine="420" w:firstLineChars="200"/>
    </w:pPr>
  </w:style>
  <w:style w:type="character" w:customStyle="1" w:styleId="59">
    <w:name w:val="批注框文本 字符"/>
    <w:basedOn w:val="36"/>
    <w:link w:val="16"/>
    <w:qFormat/>
    <w:uiPriority w:val="0"/>
    <w:rPr>
      <w:rFonts w:ascii="Calibri" w:hAnsi="Calibri"/>
      <w:kern w:val="2"/>
      <w:sz w:val="18"/>
      <w:szCs w:val="18"/>
    </w:rPr>
  </w:style>
  <w:style w:type="character" w:customStyle="1" w:styleId="60">
    <w:name w:val="批注文字 字符"/>
    <w:basedOn w:val="36"/>
    <w:link w:val="11"/>
    <w:qFormat/>
    <w:uiPriority w:val="0"/>
    <w:rPr>
      <w:rFonts w:ascii="Calibri" w:hAnsi="Calibri"/>
      <w:kern w:val="2"/>
      <w:sz w:val="21"/>
      <w:szCs w:val="24"/>
    </w:rPr>
  </w:style>
  <w:style w:type="character" w:customStyle="1" w:styleId="61">
    <w:name w:val="批注主题 字符"/>
    <w:basedOn w:val="60"/>
    <w:link w:val="31"/>
    <w:qFormat/>
    <w:uiPriority w:val="0"/>
    <w:rPr>
      <w:rFonts w:ascii="Calibri" w:hAnsi="Calibri"/>
      <w:b/>
      <w:bCs/>
      <w:kern w:val="2"/>
      <w:sz w:val="21"/>
      <w:szCs w:val="24"/>
    </w:rPr>
  </w:style>
  <w:style w:type="paragraph" w:customStyle="1" w:styleId="62">
    <w:name w:val="普通(网站)2"/>
    <w:basedOn w:val="1"/>
    <w:qFormat/>
    <w:uiPriority w:val="0"/>
    <w:pPr>
      <w:jc w:val="left"/>
    </w:pPr>
    <w:rPr>
      <w:rFonts w:ascii="Times New Roman" w:hAnsi="Times New Roman"/>
      <w:kern w:val="0"/>
      <w:sz w:val="24"/>
    </w:rPr>
  </w:style>
  <w:style w:type="paragraph" w:customStyle="1" w:styleId="63">
    <w:name w:val="普通(网站)3"/>
    <w:basedOn w:val="1"/>
    <w:qFormat/>
    <w:uiPriority w:val="0"/>
    <w:pPr>
      <w:jc w:val="left"/>
    </w:pPr>
    <w:rPr>
      <w:kern w:val="0"/>
      <w:sz w:val="24"/>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题注5"/>
    <w:basedOn w:val="1"/>
    <w:next w:val="9"/>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6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7">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列表段落1"/>
    <w:basedOn w:val="1"/>
    <w:qFormat/>
    <w:uiPriority w:val="0"/>
    <w:pPr>
      <w:ind w:firstLine="420" w:firstLineChars="200"/>
    </w:pPr>
    <w:rPr>
      <w:rFonts w:cs="黑体"/>
      <w:szCs w:val="22"/>
    </w:rPr>
  </w:style>
  <w:style w:type="character" w:customStyle="1" w:styleId="69">
    <w:name w:val="font41"/>
    <w:basedOn w:val="36"/>
    <w:qFormat/>
    <w:uiPriority w:val="0"/>
    <w:rPr>
      <w:rFonts w:ascii="Arial" w:hAnsi="Arial" w:cs="Arial"/>
      <w:color w:val="000000"/>
      <w:sz w:val="20"/>
      <w:szCs w:val="20"/>
      <w:u w:val="none"/>
    </w:rPr>
  </w:style>
  <w:style w:type="character" w:customStyle="1" w:styleId="70">
    <w:name w:val="font241"/>
    <w:basedOn w:val="36"/>
    <w:qFormat/>
    <w:uiPriority w:val="0"/>
    <w:rPr>
      <w:rFonts w:ascii="方正黑体_GBK" w:hAnsi="方正黑体_GBK" w:eastAsia="方正黑体_GBK" w:cs="方正黑体_GBK"/>
      <w:color w:val="000000"/>
      <w:sz w:val="44"/>
      <w:szCs w:val="44"/>
      <w:u w:val="none"/>
    </w:rPr>
  </w:style>
  <w:style w:type="character" w:customStyle="1" w:styleId="71">
    <w:name w:val="font11"/>
    <w:basedOn w:val="36"/>
    <w:qFormat/>
    <w:uiPriority w:val="0"/>
    <w:rPr>
      <w:rFonts w:hint="default" w:ascii="Times New Roman" w:hAnsi="Times New Roman" w:cs="Times New Roman"/>
      <w:color w:val="000000"/>
      <w:sz w:val="44"/>
      <w:szCs w:val="44"/>
      <w:u w:val="none"/>
    </w:rPr>
  </w:style>
  <w:style w:type="character" w:customStyle="1" w:styleId="72">
    <w:name w:val="font91"/>
    <w:basedOn w:val="36"/>
    <w:qFormat/>
    <w:uiPriority w:val="0"/>
    <w:rPr>
      <w:rFonts w:hint="default" w:ascii="Times New Roman" w:hAnsi="Times New Roman" w:cs="Times New Roman"/>
      <w:color w:val="000000"/>
      <w:sz w:val="28"/>
      <w:szCs w:val="28"/>
      <w:u w:val="none"/>
    </w:rPr>
  </w:style>
  <w:style w:type="character" w:customStyle="1" w:styleId="73">
    <w:name w:val="font121"/>
    <w:basedOn w:val="36"/>
    <w:qFormat/>
    <w:uiPriority w:val="0"/>
    <w:rPr>
      <w:rFonts w:hint="eastAsia" w:ascii="宋体" w:hAnsi="宋体" w:eastAsia="宋体" w:cs="宋体"/>
      <w:color w:val="000000"/>
      <w:sz w:val="28"/>
      <w:szCs w:val="28"/>
      <w:u w:val="none"/>
    </w:rPr>
  </w:style>
  <w:style w:type="character" w:customStyle="1" w:styleId="74">
    <w:name w:val="font251"/>
    <w:basedOn w:val="36"/>
    <w:qFormat/>
    <w:uiPriority w:val="0"/>
    <w:rPr>
      <w:rFonts w:hint="default" w:ascii="Times New Roman" w:hAnsi="Times New Roman" w:cs="Times New Roman"/>
      <w:color w:val="000000"/>
      <w:sz w:val="44"/>
      <w:szCs w:val="44"/>
      <w:u w:val="none"/>
    </w:rPr>
  </w:style>
  <w:style w:type="character" w:customStyle="1" w:styleId="75">
    <w:name w:val="font101"/>
    <w:basedOn w:val="36"/>
    <w:qFormat/>
    <w:uiPriority w:val="0"/>
    <w:rPr>
      <w:rFonts w:hint="eastAsia" w:ascii="方正仿宋_GBK" w:hAnsi="方正仿宋_GBK" w:eastAsia="方正仿宋_GBK" w:cs="方正仿宋_GBK"/>
      <w:color w:val="000000"/>
      <w:sz w:val="44"/>
      <w:szCs w:val="44"/>
      <w:u w:val="none"/>
    </w:rPr>
  </w:style>
  <w:style w:type="character" w:customStyle="1" w:styleId="76">
    <w:name w:val="font131"/>
    <w:basedOn w:val="36"/>
    <w:qFormat/>
    <w:uiPriority w:val="0"/>
    <w:rPr>
      <w:rFonts w:hint="eastAsia" w:ascii="方正仿宋_GBK" w:hAnsi="方正仿宋_GBK" w:eastAsia="方正仿宋_GBK" w:cs="方正仿宋_GBK"/>
      <w:color w:val="000000"/>
      <w:sz w:val="28"/>
      <w:szCs w:val="28"/>
      <w:u w:val="none"/>
    </w:rPr>
  </w:style>
  <w:style w:type="character" w:customStyle="1" w:styleId="77">
    <w:name w:val="font261"/>
    <w:basedOn w:val="36"/>
    <w:qFormat/>
    <w:uiPriority w:val="0"/>
    <w:rPr>
      <w:rFonts w:ascii="Arial" w:hAnsi="Arial" w:cs="Arial"/>
      <w:color w:val="000000"/>
      <w:sz w:val="28"/>
      <w:szCs w:val="28"/>
      <w:u w:val="none"/>
    </w:rPr>
  </w:style>
  <w:style w:type="character" w:customStyle="1" w:styleId="78">
    <w:name w:val="font191"/>
    <w:basedOn w:val="36"/>
    <w:qFormat/>
    <w:uiPriority w:val="0"/>
    <w:rPr>
      <w:rFonts w:hint="eastAsia" w:ascii="宋体" w:hAnsi="宋体" w:eastAsia="宋体" w:cs="宋体"/>
      <w:color w:val="000000"/>
      <w:sz w:val="28"/>
      <w:szCs w:val="28"/>
      <w:u w:val="none"/>
    </w:rPr>
  </w:style>
  <w:style w:type="character" w:customStyle="1" w:styleId="79">
    <w:name w:val="font271"/>
    <w:basedOn w:val="36"/>
    <w:qFormat/>
    <w:uiPriority w:val="0"/>
    <w:rPr>
      <w:rFonts w:hint="default" w:ascii="Times New Roman" w:hAnsi="Times New Roman" w:cs="Times New Roman"/>
      <w:color w:val="000000"/>
      <w:sz w:val="28"/>
      <w:szCs w:val="28"/>
      <w:u w:val="none"/>
    </w:rPr>
  </w:style>
  <w:style w:type="character" w:customStyle="1" w:styleId="80">
    <w:name w:val="font231"/>
    <w:basedOn w:val="36"/>
    <w:qFormat/>
    <w:uiPriority w:val="0"/>
    <w:rPr>
      <w:rFonts w:hint="eastAsia" w:ascii="方正仿宋_GBK" w:hAnsi="方正仿宋_GBK" w:eastAsia="方正仿宋_GBK" w:cs="方正仿宋_GBK"/>
      <w:color w:val="000000"/>
      <w:sz w:val="48"/>
      <w:szCs w:val="48"/>
      <w:u w:val="none"/>
    </w:rPr>
  </w:style>
  <w:style w:type="character" w:customStyle="1" w:styleId="81">
    <w:name w:val="font81"/>
    <w:basedOn w:val="36"/>
    <w:qFormat/>
    <w:uiPriority w:val="0"/>
    <w:rPr>
      <w:rFonts w:hint="default" w:ascii="Times New Roman" w:hAnsi="Times New Roman" w:cs="Times New Roman"/>
      <w:color w:val="000000"/>
      <w:sz w:val="48"/>
      <w:szCs w:val="48"/>
      <w:u w:val="none"/>
    </w:rPr>
  </w:style>
  <w:style w:type="character" w:customStyle="1" w:styleId="82">
    <w:name w:val="font51"/>
    <w:basedOn w:val="36"/>
    <w:qFormat/>
    <w:uiPriority w:val="0"/>
    <w:rPr>
      <w:rFonts w:hint="default" w:ascii="方正仿宋_GBK" w:hAnsi="方正仿宋_GBK" w:eastAsia="方正仿宋_GBK" w:cs="方正仿宋_GBK"/>
      <w:color w:val="000000"/>
      <w:sz w:val="22"/>
      <w:szCs w:val="22"/>
      <w:u w:val="none"/>
    </w:rPr>
  </w:style>
  <w:style w:type="character" w:customStyle="1" w:styleId="83">
    <w:name w:val="font71"/>
    <w:basedOn w:val="36"/>
    <w:qFormat/>
    <w:uiPriority w:val="0"/>
    <w:rPr>
      <w:rFonts w:hint="default" w:ascii="方正仿宋_GBK" w:hAnsi="方正仿宋_GBK" w:eastAsia="方正仿宋_GBK" w:cs="方正仿宋_GBK"/>
      <w:color w:val="FF0000"/>
      <w:sz w:val="22"/>
      <w:szCs w:val="22"/>
      <w:u w:val="none"/>
    </w:rPr>
  </w:style>
  <w:style w:type="paragraph" w:customStyle="1" w:styleId="84">
    <w:name w:val="WPSOffice手动目录 1"/>
    <w:qFormat/>
    <w:uiPriority w:val="0"/>
    <w:rPr>
      <w:rFonts w:ascii="Times New Roman" w:hAnsi="Times New Roman" w:eastAsia="宋体" w:cs="Times New Roman"/>
      <w:lang w:val="en-US" w:eastAsia="zh-CN" w:bidi="ar-SA"/>
    </w:rPr>
  </w:style>
  <w:style w:type="paragraph" w:customStyle="1" w:styleId="85">
    <w:name w:val="null9"/>
    <w:qFormat/>
    <w:uiPriority w:val="0"/>
    <w:rPr>
      <w:rFonts w:hint="eastAsia" w:ascii="Times New Roman" w:hAnsi="Times New Roman" w:eastAsia="宋体" w:cs="Times New Roman"/>
      <w:sz w:val="18"/>
      <w:szCs w:val="18"/>
      <w:lang w:val="en-US" w:eastAsia="zh-CN" w:bidi="ar-SA"/>
    </w:rPr>
  </w:style>
  <w:style w:type="paragraph" w:customStyle="1" w:styleId="86">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table" w:customStyle="1" w:styleId="87">
    <w:name w:val="网格型1"/>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8">
    <w:name w:val="Char"/>
    <w:basedOn w:val="1"/>
    <w:qFormat/>
    <w:uiPriority w:val="0"/>
    <w:pPr>
      <w:snapToGrid w:val="0"/>
      <w:spacing w:line="360" w:lineRule="auto"/>
      <w:ind w:firstLine="200" w:firstLineChars="200"/>
    </w:pPr>
    <w:rPr>
      <w:szCs w:val="20"/>
    </w:rPr>
  </w:style>
  <w:style w:type="paragraph" w:customStyle="1" w:styleId="89">
    <w:name w:val="Revision"/>
    <w:hidden/>
    <w:unhideWhenUsed/>
    <w:qFormat/>
    <w:uiPriority w:val="99"/>
    <w:rPr>
      <w:rFonts w:ascii="Calibri" w:hAnsi="Calibri" w:eastAsia="宋体" w:cs="Times New Roman"/>
      <w:kern w:val="2"/>
      <w:sz w:val="21"/>
      <w:szCs w:val="24"/>
      <w:lang w:val="en-US" w:eastAsia="zh-CN" w:bidi="ar-SA"/>
    </w:rPr>
  </w:style>
  <w:style w:type="paragraph" w:customStyle="1" w:styleId="9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9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1A7A0-30DC-4437-973C-B903F0FFD9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1829</Words>
  <Characters>2138</Characters>
  <Lines>306</Lines>
  <Paragraphs>86</Paragraphs>
  <TotalTime>51</TotalTime>
  <ScaleCrop>false</ScaleCrop>
  <LinksUpToDate>false</LinksUpToDate>
  <CharactersWithSpaces>2192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2023-02-22T17:34:00Z</dcterms:created>
  <dc:creator>lenovo</dc:creator>
  <cp:lastModifiedBy>招标代理</cp:lastModifiedBy>
  <cp:lastPrinted>2024-05-30T13:14:00Z</cp:lastPrinted>
  <dcterms:modified xsi:type="dcterms:W3CDTF">2026-06-02T10:46:45Z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A88A686D6DC044A5870E1A1B6C9D8AAE_13</vt:lpwstr>
  </property>
  <property fmtid="{D5CDD505-2E9C-101B-9397-08002B2CF9AE}" pid="4" name="KSOTemplateDocerSaveRecord">
    <vt:lpwstr>eyJoZGlkIjoiZGZhN2VkM2JiZjI5ZjlhMzg1NDBmOTllMzc2ZWNlOTQiLCJ1c2VySWQiOiIxNDkxODAwMzI3In0=</vt:lpwstr>
  </property>
</Properties>
</file>