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D9C69"/>
    <w:p w14:paraId="37AA2149">
      <w:pPr>
        <w:pStyle w:val="19"/>
        <w:ind w:left="0" w:leftChars="0" w:firstLine="0" w:firstLineChars="0"/>
        <w:jc w:val="center"/>
        <w:rPr>
          <w:rFonts w:hint="eastAsia" w:ascii="黑体" w:hAnsi="黑体" w:eastAsia="黑体" w:cs="黑体"/>
          <w:bCs/>
          <w:sz w:val="40"/>
          <w:szCs w:val="32"/>
          <w:lang w:eastAsia="zh-CN"/>
        </w:rPr>
      </w:pPr>
      <w:r>
        <w:rPr>
          <w:rFonts w:hint="eastAsia" w:ascii="黑体" w:hAnsi="黑体" w:eastAsia="黑体" w:cs="黑体"/>
          <w:b/>
          <w:sz w:val="56"/>
          <w:szCs w:val="56"/>
          <w:lang w:val="en-US" w:eastAsia="zh-CN"/>
        </w:rPr>
        <w:t>阿瓦提县人民医院一批检验试剂采购项目</w:t>
      </w:r>
    </w:p>
    <w:p w14:paraId="473AAE3B">
      <w:pPr>
        <w:pStyle w:val="16"/>
        <w:rPr>
          <w:rFonts w:ascii="黑体" w:hAnsi="黑体" w:eastAsia="黑体" w:cs="黑体"/>
          <w:bCs/>
        </w:rPr>
      </w:pPr>
    </w:p>
    <w:p w14:paraId="715E73D0"/>
    <w:p w14:paraId="04FF46E7">
      <w:pPr>
        <w:pStyle w:val="29"/>
        <w:tabs>
          <w:tab w:val="left" w:pos="5891"/>
          <w:tab w:val="right" w:leader="dot" w:pos="9004"/>
        </w:tabs>
        <w:rPr>
          <w:rFonts w:ascii="黑体" w:hAnsi="黑体" w:eastAsia="黑体" w:cs="黑体"/>
          <w:bCs/>
          <w:sz w:val="32"/>
          <w:szCs w:val="32"/>
        </w:rPr>
      </w:pPr>
    </w:p>
    <w:p w14:paraId="3BBA6FAE">
      <w:pPr>
        <w:rPr>
          <w:rFonts w:ascii="黑体" w:hAnsi="黑体" w:eastAsia="黑体" w:cs="黑体"/>
          <w:bCs/>
        </w:rPr>
      </w:pPr>
    </w:p>
    <w:p w14:paraId="7B19CBF7">
      <w:pPr>
        <w:pStyle w:val="29"/>
        <w:tabs>
          <w:tab w:val="right" w:leader="dot" w:pos="9004"/>
        </w:tabs>
        <w:jc w:val="center"/>
        <w:rPr>
          <w:rFonts w:ascii="黑体" w:hAnsi="黑体" w:eastAsia="黑体" w:cs="黑体"/>
          <w:bCs/>
          <w:sz w:val="32"/>
          <w:szCs w:val="32"/>
        </w:rPr>
      </w:pPr>
    </w:p>
    <w:p w14:paraId="769079EA"/>
    <w:p w14:paraId="4C7DB535">
      <w:pPr>
        <w:pStyle w:val="29"/>
        <w:tabs>
          <w:tab w:val="right" w:leader="dot" w:pos="9004"/>
        </w:tabs>
        <w:jc w:val="center"/>
        <w:rPr>
          <w:rFonts w:hint="eastAsia" w:ascii="黑体" w:hAnsi="黑体" w:eastAsia="黑体" w:cs="黑体"/>
          <w:b/>
          <w:sz w:val="72"/>
          <w:szCs w:val="72"/>
        </w:rPr>
      </w:pPr>
    </w:p>
    <w:p w14:paraId="0540530A">
      <w:pPr>
        <w:pStyle w:val="29"/>
        <w:tabs>
          <w:tab w:val="right" w:leader="dot" w:pos="9004"/>
        </w:tabs>
        <w:jc w:val="center"/>
        <w:rPr>
          <w:rFonts w:ascii="黑体" w:hAnsi="黑体" w:eastAsia="黑体" w:cs="黑体"/>
          <w:b/>
          <w:sz w:val="72"/>
          <w:szCs w:val="72"/>
        </w:rPr>
      </w:pPr>
      <w:r>
        <w:rPr>
          <w:rFonts w:hint="eastAsia" w:ascii="黑体" w:hAnsi="黑体" w:eastAsia="黑体" w:cs="黑体"/>
          <w:b/>
          <w:sz w:val="72"/>
          <w:szCs w:val="72"/>
        </w:rPr>
        <w:t>招</w:t>
      </w:r>
      <w:r>
        <w:rPr>
          <w:rFonts w:hint="eastAsia" w:ascii="黑体" w:hAnsi="黑体" w:eastAsia="黑体" w:cs="黑体"/>
          <w:b/>
          <w:sz w:val="72"/>
          <w:szCs w:val="72"/>
          <w:lang w:val="en-US" w:eastAsia="zh-CN"/>
        </w:rPr>
        <w:t xml:space="preserve"> </w:t>
      </w:r>
      <w:r>
        <w:rPr>
          <w:rFonts w:hint="eastAsia" w:ascii="黑体" w:hAnsi="黑体" w:eastAsia="黑体" w:cs="黑体"/>
          <w:b/>
          <w:sz w:val="72"/>
          <w:szCs w:val="72"/>
        </w:rPr>
        <w:t>标</w:t>
      </w:r>
      <w:r>
        <w:rPr>
          <w:rFonts w:hint="eastAsia" w:ascii="黑体" w:hAnsi="黑体" w:eastAsia="黑体" w:cs="黑体"/>
          <w:b/>
          <w:sz w:val="72"/>
          <w:szCs w:val="72"/>
          <w:lang w:val="en-US" w:eastAsia="zh-CN"/>
        </w:rPr>
        <w:t xml:space="preserve"> </w:t>
      </w:r>
      <w:r>
        <w:rPr>
          <w:rFonts w:hint="eastAsia" w:ascii="黑体" w:hAnsi="黑体" w:eastAsia="黑体" w:cs="黑体"/>
          <w:b/>
          <w:sz w:val="72"/>
          <w:szCs w:val="72"/>
        </w:rPr>
        <w:t>文</w:t>
      </w:r>
      <w:r>
        <w:rPr>
          <w:rFonts w:hint="eastAsia" w:ascii="黑体" w:hAnsi="黑体" w:eastAsia="黑体" w:cs="黑体"/>
          <w:b/>
          <w:sz w:val="72"/>
          <w:szCs w:val="72"/>
          <w:lang w:val="en-US" w:eastAsia="zh-CN"/>
        </w:rPr>
        <w:t xml:space="preserve"> </w:t>
      </w:r>
      <w:r>
        <w:rPr>
          <w:rFonts w:hint="eastAsia" w:ascii="黑体" w:hAnsi="黑体" w:eastAsia="黑体" w:cs="黑体"/>
          <w:b/>
          <w:sz w:val="72"/>
          <w:szCs w:val="72"/>
        </w:rPr>
        <w:t>件</w:t>
      </w:r>
    </w:p>
    <w:p w14:paraId="49C72C4E">
      <w:pPr>
        <w:jc w:val="center"/>
        <w:rPr>
          <w:rFonts w:ascii="黑体" w:hAnsi="黑体" w:eastAsia="黑体" w:cs="黑体"/>
          <w:bCs/>
          <w:sz w:val="16"/>
          <w:szCs w:val="20"/>
        </w:rPr>
      </w:pPr>
    </w:p>
    <w:p w14:paraId="5A1EB035">
      <w:pPr>
        <w:rPr>
          <w:rFonts w:ascii="黑体" w:hAnsi="黑体" w:eastAsia="黑体" w:cs="黑体"/>
          <w:bCs/>
        </w:rPr>
      </w:pPr>
    </w:p>
    <w:p w14:paraId="3C866AA0">
      <w:pPr>
        <w:pStyle w:val="16"/>
        <w:rPr>
          <w:rFonts w:ascii="黑体" w:hAnsi="黑体" w:eastAsia="黑体" w:cs="黑体"/>
          <w:bCs/>
          <w:sz w:val="32"/>
          <w:szCs w:val="32"/>
        </w:rPr>
      </w:pPr>
    </w:p>
    <w:p w14:paraId="147609A8">
      <w:pPr>
        <w:rPr>
          <w:rFonts w:ascii="黑体" w:hAnsi="黑体" w:eastAsia="黑体" w:cs="黑体"/>
          <w:bCs/>
        </w:rPr>
      </w:pPr>
    </w:p>
    <w:p w14:paraId="7AE49421">
      <w:pPr>
        <w:pStyle w:val="29"/>
        <w:tabs>
          <w:tab w:val="right" w:leader="dot" w:pos="9004"/>
        </w:tabs>
        <w:rPr>
          <w:rFonts w:ascii="黑体" w:hAnsi="黑体" w:eastAsia="黑体" w:cs="黑体"/>
          <w:bCs/>
          <w:sz w:val="32"/>
          <w:szCs w:val="32"/>
        </w:rPr>
      </w:pPr>
      <w:r>
        <w:rPr>
          <w:rFonts w:hint="eastAsia" w:ascii="黑体" w:hAnsi="黑体" w:eastAsia="黑体" w:cs="黑体"/>
          <w:bCs/>
          <w:sz w:val="32"/>
          <w:szCs w:val="32"/>
        </w:rPr>
        <w:t xml:space="preserve">       </w:t>
      </w:r>
    </w:p>
    <w:p w14:paraId="0DE619F1">
      <w:pPr>
        <w:pStyle w:val="29"/>
        <w:tabs>
          <w:tab w:val="right" w:leader="dot" w:pos="9004"/>
        </w:tabs>
        <w:rPr>
          <w:rFonts w:ascii="黑体" w:hAnsi="黑体" w:eastAsia="黑体" w:cs="黑体"/>
          <w:bCs/>
          <w:sz w:val="32"/>
          <w:szCs w:val="32"/>
        </w:rPr>
      </w:pPr>
    </w:p>
    <w:p w14:paraId="2B7A5CA5">
      <w:pPr>
        <w:spacing w:line="360" w:lineRule="auto"/>
        <w:ind w:firstLine="1124" w:firstLineChars="400"/>
        <w:rPr>
          <w:rFonts w:hint="eastAsia" w:ascii="黑体" w:hAnsi="黑体" w:eastAsia="黑体" w:cs="黑体"/>
          <w:b/>
          <w:sz w:val="28"/>
          <w:szCs w:val="28"/>
        </w:rPr>
      </w:pPr>
    </w:p>
    <w:p w14:paraId="2C7E2C6B">
      <w:pPr>
        <w:spacing w:line="360" w:lineRule="auto"/>
        <w:ind w:firstLine="1124" w:firstLineChars="400"/>
        <w:rPr>
          <w:rFonts w:hint="eastAsia" w:ascii="黑体" w:hAnsi="黑体" w:eastAsia="黑体" w:cs="黑体"/>
          <w:b/>
          <w:color w:val="auto"/>
          <w:sz w:val="28"/>
          <w:szCs w:val="28"/>
          <w:lang w:val="en-US" w:eastAsia="zh-CN"/>
        </w:rPr>
      </w:pPr>
      <w:r>
        <w:rPr>
          <w:rFonts w:hint="eastAsia" w:ascii="黑体" w:hAnsi="黑体" w:eastAsia="黑体" w:cs="黑体"/>
          <w:b/>
          <w:color w:val="auto"/>
          <w:sz w:val="28"/>
          <w:szCs w:val="28"/>
        </w:rPr>
        <w:t>项目编号：</w:t>
      </w:r>
      <w:r>
        <w:rPr>
          <w:rFonts w:hint="eastAsia" w:ascii="黑体" w:hAnsi="黑体" w:eastAsia="黑体" w:cs="黑体"/>
          <w:b/>
          <w:color w:val="auto"/>
          <w:sz w:val="28"/>
          <w:szCs w:val="28"/>
          <w:lang w:eastAsia="zh-CN"/>
        </w:rPr>
        <w:t>20260195</w:t>
      </w:r>
    </w:p>
    <w:p w14:paraId="00B526AE">
      <w:pPr>
        <w:spacing w:line="360" w:lineRule="auto"/>
        <w:ind w:left="2522" w:leftChars="532" w:hanging="1405" w:hangingChars="500"/>
        <w:rPr>
          <w:rFonts w:hint="default" w:ascii="黑体" w:hAnsi="黑体" w:eastAsia="黑体" w:cs="黑体"/>
          <w:b/>
          <w:sz w:val="28"/>
          <w:szCs w:val="28"/>
          <w:lang w:val="en-US" w:eastAsia="zh-CN"/>
        </w:rPr>
      </w:pPr>
      <w:r>
        <w:rPr>
          <w:rFonts w:hint="eastAsia" w:ascii="黑体" w:hAnsi="黑体" w:eastAsia="黑体" w:cs="黑体"/>
          <w:b/>
          <w:sz w:val="28"/>
          <w:szCs w:val="28"/>
        </w:rPr>
        <w:t>采 购 人：</w:t>
      </w:r>
      <w:r>
        <w:rPr>
          <w:rFonts w:hint="eastAsia" w:ascii="黑体" w:hAnsi="黑体" w:eastAsia="黑体" w:cs="黑体"/>
          <w:b/>
          <w:sz w:val="28"/>
          <w:szCs w:val="28"/>
          <w:lang w:val="en-US" w:eastAsia="zh-CN"/>
        </w:rPr>
        <w:t>阿瓦提县人民医院</w:t>
      </w:r>
    </w:p>
    <w:p w14:paraId="5D0A1375">
      <w:pPr>
        <w:pStyle w:val="29"/>
        <w:tabs>
          <w:tab w:val="right" w:leader="dot" w:pos="9004"/>
        </w:tabs>
        <w:spacing w:line="700" w:lineRule="exact"/>
        <w:ind w:firstLine="1110" w:firstLineChars="395"/>
        <w:rPr>
          <w:rFonts w:hint="eastAsia" w:ascii="黑体" w:hAnsi="黑体" w:eastAsia="黑体" w:cs="黑体"/>
          <w:b/>
          <w:sz w:val="32"/>
          <w:szCs w:val="32"/>
          <w:lang w:eastAsia="zh-CN"/>
        </w:rPr>
      </w:pPr>
      <w:r>
        <w:rPr>
          <w:rFonts w:hint="eastAsia" w:ascii="黑体" w:hAnsi="黑体" w:eastAsia="黑体" w:cs="黑体"/>
          <w:b/>
          <w:sz w:val="28"/>
          <w:szCs w:val="28"/>
          <w:lang w:val="en-US" w:eastAsia="zh-CN"/>
        </w:rPr>
        <w:t>采购代理</w:t>
      </w:r>
      <w:r>
        <w:rPr>
          <w:rFonts w:hint="eastAsia" w:ascii="黑体" w:hAnsi="黑体" w:eastAsia="黑体" w:cs="黑体"/>
          <w:b/>
          <w:sz w:val="28"/>
          <w:szCs w:val="28"/>
        </w:rPr>
        <w:t>机构：</w:t>
      </w:r>
      <w:r>
        <w:rPr>
          <w:rFonts w:hint="eastAsia" w:ascii="黑体" w:hAnsi="黑体" w:eastAsia="黑体" w:cs="黑体"/>
          <w:b/>
          <w:sz w:val="28"/>
          <w:szCs w:val="28"/>
          <w:lang w:eastAsia="zh-CN"/>
        </w:rPr>
        <w:t>新疆华玫睿项目管理有限公司</w:t>
      </w:r>
    </w:p>
    <w:p w14:paraId="0E80566D">
      <w:pPr>
        <w:pStyle w:val="29"/>
        <w:tabs>
          <w:tab w:val="right" w:leader="dot" w:pos="9004"/>
        </w:tabs>
        <w:spacing w:line="700" w:lineRule="exact"/>
        <w:jc w:val="center"/>
        <w:rPr>
          <w:rFonts w:ascii="黑体" w:hAnsi="黑体" w:eastAsia="黑体" w:cs="黑体"/>
          <w:bCs/>
          <w:w w:val="80"/>
          <w:kern w:val="0"/>
          <w:sz w:val="28"/>
          <w:szCs w:val="28"/>
        </w:rPr>
      </w:pPr>
      <w:r>
        <w:rPr>
          <w:rFonts w:hint="eastAsia" w:ascii="黑体" w:hAnsi="黑体" w:eastAsia="黑体" w:cs="黑体"/>
          <w:b/>
          <w:sz w:val="28"/>
          <w:szCs w:val="28"/>
        </w:rPr>
        <w:t>二0二</w:t>
      </w:r>
      <w:r>
        <w:rPr>
          <w:rFonts w:hint="eastAsia" w:ascii="黑体" w:hAnsi="黑体" w:eastAsia="黑体" w:cs="黑体"/>
          <w:b/>
          <w:sz w:val="28"/>
          <w:szCs w:val="28"/>
          <w:lang w:val="en-US" w:eastAsia="zh-CN"/>
        </w:rPr>
        <w:t>六</w:t>
      </w:r>
      <w:r>
        <w:rPr>
          <w:rFonts w:hint="eastAsia" w:ascii="黑体" w:hAnsi="黑体" w:eastAsia="黑体" w:cs="黑体"/>
          <w:b/>
          <w:sz w:val="28"/>
          <w:szCs w:val="28"/>
        </w:rPr>
        <w:t>年</w:t>
      </w:r>
      <w:r>
        <w:rPr>
          <w:rFonts w:hint="eastAsia" w:ascii="黑体" w:hAnsi="黑体" w:eastAsia="黑体" w:cs="黑体"/>
          <w:b/>
          <w:sz w:val="28"/>
          <w:szCs w:val="28"/>
          <w:lang w:val="en-US" w:eastAsia="zh-CN"/>
        </w:rPr>
        <w:t>六</w:t>
      </w:r>
      <w:r>
        <w:rPr>
          <w:rFonts w:hint="eastAsia" w:ascii="黑体" w:hAnsi="黑体" w:eastAsia="黑体" w:cs="黑体"/>
          <w:b/>
          <w:sz w:val="28"/>
          <w:szCs w:val="28"/>
        </w:rPr>
        <w:t>月</w:t>
      </w:r>
    </w:p>
    <w:p w14:paraId="4806C685">
      <w:pPr>
        <w:rPr>
          <w:rFonts w:hint="eastAsia" w:ascii="宋体" w:hAnsi="宋体" w:cs="宋体"/>
          <w:b/>
          <w:sz w:val="44"/>
          <w:szCs w:val="44"/>
        </w:rPr>
      </w:pPr>
      <w:r>
        <w:rPr>
          <w:rFonts w:hint="eastAsia" w:ascii="宋体" w:hAnsi="宋体" w:cs="宋体"/>
          <w:b/>
          <w:sz w:val="44"/>
          <w:szCs w:val="44"/>
        </w:rPr>
        <w:br w:type="page"/>
      </w:r>
    </w:p>
    <w:p w14:paraId="7D002E47">
      <w:pPr>
        <w:spacing w:before="312" w:beforeLines="100"/>
        <w:jc w:val="center"/>
        <w:rPr>
          <w:sz w:val="16"/>
          <w:szCs w:val="20"/>
        </w:rPr>
      </w:pPr>
      <w:r>
        <w:rPr>
          <w:rFonts w:hint="eastAsia" w:ascii="宋体" w:hAnsi="宋体" w:cs="宋体"/>
          <w:b/>
          <w:sz w:val="44"/>
          <w:szCs w:val="44"/>
        </w:rPr>
        <w:t>招标文件</w:t>
      </w:r>
    </w:p>
    <w:p w14:paraId="02DE4E47"/>
    <w:p w14:paraId="743E5DFA">
      <w:pPr>
        <w:spacing w:line="480" w:lineRule="auto"/>
        <w:rPr>
          <w:rFonts w:hint="eastAsia" w:ascii="宋体" w:hAnsi="宋体" w:eastAsia="宋体" w:cs="宋体"/>
          <w:sz w:val="28"/>
          <w:szCs w:val="28"/>
          <w:lang w:eastAsia="zh-CN"/>
        </w:rPr>
      </w:pPr>
      <w:r>
        <w:rPr>
          <w:rFonts w:hint="eastAsia" w:ascii="宋体" w:hAnsi="宋体" w:cs="宋体"/>
          <w:sz w:val="28"/>
          <w:szCs w:val="28"/>
        </w:rPr>
        <w:t>项 目 名 称:</w:t>
      </w:r>
      <w:r>
        <w:rPr>
          <w:rFonts w:hint="eastAsia" w:ascii="宋体" w:hAnsi="宋体" w:cs="宋体"/>
          <w:sz w:val="28"/>
          <w:szCs w:val="28"/>
          <w:lang w:eastAsia="zh-CN"/>
        </w:rPr>
        <w:t>阿瓦提县人民医院一批检验试剂采购项目</w:t>
      </w:r>
    </w:p>
    <w:p w14:paraId="51841F91">
      <w:pPr>
        <w:spacing w:line="480" w:lineRule="auto"/>
        <w:rPr>
          <w:rFonts w:ascii="宋体" w:hAnsi="宋体" w:cs="宋体"/>
          <w:sz w:val="28"/>
          <w:szCs w:val="28"/>
        </w:rPr>
      </w:pPr>
      <w:r>
        <w:rPr>
          <w:rFonts w:hint="eastAsia" w:ascii="宋体" w:hAnsi="宋体" w:cs="宋体"/>
          <w:sz w:val="28"/>
          <w:szCs w:val="28"/>
        </w:rPr>
        <w:t>采  购  人（公章）：</w:t>
      </w:r>
      <w:r>
        <w:rPr>
          <w:rFonts w:hint="eastAsia" w:ascii="宋体" w:hAnsi="宋体" w:cs="宋体"/>
          <w:sz w:val="28"/>
          <w:szCs w:val="28"/>
          <w:lang w:val="en-US" w:eastAsia="zh-CN"/>
        </w:rPr>
        <w:t>阿瓦提县人民医院</w:t>
      </w:r>
      <w:r>
        <w:rPr>
          <w:rFonts w:hint="eastAsia" w:ascii="宋体" w:hAnsi="宋体" w:cs="宋体"/>
          <w:sz w:val="28"/>
          <w:szCs w:val="28"/>
        </w:rPr>
        <w:t xml:space="preserve">       </w:t>
      </w:r>
    </w:p>
    <w:p w14:paraId="0EFEB352">
      <w:pPr>
        <w:spacing w:line="480" w:lineRule="auto"/>
        <w:rPr>
          <w:rFonts w:ascii="宋体" w:hAnsi="宋体" w:cs="宋体"/>
          <w:sz w:val="28"/>
          <w:szCs w:val="28"/>
        </w:rPr>
      </w:pPr>
      <w:r>
        <w:rPr>
          <w:rFonts w:hint="eastAsia" w:ascii="宋体" w:hAnsi="宋体" w:eastAsia="宋体" w:cs="宋体"/>
          <w:sz w:val="28"/>
          <w:szCs w:val="28"/>
        </w:rPr>
        <w:t>法定代表人</w:t>
      </w:r>
      <w:r>
        <w:rPr>
          <w:rFonts w:hint="eastAsia" w:ascii="宋体" w:hAnsi="宋体" w:cs="宋体"/>
          <w:sz w:val="28"/>
          <w:szCs w:val="28"/>
          <w:lang w:val="en-US" w:eastAsia="zh-CN"/>
        </w:rPr>
        <w:t>或授权委托人</w:t>
      </w:r>
      <w:r>
        <w:rPr>
          <w:rFonts w:hint="eastAsia" w:ascii="宋体" w:hAnsi="宋体" w:eastAsia="宋体" w:cs="宋体"/>
          <w:sz w:val="28"/>
          <w:szCs w:val="28"/>
        </w:rPr>
        <w:t>（签字或盖章）：</w:t>
      </w:r>
      <w:r>
        <w:rPr>
          <w:rFonts w:hint="eastAsia" w:ascii="宋体" w:hAnsi="宋体" w:cs="宋体"/>
          <w:sz w:val="28"/>
          <w:szCs w:val="28"/>
        </w:rPr>
        <w:t xml:space="preserve"> </w:t>
      </w:r>
    </w:p>
    <w:p w14:paraId="0F8D2775">
      <w:pPr>
        <w:spacing w:line="480" w:lineRule="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联  系  人：</w:t>
      </w:r>
      <w:r>
        <w:rPr>
          <w:rFonts w:hint="eastAsia" w:ascii="宋体" w:hAnsi="宋体" w:cs="宋体"/>
          <w:color w:val="000000" w:themeColor="text1"/>
          <w:sz w:val="28"/>
          <w:szCs w:val="28"/>
          <w:lang w:eastAsia="zh-CN"/>
          <w14:textFill>
            <w14:solidFill>
              <w14:schemeClr w14:val="tx1"/>
            </w14:solidFill>
          </w14:textFill>
        </w:rPr>
        <w:t>赖秋萍</w:t>
      </w:r>
    </w:p>
    <w:p w14:paraId="438A2888">
      <w:pPr>
        <w:spacing w:line="480" w:lineRule="auto"/>
        <w:rPr>
          <w:rFonts w:hint="eastAsia" w:ascii="宋体" w:hAnsi="宋体" w:eastAsia="宋体" w:cs="宋体"/>
          <w:color w:val="FF0000"/>
          <w:sz w:val="28"/>
          <w:szCs w:val="28"/>
          <w:lang w:val="en-US" w:eastAsia="zh-CN"/>
        </w:rPr>
      </w:pPr>
      <w:r>
        <w:rPr>
          <w:rFonts w:hint="eastAsia" w:ascii="宋体" w:hAnsi="宋体" w:cs="宋体"/>
          <w:color w:val="000000" w:themeColor="text1"/>
          <w:sz w:val="28"/>
          <w:szCs w:val="28"/>
          <w14:textFill>
            <w14:solidFill>
              <w14:schemeClr w14:val="tx1"/>
            </w14:solidFill>
          </w14:textFill>
        </w:rPr>
        <w:t>电      话：</w:t>
      </w:r>
      <w:r>
        <w:rPr>
          <w:rFonts w:hint="eastAsia" w:ascii="宋体" w:hAnsi="宋体" w:cs="宋体"/>
          <w:color w:val="000000" w:themeColor="text1"/>
          <w:sz w:val="28"/>
          <w:szCs w:val="28"/>
          <w:lang w:eastAsia="zh-CN"/>
          <w14:textFill>
            <w14:solidFill>
              <w14:schemeClr w14:val="tx1"/>
            </w14:solidFill>
          </w14:textFill>
        </w:rPr>
        <w:t>18799906825</w:t>
      </w:r>
    </w:p>
    <w:p w14:paraId="62D5F62C">
      <w:pPr>
        <w:spacing w:line="360" w:lineRule="auto"/>
        <w:rPr>
          <w:rFonts w:ascii="宋体" w:hAnsi="宋体" w:cs="宋体"/>
          <w:sz w:val="28"/>
          <w:szCs w:val="28"/>
        </w:rPr>
      </w:pPr>
    </w:p>
    <w:p w14:paraId="51159794">
      <w:pPr>
        <w:spacing w:line="360" w:lineRule="auto"/>
        <w:rPr>
          <w:rFonts w:ascii="宋体" w:hAnsi="宋体" w:cs="宋体"/>
          <w:sz w:val="28"/>
          <w:szCs w:val="28"/>
        </w:rPr>
      </w:pPr>
    </w:p>
    <w:p w14:paraId="44D49554">
      <w:pPr>
        <w:pStyle w:val="16"/>
        <w:rPr>
          <w:rFonts w:ascii="宋体" w:hAnsi="宋体" w:cs="宋体"/>
          <w:sz w:val="28"/>
          <w:szCs w:val="28"/>
        </w:rPr>
      </w:pPr>
    </w:p>
    <w:p w14:paraId="6EEB382D">
      <w:pPr>
        <w:rPr>
          <w:sz w:val="28"/>
          <w:szCs w:val="28"/>
        </w:rPr>
      </w:pPr>
    </w:p>
    <w:p w14:paraId="5AA0D57A">
      <w:pPr>
        <w:spacing w:line="360" w:lineRule="auto"/>
        <w:rPr>
          <w:rFonts w:ascii="宋体" w:hAnsi="宋体" w:cs="宋体"/>
          <w:sz w:val="28"/>
          <w:szCs w:val="28"/>
        </w:rPr>
      </w:pPr>
    </w:p>
    <w:p w14:paraId="2D8DCF46">
      <w:pPr>
        <w:spacing w:line="360" w:lineRule="auto"/>
        <w:rPr>
          <w:rFonts w:ascii="宋体" w:hAnsi="宋体" w:cs="宋体"/>
          <w:sz w:val="28"/>
          <w:szCs w:val="28"/>
        </w:rPr>
      </w:pPr>
    </w:p>
    <w:p w14:paraId="78B53CD5">
      <w:pPr>
        <w:spacing w:line="480" w:lineRule="auto"/>
        <w:rPr>
          <w:rFonts w:hint="eastAsia" w:ascii="宋体" w:hAnsi="宋体" w:eastAsia="宋体" w:cs="宋体"/>
          <w:sz w:val="28"/>
          <w:szCs w:val="28"/>
          <w:lang w:eastAsia="zh-CN"/>
        </w:rPr>
      </w:pPr>
      <w:r>
        <w:rPr>
          <w:rFonts w:hint="eastAsia" w:ascii="宋体" w:hAnsi="宋体" w:cs="宋体"/>
          <w:sz w:val="28"/>
          <w:szCs w:val="28"/>
        </w:rPr>
        <w:t>采购代理机构（公章）：</w:t>
      </w:r>
      <w:r>
        <w:rPr>
          <w:rFonts w:hint="eastAsia" w:ascii="宋体" w:hAnsi="宋体" w:cs="宋体"/>
          <w:sz w:val="28"/>
          <w:szCs w:val="28"/>
          <w:lang w:eastAsia="zh-CN"/>
        </w:rPr>
        <w:t>新疆华玫睿项目管理有限公司</w:t>
      </w:r>
    </w:p>
    <w:p w14:paraId="6D30EA7C">
      <w:pPr>
        <w:spacing w:line="480" w:lineRule="auto"/>
        <w:rPr>
          <w:rFonts w:ascii="宋体" w:hAnsi="宋体" w:cs="宋体"/>
          <w:sz w:val="28"/>
          <w:szCs w:val="28"/>
        </w:rPr>
      </w:pPr>
      <w:r>
        <w:rPr>
          <w:rFonts w:hint="eastAsia" w:ascii="宋体" w:hAnsi="宋体" w:eastAsia="宋体" w:cs="宋体"/>
          <w:sz w:val="28"/>
          <w:szCs w:val="28"/>
        </w:rPr>
        <w:t>法定代表人</w:t>
      </w:r>
      <w:r>
        <w:rPr>
          <w:rFonts w:hint="eastAsia" w:ascii="宋体" w:hAnsi="宋体" w:cs="宋体"/>
          <w:sz w:val="28"/>
          <w:szCs w:val="28"/>
          <w:lang w:val="en-US" w:eastAsia="zh-CN"/>
        </w:rPr>
        <w:t>或授权委托人</w:t>
      </w:r>
      <w:r>
        <w:rPr>
          <w:rFonts w:hint="eastAsia" w:ascii="宋体" w:hAnsi="宋体" w:eastAsia="宋体" w:cs="宋体"/>
          <w:sz w:val="28"/>
          <w:szCs w:val="28"/>
        </w:rPr>
        <w:t>（签字或盖章）：</w:t>
      </w:r>
    </w:p>
    <w:p w14:paraId="3F75FF83">
      <w:pPr>
        <w:spacing w:line="480" w:lineRule="auto"/>
        <w:rPr>
          <w:rFonts w:hint="eastAsia" w:ascii="宋体" w:hAnsi="宋体" w:eastAsia="宋体" w:cs="宋体"/>
          <w:sz w:val="28"/>
          <w:szCs w:val="28"/>
          <w:lang w:eastAsia="zh-CN"/>
        </w:rPr>
      </w:pPr>
      <w:r>
        <w:rPr>
          <w:rFonts w:hint="eastAsia" w:ascii="宋体" w:hAnsi="宋体" w:cs="宋体"/>
          <w:sz w:val="28"/>
          <w:szCs w:val="28"/>
        </w:rPr>
        <w:t>联  系  人：</w:t>
      </w:r>
      <w:r>
        <w:rPr>
          <w:rFonts w:hint="eastAsia" w:ascii="宋体" w:hAnsi="宋体" w:cs="宋体"/>
          <w:sz w:val="28"/>
          <w:szCs w:val="28"/>
          <w:lang w:eastAsia="zh-CN"/>
        </w:rPr>
        <w:t>张恩慈、谷玫瑰</w:t>
      </w:r>
    </w:p>
    <w:p w14:paraId="180D20E4">
      <w:pPr>
        <w:spacing w:line="480" w:lineRule="auto"/>
        <w:rPr>
          <w:rFonts w:ascii="宋体" w:hAnsi="宋体" w:cs="宋体"/>
          <w:sz w:val="28"/>
          <w:szCs w:val="28"/>
        </w:rPr>
      </w:pPr>
      <w:r>
        <w:rPr>
          <w:rFonts w:hint="eastAsia" w:ascii="宋体" w:hAnsi="宋体" w:cs="宋体"/>
          <w:sz w:val="28"/>
          <w:szCs w:val="28"/>
        </w:rPr>
        <w:t>电      话：</w:t>
      </w:r>
      <w:r>
        <w:rPr>
          <w:rFonts w:hint="eastAsia" w:ascii="宋体" w:hAnsi="宋体" w:cs="宋体"/>
          <w:sz w:val="28"/>
          <w:szCs w:val="28"/>
          <w:lang w:eastAsia="zh-CN"/>
        </w:rPr>
        <w:t>13579399515、19590199019</w:t>
      </w:r>
      <w:r>
        <w:rPr>
          <w:rFonts w:hint="eastAsia" w:ascii="宋体" w:hAnsi="宋体" w:cs="宋体"/>
          <w:sz w:val="28"/>
          <w:szCs w:val="28"/>
        </w:rPr>
        <w:t xml:space="preserve">       </w:t>
      </w:r>
    </w:p>
    <w:p w14:paraId="336354EA">
      <w:pPr>
        <w:spacing w:line="480" w:lineRule="auto"/>
        <w:rPr>
          <w:rFonts w:hint="eastAsia" w:ascii="宋体" w:hAnsi="宋体" w:eastAsia="宋体" w:cs="宋体"/>
          <w:sz w:val="28"/>
          <w:szCs w:val="28"/>
          <w:lang w:eastAsia="zh-CN"/>
        </w:rPr>
      </w:pPr>
      <w:r>
        <w:rPr>
          <w:rFonts w:hint="eastAsia" w:ascii="宋体" w:hAnsi="宋体" w:cs="宋体"/>
          <w:sz w:val="28"/>
          <w:szCs w:val="28"/>
        </w:rPr>
        <w:t>联 系 地 址：</w:t>
      </w:r>
      <w:r>
        <w:rPr>
          <w:rFonts w:hint="eastAsia" w:ascii="宋体" w:hAnsi="宋体" w:cs="宋体"/>
          <w:sz w:val="28"/>
          <w:szCs w:val="28"/>
          <w:lang w:eastAsia="zh-CN"/>
        </w:rPr>
        <w:t>阿克苏市交通路28号南城新天地14-122（二楼）</w:t>
      </w:r>
    </w:p>
    <w:p w14:paraId="33EF6E98">
      <w:pPr>
        <w:spacing w:line="360" w:lineRule="auto"/>
        <w:rPr>
          <w:rFonts w:ascii="宋体" w:hAnsi="宋体" w:cs="宋体"/>
          <w:sz w:val="28"/>
          <w:szCs w:val="28"/>
        </w:rPr>
      </w:pPr>
    </w:p>
    <w:p w14:paraId="49B81F23">
      <w:pPr>
        <w:rPr>
          <w:sz w:val="28"/>
          <w:szCs w:val="28"/>
        </w:rPr>
      </w:pPr>
    </w:p>
    <w:p w14:paraId="04B67CFA">
      <w:pPr>
        <w:jc w:val="center"/>
        <w:rPr>
          <w:rFonts w:ascii="宋体" w:hAnsi="宋体" w:cs="宋体"/>
          <w:sz w:val="28"/>
          <w:szCs w:val="28"/>
        </w:rPr>
        <w:sectPr>
          <w:pgSz w:w="11906" w:h="16838"/>
          <w:pgMar w:top="1440" w:right="1800" w:bottom="1440" w:left="1800" w:header="851" w:footer="992" w:gutter="0"/>
          <w:pgNumType w:start="1"/>
          <w:cols w:space="720" w:num="1"/>
          <w:titlePg/>
          <w:docGrid w:type="lines" w:linePitch="312" w:charSpace="0"/>
        </w:sect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06</w:t>
      </w:r>
      <w:r>
        <w:rPr>
          <w:rFonts w:hint="eastAsia" w:ascii="宋体" w:hAnsi="宋体" w:cs="宋体"/>
          <w:sz w:val="28"/>
          <w:szCs w:val="28"/>
        </w:rPr>
        <w:t>月</w:t>
      </w:r>
    </w:p>
    <w:p w14:paraId="6B29B226">
      <w:pPr>
        <w:jc w:val="both"/>
        <w:rPr>
          <w:rFonts w:hint="eastAsia" w:cs="Times New Roman"/>
          <w:b/>
          <w:bCs/>
          <w:kern w:val="0"/>
          <w:szCs w:val="32"/>
          <w:lang w:val="en-US" w:eastAsia="zh-CN"/>
        </w:rPr>
      </w:pPr>
      <w:bookmarkStart w:id="0" w:name="_Toc35393797"/>
      <w:bookmarkStart w:id="1" w:name="_Toc28359011"/>
      <w:bookmarkStart w:id="2" w:name="_Toc4719"/>
      <w:bookmarkStart w:id="3" w:name="_Toc20290"/>
    </w:p>
    <w:p w14:paraId="1BF60B20">
      <w:pPr>
        <w:jc w:val="center"/>
        <w:rPr>
          <w:rFonts w:hint="eastAsia" w:cs="Times New Roman"/>
          <w:b/>
          <w:bCs/>
          <w:kern w:val="0"/>
          <w:sz w:val="24"/>
          <w:szCs w:val="40"/>
          <w:lang w:val="en-US" w:eastAsia="zh-CN"/>
        </w:rPr>
      </w:pPr>
      <w:r>
        <w:rPr>
          <w:rFonts w:hint="eastAsia" w:cs="Times New Roman"/>
          <w:b/>
          <w:bCs/>
          <w:kern w:val="0"/>
          <w:sz w:val="36"/>
          <w:szCs w:val="52"/>
          <w:lang w:val="en-US" w:eastAsia="zh-CN"/>
        </w:rPr>
        <w:t>目  录</w:t>
      </w:r>
    </w:p>
    <w:p w14:paraId="42F2756B">
      <w:pPr>
        <w:pStyle w:val="29"/>
        <w:tabs>
          <w:tab w:val="right" w:pos="4000"/>
          <w:tab w:val="right" w:leader="dot" w:pos="8300"/>
        </w:tabs>
        <w:jc w:val="distribute"/>
        <w:rPr>
          <w:sz w:val="28"/>
          <w:szCs w:val="36"/>
        </w:rPr>
      </w:pPr>
      <w:r>
        <w:rPr>
          <w:sz w:val="28"/>
          <w:szCs w:val="36"/>
        </w:rPr>
        <w:fldChar w:fldCharType="begin"/>
      </w:r>
      <w:r>
        <w:rPr>
          <w:sz w:val="28"/>
          <w:szCs w:val="36"/>
        </w:rPr>
        <w:instrText xml:space="preserve">TOC \o "1-1" \h \u </w:instrText>
      </w:r>
      <w:r>
        <w:rPr>
          <w:sz w:val="28"/>
          <w:szCs w:val="36"/>
        </w:rPr>
        <w:fldChar w:fldCharType="separate"/>
      </w:r>
      <w:r>
        <w:rPr>
          <w:sz w:val="28"/>
          <w:szCs w:val="36"/>
        </w:rPr>
        <w:fldChar w:fldCharType="begin"/>
      </w:r>
      <w:r>
        <w:rPr>
          <w:sz w:val="28"/>
          <w:szCs w:val="36"/>
        </w:rPr>
        <w:instrText xml:space="preserve"> HYPERLINK \l _Toc29405 </w:instrText>
      </w:r>
      <w:r>
        <w:rPr>
          <w:sz w:val="28"/>
          <w:szCs w:val="36"/>
        </w:rPr>
        <w:fldChar w:fldCharType="separate"/>
      </w:r>
      <w:r>
        <w:rPr>
          <w:rFonts w:hint="default" w:ascii="Times New Roman" w:hAnsi="Times New Roman" w:eastAsia="宋体" w:cs="Times New Roman"/>
          <w:bCs/>
          <w:kern w:val="0"/>
          <w:sz w:val="28"/>
          <w:szCs w:val="44"/>
        </w:rPr>
        <w:t xml:space="preserve">第一章 </w:t>
      </w:r>
      <w:r>
        <w:rPr>
          <w:rFonts w:hint="eastAsia" w:cs="Times New Roman"/>
          <w:bCs/>
          <w:kern w:val="0"/>
          <w:sz w:val="28"/>
          <w:szCs w:val="44"/>
          <w:lang w:val="en-US" w:eastAsia="zh-CN"/>
        </w:rPr>
        <w:t xml:space="preserve"> </w:t>
      </w:r>
      <w:r>
        <w:rPr>
          <w:rFonts w:ascii="Times New Roman" w:hAnsi="Times New Roman" w:eastAsia="宋体" w:cs="Times New Roman"/>
          <w:bCs/>
          <w:kern w:val="0"/>
          <w:sz w:val="28"/>
          <w:szCs w:val="44"/>
        </w:rPr>
        <w:t>招标公告</w:t>
      </w:r>
      <w:r>
        <w:rPr>
          <w:rFonts w:hint="eastAsia" w:cs="Times New Roman"/>
          <w:bCs/>
          <w:kern w:val="0"/>
          <w:sz w:val="28"/>
          <w:szCs w:val="44"/>
          <w:lang w:val="en-US" w:eastAsia="zh-CN"/>
        </w:rPr>
        <w:t>...........................</w:t>
      </w:r>
      <w:r>
        <w:rPr>
          <w:sz w:val="28"/>
          <w:szCs w:val="36"/>
        </w:rPr>
        <w:tab/>
      </w:r>
      <w:r>
        <w:rPr>
          <w:sz w:val="28"/>
          <w:szCs w:val="36"/>
        </w:rPr>
        <w:fldChar w:fldCharType="begin"/>
      </w:r>
      <w:r>
        <w:rPr>
          <w:sz w:val="28"/>
          <w:szCs w:val="36"/>
        </w:rPr>
        <w:instrText xml:space="preserve"> PAGEREF _Toc29405 \h </w:instrText>
      </w:r>
      <w:r>
        <w:rPr>
          <w:sz w:val="28"/>
          <w:szCs w:val="36"/>
        </w:rPr>
        <w:fldChar w:fldCharType="separate"/>
      </w:r>
      <w:r>
        <w:rPr>
          <w:sz w:val="28"/>
          <w:szCs w:val="36"/>
        </w:rPr>
        <w:t>1</w:t>
      </w:r>
      <w:r>
        <w:rPr>
          <w:sz w:val="28"/>
          <w:szCs w:val="36"/>
        </w:rPr>
        <w:fldChar w:fldCharType="end"/>
      </w:r>
      <w:r>
        <w:rPr>
          <w:sz w:val="28"/>
          <w:szCs w:val="36"/>
        </w:rPr>
        <w:fldChar w:fldCharType="end"/>
      </w:r>
    </w:p>
    <w:p w14:paraId="32A01472">
      <w:pPr>
        <w:pStyle w:val="29"/>
        <w:tabs>
          <w:tab w:val="right" w:leader="dot" w:pos="8300"/>
        </w:tabs>
        <w:rPr>
          <w:sz w:val="28"/>
          <w:szCs w:val="36"/>
        </w:rPr>
      </w:pPr>
      <w:r>
        <w:rPr>
          <w:sz w:val="28"/>
          <w:szCs w:val="36"/>
        </w:rPr>
        <w:fldChar w:fldCharType="begin"/>
      </w:r>
      <w:r>
        <w:rPr>
          <w:sz w:val="28"/>
          <w:szCs w:val="36"/>
        </w:rPr>
        <w:instrText xml:space="preserve"> HYPERLINK \l _Toc22718 </w:instrText>
      </w:r>
      <w:r>
        <w:rPr>
          <w:sz w:val="28"/>
          <w:szCs w:val="36"/>
        </w:rPr>
        <w:fldChar w:fldCharType="separate"/>
      </w:r>
      <w:r>
        <w:rPr>
          <w:rFonts w:hint="eastAsia"/>
          <w:bCs/>
          <w:sz w:val="28"/>
          <w:szCs w:val="44"/>
        </w:rPr>
        <w:t>第二章  投标人须知</w:t>
      </w:r>
      <w:r>
        <w:rPr>
          <w:sz w:val="28"/>
          <w:szCs w:val="36"/>
        </w:rPr>
        <w:tab/>
      </w:r>
      <w:r>
        <w:rPr>
          <w:sz w:val="28"/>
          <w:szCs w:val="36"/>
        </w:rPr>
        <w:fldChar w:fldCharType="begin"/>
      </w:r>
      <w:r>
        <w:rPr>
          <w:sz w:val="28"/>
          <w:szCs w:val="36"/>
        </w:rPr>
        <w:instrText xml:space="preserve"> PAGEREF _Toc22718 \h </w:instrText>
      </w:r>
      <w:r>
        <w:rPr>
          <w:sz w:val="28"/>
          <w:szCs w:val="36"/>
        </w:rPr>
        <w:fldChar w:fldCharType="separate"/>
      </w:r>
      <w:r>
        <w:rPr>
          <w:sz w:val="28"/>
          <w:szCs w:val="36"/>
        </w:rPr>
        <w:t>5</w:t>
      </w:r>
      <w:r>
        <w:rPr>
          <w:sz w:val="28"/>
          <w:szCs w:val="36"/>
        </w:rPr>
        <w:fldChar w:fldCharType="end"/>
      </w:r>
      <w:r>
        <w:rPr>
          <w:sz w:val="28"/>
          <w:szCs w:val="36"/>
        </w:rPr>
        <w:fldChar w:fldCharType="end"/>
      </w:r>
    </w:p>
    <w:p w14:paraId="020B4303">
      <w:pPr>
        <w:pStyle w:val="29"/>
        <w:tabs>
          <w:tab w:val="right" w:leader="dot" w:pos="8300"/>
        </w:tabs>
        <w:rPr>
          <w:sz w:val="28"/>
          <w:szCs w:val="36"/>
        </w:rPr>
      </w:pPr>
      <w:r>
        <w:rPr>
          <w:sz w:val="28"/>
          <w:szCs w:val="36"/>
        </w:rPr>
        <w:fldChar w:fldCharType="begin"/>
      </w:r>
      <w:r>
        <w:rPr>
          <w:sz w:val="28"/>
          <w:szCs w:val="36"/>
        </w:rPr>
        <w:instrText xml:space="preserve"> HYPERLINK \l _Toc3923 </w:instrText>
      </w:r>
      <w:r>
        <w:rPr>
          <w:sz w:val="28"/>
          <w:szCs w:val="36"/>
        </w:rPr>
        <w:fldChar w:fldCharType="separate"/>
      </w:r>
      <w:r>
        <w:rPr>
          <w:rFonts w:hint="eastAsia"/>
          <w:bCs/>
          <w:sz w:val="28"/>
          <w:szCs w:val="44"/>
        </w:rPr>
        <w:t>第三章  评标办法</w:t>
      </w:r>
      <w:r>
        <w:rPr>
          <w:sz w:val="28"/>
          <w:szCs w:val="36"/>
        </w:rPr>
        <w:tab/>
      </w:r>
      <w:r>
        <w:rPr>
          <w:sz w:val="28"/>
          <w:szCs w:val="36"/>
        </w:rPr>
        <w:fldChar w:fldCharType="begin"/>
      </w:r>
      <w:r>
        <w:rPr>
          <w:sz w:val="28"/>
          <w:szCs w:val="36"/>
        </w:rPr>
        <w:instrText xml:space="preserve"> PAGEREF _Toc3923 \h </w:instrText>
      </w:r>
      <w:r>
        <w:rPr>
          <w:sz w:val="28"/>
          <w:szCs w:val="36"/>
        </w:rPr>
        <w:fldChar w:fldCharType="separate"/>
      </w:r>
      <w:r>
        <w:rPr>
          <w:sz w:val="28"/>
          <w:szCs w:val="36"/>
        </w:rPr>
        <w:t>27</w:t>
      </w:r>
      <w:r>
        <w:rPr>
          <w:sz w:val="28"/>
          <w:szCs w:val="36"/>
        </w:rPr>
        <w:fldChar w:fldCharType="end"/>
      </w:r>
      <w:r>
        <w:rPr>
          <w:sz w:val="28"/>
          <w:szCs w:val="36"/>
        </w:rPr>
        <w:fldChar w:fldCharType="end"/>
      </w:r>
    </w:p>
    <w:p w14:paraId="17211F3A">
      <w:pPr>
        <w:pStyle w:val="29"/>
        <w:tabs>
          <w:tab w:val="right" w:leader="dot" w:pos="8300"/>
        </w:tabs>
        <w:rPr>
          <w:sz w:val="28"/>
          <w:szCs w:val="36"/>
        </w:rPr>
      </w:pPr>
      <w:r>
        <w:rPr>
          <w:sz w:val="28"/>
          <w:szCs w:val="36"/>
        </w:rPr>
        <w:fldChar w:fldCharType="begin"/>
      </w:r>
      <w:r>
        <w:rPr>
          <w:sz w:val="28"/>
          <w:szCs w:val="36"/>
        </w:rPr>
        <w:instrText xml:space="preserve"> HYPERLINK \l _Toc28571 </w:instrText>
      </w:r>
      <w:r>
        <w:rPr>
          <w:sz w:val="28"/>
          <w:szCs w:val="36"/>
        </w:rPr>
        <w:fldChar w:fldCharType="separate"/>
      </w:r>
      <w:r>
        <w:rPr>
          <w:rFonts w:hint="eastAsia" w:ascii="宋体" w:hAnsi="宋体" w:cs="宋体"/>
          <w:bCs/>
          <w:sz w:val="28"/>
          <w:szCs w:val="44"/>
        </w:rPr>
        <w:t>第四章  合同条款</w:t>
      </w:r>
      <w:r>
        <w:rPr>
          <w:sz w:val="28"/>
          <w:szCs w:val="36"/>
        </w:rPr>
        <w:tab/>
      </w:r>
      <w:r>
        <w:rPr>
          <w:sz w:val="28"/>
          <w:szCs w:val="36"/>
        </w:rPr>
        <w:fldChar w:fldCharType="begin"/>
      </w:r>
      <w:r>
        <w:rPr>
          <w:sz w:val="28"/>
          <w:szCs w:val="36"/>
        </w:rPr>
        <w:instrText xml:space="preserve"> PAGEREF _Toc28571 \h </w:instrText>
      </w:r>
      <w:r>
        <w:rPr>
          <w:sz w:val="28"/>
          <w:szCs w:val="36"/>
        </w:rPr>
        <w:fldChar w:fldCharType="separate"/>
      </w:r>
      <w:r>
        <w:rPr>
          <w:sz w:val="28"/>
          <w:szCs w:val="36"/>
        </w:rPr>
        <w:t>30</w:t>
      </w:r>
      <w:r>
        <w:rPr>
          <w:sz w:val="28"/>
          <w:szCs w:val="36"/>
        </w:rPr>
        <w:fldChar w:fldCharType="end"/>
      </w:r>
      <w:r>
        <w:rPr>
          <w:sz w:val="28"/>
          <w:szCs w:val="36"/>
        </w:rPr>
        <w:fldChar w:fldCharType="end"/>
      </w:r>
    </w:p>
    <w:p w14:paraId="27436AEB">
      <w:pPr>
        <w:pStyle w:val="29"/>
        <w:tabs>
          <w:tab w:val="right" w:leader="dot" w:pos="8300"/>
        </w:tabs>
        <w:rPr>
          <w:sz w:val="28"/>
          <w:szCs w:val="36"/>
        </w:rPr>
      </w:pPr>
      <w:r>
        <w:rPr>
          <w:sz w:val="28"/>
          <w:szCs w:val="36"/>
        </w:rPr>
        <w:fldChar w:fldCharType="begin"/>
      </w:r>
      <w:r>
        <w:rPr>
          <w:sz w:val="28"/>
          <w:szCs w:val="36"/>
        </w:rPr>
        <w:instrText xml:space="preserve"> HYPERLINK \l _Toc32202 </w:instrText>
      </w:r>
      <w:r>
        <w:rPr>
          <w:sz w:val="28"/>
          <w:szCs w:val="36"/>
        </w:rPr>
        <w:fldChar w:fldCharType="separate"/>
      </w:r>
      <w:r>
        <w:rPr>
          <w:rFonts w:hint="eastAsia" w:ascii="宋体" w:hAnsi="宋体" w:cs="宋体"/>
          <w:bCs/>
          <w:sz w:val="28"/>
          <w:szCs w:val="44"/>
        </w:rPr>
        <w:t xml:space="preserve">第五章 </w:t>
      </w:r>
      <w:r>
        <w:rPr>
          <w:rFonts w:hint="eastAsia" w:ascii="宋体" w:hAnsi="宋体" w:cs="宋体"/>
          <w:bCs/>
          <w:sz w:val="28"/>
          <w:szCs w:val="44"/>
          <w:lang w:val="en-US" w:eastAsia="zh-CN"/>
        </w:rPr>
        <w:t xml:space="preserve"> </w:t>
      </w:r>
      <w:r>
        <w:rPr>
          <w:rFonts w:hint="eastAsia" w:ascii="宋体" w:hAnsi="宋体" w:cs="宋体"/>
          <w:bCs/>
          <w:sz w:val="28"/>
          <w:szCs w:val="44"/>
        </w:rPr>
        <w:t>采购需求及技术参</w:t>
      </w:r>
      <w:r>
        <w:rPr>
          <w:sz w:val="28"/>
          <w:szCs w:val="36"/>
        </w:rPr>
        <w:tab/>
      </w:r>
      <w:r>
        <w:rPr>
          <w:sz w:val="28"/>
          <w:szCs w:val="36"/>
        </w:rPr>
        <w:fldChar w:fldCharType="begin"/>
      </w:r>
      <w:r>
        <w:rPr>
          <w:sz w:val="28"/>
          <w:szCs w:val="36"/>
        </w:rPr>
        <w:instrText xml:space="preserve"> PAGEREF _Toc32202 \h </w:instrText>
      </w:r>
      <w:r>
        <w:rPr>
          <w:sz w:val="28"/>
          <w:szCs w:val="36"/>
        </w:rPr>
        <w:fldChar w:fldCharType="separate"/>
      </w:r>
      <w:r>
        <w:rPr>
          <w:sz w:val="28"/>
          <w:szCs w:val="36"/>
        </w:rPr>
        <w:t>44</w:t>
      </w:r>
      <w:r>
        <w:rPr>
          <w:sz w:val="28"/>
          <w:szCs w:val="36"/>
        </w:rPr>
        <w:fldChar w:fldCharType="end"/>
      </w:r>
      <w:r>
        <w:rPr>
          <w:sz w:val="28"/>
          <w:szCs w:val="36"/>
        </w:rPr>
        <w:fldChar w:fldCharType="end"/>
      </w:r>
    </w:p>
    <w:p w14:paraId="6C61B340">
      <w:pPr>
        <w:pStyle w:val="29"/>
        <w:tabs>
          <w:tab w:val="right" w:leader="dot" w:pos="8300"/>
        </w:tabs>
        <w:rPr>
          <w:sz w:val="28"/>
          <w:szCs w:val="36"/>
        </w:rPr>
      </w:pPr>
      <w:r>
        <w:rPr>
          <w:sz w:val="28"/>
          <w:szCs w:val="36"/>
        </w:rPr>
        <w:fldChar w:fldCharType="begin"/>
      </w:r>
      <w:r>
        <w:rPr>
          <w:sz w:val="28"/>
          <w:szCs w:val="36"/>
        </w:rPr>
        <w:instrText xml:space="preserve"> HYPERLINK \l _Toc876 </w:instrText>
      </w:r>
      <w:r>
        <w:rPr>
          <w:sz w:val="28"/>
          <w:szCs w:val="36"/>
        </w:rPr>
        <w:fldChar w:fldCharType="separate"/>
      </w:r>
      <w:r>
        <w:rPr>
          <w:rFonts w:hint="eastAsia" w:ascii="宋体" w:hAnsi="宋体" w:cs="宋体"/>
          <w:bCs/>
          <w:sz w:val="28"/>
          <w:szCs w:val="44"/>
        </w:rPr>
        <w:t xml:space="preserve">第六章 </w:t>
      </w:r>
      <w:r>
        <w:rPr>
          <w:rFonts w:hint="eastAsia" w:ascii="宋体" w:hAnsi="宋体" w:cs="宋体"/>
          <w:bCs/>
          <w:sz w:val="28"/>
          <w:szCs w:val="44"/>
          <w:lang w:val="en-US" w:eastAsia="zh-CN"/>
        </w:rPr>
        <w:t xml:space="preserve"> </w:t>
      </w:r>
      <w:r>
        <w:rPr>
          <w:rFonts w:hint="eastAsia" w:ascii="宋体" w:hAnsi="宋体" w:cs="宋体"/>
          <w:bCs/>
          <w:sz w:val="28"/>
          <w:szCs w:val="44"/>
        </w:rPr>
        <w:t>投标文件格</w:t>
      </w:r>
      <w:r>
        <w:rPr>
          <w:rFonts w:hint="eastAsia" w:ascii="宋体" w:hAnsi="宋体" w:cs="宋体"/>
          <w:bCs/>
          <w:sz w:val="28"/>
          <w:szCs w:val="44"/>
          <w:lang w:val="en-US" w:eastAsia="zh-CN"/>
        </w:rPr>
        <w:t>式</w:t>
      </w:r>
      <w:r>
        <w:rPr>
          <w:sz w:val="28"/>
          <w:szCs w:val="36"/>
        </w:rPr>
        <w:tab/>
      </w:r>
      <w:r>
        <w:rPr>
          <w:sz w:val="28"/>
          <w:szCs w:val="36"/>
        </w:rPr>
        <w:fldChar w:fldCharType="begin"/>
      </w:r>
      <w:r>
        <w:rPr>
          <w:sz w:val="28"/>
          <w:szCs w:val="36"/>
        </w:rPr>
        <w:instrText xml:space="preserve"> PAGEREF _Toc876 \h </w:instrText>
      </w:r>
      <w:r>
        <w:rPr>
          <w:sz w:val="28"/>
          <w:szCs w:val="36"/>
        </w:rPr>
        <w:fldChar w:fldCharType="separate"/>
      </w:r>
      <w:r>
        <w:rPr>
          <w:sz w:val="28"/>
          <w:szCs w:val="36"/>
        </w:rPr>
        <w:t>69</w:t>
      </w:r>
      <w:r>
        <w:rPr>
          <w:sz w:val="28"/>
          <w:szCs w:val="36"/>
        </w:rPr>
        <w:fldChar w:fldCharType="end"/>
      </w:r>
      <w:r>
        <w:rPr>
          <w:sz w:val="28"/>
          <w:szCs w:val="36"/>
        </w:rPr>
        <w:fldChar w:fldCharType="end"/>
      </w:r>
    </w:p>
    <w:p w14:paraId="30D55E9C">
      <w:r>
        <w:rPr>
          <w:sz w:val="24"/>
          <w:szCs w:val="24"/>
        </w:rPr>
        <w:fldChar w:fldCharType="end"/>
      </w:r>
    </w:p>
    <w:p w14:paraId="096E4275">
      <w:pPr>
        <w:pStyle w:val="2"/>
        <w:keepNext/>
        <w:keepLines/>
        <w:pageBreakBefore w:val="0"/>
        <w:widowControl w:val="0"/>
        <w:tabs>
          <w:tab w:val="left" w:pos="0"/>
        </w:tabs>
        <w:kinsoku/>
        <w:wordWrap/>
        <w:overflowPunct/>
        <w:topLinePunct w:val="0"/>
        <w:autoSpaceDE w:val="0"/>
        <w:autoSpaceDN w:val="0"/>
        <w:bidi w:val="0"/>
        <w:adjustRightInd w:val="0"/>
        <w:snapToGrid/>
        <w:spacing w:before="0" w:after="0" w:line="360" w:lineRule="auto"/>
        <w:ind w:left="0" w:firstLine="0"/>
        <w:jc w:val="center"/>
        <w:textAlignment w:val="auto"/>
        <w:rPr>
          <w:rFonts w:ascii="Times New Roman" w:hAnsi="Times New Roman" w:eastAsia="宋体" w:cs="Times New Roman"/>
          <w:b/>
          <w:bCs/>
          <w:kern w:val="0"/>
          <w:szCs w:val="32"/>
        </w:rPr>
        <w:sectPr>
          <w:pgSz w:w="11906" w:h="16838"/>
          <w:pgMar w:top="1440" w:right="1797" w:bottom="1440" w:left="1797" w:header="851" w:footer="992" w:gutter="0"/>
          <w:cols w:space="425" w:num="1"/>
          <w:docGrid w:type="lines" w:linePitch="312" w:charSpace="0"/>
        </w:sectPr>
      </w:pPr>
      <w:bookmarkStart w:id="4" w:name="_Toc8371"/>
      <w:bookmarkStart w:id="5" w:name="_Toc29405"/>
    </w:p>
    <w:p w14:paraId="28E877A2">
      <w:pPr>
        <w:pStyle w:val="2"/>
        <w:keepNext/>
        <w:keepLines/>
        <w:pageBreakBefore w:val="0"/>
        <w:widowControl w:val="0"/>
        <w:tabs>
          <w:tab w:val="left" w:pos="0"/>
        </w:tabs>
        <w:kinsoku/>
        <w:wordWrap/>
        <w:overflowPunct/>
        <w:topLinePunct w:val="0"/>
        <w:autoSpaceDE w:val="0"/>
        <w:autoSpaceDN w:val="0"/>
        <w:bidi w:val="0"/>
        <w:adjustRightInd w:val="0"/>
        <w:snapToGrid/>
        <w:spacing w:before="0" w:after="0" w:line="360" w:lineRule="auto"/>
        <w:ind w:left="0" w:firstLine="0"/>
        <w:jc w:val="center"/>
        <w:textAlignment w:val="auto"/>
        <w:rPr>
          <w:rFonts w:ascii="Times New Roman" w:hAnsi="Times New Roman" w:eastAsia="宋体" w:cs="Times New Roman"/>
          <w:b/>
          <w:bCs/>
          <w:kern w:val="0"/>
          <w:szCs w:val="32"/>
        </w:rPr>
      </w:pPr>
      <w:r>
        <w:rPr>
          <w:rFonts w:ascii="Times New Roman" w:hAnsi="Times New Roman" w:eastAsia="宋体" w:cs="Times New Roman"/>
          <w:b/>
          <w:bCs/>
          <w:kern w:val="0"/>
          <w:szCs w:val="32"/>
        </w:rPr>
        <w:fldChar w:fldCharType="begin"/>
      </w:r>
      <w:r>
        <w:rPr>
          <w:rFonts w:ascii="Times New Roman" w:hAnsi="Times New Roman" w:eastAsia="宋体" w:cs="Times New Roman"/>
          <w:b/>
          <w:bCs/>
          <w:kern w:val="0"/>
          <w:szCs w:val="32"/>
        </w:rPr>
        <w:instrText xml:space="preserve"> HYPERLINK \l _Toc16730 </w:instrText>
      </w:r>
      <w:r>
        <w:rPr>
          <w:rFonts w:ascii="Times New Roman" w:hAnsi="Times New Roman" w:eastAsia="宋体" w:cs="Times New Roman"/>
          <w:b/>
          <w:bCs/>
          <w:kern w:val="0"/>
          <w:szCs w:val="32"/>
        </w:rPr>
        <w:fldChar w:fldCharType="separate"/>
      </w:r>
      <w:r>
        <w:rPr>
          <w:rFonts w:hint="default" w:ascii="Times New Roman" w:hAnsi="Times New Roman" w:eastAsia="宋体" w:cs="Times New Roman"/>
          <w:b/>
          <w:bCs/>
          <w:kern w:val="0"/>
          <w:szCs w:val="32"/>
        </w:rPr>
        <w:t xml:space="preserve">第一章 </w:t>
      </w:r>
      <w:r>
        <w:rPr>
          <w:rFonts w:ascii="Times New Roman" w:hAnsi="Times New Roman" w:eastAsia="宋体" w:cs="Times New Roman"/>
          <w:b/>
          <w:bCs/>
          <w:kern w:val="0"/>
          <w:szCs w:val="32"/>
        </w:rPr>
        <w:t>招标公告</w:t>
      </w:r>
      <w:r>
        <w:rPr>
          <w:rFonts w:ascii="Times New Roman" w:hAnsi="Times New Roman" w:eastAsia="宋体" w:cs="Times New Roman"/>
          <w:b/>
          <w:bCs/>
          <w:kern w:val="0"/>
          <w:szCs w:val="32"/>
        </w:rPr>
        <w:tab/>
      </w:r>
      <w:r>
        <w:rPr>
          <w:rFonts w:ascii="Times New Roman" w:hAnsi="Times New Roman" w:eastAsia="宋体" w:cs="Times New Roman"/>
          <w:b/>
          <w:bCs/>
          <w:kern w:val="0"/>
          <w:szCs w:val="32"/>
        </w:rPr>
        <w:fldChar w:fldCharType="end"/>
      </w:r>
      <w:bookmarkEnd w:id="0"/>
      <w:bookmarkEnd w:id="1"/>
      <w:bookmarkEnd w:id="2"/>
      <w:bookmarkEnd w:id="3"/>
      <w:bookmarkEnd w:id="4"/>
      <w:bookmarkEnd w:id="5"/>
    </w:p>
    <w:p w14:paraId="3FAA0240">
      <w:pPr>
        <w:rPr>
          <w:rFonts w:hint="default"/>
        </w:rPr>
      </w:pPr>
    </w:p>
    <w:p w14:paraId="7BCD86C5">
      <w:pPr>
        <w:pBdr>
          <w:top w:val="single" w:color="auto" w:sz="4" w:space="1"/>
          <w:left w:val="single" w:color="auto" w:sz="4" w:space="4"/>
          <w:bottom w:val="single" w:color="auto" w:sz="4" w:space="1"/>
          <w:right w:val="single" w:color="auto" w:sz="4" w:space="4"/>
        </w:pBd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项目概况</w:t>
      </w:r>
    </w:p>
    <w:p w14:paraId="06803F56">
      <w:pPr>
        <w:pBdr>
          <w:top w:val="single" w:color="auto" w:sz="4" w:space="1"/>
          <w:left w:val="single" w:color="auto" w:sz="4" w:space="4"/>
          <w:bottom w:val="single" w:color="auto" w:sz="4" w:space="1"/>
          <w:right w:val="single" w:color="auto" w:sz="4" w:space="4"/>
        </w:pBdr>
        <w:spacing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lang w:eastAsia="zh-CN"/>
        </w:rPr>
        <w:t>阿瓦提县人民医院一批检验试剂采购项目</w:t>
      </w:r>
      <w:r>
        <w:rPr>
          <w:rFonts w:hint="eastAsia" w:asciiTheme="minorEastAsia" w:hAnsiTheme="minorEastAsia" w:eastAsiaTheme="minorEastAsia" w:cstheme="minorEastAsia"/>
          <w:sz w:val="24"/>
        </w:rPr>
        <w:t>的潜在投标人应在政采云平台获取（下载）采购文件，并于</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2026年06月29日11点00分</w:t>
      </w:r>
      <w:r>
        <w:rPr>
          <w:rFonts w:hint="eastAsia" w:asciiTheme="minorEastAsia" w:hAnsiTheme="minorEastAsia" w:eastAsiaTheme="minorEastAsia" w:cstheme="minorEastAsia"/>
          <w:bCs/>
          <w:color w:val="auto"/>
          <w:sz w:val="24"/>
        </w:rPr>
        <w:t>（北京时间）前提交投标文件</w:t>
      </w:r>
      <w:r>
        <w:rPr>
          <w:rFonts w:hint="eastAsia" w:asciiTheme="minorEastAsia" w:hAnsiTheme="minorEastAsia" w:eastAsiaTheme="minorEastAsia" w:cstheme="minorEastAsia"/>
          <w:color w:val="auto"/>
          <w:sz w:val="24"/>
        </w:rPr>
        <w:t>。</w:t>
      </w:r>
    </w:p>
    <w:p w14:paraId="5D166E72">
      <w:pPr>
        <w:pStyle w:val="3"/>
        <w:spacing w:before="0" w:after="0" w:line="500" w:lineRule="exact"/>
        <w:rPr>
          <w:rFonts w:hint="eastAsia" w:asciiTheme="minorEastAsia" w:hAnsiTheme="minorEastAsia" w:eastAsiaTheme="minorEastAsia" w:cstheme="minorEastAsia"/>
          <w:bCs w:val="0"/>
          <w:sz w:val="24"/>
          <w:szCs w:val="24"/>
        </w:rPr>
      </w:pPr>
      <w:bookmarkStart w:id="6" w:name="_Toc35393629"/>
      <w:bookmarkStart w:id="7" w:name="_Toc28359012"/>
      <w:bookmarkStart w:id="8" w:name="_Toc35393798"/>
      <w:bookmarkStart w:id="9" w:name="_Toc28359089"/>
      <w:r>
        <w:rPr>
          <w:rFonts w:hint="eastAsia" w:asciiTheme="minorEastAsia" w:hAnsiTheme="minorEastAsia" w:eastAsiaTheme="minorEastAsia" w:cstheme="minorEastAsia"/>
          <w:bCs w:val="0"/>
          <w:sz w:val="24"/>
          <w:szCs w:val="24"/>
        </w:rPr>
        <w:t>一、项目基本情况</w:t>
      </w:r>
      <w:bookmarkEnd w:id="6"/>
      <w:bookmarkEnd w:id="7"/>
      <w:bookmarkEnd w:id="8"/>
      <w:bookmarkEnd w:id="9"/>
    </w:p>
    <w:p w14:paraId="06F500AB">
      <w:pPr>
        <w:spacing w:line="500" w:lineRule="exact"/>
        <w:ind w:firstLine="480" w:firstLineChars="200"/>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auto"/>
          <w:sz w:val="24"/>
          <w:szCs w:val="24"/>
        </w:rPr>
        <w:t>项目编号：</w:t>
      </w:r>
      <w:r>
        <w:rPr>
          <w:rFonts w:hint="eastAsia" w:asciiTheme="minorEastAsia" w:hAnsiTheme="minorEastAsia" w:eastAsiaTheme="minorEastAsia" w:cstheme="minorEastAsia"/>
          <w:color w:val="auto"/>
          <w:sz w:val="24"/>
          <w:szCs w:val="24"/>
          <w:lang w:eastAsia="zh-CN"/>
        </w:rPr>
        <w:t>20260195</w:t>
      </w:r>
    </w:p>
    <w:p w14:paraId="32183E89">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lang w:eastAsia="zh-CN"/>
        </w:rPr>
        <w:t>阿瓦提县人民医院一批检验试剂采购项目</w:t>
      </w:r>
    </w:p>
    <w:p w14:paraId="020251B5">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采购方式：公开招标</w:t>
      </w:r>
    </w:p>
    <w:p w14:paraId="774B2106">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预算金额</w:t>
      </w: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2063479.00元</w:t>
      </w:r>
    </w:p>
    <w:p w14:paraId="59E4F73B">
      <w:pPr>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最高限价</w:t>
      </w:r>
      <w:r>
        <w:rPr>
          <w:rFonts w:hint="eastAsia" w:asciiTheme="minorEastAsia" w:hAnsiTheme="minorEastAsia" w:eastAsiaTheme="minorEastAsia" w:cstheme="minorEastAsia"/>
          <w:sz w:val="24"/>
          <w:szCs w:val="24"/>
          <w:lang w:eastAsia="zh-CN"/>
        </w:rPr>
        <w:t>（元）</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2063479.00元</w:t>
      </w:r>
    </w:p>
    <w:p w14:paraId="6B8695B6">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52FF8529">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标项名称：</w:t>
      </w:r>
      <w:r>
        <w:rPr>
          <w:rFonts w:hint="eastAsia" w:ascii="宋体" w:hAnsi="宋体" w:cs="宋体"/>
          <w:sz w:val="24"/>
          <w:lang w:eastAsia="zh-CN"/>
        </w:rPr>
        <w:t>阿瓦提县人民医院一批检验试剂采购项目</w:t>
      </w:r>
    </w:p>
    <w:p w14:paraId="11F0CA0D">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数量:1</w:t>
      </w:r>
    </w:p>
    <w:p w14:paraId="261C8D07">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预算金额（元）:</w:t>
      </w:r>
      <w:r>
        <w:rPr>
          <w:rFonts w:hint="eastAsia" w:asciiTheme="minorEastAsia" w:hAnsiTheme="minorEastAsia" w:eastAsiaTheme="minorEastAsia" w:cstheme="minorEastAsia"/>
          <w:sz w:val="24"/>
          <w:szCs w:val="24"/>
          <w:lang w:eastAsia="zh-CN"/>
        </w:rPr>
        <w:t>2063479.00元</w:t>
      </w:r>
    </w:p>
    <w:p w14:paraId="01F3D77E">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简要规格描述</w:t>
      </w:r>
      <w:r>
        <w:rPr>
          <w:rFonts w:hint="eastAsia" w:asciiTheme="minorEastAsia" w:hAnsiTheme="minorEastAsia" w:eastAsiaTheme="minorEastAsia" w:cstheme="minorEastAsia"/>
          <w:sz w:val="24"/>
          <w:szCs w:val="24"/>
          <w:lang w:eastAsia="zh-CN"/>
        </w:rPr>
        <w:t>或项目基本概况介绍</w:t>
      </w:r>
      <w:r>
        <w:rPr>
          <w:rFonts w:hint="eastAsia" w:asciiTheme="minorEastAsia" w:hAnsiTheme="minorEastAsia" w:eastAsiaTheme="minorEastAsia" w:cstheme="minorEastAsia"/>
          <w:sz w:val="24"/>
          <w:szCs w:val="24"/>
        </w:rPr>
        <w:t>：</w:t>
      </w:r>
      <w:r>
        <w:rPr>
          <w:rFonts w:hint="eastAsia" w:ascii="宋体" w:hAnsi="宋体" w:cs="宋体"/>
          <w:sz w:val="24"/>
          <w:lang w:eastAsia="zh-CN"/>
        </w:rPr>
        <w:t>一批检验试剂采购</w:t>
      </w:r>
      <w:r>
        <w:rPr>
          <w:rFonts w:hint="eastAsia" w:asciiTheme="minorEastAsia" w:hAnsiTheme="minorEastAsia" w:eastAsiaTheme="minorEastAsia" w:cstheme="minorEastAsia"/>
          <w:sz w:val="24"/>
          <w:szCs w:val="24"/>
        </w:rPr>
        <w:t>，详见</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rPr>
        <w:t>文件。</w:t>
      </w:r>
    </w:p>
    <w:p w14:paraId="6E1D44D5">
      <w:pPr>
        <w:spacing w:line="500" w:lineRule="exact"/>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合同履行期限：</w:t>
      </w:r>
      <w:r>
        <w:rPr>
          <w:rFonts w:hint="eastAsia" w:asciiTheme="minorEastAsia" w:hAnsiTheme="minorEastAsia" w:eastAsiaTheme="minorEastAsia" w:cstheme="minorEastAsia"/>
          <w:b w:val="0"/>
          <w:bCs/>
          <w:color w:val="auto"/>
          <w:kern w:val="2"/>
          <w:sz w:val="24"/>
          <w:szCs w:val="24"/>
          <w:lang w:val="en-US" w:eastAsia="zh-CN" w:bidi="ar-SA"/>
        </w:rPr>
        <w:t>一年。</w:t>
      </w:r>
    </w:p>
    <w:p w14:paraId="244EDB12">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本项目不接受联合体。</w:t>
      </w:r>
    </w:p>
    <w:p w14:paraId="294B45B7">
      <w:pPr>
        <w:pStyle w:val="3"/>
        <w:spacing w:before="0" w:after="0" w:line="500" w:lineRule="exact"/>
        <w:rPr>
          <w:rFonts w:hint="eastAsia" w:asciiTheme="minorEastAsia" w:hAnsiTheme="minorEastAsia" w:eastAsiaTheme="minorEastAsia" w:cstheme="minorEastAsia"/>
          <w:bCs w:val="0"/>
          <w:sz w:val="24"/>
          <w:szCs w:val="24"/>
        </w:rPr>
      </w:pPr>
      <w:bookmarkStart w:id="10" w:name="_Toc28359013"/>
      <w:bookmarkStart w:id="11" w:name="_Toc28359090"/>
      <w:bookmarkStart w:id="12" w:name="_Toc35393799"/>
      <w:bookmarkStart w:id="13" w:name="_Toc35393630"/>
      <w:r>
        <w:rPr>
          <w:rFonts w:hint="eastAsia" w:asciiTheme="minorEastAsia" w:hAnsiTheme="minorEastAsia" w:eastAsiaTheme="minorEastAsia" w:cstheme="minorEastAsia"/>
          <w:bCs w:val="0"/>
          <w:sz w:val="24"/>
          <w:szCs w:val="24"/>
        </w:rPr>
        <w:t>二、申请人的资格要求：</w:t>
      </w:r>
      <w:bookmarkEnd w:id="10"/>
      <w:bookmarkEnd w:id="11"/>
      <w:bookmarkEnd w:id="12"/>
      <w:bookmarkEnd w:id="13"/>
    </w:p>
    <w:p w14:paraId="0701F806">
      <w:pPr>
        <w:pStyle w:val="3"/>
        <w:spacing w:before="0" w:after="0" w:line="500" w:lineRule="exact"/>
        <w:ind w:firstLine="480" w:firstLineChars="200"/>
        <w:rPr>
          <w:rFonts w:hint="eastAsia" w:asciiTheme="minorEastAsia" w:hAnsiTheme="minorEastAsia" w:eastAsiaTheme="minorEastAsia" w:cstheme="minorEastAsia"/>
          <w:b w:val="0"/>
          <w:bCs/>
          <w:sz w:val="24"/>
          <w:szCs w:val="24"/>
        </w:rPr>
      </w:pPr>
      <w:bookmarkStart w:id="14" w:name="_Toc28359014"/>
      <w:bookmarkStart w:id="15" w:name="_Toc35393631"/>
      <w:bookmarkStart w:id="16" w:name="_Toc28359091"/>
      <w:bookmarkStart w:id="17" w:name="_Toc35393800"/>
      <w:r>
        <w:rPr>
          <w:rFonts w:hint="eastAsia" w:asciiTheme="minorEastAsia" w:hAnsiTheme="minorEastAsia" w:eastAsiaTheme="minorEastAsia" w:cstheme="minorEastAsia"/>
          <w:b w:val="0"/>
          <w:bCs/>
          <w:sz w:val="24"/>
          <w:szCs w:val="24"/>
        </w:rPr>
        <w:t>1、满足《中华人民共和国政府采购法》第二十二条规定；</w:t>
      </w:r>
    </w:p>
    <w:p w14:paraId="595A190D">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22A73522">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（1）财政部、工业和信息化部关于印发《政府采购促进中小企业发展管理办法》的通知（财库〔2020〕46号）； </w:t>
      </w:r>
    </w:p>
    <w:p w14:paraId="26A3EB82">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（2）《财政部、司法部关于政府采购支持监狱企业发展有关问题的通知》（财库[2014]68号）； </w:t>
      </w:r>
    </w:p>
    <w:p w14:paraId="3DA1196A">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（3）《国务院办公厅关于建立政府强制采购节能产品制度的通知》（国发办[2007]51号）； </w:t>
      </w:r>
    </w:p>
    <w:p w14:paraId="0F262758">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（4）《财政部 民政部 中国残疾人联合会关于促进残疾人就业政府采购政策的通知》财库[2017]141号； </w:t>
      </w:r>
    </w:p>
    <w:p w14:paraId="02285E6E">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14:paraId="30D175AB">
      <w:pPr>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6）按照《财政部关于在政府采购活动中查询及使用信用记录有关问题的 </w:t>
      </w:r>
    </w:p>
    <w:p w14:paraId="34365CD6">
      <w:pPr>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通知》（财库〔2016〕125 号）的要求，根据响应文件开启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采购人或者采购代理机构对信用信息查询记录和证据进行打印存档；</w:t>
      </w:r>
    </w:p>
    <w:p w14:paraId="61254E03">
      <w:pPr>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宋体" w:hAnsi="宋体" w:eastAsia="宋体" w:cs="宋体"/>
          <w:sz w:val="24"/>
          <w:szCs w:val="24"/>
          <w:lang w:val="en-US" w:eastAsia="zh-CN"/>
        </w:rPr>
        <w:t>本项目不专门面向中小企业采购，对于小微企业、监狱企业、残疾人福利性单位等参与本项目所享受的优惠政策，详见本项目采购文件。</w:t>
      </w:r>
    </w:p>
    <w:p w14:paraId="7A4B9702">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69F7F271">
      <w:pPr>
        <w:pStyle w:val="16"/>
        <w:spacing w:line="500" w:lineRule="exact"/>
        <w:ind w:firstLine="480" w:firstLineChars="200"/>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的须具有《医疗器械经营备案凭证》或《医疗器械经营许可证》；所投产品属于第三类医疗器械的的须具有《医疗器械经营许可证》。</w:t>
      </w:r>
    </w:p>
    <w:p w14:paraId="3AC239F1">
      <w:pPr>
        <w:pStyle w:val="16"/>
        <w:spacing w:line="500" w:lineRule="exact"/>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三、获取招标文件</w:t>
      </w:r>
      <w:bookmarkEnd w:id="14"/>
      <w:bookmarkEnd w:id="15"/>
      <w:bookmarkEnd w:id="16"/>
      <w:bookmarkEnd w:id="17"/>
    </w:p>
    <w:p w14:paraId="49583334">
      <w:pPr>
        <w:spacing w:line="5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时间：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08</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日至202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06</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日</w:t>
      </w:r>
      <w:r>
        <w:rPr>
          <w:rFonts w:hint="eastAsia" w:asciiTheme="minorEastAsia" w:hAnsiTheme="minorEastAsia" w:eastAsiaTheme="minorEastAsia" w:cstheme="minorEastAsia"/>
          <w:color w:val="auto"/>
          <w:sz w:val="24"/>
          <w:szCs w:val="24"/>
        </w:rPr>
        <w:t>，每天上午10:00至14:00，下午1</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0至</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0（北京时间，法定节假日除外）</w:t>
      </w:r>
    </w:p>
    <w:p w14:paraId="5C64BA57">
      <w:pPr>
        <w:spacing w:line="500" w:lineRule="exact"/>
        <w:ind w:firstLine="54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地点：政采云平台线上</w:t>
      </w:r>
    </w:p>
    <w:p w14:paraId="646763A1">
      <w:pPr>
        <w:spacing w:line="500" w:lineRule="exact"/>
        <w:ind w:firstLine="5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05C02D8">
      <w:pPr>
        <w:spacing w:line="500" w:lineRule="exact"/>
        <w:ind w:firstLine="5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售价：0元/份</w:t>
      </w:r>
    </w:p>
    <w:p w14:paraId="4D936832">
      <w:pPr>
        <w:pStyle w:val="3"/>
        <w:spacing w:before="0" w:after="0" w:line="500" w:lineRule="exact"/>
        <w:rPr>
          <w:rFonts w:hint="eastAsia" w:asciiTheme="minorEastAsia" w:hAnsiTheme="minorEastAsia" w:eastAsiaTheme="minorEastAsia" w:cstheme="minorEastAsia"/>
          <w:bCs w:val="0"/>
          <w:sz w:val="24"/>
          <w:szCs w:val="24"/>
        </w:rPr>
      </w:pPr>
      <w:bookmarkStart w:id="18" w:name="_Toc28359092"/>
      <w:bookmarkStart w:id="19" w:name="_Toc35393632"/>
      <w:bookmarkStart w:id="20" w:name="_Toc28359015"/>
      <w:bookmarkStart w:id="21" w:name="_Toc35393801"/>
      <w:r>
        <w:rPr>
          <w:rFonts w:hint="eastAsia" w:asciiTheme="minorEastAsia" w:hAnsiTheme="minorEastAsia" w:eastAsiaTheme="minorEastAsia" w:cstheme="minorEastAsia"/>
          <w:bCs w:val="0"/>
          <w:sz w:val="24"/>
          <w:szCs w:val="24"/>
        </w:rPr>
        <w:t>四、</w:t>
      </w:r>
      <w:bookmarkEnd w:id="18"/>
      <w:bookmarkEnd w:id="19"/>
      <w:bookmarkEnd w:id="20"/>
      <w:bookmarkEnd w:id="21"/>
      <w:r>
        <w:rPr>
          <w:rFonts w:hint="eastAsia" w:asciiTheme="minorEastAsia" w:hAnsiTheme="minorEastAsia" w:eastAsiaTheme="minorEastAsia" w:cstheme="minorEastAsia"/>
          <w:bCs w:val="0"/>
          <w:sz w:val="24"/>
          <w:szCs w:val="24"/>
        </w:rPr>
        <w:t>提交投标文件截止时间、开标时间和地点</w:t>
      </w:r>
    </w:p>
    <w:p w14:paraId="411C94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val="0"/>
          <w:color w:val="auto"/>
          <w:sz w:val="24"/>
          <w:szCs w:val="24"/>
        </w:rPr>
        <w:t>提交投标文件</w:t>
      </w:r>
      <w:r>
        <w:rPr>
          <w:rFonts w:hint="eastAsia" w:asciiTheme="minorEastAsia" w:hAnsiTheme="minorEastAsia" w:eastAsiaTheme="minorEastAsia" w:cstheme="minorEastAsia"/>
          <w:color w:val="auto"/>
          <w:sz w:val="24"/>
          <w:szCs w:val="24"/>
        </w:rPr>
        <w:t>截止时间：</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2026年06月29日11点00分</w:t>
      </w:r>
      <w:r>
        <w:rPr>
          <w:rFonts w:hint="eastAsia" w:asciiTheme="minorEastAsia" w:hAnsiTheme="minorEastAsia" w:eastAsiaTheme="minorEastAsia" w:cstheme="minorEastAsia"/>
          <w:bCs/>
          <w:color w:val="auto"/>
          <w:sz w:val="24"/>
          <w:szCs w:val="24"/>
        </w:rPr>
        <w:t>（北京时间）</w:t>
      </w:r>
    </w:p>
    <w:p w14:paraId="005BF2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color w:val="auto"/>
          <w:sz w:val="24"/>
          <w:szCs w:val="24"/>
          <w:lang w:eastAsia="zh-CN"/>
        </w:rPr>
        <w:t>投标</w:t>
      </w:r>
      <w:r>
        <w:rPr>
          <w:rFonts w:hint="eastAsia" w:asciiTheme="minorEastAsia" w:hAnsiTheme="minorEastAsia" w:eastAsiaTheme="minorEastAsia" w:cstheme="minorEastAsia"/>
          <w:color w:val="auto"/>
          <w:sz w:val="24"/>
          <w:szCs w:val="24"/>
        </w:rPr>
        <w:t>地点：请登录政采云投标客户端投标</w:t>
      </w:r>
    </w:p>
    <w:p w14:paraId="77365CE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color w:val="auto"/>
          <w:sz w:val="24"/>
          <w:szCs w:val="24"/>
          <w:lang w:eastAsia="zh-CN"/>
        </w:rPr>
        <w:t>开标时间：</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2026年06月29日11点00分</w:t>
      </w:r>
      <w:r>
        <w:rPr>
          <w:rFonts w:hint="eastAsia" w:asciiTheme="minorEastAsia" w:hAnsiTheme="minorEastAsia" w:eastAsiaTheme="minorEastAsia" w:cstheme="minorEastAsia"/>
          <w:b w:val="0"/>
          <w:bCs w:val="0"/>
          <w:color w:val="auto"/>
          <w:sz w:val="24"/>
          <w:szCs w:val="24"/>
          <w:lang w:eastAsia="zh-CN"/>
        </w:rPr>
        <w:t>（北京时间）</w:t>
      </w:r>
    </w:p>
    <w:p w14:paraId="01A9C9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eastAsia="zh-CN"/>
        </w:rPr>
        <w:t>开标地点：</w:t>
      </w:r>
      <w:bookmarkStart w:id="22" w:name="_Toc28359017"/>
      <w:bookmarkStart w:id="23" w:name="_Toc35393634"/>
      <w:bookmarkStart w:id="24" w:name="_Toc35393803"/>
      <w:bookmarkStart w:id="25" w:name="_Toc28359094"/>
      <w:r>
        <w:rPr>
          <w:rFonts w:hint="eastAsia" w:asciiTheme="minorEastAsia" w:hAnsiTheme="minorEastAsia" w:eastAsiaTheme="minorEastAsia" w:cstheme="minorEastAsia"/>
          <w:bCs/>
          <w:color w:val="auto"/>
          <w:sz w:val="24"/>
          <w:szCs w:val="24"/>
          <w:lang w:eastAsia="zh-CN"/>
        </w:rPr>
        <w:t>投标人登录政采云平台https://www.zcygov.cn/，进入“项目采购-开标评标-右边选择对应项目点击“进入项目”进入开标大厅。</w:t>
      </w:r>
    </w:p>
    <w:p w14:paraId="02E7389A">
      <w:pPr>
        <w:spacing w:line="500" w:lineRule="exact"/>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
          <w:bCs w:val="0"/>
          <w:kern w:val="2"/>
          <w:sz w:val="24"/>
          <w:szCs w:val="24"/>
          <w:lang w:val="en-US" w:eastAsia="zh-CN" w:bidi="ar-SA"/>
        </w:rPr>
        <w:t>五、公告期限</w:t>
      </w:r>
      <w:bookmarkEnd w:id="22"/>
      <w:bookmarkEnd w:id="23"/>
      <w:bookmarkEnd w:id="24"/>
      <w:bookmarkEnd w:id="25"/>
    </w:p>
    <w:p w14:paraId="1B6B4FB1">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自本公告发布之日起5个工作日。</w:t>
      </w:r>
    </w:p>
    <w:p w14:paraId="529D72D9">
      <w:pPr>
        <w:pStyle w:val="3"/>
        <w:spacing w:before="0" w:after="0" w:line="500" w:lineRule="exact"/>
        <w:rPr>
          <w:rFonts w:hint="eastAsia" w:asciiTheme="minorEastAsia" w:hAnsiTheme="minorEastAsia" w:eastAsiaTheme="minorEastAsia" w:cstheme="minorEastAsia"/>
          <w:b w:val="0"/>
          <w:sz w:val="24"/>
          <w:szCs w:val="24"/>
        </w:rPr>
      </w:pPr>
      <w:bookmarkStart w:id="26" w:name="_Toc35393635"/>
      <w:bookmarkStart w:id="27" w:name="_Toc35393804"/>
      <w:r>
        <w:rPr>
          <w:rFonts w:hint="eastAsia" w:asciiTheme="minorEastAsia" w:hAnsiTheme="minorEastAsia" w:eastAsiaTheme="minorEastAsia" w:cstheme="minorEastAsia"/>
          <w:bCs w:val="0"/>
          <w:sz w:val="24"/>
          <w:szCs w:val="24"/>
        </w:rPr>
        <w:t>六、其他补充事宜</w:t>
      </w:r>
      <w:bookmarkEnd w:id="26"/>
      <w:bookmarkEnd w:id="27"/>
    </w:p>
    <w:p w14:paraId="6BC2B4E8">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本公告</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在</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新疆政府采购网</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及</w:t>
      </w:r>
      <w:r>
        <w:rPr>
          <w:rFonts w:hint="eastAsia" w:ascii="宋体" w:hAnsi="宋体" w:eastAsia="宋体" w:cs="宋体"/>
          <w:kern w:val="0"/>
          <w:sz w:val="24"/>
          <w:szCs w:val="24"/>
          <w:lang w:val="en-US" w:eastAsia="zh-CN"/>
        </w:rPr>
        <w:t>阿瓦提县人民政府网</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发布。</w:t>
      </w:r>
    </w:p>
    <w:p w14:paraId="625EEC88">
      <w:pPr>
        <w:spacing w:line="500" w:lineRule="exact"/>
        <w:ind w:firstLine="480" w:firstLineChars="20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2.请供应商随时关注本项目的澄清、答疑、变更事项。</w:t>
      </w:r>
    </w:p>
    <w:p w14:paraId="25E6E2B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u w:val="none"/>
        </w:rPr>
      </w:pPr>
      <w:r>
        <w:rPr>
          <w:rFonts w:hint="eastAsia" w:ascii="宋体" w:hAnsi="宋体" w:eastAsia="宋体" w:cs="宋体"/>
          <w:b w:val="0"/>
          <w:bCs w:val="0"/>
          <w:color w:val="auto"/>
          <w:kern w:val="0"/>
          <w:sz w:val="24"/>
          <w:szCs w:val="24"/>
          <w:u w:val="none"/>
          <w:lang w:val="en-US" w:eastAsia="zh-CN"/>
        </w:rPr>
        <w:t>3.</w:t>
      </w:r>
      <w:r>
        <w:rPr>
          <w:rFonts w:hint="eastAsia" w:ascii="宋体" w:hAnsi="宋体" w:eastAsia="宋体" w:cs="宋体"/>
          <w:b w:val="0"/>
          <w:bCs w:val="0"/>
          <w:color w:val="auto"/>
          <w:kern w:val="0"/>
          <w:sz w:val="24"/>
          <w:szCs w:val="24"/>
          <w:u w:val="none"/>
        </w:rPr>
        <w:t>本项目实行电子招投标，供应商须登录政采云平台申请获取</w:t>
      </w:r>
      <w:r>
        <w:rPr>
          <w:rFonts w:hint="eastAsia" w:ascii="宋体" w:hAnsi="宋体" w:eastAsia="宋体" w:cs="宋体"/>
          <w:b w:val="0"/>
          <w:bCs w:val="0"/>
          <w:color w:val="auto"/>
          <w:kern w:val="0"/>
          <w:sz w:val="24"/>
          <w:szCs w:val="24"/>
          <w:u w:val="none"/>
          <w:lang w:val="en-US" w:eastAsia="zh-CN"/>
        </w:rPr>
        <w:t>采购</w:t>
      </w:r>
      <w:r>
        <w:rPr>
          <w:rFonts w:hint="eastAsia" w:ascii="宋体" w:hAnsi="宋体" w:eastAsia="宋体" w:cs="宋体"/>
          <w:b w:val="0"/>
          <w:bCs w:val="0"/>
          <w:color w:val="auto"/>
          <w:kern w:val="0"/>
          <w:sz w:val="24"/>
          <w:szCs w:val="24"/>
          <w:u w:val="none"/>
        </w:rPr>
        <w:t>文件，并通过政采云电子投标客户端制作响应文件，同时自行承担与投标有关的一切费用。</w:t>
      </w:r>
    </w:p>
    <w:p w14:paraId="21E32B2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u w:val="none"/>
        </w:rPr>
      </w:pPr>
      <w:r>
        <w:rPr>
          <w:rFonts w:hint="eastAsia" w:ascii="宋体" w:hAnsi="宋体" w:eastAsia="宋体" w:cs="宋体"/>
          <w:b w:val="0"/>
          <w:bCs w:val="0"/>
          <w:color w:val="auto"/>
          <w:kern w:val="0"/>
          <w:sz w:val="24"/>
          <w:szCs w:val="24"/>
          <w:u w:val="none"/>
        </w:rPr>
        <w:t>4</w:t>
      </w:r>
      <w:r>
        <w:rPr>
          <w:rFonts w:hint="eastAsia" w:ascii="宋体" w:hAnsi="宋体" w:eastAsia="宋体" w:cs="宋体"/>
          <w:b w:val="0"/>
          <w:bCs w:val="0"/>
          <w:color w:val="auto"/>
          <w:kern w:val="0"/>
          <w:sz w:val="24"/>
          <w:szCs w:val="24"/>
          <w:u w:val="none"/>
          <w:lang w:val="en-US" w:eastAsia="zh-CN"/>
        </w:rPr>
        <w:t>.</w:t>
      </w:r>
      <w:r>
        <w:rPr>
          <w:rFonts w:hint="eastAsia" w:ascii="宋体" w:hAnsi="宋体" w:eastAsia="宋体" w:cs="宋体"/>
          <w:b w:val="0"/>
          <w:bCs w:val="0"/>
          <w:color w:val="auto"/>
          <w:kern w:val="0"/>
          <w:sz w:val="24"/>
          <w:szCs w:val="24"/>
          <w:u w:val="none"/>
        </w:rPr>
        <w:t>各供应商应在开标前确保成为新疆维吾尔自治区政府采购网正式注册入库供应商，并完成CA数字证书申领。因未注册入库、未办理CA数字证书等原因造成无法投标或投标失败等后果由供应商自行承担。</w:t>
      </w:r>
    </w:p>
    <w:p w14:paraId="3D09BE61">
      <w:pPr>
        <w:keepNext w:val="0"/>
        <w:keepLines w:val="0"/>
        <w:pageBreakBefore w:val="0"/>
        <w:widowControl w:val="0"/>
        <w:kinsoku/>
        <w:wordWrap w:val="0"/>
        <w:overflowPunct/>
        <w:topLinePunct/>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u w:val="none"/>
        </w:rPr>
      </w:pPr>
      <w:r>
        <w:rPr>
          <w:rFonts w:hint="eastAsia" w:ascii="宋体" w:hAnsi="宋体" w:eastAsia="宋体" w:cs="宋体"/>
          <w:b w:val="0"/>
          <w:bCs w:val="0"/>
          <w:color w:val="auto"/>
          <w:kern w:val="0"/>
          <w:sz w:val="24"/>
          <w:szCs w:val="24"/>
          <w:u w:val="none"/>
        </w:rPr>
        <w:t>5</w:t>
      </w:r>
      <w:r>
        <w:rPr>
          <w:rFonts w:hint="eastAsia" w:ascii="宋体" w:hAnsi="宋体" w:eastAsia="宋体" w:cs="宋体"/>
          <w:b w:val="0"/>
          <w:bCs w:val="0"/>
          <w:color w:val="auto"/>
          <w:kern w:val="0"/>
          <w:sz w:val="24"/>
          <w:szCs w:val="24"/>
          <w:u w:val="none"/>
          <w:lang w:val="en-US" w:eastAsia="zh-CN"/>
        </w:rPr>
        <w:t>.</w:t>
      </w:r>
      <w:r>
        <w:rPr>
          <w:rFonts w:hint="eastAsia" w:ascii="宋体" w:hAnsi="宋体" w:eastAsia="宋体" w:cs="宋体"/>
          <w:b w:val="0"/>
          <w:bCs w:val="0"/>
          <w:color w:val="auto"/>
          <w:kern w:val="0"/>
          <w:sz w:val="24"/>
          <w:szCs w:val="24"/>
          <w:u w:val="none"/>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0D8E3F75">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b w:val="0"/>
          <w:bCs w:val="0"/>
          <w:color w:val="auto"/>
          <w:kern w:val="0"/>
          <w:sz w:val="24"/>
          <w:szCs w:val="24"/>
          <w:u w:val="none"/>
        </w:rPr>
      </w:pPr>
      <w:r>
        <w:rPr>
          <w:rFonts w:hint="eastAsia" w:ascii="宋体" w:hAnsi="宋体" w:eastAsia="宋体" w:cs="宋体"/>
          <w:b w:val="0"/>
          <w:bCs w:val="0"/>
          <w:color w:val="auto"/>
          <w:kern w:val="0"/>
          <w:sz w:val="24"/>
          <w:szCs w:val="24"/>
          <w:u w:val="none"/>
        </w:rPr>
        <w:t>6</w:t>
      </w:r>
      <w:r>
        <w:rPr>
          <w:rFonts w:hint="eastAsia" w:ascii="宋体" w:hAnsi="宋体" w:eastAsia="宋体" w:cs="宋体"/>
          <w:b w:val="0"/>
          <w:bCs w:val="0"/>
          <w:color w:val="auto"/>
          <w:kern w:val="0"/>
          <w:sz w:val="24"/>
          <w:szCs w:val="24"/>
          <w:u w:val="none"/>
          <w:lang w:val="en-US" w:eastAsia="zh-CN"/>
        </w:rPr>
        <w:t>.</w:t>
      </w:r>
      <w:r>
        <w:rPr>
          <w:rFonts w:hint="eastAsia" w:ascii="宋体" w:hAnsi="宋体" w:eastAsia="宋体" w:cs="宋体"/>
          <w:b w:val="0"/>
          <w:bCs w:val="0"/>
          <w:color w:val="auto"/>
          <w:kern w:val="0"/>
          <w:sz w:val="24"/>
          <w:szCs w:val="24"/>
          <w:u w:val="none"/>
        </w:rPr>
        <w:t>本项目采用不见面开标，供应商须在投标截止时间前通过CA锁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6C4F274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rPr>
      </w:pPr>
      <w:r>
        <w:rPr>
          <w:rFonts w:hint="eastAsia" w:ascii="宋体" w:hAnsi="宋体" w:eastAsia="宋体" w:cs="宋体"/>
          <w:b w:val="0"/>
          <w:bCs w:val="0"/>
          <w:color w:val="auto"/>
          <w:kern w:val="0"/>
          <w:sz w:val="24"/>
          <w:szCs w:val="24"/>
          <w:u w:val="none"/>
        </w:rPr>
        <w:t>7</w:t>
      </w:r>
      <w:r>
        <w:rPr>
          <w:rFonts w:hint="eastAsia" w:ascii="宋体" w:hAnsi="宋体" w:eastAsia="宋体" w:cs="宋体"/>
          <w:b w:val="0"/>
          <w:bCs w:val="0"/>
          <w:color w:val="auto"/>
          <w:kern w:val="0"/>
          <w:sz w:val="24"/>
          <w:szCs w:val="24"/>
          <w:u w:val="none"/>
          <w:lang w:val="en-US" w:eastAsia="zh-CN"/>
        </w:rPr>
        <w:t>.</w:t>
      </w:r>
      <w:r>
        <w:rPr>
          <w:rFonts w:hint="eastAsia" w:ascii="宋体" w:hAnsi="宋体" w:eastAsia="宋体" w:cs="宋体"/>
          <w:b w:val="0"/>
          <w:bCs w:val="0"/>
          <w:color w:val="auto"/>
          <w:kern w:val="0"/>
          <w:sz w:val="24"/>
          <w:szCs w:val="24"/>
          <w:u w:val="none"/>
        </w:rPr>
        <w:t>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3EE15E62">
      <w:pPr>
        <w:pStyle w:val="3"/>
        <w:spacing w:before="0" w:after="0" w:line="500" w:lineRule="exact"/>
        <w:rPr>
          <w:rFonts w:hint="eastAsia" w:asciiTheme="minorEastAsia" w:hAnsiTheme="minorEastAsia" w:eastAsiaTheme="minorEastAsia" w:cstheme="minorEastAsia"/>
          <w:bCs w:val="0"/>
          <w:sz w:val="24"/>
          <w:szCs w:val="24"/>
        </w:rPr>
      </w:pPr>
      <w:bookmarkStart w:id="28" w:name="_Toc28359095"/>
      <w:bookmarkStart w:id="29" w:name="_Toc35393636"/>
      <w:bookmarkStart w:id="30" w:name="_Toc28359018"/>
      <w:bookmarkStart w:id="31" w:name="_Toc35393805"/>
      <w:r>
        <w:rPr>
          <w:rFonts w:hint="eastAsia" w:asciiTheme="minorEastAsia" w:hAnsiTheme="minorEastAsia" w:eastAsiaTheme="minorEastAsia" w:cstheme="minorEastAsia"/>
          <w:bCs w:val="0"/>
          <w:sz w:val="24"/>
          <w:szCs w:val="24"/>
        </w:rPr>
        <w:t>八、对本次招标提出询问，请按以下方式联系。</w:t>
      </w:r>
      <w:bookmarkEnd w:id="28"/>
      <w:bookmarkEnd w:id="29"/>
      <w:bookmarkEnd w:id="30"/>
      <w:bookmarkEnd w:id="31"/>
    </w:p>
    <w:p w14:paraId="79185ECB">
      <w:pPr>
        <w:spacing w:line="500" w:lineRule="exact"/>
        <w:ind w:firstLine="240" w:firstLineChars="100"/>
        <w:rPr>
          <w:rFonts w:hint="eastAsia" w:asciiTheme="minorEastAsia" w:hAnsiTheme="minorEastAsia" w:eastAsiaTheme="minorEastAsia" w:cstheme="minorEastAsia"/>
          <w:kern w:val="0"/>
          <w:sz w:val="24"/>
          <w:szCs w:val="24"/>
        </w:rPr>
      </w:pPr>
      <w:bookmarkStart w:id="32" w:name="_Toc35393806"/>
      <w:bookmarkStart w:id="33" w:name="_Toc28359019"/>
      <w:bookmarkStart w:id="34" w:name="_Toc28359096"/>
      <w:bookmarkStart w:id="35" w:name="_Toc35393637"/>
      <w:r>
        <w:rPr>
          <w:rFonts w:hint="eastAsia" w:asciiTheme="minorEastAsia" w:hAnsiTheme="minorEastAsia" w:eastAsiaTheme="minorEastAsia" w:cstheme="minorEastAsia"/>
          <w:kern w:val="0"/>
          <w:sz w:val="24"/>
          <w:szCs w:val="24"/>
        </w:rPr>
        <w:t>1、采购人信息</w:t>
      </w:r>
      <w:bookmarkEnd w:id="32"/>
      <w:bookmarkEnd w:id="33"/>
      <w:bookmarkEnd w:id="34"/>
      <w:bookmarkEnd w:id="35"/>
    </w:p>
    <w:p w14:paraId="538A9007">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名    称：</w:t>
      </w:r>
      <w:r>
        <w:rPr>
          <w:rFonts w:hint="eastAsia" w:ascii="宋体" w:hAnsi="宋体" w:cs="宋体"/>
          <w:sz w:val="24"/>
          <w:lang w:val="en-US" w:eastAsia="zh-CN"/>
        </w:rPr>
        <w:t>阿瓦提县人民医院</w:t>
      </w:r>
    </w:p>
    <w:p w14:paraId="4B3DC3D9">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地    址：</w:t>
      </w:r>
      <w:r>
        <w:rPr>
          <w:rFonts w:hint="eastAsia" w:asciiTheme="minorEastAsia" w:hAnsiTheme="minorEastAsia" w:eastAsiaTheme="minorEastAsia" w:cstheme="minorEastAsia"/>
          <w:kern w:val="0"/>
          <w:sz w:val="24"/>
          <w:szCs w:val="24"/>
          <w:lang w:eastAsia="zh-CN"/>
        </w:rPr>
        <w:t>阿瓦提县拥军路30号</w:t>
      </w:r>
    </w:p>
    <w:p w14:paraId="55D6E659">
      <w:pPr>
        <w:spacing w:line="500" w:lineRule="exact"/>
        <w:ind w:firstLine="480" w:firstLineChars="200"/>
        <w:rPr>
          <w:rFonts w:hint="eastAsia" w:asciiTheme="minorEastAsia" w:hAnsiTheme="minorEastAsia" w:eastAsiaTheme="minorEastAsia" w:cstheme="minorEastAsia"/>
          <w:color w:val="FF0000"/>
          <w:kern w:val="0"/>
          <w:sz w:val="24"/>
          <w:szCs w:val="24"/>
          <w:lang w:eastAsia="zh-CN"/>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项目联系方式：</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18799906825</w:t>
      </w:r>
    </w:p>
    <w:p w14:paraId="774939BF">
      <w:pPr>
        <w:spacing w:line="500" w:lineRule="exact"/>
        <w:ind w:firstLine="240" w:firstLineChars="100"/>
        <w:rPr>
          <w:rFonts w:hint="eastAsia" w:asciiTheme="minorEastAsia" w:hAnsiTheme="minorEastAsia" w:eastAsiaTheme="minorEastAsia" w:cstheme="minorEastAsia"/>
          <w:kern w:val="0"/>
          <w:sz w:val="24"/>
          <w:szCs w:val="24"/>
        </w:rPr>
      </w:pPr>
      <w:bookmarkStart w:id="36" w:name="_Toc28359020"/>
      <w:bookmarkStart w:id="37" w:name="_Toc28359097"/>
      <w:bookmarkStart w:id="38" w:name="_Toc35393638"/>
      <w:bookmarkStart w:id="39" w:name="_Toc35393807"/>
      <w:r>
        <w:rPr>
          <w:rFonts w:hint="eastAsia" w:asciiTheme="minorEastAsia" w:hAnsiTheme="minorEastAsia" w:eastAsiaTheme="minorEastAsia" w:cstheme="minorEastAsia"/>
          <w:kern w:val="0"/>
          <w:sz w:val="24"/>
          <w:szCs w:val="24"/>
        </w:rPr>
        <w:t>2、采购代理机构信息</w:t>
      </w:r>
      <w:bookmarkEnd w:id="36"/>
      <w:bookmarkEnd w:id="37"/>
      <w:bookmarkEnd w:id="38"/>
      <w:bookmarkEnd w:id="39"/>
    </w:p>
    <w:p w14:paraId="5E3F16D4">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名  称：</w:t>
      </w:r>
      <w:r>
        <w:rPr>
          <w:rFonts w:hint="eastAsia" w:asciiTheme="minorEastAsia" w:hAnsiTheme="minorEastAsia" w:eastAsiaTheme="minorEastAsia" w:cstheme="minorEastAsia"/>
          <w:kern w:val="0"/>
          <w:sz w:val="24"/>
          <w:szCs w:val="24"/>
          <w:lang w:eastAsia="zh-CN"/>
        </w:rPr>
        <w:t>新疆华玫睿项目管理有限公司</w:t>
      </w:r>
    </w:p>
    <w:p w14:paraId="587F0CE1">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地　址：</w:t>
      </w:r>
      <w:r>
        <w:rPr>
          <w:rFonts w:hint="eastAsia" w:asciiTheme="minorEastAsia" w:hAnsiTheme="minorEastAsia" w:eastAsiaTheme="minorEastAsia" w:cstheme="minorEastAsia"/>
          <w:kern w:val="0"/>
          <w:sz w:val="24"/>
          <w:szCs w:val="24"/>
          <w:lang w:eastAsia="zh-CN"/>
        </w:rPr>
        <w:t>阿克苏市交通路28号南城新天地14-122（二楼）</w:t>
      </w:r>
    </w:p>
    <w:p w14:paraId="08DD681D">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项目联系方式：</w:t>
      </w:r>
      <w:r>
        <w:rPr>
          <w:rFonts w:hint="eastAsia" w:asciiTheme="minorEastAsia" w:hAnsiTheme="minorEastAsia" w:eastAsiaTheme="minorEastAsia" w:cstheme="minorEastAsia"/>
          <w:kern w:val="0"/>
          <w:sz w:val="24"/>
          <w:szCs w:val="24"/>
          <w:lang w:eastAsia="zh-CN"/>
        </w:rPr>
        <w:t>13579399515、19590199019</w:t>
      </w:r>
    </w:p>
    <w:p w14:paraId="7B7C94AC">
      <w:pPr>
        <w:spacing w:line="500" w:lineRule="exact"/>
        <w:ind w:firstLine="240" w:firstLine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3、项目联系方式</w:t>
      </w:r>
    </w:p>
    <w:p w14:paraId="064A5C42">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项目联系人：</w:t>
      </w:r>
      <w:r>
        <w:rPr>
          <w:rFonts w:hint="eastAsia" w:asciiTheme="minorEastAsia" w:hAnsiTheme="minorEastAsia" w:eastAsiaTheme="minorEastAsia" w:cstheme="minorEastAsia"/>
          <w:kern w:val="0"/>
          <w:sz w:val="24"/>
          <w:szCs w:val="24"/>
          <w:lang w:eastAsia="zh-CN"/>
        </w:rPr>
        <w:t>张恩慈、谷玫瑰</w:t>
      </w:r>
    </w:p>
    <w:p w14:paraId="38818C0E">
      <w:pPr>
        <w:spacing w:line="500" w:lineRule="exact"/>
        <w:ind w:firstLine="480" w:firstLineChars="2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　　  话：</w:t>
      </w:r>
      <w:r>
        <w:rPr>
          <w:rFonts w:hint="eastAsia" w:asciiTheme="minorEastAsia" w:hAnsiTheme="minorEastAsia" w:eastAsiaTheme="minorEastAsia" w:cstheme="minorEastAsia"/>
          <w:kern w:val="0"/>
          <w:sz w:val="24"/>
          <w:szCs w:val="24"/>
          <w:lang w:eastAsia="zh-CN"/>
        </w:rPr>
        <w:t>13579399515、19590199019</w:t>
      </w:r>
    </w:p>
    <w:p w14:paraId="04B375EF">
      <w:pPr>
        <w:rPr>
          <w:rFonts w:hint="eastAsia"/>
          <w:b/>
          <w:bCs/>
          <w:color w:val="auto"/>
          <w:sz w:val="32"/>
          <w:szCs w:val="32"/>
        </w:rPr>
      </w:pPr>
      <w:bookmarkStart w:id="40" w:name="_Toc22718"/>
      <w:bookmarkStart w:id="41" w:name="_Toc5659"/>
      <w:bookmarkStart w:id="42" w:name="_Toc12237"/>
      <w:bookmarkStart w:id="43" w:name="_Toc15822"/>
      <w:r>
        <w:rPr>
          <w:rFonts w:hint="eastAsia"/>
          <w:b/>
          <w:bCs/>
          <w:color w:val="auto"/>
          <w:sz w:val="32"/>
          <w:szCs w:val="32"/>
        </w:rPr>
        <w:br w:type="page"/>
      </w:r>
    </w:p>
    <w:p w14:paraId="4E9F976E">
      <w:pPr>
        <w:pStyle w:val="68"/>
        <w:snapToGrid w:val="0"/>
        <w:spacing w:line="360" w:lineRule="exact"/>
        <w:jc w:val="center"/>
        <w:outlineLvl w:val="0"/>
        <w:rPr>
          <w:b/>
          <w:bCs/>
          <w:color w:val="auto"/>
          <w:sz w:val="32"/>
          <w:szCs w:val="32"/>
        </w:rPr>
      </w:pPr>
      <w:r>
        <w:rPr>
          <w:rFonts w:hint="eastAsia"/>
          <w:b/>
          <w:bCs/>
          <w:color w:val="auto"/>
          <w:sz w:val="32"/>
          <w:szCs w:val="32"/>
        </w:rPr>
        <w:t>第二章  投标人须知</w:t>
      </w:r>
      <w:bookmarkEnd w:id="40"/>
      <w:bookmarkEnd w:id="41"/>
      <w:bookmarkEnd w:id="42"/>
      <w:bookmarkEnd w:id="43"/>
    </w:p>
    <w:p w14:paraId="0AFBFFE3">
      <w:pPr>
        <w:pStyle w:val="68"/>
        <w:snapToGrid w:val="0"/>
        <w:spacing w:line="276" w:lineRule="auto"/>
        <w:jc w:val="center"/>
        <w:outlineLvl w:val="0"/>
        <w:rPr>
          <w:rFonts w:ascii="宋体" w:hAnsi="宋体"/>
          <w:b/>
          <w:bCs/>
          <w:color w:val="auto"/>
          <w:sz w:val="28"/>
          <w:szCs w:val="28"/>
        </w:rPr>
      </w:pPr>
      <w:bookmarkStart w:id="44" w:name="_Toc10574"/>
      <w:bookmarkStart w:id="45" w:name="_Toc6979"/>
      <w:bookmarkStart w:id="46" w:name="_Toc7971"/>
      <w:bookmarkStart w:id="47" w:name="_Toc29499"/>
      <w:r>
        <w:rPr>
          <w:rFonts w:hint="eastAsia" w:ascii="宋体" w:hAnsi="宋体"/>
          <w:b/>
          <w:bCs/>
          <w:color w:val="auto"/>
          <w:sz w:val="28"/>
          <w:szCs w:val="28"/>
        </w:rPr>
        <w:t>投标人须知前附表</w:t>
      </w:r>
      <w:bookmarkEnd w:id="44"/>
      <w:bookmarkEnd w:id="45"/>
      <w:bookmarkEnd w:id="46"/>
      <w:bookmarkEnd w:id="47"/>
    </w:p>
    <w:tbl>
      <w:tblPr>
        <w:tblStyle w:val="42"/>
        <w:tblW w:w="9503"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21"/>
        <w:gridCol w:w="8782"/>
      </w:tblGrid>
      <w:tr w14:paraId="501ED98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1" w:type="dxa"/>
            <w:vAlign w:val="center"/>
          </w:tcPr>
          <w:p w14:paraId="2620C63B">
            <w:pPr>
              <w:spacing w:line="276" w:lineRule="auto"/>
              <w:jc w:val="center"/>
              <w:rPr>
                <w:rFonts w:ascii="宋体" w:hAnsi="宋体"/>
                <w:b/>
                <w:sz w:val="24"/>
              </w:rPr>
            </w:pPr>
            <w:bookmarkStart w:id="48" w:name="_Toc811"/>
            <w:r>
              <w:rPr>
                <w:rFonts w:hint="eastAsia" w:ascii="宋体" w:hAnsi="宋体"/>
                <w:b/>
                <w:sz w:val="24"/>
              </w:rPr>
              <w:t>序号</w:t>
            </w:r>
          </w:p>
        </w:tc>
        <w:tc>
          <w:tcPr>
            <w:tcW w:w="8782" w:type="dxa"/>
            <w:vAlign w:val="center"/>
          </w:tcPr>
          <w:p w14:paraId="2DF41940">
            <w:pPr>
              <w:spacing w:line="276" w:lineRule="auto"/>
              <w:ind w:firstLine="482" w:firstLineChars="200"/>
              <w:jc w:val="center"/>
              <w:rPr>
                <w:rFonts w:ascii="宋体" w:hAnsi="宋体"/>
                <w:b/>
                <w:sz w:val="24"/>
              </w:rPr>
            </w:pPr>
            <w:r>
              <w:rPr>
                <w:rFonts w:hint="eastAsia" w:ascii="宋体" w:hAnsi="宋体"/>
                <w:b/>
                <w:sz w:val="24"/>
              </w:rPr>
              <w:t>内   容   规   定</w:t>
            </w:r>
          </w:p>
        </w:tc>
      </w:tr>
      <w:tr w14:paraId="3B69495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21" w:type="dxa"/>
            <w:vAlign w:val="center"/>
          </w:tcPr>
          <w:p w14:paraId="5D01C621">
            <w:pPr>
              <w:spacing w:line="276" w:lineRule="auto"/>
              <w:jc w:val="center"/>
              <w:textAlignment w:val="baseline"/>
              <w:rPr>
                <w:rFonts w:ascii="宋体" w:hAnsi="宋体"/>
                <w:sz w:val="24"/>
              </w:rPr>
            </w:pPr>
            <w:r>
              <w:rPr>
                <w:rFonts w:hint="eastAsia" w:ascii="宋体" w:hAnsi="宋体"/>
                <w:sz w:val="24"/>
              </w:rPr>
              <w:t>1</w:t>
            </w:r>
          </w:p>
        </w:tc>
        <w:tc>
          <w:tcPr>
            <w:tcW w:w="8782" w:type="dxa"/>
            <w:vAlign w:val="center"/>
          </w:tcPr>
          <w:p w14:paraId="019DC286">
            <w:pPr>
              <w:spacing w:line="360" w:lineRule="auto"/>
              <w:jc w:val="left"/>
              <w:textAlignment w:val="baseline"/>
              <w:rPr>
                <w:rFonts w:hint="eastAsia" w:ascii="宋体" w:hAnsi="宋体" w:eastAsia="宋体" w:cs="Times New Roman"/>
                <w:color w:val="000000"/>
                <w:sz w:val="24"/>
                <w:lang w:val="en-US" w:eastAsia="zh-CN"/>
              </w:rPr>
            </w:pPr>
            <w:r>
              <w:rPr>
                <w:rFonts w:hint="eastAsia" w:ascii="宋体" w:hAnsi="宋体" w:eastAsia="宋体" w:cs="Times New Roman"/>
                <w:b/>
                <w:bCs/>
                <w:color w:val="000000"/>
                <w:sz w:val="24"/>
                <w:lang w:val="en-US" w:eastAsia="zh-CN"/>
              </w:rPr>
              <w:t>项目名称：</w:t>
            </w:r>
            <w:r>
              <w:rPr>
                <w:rFonts w:hint="eastAsia" w:ascii="宋体" w:hAnsi="宋体" w:cs="Times New Roman"/>
                <w:color w:val="000000"/>
                <w:sz w:val="24"/>
                <w:lang w:val="en-US" w:eastAsia="zh-CN"/>
              </w:rPr>
              <w:t>阿瓦提县人民医院一批检验试剂采购项目</w:t>
            </w:r>
          </w:p>
          <w:p w14:paraId="500EFE4A">
            <w:pPr>
              <w:pStyle w:val="79"/>
              <w:spacing w:line="360" w:lineRule="auto"/>
              <w:ind w:firstLine="0" w:firstLineChars="0"/>
              <w:jc w:val="left"/>
              <w:rPr>
                <w:rFonts w:ascii="宋体" w:hAnsi="宋体"/>
                <w:sz w:val="24"/>
              </w:rPr>
            </w:pPr>
            <w:r>
              <w:rPr>
                <w:rFonts w:hint="eastAsia" w:ascii="宋体" w:hAnsi="宋体" w:cs="宋体"/>
                <w:b/>
                <w:color w:val="auto"/>
                <w:kern w:val="0"/>
                <w:sz w:val="24"/>
              </w:rPr>
              <w:t>合同履行期限：</w:t>
            </w:r>
            <w:r>
              <w:rPr>
                <w:rFonts w:hint="eastAsia" w:asciiTheme="minorEastAsia" w:hAnsiTheme="minorEastAsia" w:eastAsiaTheme="minorEastAsia" w:cstheme="minorEastAsia"/>
                <w:b w:val="0"/>
                <w:bCs/>
                <w:color w:val="auto"/>
                <w:kern w:val="2"/>
                <w:sz w:val="24"/>
                <w:szCs w:val="24"/>
                <w:lang w:val="en-US" w:eastAsia="zh-CN" w:bidi="ar-SA"/>
              </w:rPr>
              <w:t>一年。</w:t>
            </w:r>
          </w:p>
        </w:tc>
      </w:tr>
      <w:tr w14:paraId="00566E8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14:paraId="5BBD9879">
            <w:pPr>
              <w:spacing w:line="276" w:lineRule="auto"/>
              <w:jc w:val="center"/>
              <w:textAlignment w:val="baseline"/>
              <w:rPr>
                <w:rFonts w:ascii="宋体" w:hAnsi="宋体"/>
                <w:sz w:val="24"/>
              </w:rPr>
            </w:pPr>
            <w:r>
              <w:rPr>
                <w:rFonts w:hint="eastAsia" w:ascii="宋体" w:hAnsi="宋体"/>
                <w:sz w:val="24"/>
              </w:rPr>
              <w:t>2</w:t>
            </w:r>
          </w:p>
        </w:tc>
        <w:tc>
          <w:tcPr>
            <w:tcW w:w="8782" w:type="dxa"/>
            <w:vAlign w:val="center"/>
          </w:tcPr>
          <w:p w14:paraId="208D4772">
            <w:pPr>
              <w:spacing w:line="360" w:lineRule="auto"/>
              <w:rPr>
                <w:rFonts w:hint="eastAsia" w:ascii="宋体" w:hAnsi="宋体" w:eastAsia="宋体" w:cs="宋体"/>
                <w:kern w:val="1"/>
                <w:sz w:val="24"/>
                <w:lang w:eastAsia="zh-CN"/>
              </w:rPr>
            </w:pPr>
            <w:r>
              <w:rPr>
                <w:rFonts w:hint="eastAsia" w:ascii="宋体" w:hAnsi="宋体"/>
                <w:b/>
                <w:sz w:val="24"/>
              </w:rPr>
              <w:t>招标人：</w:t>
            </w:r>
            <w:r>
              <w:rPr>
                <w:rFonts w:hint="eastAsia" w:ascii="宋体" w:hAnsi="宋体" w:cs="宋体"/>
                <w:sz w:val="24"/>
                <w:lang w:val="en-US" w:eastAsia="zh-CN"/>
              </w:rPr>
              <w:t>阿瓦提县人民医院</w:t>
            </w:r>
          </w:p>
          <w:p w14:paraId="26472168">
            <w:pPr>
              <w:spacing w:line="360" w:lineRule="auto"/>
              <w:rPr>
                <w:rFonts w:hint="eastAsia" w:ascii="宋体" w:hAnsi="宋体" w:eastAsia="宋体"/>
                <w:sz w:val="24"/>
                <w:lang w:eastAsia="zh-CN"/>
              </w:rPr>
            </w:pPr>
            <w:r>
              <w:rPr>
                <w:rFonts w:hint="eastAsia" w:ascii="宋体" w:hAnsi="宋体"/>
                <w:b/>
                <w:sz w:val="24"/>
              </w:rPr>
              <w:t>地址：</w:t>
            </w:r>
            <w:r>
              <w:rPr>
                <w:rFonts w:hint="eastAsia" w:ascii="宋体" w:hAnsi="宋体"/>
                <w:b w:val="0"/>
                <w:bCs/>
                <w:sz w:val="24"/>
                <w:lang w:eastAsia="zh-CN"/>
              </w:rPr>
              <w:t>阿瓦提县拥军路30号</w:t>
            </w:r>
          </w:p>
          <w:p w14:paraId="39F4F2B0">
            <w:pPr>
              <w:spacing w:line="360" w:lineRule="auto"/>
              <w:rPr>
                <w:rFonts w:hint="eastAsia" w:ascii="宋体" w:hAnsi="宋体" w:eastAsia="宋体"/>
                <w:color w:val="000000" w:themeColor="text1"/>
                <w:sz w:val="24"/>
                <w:lang w:val="en-US" w:eastAsia="zh-CN"/>
                <w14:textFill>
                  <w14:solidFill>
                    <w14:schemeClr w14:val="tx1"/>
                  </w14:solidFill>
                </w14:textFill>
              </w:rPr>
            </w:pPr>
            <w:r>
              <w:rPr>
                <w:rFonts w:hint="eastAsia" w:ascii="宋体" w:hAnsi="宋体"/>
                <w:b/>
                <w:color w:val="000000" w:themeColor="text1"/>
                <w:sz w:val="24"/>
                <w14:textFill>
                  <w14:solidFill>
                    <w14:schemeClr w14:val="tx1"/>
                  </w14:solidFill>
                </w14:textFill>
              </w:rPr>
              <w:t>联系人</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赖秋萍</w:t>
            </w:r>
          </w:p>
          <w:p w14:paraId="2FA29AC4">
            <w:pPr>
              <w:spacing w:line="360" w:lineRule="auto"/>
              <w:rPr>
                <w:rFonts w:hint="eastAsia" w:ascii="宋体" w:hAnsi="宋体" w:eastAsia="宋体"/>
                <w:sz w:val="24"/>
                <w:lang w:eastAsia="zh-CN"/>
              </w:rPr>
            </w:pPr>
            <w:r>
              <w:rPr>
                <w:rFonts w:hint="eastAsia" w:ascii="宋体" w:hAnsi="宋体"/>
                <w:b/>
                <w:color w:val="000000" w:themeColor="text1"/>
                <w:sz w:val="24"/>
                <w14:textFill>
                  <w14:solidFill>
                    <w14:schemeClr w14:val="tx1"/>
                  </w14:solidFill>
                </w14:textFill>
              </w:rPr>
              <w:t>电话：</w:t>
            </w:r>
            <w:r>
              <w:rPr>
                <w:rFonts w:hint="eastAsia" w:ascii="宋体" w:hAnsi="宋体"/>
                <w:b w:val="0"/>
                <w:bCs/>
                <w:color w:val="000000" w:themeColor="text1"/>
                <w:sz w:val="24"/>
                <w:lang w:eastAsia="zh-CN"/>
                <w14:textFill>
                  <w14:solidFill>
                    <w14:schemeClr w14:val="tx1"/>
                  </w14:solidFill>
                </w14:textFill>
              </w:rPr>
              <w:t>18799906825</w:t>
            </w:r>
          </w:p>
        </w:tc>
      </w:tr>
      <w:tr w14:paraId="489AF21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Align w:val="center"/>
          </w:tcPr>
          <w:p w14:paraId="72641CB4">
            <w:pPr>
              <w:spacing w:line="276" w:lineRule="auto"/>
              <w:jc w:val="center"/>
              <w:textAlignment w:val="baseline"/>
              <w:rPr>
                <w:rFonts w:ascii="宋体" w:hAnsi="宋体"/>
                <w:sz w:val="24"/>
              </w:rPr>
            </w:pPr>
            <w:r>
              <w:rPr>
                <w:rFonts w:hint="eastAsia" w:ascii="宋体" w:hAnsi="宋体"/>
                <w:sz w:val="24"/>
              </w:rPr>
              <w:t>3</w:t>
            </w:r>
          </w:p>
        </w:tc>
        <w:tc>
          <w:tcPr>
            <w:tcW w:w="8782" w:type="dxa"/>
            <w:vAlign w:val="center"/>
          </w:tcPr>
          <w:p w14:paraId="79031BE5">
            <w:pPr>
              <w:spacing w:line="360" w:lineRule="auto"/>
              <w:textAlignment w:val="baseline"/>
              <w:rPr>
                <w:rFonts w:hint="eastAsia" w:ascii="宋体" w:hAnsi="宋体" w:eastAsia="宋体"/>
                <w:sz w:val="24"/>
                <w:lang w:eastAsia="zh-CN"/>
              </w:rPr>
            </w:pPr>
            <w:r>
              <w:rPr>
                <w:rFonts w:hint="eastAsia" w:ascii="宋体" w:hAnsi="宋体"/>
                <w:b/>
                <w:sz w:val="24"/>
                <w:lang w:eastAsia="zh-CN"/>
              </w:rPr>
              <w:t>采购代理机构</w:t>
            </w:r>
            <w:r>
              <w:rPr>
                <w:rFonts w:hint="eastAsia" w:ascii="宋体" w:hAnsi="宋体"/>
                <w:b/>
                <w:sz w:val="24"/>
              </w:rPr>
              <w:t>：</w:t>
            </w:r>
            <w:r>
              <w:rPr>
                <w:rFonts w:hint="eastAsia" w:ascii="宋体" w:hAnsi="宋体"/>
                <w:sz w:val="24"/>
                <w:lang w:eastAsia="zh-CN"/>
              </w:rPr>
              <w:t>新疆华玫睿项目管理有限公司</w:t>
            </w:r>
          </w:p>
          <w:p w14:paraId="1015D6A9">
            <w:pPr>
              <w:spacing w:line="360" w:lineRule="auto"/>
              <w:textAlignment w:val="baseline"/>
              <w:rPr>
                <w:rFonts w:ascii="宋体" w:hAnsi="宋体"/>
                <w:sz w:val="24"/>
              </w:rPr>
            </w:pPr>
            <w:r>
              <w:rPr>
                <w:rFonts w:hint="eastAsia" w:ascii="宋体" w:hAnsi="宋体"/>
                <w:b/>
                <w:sz w:val="24"/>
              </w:rPr>
              <w:t>地  址：</w:t>
            </w:r>
            <w:r>
              <w:rPr>
                <w:rFonts w:hint="eastAsia" w:ascii="宋体" w:hAnsi="宋体"/>
                <w:sz w:val="24"/>
                <w:lang w:eastAsia="zh-CN"/>
              </w:rPr>
              <w:t>阿克苏市交通路28号南城新天地14-122（二楼）</w:t>
            </w:r>
          </w:p>
          <w:p w14:paraId="185BB6C8">
            <w:pPr>
              <w:spacing w:line="360" w:lineRule="auto"/>
              <w:textAlignment w:val="baseline"/>
              <w:rPr>
                <w:rFonts w:hint="eastAsia" w:ascii="宋体" w:hAnsi="宋体" w:eastAsia="宋体"/>
                <w:sz w:val="24"/>
                <w:lang w:eastAsia="zh-CN"/>
              </w:rPr>
            </w:pPr>
            <w:r>
              <w:rPr>
                <w:rFonts w:hint="eastAsia" w:ascii="宋体" w:hAnsi="宋体"/>
                <w:b/>
                <w:sz w:val="24"/>
              </w:rPr>
              <w:t>联系人：</w:t>
            </w:r>
            <w:r>
              <w:rPr>
                <w:rFonts w:hint="eastAsia" w:ascii="宋体" w:hAnsi="宋体"/>
                <w:sz w:val="24"/>
                <w:lang w:eastAsia="zh-CN"/>
              </w:rPr>
              <w:t>张恩慈、谷玫瑰</w:t>
            </w:r>
          </w:p>
          <w:p w14:paraId="6B85B5C4">
            <w:pPr>
              <w:spacing w:line="360" w:lineRule="auto"/>
              <w:textAlignment w:val="baseline"/>
              <w:rPr>
                <w:rFonts w:hint="eastAsia" w:ascii="宋体" w:hAnsi="宋体" w:eastAsia="宋体"/>
                <w:sz w:val="24"/>
                <w:lang w:eastAsia="zh-CN"/>
              </w:rPr>
            </w:pPr>
            <w:r>
              <w:rPr>
                <w:rFonts w:hint="eastAsia" w:ascii="宋体" w:hAnsi="宋体"/>
                <w:b/>
                <w:sz w:val="24"/>
              </w:rPr>
              <w:t>联系电话：</w:t>
            </w:r>
            <w:r>
              <w:rPr>
                <w:rFonts w:hint="eastAsia" w:ascii="宋体" w:hAnsi="宋体"/>
                <w:sz w:val="24"/>
                <w:lang w:eastAsia="zh-CN"/>
              </w:rPr>
              <w:t>13579399515、19590199019</w:t>
            </w:r>
          </w:p>
        </w:tc>
      </w:tr>
      <w:tr w14:paraId="01BDA39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21" w:type="dxa"/>
            <w:vAlign w:val="center"/>
          </w:tcPr>
          <w:p w14:paraId="21BF0881">
            <w:pPr>
              <w:spacing w:line="276" w:lineRule="auto"/>
              <w:jc w:val="center"/>
              <w:textAlignment w:val="baseline"/>
              <w:rPr>
                <w:rFonts w:ascii="宋体" w:hAnsi="宋体"/>
                <w:sz w:val="24"/>
              </w:rPr>
            </w:pPr>
            <w:r>
              <w:rPr>
                <w:rFonts w:hint="eastAsia" w:ascii="宋体" w:hAnsi="宋体"/>
                <w:sz w:val="24"/>
              </w:rPr>
              <w:t>4</w:t>
            </w:r>
          </w:p>
        </w:tc>
        <w:tc>
          <w:tcPr>
            <w:tcW w:w="8782" w:type="dxa"/>
            <w:vAlign w:val="center"/>
          </w:tcPr>
          <w:p w14:paraId="4C232D04">
            <w:pPr>
              <w:spacing w:line="360" w:lineRule="auto"/>
              <w:textAlignment w:val="baseline"/>
              <w:rPr>
                <w:rFonts w:hint="eastAsia" w:asciiTheme="minorEastAsia" w:hAnsiTheme="minorEastAsia" w:eastAsiaTheme="minorEastAsia" w:cstheme="minorEastAsia"/>
                <w:sz w:val="24"/>
                <w:szCs w:val="24"/>
              </w:rPr>
            </w:pPr>
            <w:r>
              <w:rPr>
                <w:rFonts w:hint="eastAsia" w:ascii="宋体" w:hAnsi="宋体" w:eastAsia="宋体" w:cs="Times New Roman"/>
                <w:b/>
                <w:bCs/>
                <w:color w:val="000000"/>
                <w:sz w:val="24"/>
                <w:lang w:val="en-US" w:eastAsia="zh-CN"/>
              </w:rPr>
              <w:t>招标内容：</w:t>
            </w:r>
            <w:r>
              <w:rPr>
                <w:rFonts w:hint="eastAsia" w:ascii="宋体" w:hAnsi="宋体" w:cs="宋体"/>
                <w:sz w:val="24"/>
                <w:lang w:eastAsia="zh-CN"/>
              </w:rPr>
              <w:t>阿瓦提县人民医院一批检验试剂采购项目</w:t>
            </w:r>
            <w:r>
              <w:rPr>
                <w:rFonts w:hint="eastAsia" w:asciiTheme="minorEastAsia" w:hAnsiTheme="minorEastAsia" w:eastAsiaTheme="minorEastAsia" w:cstheme="minorEastAsia"/>
                <w:sz w:val="24"/>
                <w:szCs w:val="24"/>
              </w:rPr>
              <w:t>，详见</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sz w:val="24"/>
                <w:szCs w:val="24"/>
              </w:rPr>
              <w:t>文件。</w:t>
            </w:r>
          </w:p>
          <w:p w14:paraId="2A4509BF">
            <w:pPr>
              <w:spacing w:line="360" w:lineRule="auto"/>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质量要求：</w:t>
            </w:r>
            <w:r>
              <w:rPr>
                <w:rFonts w:hint="eastAsia" w:asciiTheme="minorEastAsia" w:hAnsiTheme="minorEastAsia" w:eastAsiaTheme="minorEastAsia" w:cstheme="minorEastAsia"/>
                <w:sz w:val="24"/>
                <w:szCs w:val="24"/>
                <w:lang w:val="en-US" w:eastAsia="zh-CN"/>
              </w:rPr>
              <w:t>满足采购需求所要求的内容，满足国家及地方规范要求，并能通过当地主管部门及委托方审查验收。</w:t>
            </w:r>
          </w:p>
        </w:tc>
      </w:tr>
      <w:tr w14:paraId="6AFFEEB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21" w:type="dxa"/>
            <w:vAlign w:val="center"/>
          </w:tcPr>
          <w:p w14:paraId="2AC9364F">
            <w:pPr>
              <w:spacing w:line="276" w:lineRule="auto"/>
              <w:jc w:val="center"/>
              <w:textAlignment w:val="baseline"/>
              <w:rPr>
                <w:rFonts w:ascii="宋体" w:hAnsi="宋体"/>
                <w:sz w:val="24"/>
              </w:rPr>
            </w:pPr>
            <w:r>
              <w:rPr>
                <w:rFonts w:hint="eastAsia" w:ascii="宋体" w:hAnsi="宋体"/>
                <w:sz w:val="24"/>
              </w:rPr>
              <w:t>5</w:t>
            </w:r>
          </w:p>
        </w:tc>
        <w:tc>
          <w:tcPr>
            <w:tcW w:w="8782" w:type="dxa"/>
            <w:vAlign w:val="center"/>
          </w:tcPr>
          <w:p w14:paraId="2514331D">
            <w:pPr>
              <w:adjustRightInd w:val="0"/>
              <w:snapToGrid w:val="0"/>
              <w:spacing w:line="360" w:lineRule="auto"/>
              <w:jc w:val="left"/>
              <w:textAlignment w:val="baseline"/>
              <w:rPr>
                <w:rFonts w:hint="eastAsia" w:ascii="宋体" w:hAnsi="宋体"/>
                <w:b/>
                <w:color w:val="000000" w:themeColor="text1"/>
                <w:sz w:val="24"/>
                <w:lang w:val="en-US" w:eastAsia="zh-CN"/>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最高限价</w:t>
            </w:r>
            <w:r>
              <w:rPr>
                <w:rFonts w:hint="eastAsia" w:ascii="宋体" w:hAnsi="宋体"/>
                <w:b/>
                <w:color w:val="000000" w:themeColor="text1"/>
                <w:sz w:val="24"/>
                <w14:textFill>
                  <w14:solidFill>
                    <w14:schemeClr w14:val="tx1"/>
                  </w14:solidFill>
                </w14:textFill>
              </w:rPr>
              <w:t>：</w:t>
            </w:r>
            <w:r>
              <w:rPr>
                <w:rFonts w:hint="eastAsia" w:ascii="宋体" w:hAnsi="宋体"/>
                <w:b/>
                <w:color w:val="000000" w:themeColor="text1"/>
                <w:sz w:val="24"/>
                <w:lang w:eastAsia="zh-CN"/>
                <w14:textFill>
                  <w14:solidFill>
                    <w14:schemeClr w14:val="tx1"/>
                  </w14:solidFill>
                </w14:textFill>
              </w:rPr>
              <w:t>2063479</w:t>
            </w:r>
            <w:r>
              <w:rPr>
                <w:rFonts w:hint="eastAsia" w:ascii="宋体" w:hAnsi="宋体"/>
                <w:b/>
                <w:color w:val="000000" w:themeColor="text1"/>
                <w:sz w:val="24"/>
                <w14:textFill>
                  <w14:solidFill>
                    <w14:schemeClr w14:val="tx1"/>
                  </w14:solidFill>
                </w14:textFill>
              </w:rPr>
              <w:t>.00元</w:t>
            </w:r>
            <w:r>
              <w:rPr>
                <w:rFonts w:hint="eastAsia" w:ascii="宋体" w:hAnsi="宋体"/>
                <w:b/>
                <w:color w:val="000000" w:themeColor="text1"/>
                <w:sz w:val="24"/>
                <w:lang w:eastAsia="zh-CN"/>
                <w14:textFill>
                  <w14:solidFill>
                    <w14:schemeClr w14:val="tx1"/>
                  </w14:solidFill>
                </w14:textFill>
              </w:rPr>
              <w:t>，</w:t>
            </w:r>
            <w:bookmarkStart w:id="49" w:name="PO_默认文件内容_27"/>
            <w:r>
              <w:rPr>
                <w:rFonts w:hint="eastAsia" w:ascii="宋体" w:hAnsi="宋体"/>
                <w:b/>
                <w:color w:val="000000" w:themeColor="text1"/>
                <w:sz w:val="24"/>
                <w:lang w:val="en-US" w:eastAsia="zh-CN"/>
                <w14:textFill>
                  <w14:solidFill>
                    <w14:schemeClr w14:val="tx1"/>
                  </w14:solidFill>
                </w14:textFill>
              </w:rPr>
              <w:t>超过最高限价的报价为无效响应。</w:t>
            </w:r>
            <w:bookmarkEnd w:id="49"/>
          </w:p>
          <w:p w14:paraId="29B2C2DC">
            <w:pPr>
              <w:adjustRightInd w:val="0"/>
              <w:snapToGrid w:val="0"/>
              <w:spacing w:line="360" w:lineRule="auto"/>
              <w:jc w:val="left"/>
              <w:textAlignment w:val="baseline"/>
              <w:rPr>
                <w:rFonts w:hint="eastAsia" w:ascii="宋体" w:hAnsi="宋体"/>
                <w:b/>
                <w:color w:val="000000" w:themeColor="text1"/>
                <w:sz w:val="24"/>
                <w:lang w:val="en-US" w:eastAsia="zh-CN"/>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报价方式：本项目采用总价报价，单价及总价均不得超过最高限价。</w:t>
            </w:r>
          </w:p>
          <w:p w14:paraId="31CC7DB2">
            <w:pPr>
              <w:adjustRightInd w:val="0"/>
              <w:snapToGrid w:val="0"/>
              <w:spacing w:line="360" w:lineRule="auto"/>
              <w:jc w:val="left"/>
              <w:textAlignment w:val="baseline"/>
              <w:rPr>
                <w:rFonts w:hint="eastAsia" w:ascii="宋体" w:hAnsi="宋体"/>
                <w:b/>
                <w:color w:val="000000" w:themeColor="text1"/>
                <w:sz w:val="24"/>
                <w:lang w:val="en-US" w:eastAsia="zh-CN"/>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供应商所报价格包含：货物价款、配套物资价款、运输、装卸、搬运、售后服务、税费等所有费用。</w:t>
            </w:r>
          </w:p>
        </w:tc>
      </w:tr>
      <w:tr w14:paraId="59BE9DF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21" w:type="dxa"/>
            <w:vAlign w:val="center"/>
          </w:tcPr>
          <w:p w14:paraId="091620A4">
            <w:pPr>
              <w:spacing w:line="276" w:lineRule="auto"/>
              <w:jc w:val="center"/>
              <w:textAlignment w:val="baseline"/>
              <w:rPr>
                <w:rFonts w:ascii="宋体" w:hAnsi="宋体"/>
                <w:sz w:val="24"/>
              </w:rPr>
            </w:pPr>
            <w:r>
              <w:rPr>
                <w:rFonts w:hint="eastAsia" w:ascii="宋体" w:hAnsi="宋体"/>
                <w:sz w:val="24"/>
              </w:rPr>
              <w:t>6</w:t>
            </w:r>
          </w:p>
        </w:tc>
        <w:tc>
          <w:tcPr>
            <w:tcW w:w="8782" w:type="dxa"/>
            <w:vAlign w:val="center"/>
          </w:tcPr>
          <w:p w14:paraId="7062A7D3">
            <w:pPr>
              <w:spacing w:line="360" w:lineRule="auto"/>
              <w:textAlignment w:val="baseline"/>
              <w:rPr>
                <w:rFonts w:ascii="宋体" w:hAnsi="宋体"/>
                <w:b/>
                <w:sz w:val="24"/>
              </w:rPr>
            </w:pPr>
            <w:r>
              <w:rPr>
                <w:rFonts w:hint="eastAsia" w:ascii="宋体" w:hAnsi="宋体"/>
                <w:b/>
                <w:sz w:val="24"/>
              </w:rPr>
              <w:t>投标人资格要求：</w:t>
            </w:r>
          </w:p>
          <w:p w14:paraId="16872684">
            <w:pPr>
              <w:spacing w:line="360" w:lineRule="auto"/>
              <w:textAlignment w:val="baseline"/>
              <w:rPr>
                <w:rFonts w:ascii="宋体" w:hAnsi="宋体"/>
                <w:bCs/>
                <w:sz w:val="24"/>
              </w:rPr>
            </w:pPr>
            <w:r>
              <w:rPr>
                <w:rFonts w:hint="eastAsia" w:ascii="宋体" w:hAnsi="宋体"/>
                <w:bCs/>
                <w:sz w:val="24"/>
              </w:rPr>
              <w:t>1、满足《中华人民共和国政府采购法》第二十二条规定；</w:t>
            </w:r>
          </w:p>
          <w:p w14:paraId="57010930">
            <w:pPr>
              <w:spacing w:line="360" w:lineRule="auto"/>
              <w:ind w:firstLine="240" w:firstLineChars="100"/>
              <w:textAlignment w:val="baseline"/>
              <w:rPr>
                <w:rFonts w:ascii="宋体" w:hAnsi="宋体"/>
                <w:bCs/>
                <w:sz w:val="24"/>
              </w:rPr>
            </w:pPr>
            <w:r>
              <w:rPr>
                <w:rFonts w:hint="eastAsia" w:ascii="宋体" w:hAnsi="宋体"/>
                <w:bCs/>
                <w:sz w:val="24"/>
              </w:rPr>
              <w:t>（1）</w:t>
            </w:r>
            <w:r>
              <w:rPr>
                <w:rFonts w:hint="eastAsia" w:ascii="宋体" w:hAnsi="宋体"/>
                <w:bCs/>
                <w:sz w:val="24"/>
                <w:lang w:eastAsia="zh-CN"/>
              </w:rPr>
              <w:t>具有有效的三证合一的营业执照</w:t>
            </w:r>
            <w:r>
              <w:rPr>
                <w:rFonts w:hint="eastAsia" w:ascii="宋体" w:hAnsi="宋体"/>
                <w:bCs/>
                <w:sz w:val="24"/>
              </w:rPr>
              <w:t>；</w:t>
            </w:r>
          </w:p>
          <w:p w14:paraId="29EC6787">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bCs/>
                <w:sz w:val="24"/>
              </w:rPr>
              <w:t>（2）</w:t>
            </w:r>
            <w:r>
              <w:rPr>
                <w:rFonts w:hint="eastAsia" w:ascii="宋体" w:hAnsi="宋体" w:eastAsia="宋体" w:cs="宋体"/>
                <w:sz w:val="24"/>
                <w:szCs w:val="24"/>
              </w:rPr>
              <w:t>具有</w:t>
            </w:r>
            <w:r>
              <w:rPr>
                <w:rFonts w:hint="eastAsia" w:ascii="宋体" w:hAnsi="宋体" w:eastAsia="宋体" w:cs="宋体"/>
                <w:sz w:val="24"/>
                <w:szCs w:val="24"/>
                <w:lang w:val="en-US" w:eastAsia="zh-CN"/>
              </w:rPr>
              <w:t>2024</w:t>
            </w:r>
            <w:r>
              <w:rPr>
                <w:rFonts w:hint="eastAsia" w:ascii="宋体" w:hAnsi="宋体" w:cs="宋体"/>
                <w:sz w:val="24"/>
                <w:szCs w:val="24"/>
                <w:lang w:val="en-US" w:eastAsia="zh-CN"/>
              </w:rPr>
              <w:t>或2025</w:t>
            </w:r>
            <w:r>
              <w:rPr>
                <w:rFonts w:hint="eastAsia" w:ascii="宋体" w:hAnsi="宋体" w:eastAsia="宋体" w:cs="宋体"/>
                <w:sz w:val="24"/>
                <w:szCs w:val="24"/>
                <w:lang w:eastAsia="zh-CN"/>
              </w:rPr>
              <w:t>年度经审计的财务报告（包含审计报告和审计报告中所涉及的财务报表和报表附注）或供应商注册时间至文件递交截止日不足一年的提供注册时间至文件递交截止日前供应商内部财务报表（至少包含资产负债表）</w:t>
            </w:r>
            <w:r>
              <w:rPr>
                <w:rFonts w:hint="eastAsia" w:ascii="宋体" w:hAnsi="宋体" w:eastAsia="宋体" w:cs="宋体"/>
                <w:sz w:val="24"/>
                <w:szCs w:val="24"/>
              </w:rPr>
              <w:t>；</w:t>
            </w:r>
          </w:p>
          <w:p w14:paraId="6149C31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bCs/>
                <w:sz w:val="24"/>
              </w:rPr>
              <w:t>（3）</w:t>
            </w:r>
            <w:r>
              <w:rPr>
                <w:rFonts w:hint="eastAsia" w:ascii="宋体" w:hAnsi="宋体" w:eastAsia="宋体" w:cs="宋体"/>
                <w:sz w:val="24"/>
                <w:szCs w:val="24"/>
              </w:rPr>
              <w:t>具有</w:t>
            </w:r>
            <w:r>
              <w:rPr>
                <w:rFonts w:hint="eastAsia" w:ascii="宋体" w:hAnsi="宋体"/>
                <w:bCs/>
                <w:sz w:val="24"/>
                <w:lang w:val="en-US" w:eastAsia="zh-CN"/>
              </w:rPr>
              <w:t>近三个月内任意一个月</w:t>
            </w:r>
            <w:r>
              <w:rPr>
                <w:rFonts w:hint="eastAsia" w:ascii="宋体" w:hAnsi="宋体"/>
                <w:bCs/>
                <w:sz w:val="24"/>
                <w:lang w:eastAsia="zh-CN"/>
              </w:rPr>
              <w:t>完税证明</w:t>
            </w:r>
            <w:r>
              <w:rPr>
                <w:rFonts w:hint="eastAsia" w:ascii="宋体" w:hAnsi="宋体"/>
                <w:bCs/>
                <w:sz w:val="24"/>
              </w:rPr>
              <w:t>和盖有社保局公章的社保缴纳证明（社保缴纳证明中含法人</w:t>
            </w:r>
            <w:r>
              <w:rPr>
                <w:rFonts w:hint="eastAsia" w:ascii="宋体" w:hAnsi="宋体"/>
                <w:bCs/>
                <w:sz w:val="24"/>
                <w:lang w:val="en-US" w:eastAsia="zh-CN"/>
              </w:rPr>
              <w:t>或</w:t>
            </w:r>
            <w:r>
              <w:rPr>
                <w:rFonts w:hint="eastAsia" w:ascii="宋体" w:hAnsi="宋体"/>
                <w:bCs/>
                <w:sz w:val="24"/>
              </w:rPr>
              <w:t>委托人的社保明细）；</w:t>
            </w:r>
          </w:p>
          <w:p w14:paraId="1F567284">
            <w:pPr>
              <w:spacing w:line="360" w:lineRule="auto"/>
              <w:ind w:firstLine="240" w:firstLineChars="100"/>
              <w:textAlignment w:val="baseline"/>
              <w:rPr>
                <w:rFonts w:ascii="宋体" w:hAnsi="宋体"/>
                <w:bCs/>
                <w:sz w:val="24"/>
              </w:rPr>
            </w:pPr>
            <w:r>
              <w:rPr>
                <w:rFonts w:hint="eastAsia" w:ascii="宋体" w:hAnsi="宋体"/>
                <w:bCs/>
                <w:sz w:val="24"/>
              </w:rPr>
              <w:t>（4）</w:t>
            </w:r>
            <w:r>
              <w:rPr>
                <w:rFonts w:hint="eastAsia" w:ascii="宋体" w:hAnsi="宋体"/>
                <w:bCs/>
                <w:sz w:val="24"/>
                <w:lang w:eastAsia="zh-CN"/>
              </w:rPr>
              <w:t>法定代表人参加本项目时需提供法定代表人身份证明，授权委托人参加本项目时需提供附有法定代表人身份证明的授权委托书</w:t>
            </w:r>
            <w:r>
              <w:rPr>
                <w:rFonts w:hint="eastAsia" w:ascii="宋体" w:hAnsi="宋体"/>
                <w:bCs/>
                <w:sz w:val="24"/>
              </w:rPr>
              <w:t>；</w:t>
            </w:r>
          </w:p>
          <w:p w14:paraId="75737355">
            <w:pPr>
              <w:spacing w:line="360" w:lineRule="auto"/>
              <w:ind w:firstLine="240" w:firstLineChars="100"/>
              <w:textAlignment w:val="baseline"/>
              <w:rPr>
                <w:rFonts w:hint="default" w:ascii="宋体" w:hAnsi="宋体" w:eastAsia="宋体"/>
                <w:bCs/>
                <w:sz w:val="24"/>
                <w:lang w:val="en-US" w:eastAsia="zh-CN"/>
              </w:rPr>
            </w:pPr>
            <w:r>
              <w:rPr>
                <w:rFonts w:hint="eastAsia" w:ascii="宋体" w:hAnsi="宋体"/>
                <w:bCs/>
                <w:sz w:val="24"/>
                <w:lang w:eastAsia="zh-CN"/>
              </w:rPr>
              <w:t>（</w:t>
            </w:r>
            <w:r>
              <w:rPr>
                <w:rFonts w:hint="eastAsia" w:ascii="宋体" w:hAnsi="宋体"/>
                <w:bCs/>
                <w:sz w:val="24"/>
                <w:lang w:val="en-US" w:eastAsia="zh-CN"/>
              </w:rPr>
              <w:t>5）具有履行合同所必需的设备和专业技术能力（提供声明函）</w:t>
            </w:r>
          </w:p>
          <w:p w14:paraId="3F2AB4CD">
            <w:pPr>
              <w:spacing w:line="360" w:lineRule="auto"/>
              <w:ind w:firstLine="240" w:firstLineChars="100"/>
              <w:textAlignment w:val="baseline"/>
              <w:rPr>
                <w:rFonts w:hint="eastAsia" w:ascii="宋体" w:hAnsi="宋体"/>
                <w:bCs/>
                <w:sz w:val="24"/>
              </w:rPr>
            </w:pP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w:t>
            </w:r>
            <w:r>
              <w:rPr>
                <w:rFonts w:hint="eastAsia" w:ascii="宋体" w:hAnsi="宋体"/>
                <w:bCs/>
                <w:sz w:val="24"/>
                <w:lang w:val="en-US" w:eastAsia="zh-CN"/>
              </w:rPr>
              <w:t>提供</w:t>
            </w:r>
            <w:r>
              <w:rPr>
                <w:rFonts w:hint="eastAsia" w:ascii="宋体" w:hAnsi="宋体" w:eastAsia="宋体" w:cs="Times New Roman"/>
                <w:bCs/>
                <w:sz w:val="24"/>
                <w:lang w:val="en-US" w:eastAsia="zh-CN"/>
              </w:rPr>
              <w:t>参加政府采购活动前三年内，在经营</w:t>
            </w:r>
            <w:r>
              <w:rPr>
                <w:rFonts w:hint="eastAsia" w:ascii="宋体" w:hAnsi="宋体" w:cs="Times New Roman"/>
                <w:bCs/>
                <w:sz w:val="24"/>
                <w:lang w:val="en-US" w:eastAsia="zh-CN"/>
              </w:rPr>
              <w:t>活动中没有重大违法记录声明</w:t>
            </w:r>
            <w:r>
              <w:rPr>
                <w:rFonts w:hint="eastAsia" w:ascii="宋体" w:hAnsi="宋体"/>
                <w:bCs/>
                <w:sz w:val="24"/>
              </w:rPr>
              <w:t>；</w:t>
            </w:r>
          </w:p>
          <w:p w14:paraId="65B3EECA">
            <w:pPr>
              <w:spacing w:line="360" w:lineRule="auto"/>
              <w:textAlignment w:val="baseline"/>
              <w:rPr>
                <w:rFonts w:ascii="宋体" w:hAnsi="宋体"/>
                <w:bCs/>
                <w:sz w:val="24"/>
              </w:rPr>
            </w:pPr>
            <w:r>
              <w:rPr>
                <w:rFonts w:hint="eastAsia" w:ascii="宋体" w:hAnsi="宋体"/>
                <w:bCs/>
                <w:sz w:val="24"/>
              </w:rPr>
              <w:t>2、落实政府采购政策需满足的资格要求：</w:t>
            </w:r>
          </w:p>
          <w:p w14:paraId="1A96F114">
            <w:pPr>
              <w:spacing w:line="360" w:lineRule="auto"/>
              <w:ind w:firstLine="480" w:firstLineChars="200"/>
              <w:textAlignment w:val="baseline"/>
              <w:rPr>
                <w:rFonts w:ascii="宋体" w:hAnsi="宋体"/>
                <w:bCs/>
                <w:sz w:val="24"/>
              </w:rPr>
            </w:pPr>
            <w:r>
              <w:rPr>
                <w:rFonts w:hint="eastAsia" w:ascii="宋体" w:hAnsi="宋体"/>
                <w:bCs/>
                <w:sz w:val="24"/>
              </w:rPr>
              <w:t>（1）财政部、工业和信息化部关于印发《政府采购促进中小企业发展管理办法》的通知（财库〔2020〕46号）； </w:t>
            </w:r>
          </w:p>
          <w:p w14:paraId="2FFA3EC9">
            <w:pPr>
              <w:spacing w:line="360" w:lineRule="auto"/>
              <w:ind w:firstLine="480" w:firstLineChars="200"/>
              <w:textAlignment w:val="baseline"/>
              <w:rPr>
                <w:rFonts w:ascii="宋体" w:hAnsi="宋体"/>
                <w:bCs/>
                <w:sz w:val="24"/>
              </w:rPr>
            </w:pPr>
            <w:r>
              <w:rPr>
                <w:rFonts w:hint="eastAsia" w:ascii="宋体" w:hAnsi="宋体"/>
                <w:bCs/>
                <w:sz w:val="24"/>
              </w:rPr>
              <w:t>（2）《财政部、司法部关于政府采购支持监狱企业发展有关问题的通知》（财库[2014]68号）； </w:t>
            </w:r>
          </w:p>
          <w:p w14:paraId="06BF85A0">
            <w:pPr>
              <w:spacing w:line="360" w:lineRule="auto"/>
              <w:ind w:firstLine="480" w:firstLineChars="200"/>
              <w:textAlignment w:val="baseline"/>
              <w:rPr>
                <w:rFonts w:ascii="宋体" w:hAnsi="宋体"/>
                <w:bCs/>
                <w:sz w:val="24"/>
              </w:rPr>
            </w:pPr>
            <w:r>
              <w:rPr>
                <w:rFonts w:hint="eastAsia" w:ascii="宋体" w:hAnsi="宋体"/>
                <w:bCs/>
                <w:sz w:val="24"/>
              </w:rPr>
              <w:t>（3）《国务院办公厅关于建立政府强制采购节能产品制度的通知》（国发办[2007]51号）； </w:t>
            </w:r>
          </w:p>
          <w:p w14:paraId="7FE35C6F">
            <w:pPr>
              <w:spacing w:line="360" w:lineRule="auto"/>
              <w:ind w:firstLine="480" w:firstLineChars="200"/>
              <w:textAlignment w:val="baseline"/>
              <w:rPr>
                <w:rFonts w:ascii="宋体" w:hAnsi="宋体"/>
                <w:bCs/>
                <w:sz w:val="24"/>
              </w:rPr>
            </w:pPr>
            <w:r>
              <w:rPr>
                <w:rFonts w:hint="eastAsia" w:ascii="宋体" w:hAnsi="宋体"/>
                <w:bCs/>
                <w:sz w:val="24"/>
              </w:rPr>
              <w:t>（4）《财政部 民政部 中国残疾人联合会关于促进残疾人就业政府采购政策的通知》财库[2017]141号； </w:t>
            </w:r>
          </w:p>
          <w:p w14:paraId="68B7D056">
            <w:pPr>
              <w:spacing w:line="360" w:lineRule="auto"/>
              <w:ind w:firstLine="480" w:firstLineChars="200"/>
              <w:textAlignment w:val="baseline"/>
              <w:rPr>
                <w:rFonts w:hint="eastAsia" w:ascii="宋体" w:hAnsi="宋体"/>
                <w:bCs/>
                <w:sz w:val="24"/>
                <w:lang w:eastAsia="zh-CN"/>
              </w:rPr>
            </w:pPr>
            <w:r>
              <w:rPr>
                <w:rFonts w:hint="eastAsia" w:ascii="宋体" w:hAnsi="宋体"/>
                <w:bCs/>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r>
              <w:rPr>
                <w:rFonts w:hint="eastAsia" w:ascii="宋体" w:hAnsi="宋体"/>
                <w:bCs/>
                <w:sz w:val="24"/>
                <w:lang w:eastAsia="zh-CN"/>
              </w:rPr>
              <w:t>；</w:t>
            </w:r>
          </w:p>
          <w:p w14:paraId="05B9ED6B">
            <w:pPr>
              <w:spacing w:line="360" w:lineRule="auto"/>
              <w:ind w:firstLine="480" w:firstLineChars="200"/>
              <w:textAlignment w:val="baseline"/>
              <w:rPr>
                <w:rFonts w:hint="eastAsia" w:ascii="宋体" w:hAnsi="宋体" w:eastAsia="宋体" w:cs="Times New Roman"/>
                <w:bCs/>
                <w:sz w:val="24"/>
                <w:lang w:val="en-US" w:eastAsia="zh-CN"/>
              </w:rPr>
            </w:pPr>
            <w:r>
              <w:rPr>
                <w:rFonts w:hint="eastAsia" w:ascii="宋体" w:hAnsi="宋体" w:eastAsia="宋体" w:cs="Times New Roman"/>
                <w:bCs/>
                <w:sz w:val="24"/>
                <w:lang w:eastAsia="zh-CN"/>
              </w:rPr>
              <w:t>（</w:t>
            </w:r>
            <w:r>
              <w:rPr>
                <w:rFonts w:hint="eastAsia" w:ascii="宋体" w:hAnsi="宋体" w:eastAsia="宋体" w:cs="Times New Roman"/>
                <w:bCs/>
                <w:sz w:val="24"/>
                <w:lang w:val="en-US" w:eastAsia="zh-CN"/>
              </w:rPr>
              <w:t>6）按照《财政部关于在政府采购活动中查询及使用信用记录有关问题的通知》（财库〔2016〕125 号）的要求，根据响应文件开启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采购人或者采购代理机构对信用信息查询记录和证据进行打印存档；</w:t>
            </w:r>
          </w:p>
          <w:p w14:paraId="413E9822">
            <w:pPr>
              <w:spacing w:line="360" w:lineRule="auto"/>
              <w:ind w:firstLine="480" w:firstLineChars="200"/>
              <w:textAlignment w:val="baseline"/>
              <w:rPr>
                <w:rFonts w:hint="eastAsia" w:ascii="宋体" w:hAnsi="宋体" w:eastAsia="宋体" w:cs="Times New Roman"/>
                <w:bCs/>
                <w:color w:val="000000" w:themeColor="text1"/>
                <w:sz w:val="24"/>
                <w:lang w:eastAsia="zh-CN"/>
                <w14:textFill>
                  <w14:solidFill>
                    <w14:schemeClr w14:val="tx1"/>
                  </w14:solidFill>
                </w14:textFill>
              </w:rPr>
            </w:pPr>
            <w:r>
              <w:rPr>
                <w:rFonts w:hint="eastAsia" w:ascii="宋体" w:hAnsi="宋体" w:eastAsia="宋体" w:cs="Times New Roman"/>
                <w:bCs/>
                <w:color w:val="000000" w:themeColor="text1"/>
                <w:sz w:val="24"/>
                <w:lang w:val="en-US" w:eastAsia="zh-CN"/>
                <w14:textFill>
                  <w14:solidFill>
                    <w14:schemeClr w14:val="tx1"/>
                  </w14:solidFill>
                </w14:textFill>
              </w:rPr>
              <w:t>（7）</w:t>
            </w:r>
            <w:r>
              <w:rPr>
                <w:rFonts w:hint="eastAsia" w:ascii="宋体" w:hAnsi="宋体" w:eastAsia="宋体" w:cs="Times New Roman"/>
                <w:bCs/>
                <w:sz w:val="24"/>
                <w:lang w:val="en-US" w:eastAsia="zh-CN"/>
              </w:rPr>
              <w:t>本项目不专门面向中小企业采购，对于小微企业、监狱企业、残疾人福利性单位等参与本项目所享受的优惠政策，详见本项目采购文件。</w:t>
            </w:r>
          </w:p>
          <w:p w14:paraId="25A31CA3">
            <w:pPr>
              <w:spacing w:line="360" w:lineRule="auto"/>
              <w:textAlignment w:val="baseline"/>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3、本项目的特定资格要求：</w:t>
            </w:r>
          </w:p>
          <w:p w14:paraId="77528ECE">
            <w:pPr>
              <w:spacing w:line="360" w:lineRule="auto"/>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的须具有《医疗器械经营备案凭证》或《医疗器械经营许可证》；所投产品属于第三类医疗器械的的须具有《医疗器械经营许可证》。</w:t>
            </w:r>
          </w:p>
          <w:p w14:paraId="4569F3E1">
            <w:pPr>
              <w:spacing w:line="360" w:lineRule="auto"/>
              <w:ind w:firstLine="480" w:firstLineChars="200"/>
              <w:textAlignment w:val="baseline"/>
              <w:rPr>
                <w:rFonts w:ascii="宋体" w:hAnsi="宋体"/>
                <w:bCs/>
                <w:sz w:val="24"/>
              </w:rPr>
            </w:pPr>
            <w:r>
              <w:rPr>
                <w:rFonts w:hint="eastAsia" w:ascii="宋体" w:hAnsi="宋体"/>
                <w:bCs/>
                <w:sz w:val="24"/>
              </w:rPr>
              <w:t>4</w:t>
            </w:r>
            <w:r>
              <w:rPr>
                <w:rFonts w:hint="eastAsia" w:ascii="宋体" w:hAnsi="宋体"/>
                <w:bCs/>
                <w:sz w:val="24"/>
                <w:lang w:eastAsia="zh-CN"/>
              </w:rPr>
              <w:t>、</w:t>
            </w:r>
            <w:r>
              <w:rPr>
                <w:rFonts w:hint="eastAsia" w:ascii="宋体" w:hAnsi="宋体"/>
                <w:bCs/>
                <w:sz w:val="24"/>
              </w:rPr>
              <w:t xml:space="preserve">本项目不接受联合体参加。 </w:t>
            </w:r>
          </w:p>
          <w:p w14:paraId="296423C1">
            <w:pPr>
              <w:spacing w:line="360" w:lineRule="auto"/>
              <w:textAlignment w:val="baseline"/>
              <w:rPr>
                <w:rFonts w:ascii="宋体" w:hAnsi="宋体"/>
                <w:b/>
                <w:sz w:val="24"/>
              </w:rPr>
            </w:pPr>
            <w:r>
              <w:rPr>
                <w:rFonts w:hint="eastAsia" w:ascii="宋体" w:hAnsi="宋体"/>
                <w:b/>
                <w:sz w:val="24"/>
                <w:szCs w:val="21"/>
              </w:rPr>
              <w:t>注：投标人提交的所有证明文件及材料必须清晰、准确、真实。</w:t>
            </w:r>
          </w:p>
        </w:tc>
      </w:tr>
      <w:tr w14:paraId="3BE9E90B">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21" w:type="dxa"/>
            <w:vAlign w:val="center"/>
          </w:tcPr>
          <w:p w14:paraId="6758292D">
            <w:pPr>
              <w:spacing w:line="276" w:lineRule="auto"/>
              <w:jc w:val="center"/>
              <w:textAlignment w:val="baseline"/>
              <w:rPr>
                <w:rFonts w:ascii="宋体" w:hAnsi="宋体"/>
                <w:sz w:val="24"/>
              </w:rPr>
            </w:pPr>
            <w:r>
              <w:rPr>
                <w:rFonts w:hint="eastAsia" w:ascii="宋体" w:hAnsi="宋体"/>
                <w:sz w:val="24"/>
              </w:rPr>
              <w:t>7</w:t>
            </w:r>
          </w:p>
        </w:tc>
        <w:tc>
          <w:tcPr>
            <w:tcW w:w="8782" w:type="dxa"/>
            <w:vAlign w:val="bottom"/>
          </w:tcPr>
          <w:p w14:paraId="3E545E40">
            <w:pPr>
              <w:spacing w:line="360" w:lineRule="auto"/>
              <w:rPr>
                <w:rFonts w:ascii="宋体" w:hAnsi="宋体"/>
                <w:sz w:val="24"/>
              </w:rPr>
            </w:pPr>
            <w:r>
              <w:rPr>
                <w:rFonts w:hint="eastAsia" w:ascii="宋体" w:hAnsi="宋体"/>
                <w:b/>
                <w:bCs/>
                <w:sz w:val="24"/>
              </w:rPr>
              <w:t>资格审查方式：</w:t>
            </w:r>
            <w:r>
              <w:rPr>
                <w:rFonts w:hint="eastAsia" w:ascii="宋体" w:hAnsi="宋体"/>
                <w:sz w:val="24"/>
              </w:rPr>
              <w:t>资格后审</w:t>
            </w:r>
          </w:p>
        </w:tc>
      </w:tr>
      <w:tr w14:paraId="16438C8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21" w:type="dxa"/>
            <w:vAlign w:val="center"/>
          </w:tcPr>
          <w:p w14:paraId="36BB7AEF">
            <w:pPr>
              <w:spacing w:line="276" w:lineRule="auto"/>
              <w:jc w:val="center"/>
              <w:textAlignment w:val="baseline"/>
              <w:rPr>
                <w:rFonts w:hint="eastAsia" w:ascii="宋体" w:hAnsi="宋体" w:eastAsia="宋体"/>
                <w:sz w:val="24"/>
                <w:lang w:val="en-US" w:eastAsia="zh-CN"/>
              </w:rPr>
            </w:pPr>
            <w:r>
              <w:rPr>
                <w:rFonts w:hint="eastAsia" w:ascii="宋体" w:hAnsi="宋体"/>
                <w:sz w:val="24"/>
                <w:lang w:val="en-US" w:eastAsia="zh-CN"/>
              </w:rPr>
              <w:t>8</w:t>
            </w:r>
          </w:p>
        </w:tc>
        <w:tc>
          <w:tcPr>
            <w:tcW w:w="8782" w:type="dxa"/>
            <w:vAlign w:val="bottom"/>
          </w:tcPr>
          <w:p w14:paraId="55FD1F69">
            <w:pPr>
              <w:spacing w:line="360" w:lineRule="auto"/>
              <w:rPr>
                <w:rFonts w:hint="default" w:ascii="宋体" w:hAnsi="宋体" w:eastAsia="宋体"/>
                <w:b/>
                <w:bCs/>
                <w:sz w:val="24"/>
                <w:lang w:val="en-US" w:eastAsia="zh-CN"/>
              </w:rPr>
            </w:pPr>
            <w:r>
              <w:rPr>
                <w:rFonts w:hint="eastAsia" w:ascii="宋体" w:hAnsi="宋体"/>
                <w:b/>
                <w:bCs/>
                <w:sz w:val="24"/>
                <w:lang w:val="en-US" w:eastAsia="zh-CN"/>
              </w:rPr>
              <w:t>是否允许投报进口产品：</w:t>
            </w:r>
            <w:r>
              <w:rPr>
                <w:rFonts w:hint="eastAsia" w:ascii="宋体" w:hAnsi="宋体"/>
                <w:b w:val="0"/>
                <w:bCs w:val="0"/>
                <w:sz w:val="24"/>
                <w:lang w:val="en-US" w:eastAsia="zh-CN"/>
              </w:rPr>
              <w:t>否</w:t>
            </w:r>
          </w:p>
        </w:tc>
      </w:tr>
      <w:tr w14:paraId="1934618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21" w:type="dxa"/>
            <w:vAlign w:val="center"/>
          </w:tcPr>
          <w:p w14:paraId="7F16995A">
            <w:pPr>
              <w:spacing w:line="276" w:lineRule="auto"/>
              <w:jc w:val="center"/>
              <w:textAlignment w:val="baseline"/>
              <w:rPr>
                <w:rFonts w:ascii="宋体" w:hAnsi="宋体"/>
                <w:sz w:val="24"/>
              </w:rPr>
            </w:pPr>
            <w:r>
              <w:rPr>
                <w:rFonts w:hint="eastAsia" w:ascii="宋体" w:hAnsi="宋体"/>
                <w:sz w:val="24"/>
              </w:rPr>
              <w:t>8</w:t>
            </w:r>
          </w:p>
        </w:tc>
        <w:tc>
          <w:tcPr>
            <w:tcW w:w="8782" w:type="dxa"/>
            <w:vAlign w:val="bottom"/>
          </w:tcPr>
          <w:p w14:paraId="427B8E5C">
            <w:pPr>
              <w:spacing w:line="360" w:lineRule="auto"/>
              <w:rPr>
                <w:rFonts w:ascii="宋体" w:hAnsi="宋体"/>
                <w:sz w:val="24"/>
              </w:rPr>
            </w:pPr>
            <w:r>
              <w:rPr>
                <w:rFonts w:hint="eastAsia" w:ascii="宋体" w:hAnsi="宋体"/>
                <w:b/>
                <w:sz w:val="24"/>
              </w:rPr>
              <w:t>投标语言：</w:t>
            </w:r>
            <w:r>
              <w:rPr>
                <w:rFonts w:hint="eastAsia" w:ascii="宋体" w:hAnsi="宋体"/>
                <w:sz w:val="24"/>
              </w:rPr>
              <w:t>中文</w:t>
            </w:r>
          </w:p>
        </w:tc>
      </w:tr>
      <w:tr w14:paraId="3DA8524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1" w:type="dxa"/>
            <w:vAlign w:val="center"/>
          </w:tcPr>
          <w:p w14:paraId="53570C37">
            <w:pPr>
              <w:spacing w:line="276" w:lineRule="auto"/>
              <w:jc w:val="center"/>
              <w:textAlignment w:val="baseline"/>
              <w:rPr>
                <w:rFonts w:ascii="宋体" w:hAnsi="宋体"/>
                <w:sz w:val="24"/>
              </w:rPr>
            </w:pPr>
            <w:r>
              <w:rPr>
                <w:rFonts w:hint="eastAsia" w:ascii="宋体" w:hAnsi="宋体"/>
                <w:sz w:val="24"/>
              </w:rPr>
              <w:t>9</w:t>
            </w:r>
          </w:p>
        </w:tc>
        <w:tc>
          <w:tcPr>
            <w:tcW w:w="8782" w:type="dxa"/>
            <w:vAlign w:val="bottom"/>
          </w:tcPr>
          <w:p w14:paraId="3BC08B23">
            <w:pPr>
              <w:spacing w:line="360" w:lineRule="auto"/>
              <w:textAlignment w:val="baseline"/>
              <w:rPr>
                <w:rFonts w:ascii="宋体" w:hAnsi="宋体"/>
                <w:b/>
                <w:sz w:val="24"/>
              </w:rPr>
            </w:pPr>
            <w:r>
              <w:rPr>
                <w:rFonts w:hint="eastAsia" w:ascii="宋体" w:hAnsi="宋体"/>
                <w:b/>
                <w:sz w:val="24"/>
              </w:rPr>
              <w:t>投标有效期：</w:t>
            </w:r>
            <w:r>
              <w:rPr>
                <w:rFonts w:hint="eastAsia" w:ascii="宋体" w:hAnsi="宋体"/>
                <w:bCs/>
                <w:sz w:val="24"/>
              </w:rPr>
              <w:t>90</w:t>
            </w:r>
            <w:r>
              <w:rPr>
                <w:rFonts w:hint="eastAsia" w:ascii="宋体" w:hAnsi="宋体"/>
                <w:sz w:val="24"/>
              </w:rPr>
              <w:t>日历天；（从投标截止之日算起）</w:t>
            </w:r>
          </w:p>
        </w:tc>
      </w:tr>
      <w:tr w14:paraId="357B569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21" w:type="dxa"/>
            <w:vAlign w:val="center"/>
          </w:tcPr>
          <w:p w14:paraId="6776725E">
            <w:pPr>
              <w:spacing w:line="276" w:lineRule="auto"/>
              <w:jc w:val="center"/>
              <w:textAlignment w:val="baseline"/>
              <w:rPr>
                <w:rFonts w:ascii="宋体" w:hAnsi="宋体"/>
                <w:sz w:val="24"/>
              </w:rPr>
            </w:pPr>
            <w:r>
              <w:rPr>
                <w:rFonts w:hint="eastAsia" w:ascii="宋体" w:hAnsi="宋体"/>
                <w:sz w:val="24"/>
              </w:rPr>
              <w:t>10</w:t>
            </w:r>
          </w:p>
        </w:tc>
        <w:tc>
          <w:tcPr>
            <w:tcW w:w="8782" w:type="dxa"/>
            <w:vAlign w:val="bottom"/>
          </w:tcPr>
          <w:p w14:paraId="4395730D">
            <w:pPr>
              <w:tabs>
                <w:tab w:val="left" w:pos="7665"/>
              </w:tabs>
              <w:spacing w:line="360" w:lineRule="auto"/>
              <w:rPr>
                <w:rFonts w:ascii="宋体" w:hAnsi="宋体"/>
                <w:b/>
                <w:kern w:val="0"/>
                <w:sz w:val="24"/>
              </w:rPr>
            </w:pPr>
            <w:r>
              <w:rPr>
                <w:rFonts w:hint="eastAsia" w:ascii="宋体" w:hAnsi="宋体"/>
                <w:b/>
                <w:kern w:val="0"/>
                <w:sz w:val="24"/>
              </w:rPr>
              <w:t>采购方式：</w:t>
            </w:r>
            <w:r>
              <w:rPr>
                <w:rFonts w:hint="eastAsia" w:ascii="宋体" w:hAnsi="宋体"/>
                <w:sz w:val="24"/>
              </w:rPr>
              <w:t>公开招标</w:t>
            </w:r>
          </w:p>
        </w:tc>
      </w:tr>
      <w:tr w14:paraId="764D9B1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21" w:type="dxa"/>
            <w:vAlign w:val="center"/>
          </w:tcPr>
          <w:p w14:paraId="210BC471">
            <w:pPr>
              <w:adjustRightInd w:val="0"/>
              <w:snapToGrid w:val="0"/>
              <w:spacing w:line="276" w:lineRule="auto"/>
              <w:jc w:val="center"/>
              <w:textAlignment w:val="baseline"/>
              <w:rPr>
                <w:rFonts w:ascii="宋体" w:hAnsi="宋体"/>
                <w:sz w:val="24"/>
              </w:rPr>
            </w:pPr>
            <w:r>
              <w:rPr>
                <w:rFonts w:hint="eastAsia" w:ascii="宋体" w:hAnsi="宋体"/>
                <w:sz w:val="24"/>
              </w:rPr>
              <w:t>11</w:t>
            </w:r>
          </w:p>
        </w:tc>
        <w:tc>
          <w:tcPr>
            <w:tcW w:w="8782" w:type="dxa"/>
            <w:vAlign w:val="bottom"/>
          </w:tcPr>
          <w:p w14:paraId="66731479">
            <w:pPr>
              <w:tabs>
                <w:tab w:val="left" w:pos="7665"/>
              </w:tabs>
              <w:spacing w:line="360" w:lineRule="auto"/>
              <w:rPr>
                <w:rFonts w:ascii="宋体" w:hAnsi="宋体"/>
                <w:b/>
                <w:sz w:val="24"/>
              </w:rPr>
            </w:pPr>
            <w:r>
              <w:rPr>
                <w:rFonts w:hint="eastAsia" w:ascii="宋体" w:hAnsi="宋体"/>
                <w:b/>
                <w:kern w:val="0"/>
                <w:sz w:val="24"/>
              </w:rPr>
              <w:t>评标办法：</w:t>
            </w:r>
            <w:r>
              <w:rPr>
                <w:rFonts w:hint="eastAsia" w:ascii="宋体" w:hAnsi="宋体"/>
                <w:sz w:val="24"/>
              </w:rPr>
              <w:t>综合评分法</w:t>
            </w:r>
          </w:p>
        </w:tc>
      </w:tr>
      <w:tr w14:paraId="1C39F65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721" w:type="dxa"/>
            <w:vAlign w:val="center"/>
          </w:tcPr>
          <w:p w14:paraId="51C4407A">
            <w:pPr>
              <w:adjustRightInd w:val="0"/>
              <w:snapToGrid w:val="0"/>
              <w:spacing w:line="276" w:lineRule="auto"/>
              <w:jc w:val="center"/>
              <w:textAlignment w:val="baseline"/>
              <w:rPr>
                <w:rFonts w:ascii="宋体" w:hAnsi="宋体"/>
                <w:sz w:val="24"/>
              </w:rPr>
            </w:pPr>
            <w:r>
              <w:rPr>
                <w:rFonts w:hint="eastAsia" w:ascii="宋体" w:hAnsi="宋体"/>
                <w:sz w:val="24"/>
              </w:rPr>
              <w:t>12</w:t>
            </w:r>
          </w:p>
        </w:tc>
        <w:tc>
          <w:tcPr>
            <w:tcW w:w="8782" w:type="dxa"/>
            <w:vAlign w:val="bottom"/>
          </w:tcPr>
          <w:p w14:paraId="5F5DCB4C">
            <w:pPr>
              <w:spacing w:line="360" w:lineRule="auto"/>
              <w:ind w:left="2125" w:hanging="2125" w:hangingChars="882"/>
              <w:textAlignment w:val="baseline"/>
              <w:rPr>
                <w:rFonts w:ascii="宋体" w:hAnsi="宋体"/>
                <w:kern w:val="0"/>
                <w:sz w:val="24"/>
              </w:rPr>
            </w:pPr>
            <w:r>
              <w:rPr>
                <w:rFonts w:hint="eastAsia" w:ascii="宋体" w:hAnsi="宋体"/>
                <w:b/>
                <w:color w:val="000000" w:themeColor="text1"/>
                <w:kern w:val="0"/>
                <w:sz w:val="24"/>
                <w14:textFill>
                  <w14:solidFill>
                    <w14:schemeClr w14:val="tx1"/>
                  </w14:solidFill>
                </w14:textFill>
              </w:rPr>
              <w:t>评标委员会的组建：</w:t>
            </w:r>
            <w:r>
              <w:rPr>
                <w:rFonts w:hint="eastAsia" w:ascii="宋体" w:hAnsi="宋体"/>
                <w:color w:val="000000" w:themeColor="text1"/>
                <w:kern w:val="0"/>
                <w:sz w:val="24"/>
                <w14:textFill>
                  <w14:solidFill>
                    <w14:schemeClr w14:val="tx1"/>
                  </w14:solidFill>
                </w14:textFill>
              </w:rPr>
              <w:t>评标委员会由评审专家</w:t>
            </w:r>
            <w:r>
              <w:rPr>
                <w:rFonts w:hint="eastAsia" w:ascii="宋体" w:hAnsi="宋体"/>
                <w:color w:val="000000" w:themeColor="text1"/>
                <w:kern w:val="0"/>
                <w:sz w:val="24"/>
                <w:lang w:val="en-US" w:eastAsia="zh-CN"/>
                <w14:textFill>
                  <w14:solidFill>
                    <w14:schemeClr w14:val="tx1"/>
                  </w14:solidFill>
                </w14:textFill>
              </w:rPr>
              <w:t>4名、采购人代表1名构成</w:t>
            </w:r>
            <w:r>
              <w:rPr>
                <w:rFonts w:hint="eastAsia" w:ascii="宋体" w:hAnsi="宋体"/>
                <w:color w:val="000000" w:themeColor="text1"/>
                <w:kern w:val="0"/>
                <w:sz w:val="24"/>
                <w14:textFill>
                  <w14:solidFill>
                    <w14:schemeClr w14:val="tx1"/>
                  </w14:solidFill>
                </w14:textFill>
              </w:rPr>
              <w:t>。</w:t>
            </w:r>
          </w:p>
          <w:p w14:paraId="4C35CFFC">
            <w:pPr>
              <w:spacing w:line="360" w:lineRule="auto"/>
              <w:ind w:left="2125" w:hanging="2125" w:hangingChars="882"/>
              <w:textAlignment w:val="baseline"/>
              <w:rPr>
                <w:rFonts w:ascii="宋体" w:hAnsi="宋体"/>
                <w:kern w:val="0"/>
                <w:sz w:val="24"/>
              </w:rPr>
            </w:pPr>
            <w:r>
              <w:rPr>
                <w:rFonts w:hint="eastAsia" w:ascii="宋体" w:hAnsi="宋体"/>
                <w:b/>
                <w:kern w:val="0"/>
                <w:sz w:val="24"/>
              </w:rPr>
              <w:t>评标专家确定方式：</w:t>
            </w:r>
            <w:r>
              <w:rPr>
                <w:rFonts w:hint="eastAsia" w:ascii="宋体" w:hAnsi="宋体"/>
                <w:color w:val="auto"/>
                <w:kern w:val="0"/>
                <w:sz w:val="24"/>
              </w:rPr>
              <w:t>随机抽取</w:t>
            </w:r>
          </w:p>
          <w:p w14:paraId="54769354">
            <w:pPr>
              <w:spacing w:line="360" w:lineRule="auto"/>
              <w:ind w:left="2125" w:hanging="2125" w:hangingChars="882"/>
              <w:textAlignment w:val="baseline"/>
              <w:rPr>
                <w:rFonts w:hint="eastAsia" w:ascii="宋体" w:hAnsi="宋体" w:eastAsia="宋体"/>
                <w:b/>
                <w:kern w:val="0"/>
                <w:sz w:val="24"/>
                <w:lang w:eastAsia="zh-CN"/>
              </w:rPr>
            </w:pPr>
            <w:r>
              <w:rPr>
                <w:rFonts w:ascii="宋体" w:hAnsi="宋体"/>
                <w:b/>
                <w:kern w:val="0"/>
                <w:sz w:val="24"/>
              </w:rPr>
              <w:t>监督</w:t>
            </w:r>
            <w:r>
              <w:rPr>
                <w:rFonts w:hint="eastAsia" w:ascii="宋体" w:hAnsi="宋体"/>
                <w:b/>
                <w:kern w:val="0"/>
                <w:sz w:val="24"/>
              </w:rPr>
              <w:t>单位：</w:t>
            </w:r>
            <w:r>
              <w:rPr>
                <w:rFonts w:hint="eastAsia" w:ascii="宋体" w:hAnsi="宋体"/>
                <w:b w:val="0"/>
                <w:bCs/>
                <w:kern w:val="0"/>
                <w:sz w:val="24"/>
                <w:lang w:val="en-US" w:eastAsia="zh-CN"/>
              </w:rPr>
              <w:t>阿瓦提县财政局</w:t>
            </w:r>
          </w:p>
        </w:tc>
      </w:tr>
      <w:tr w14:paraId="0C08E1D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1" w:type="dxa"/>
            <w:vAlign w:val="center"/>
          </w:tcPr>
          <w:p w14:paraId="3851C7B4">
            <w:pPr>
              <w:adjustRightInd w:val="0"/>
              <w:snapToGrid w:val="0"/>
              <w:spacing w:line="276" w:lineRule="auto"/>
              <w:jc w:val="center"/>
              <w:textAlignment w:val="baseline"/>
              <w:rPr>
                <w:rFonts w:ascii="宋体" w:hAnsi="宋体"/>
                <w:sz w:val="24"/>
              </w:rPr>
            </w:pPr>
            <w:r>
              <w:rPr>
                <w:rFonts w:hint="eastAsia" w:ascii="宋体" w:hAnsi="宋体"/>
                <w:sz w:val="24"/>
              </w:rPr>
              <w:t>13</w:t>
            </w:r>
          </w:p>
        </w:tc>
        <w:tc>
          <w:tcPr>
            <w:tcW w:w="8782" w:type="dxa"/>
            <w:vAlign w:val="bottom"/>
          </w:tcPr>
          <w:p w14:paraId="10102842">
            <w:pPr>
              <w:spacing w:line="360" w:lineRule="auto"/>
              <w:ind w:left="2125" w:hanging="2125" w:hangingChars="882"/>
              <w:textAlignment w:val="baseline"/>
              <w:rPr>
                <w:rFonts w:ascii="宋体" w:hAnsi="宋体"/>
                <w:kern w:val="0"/>
                <w:sz w:val="24"/>
              </w:rPr>
            </w:pPr>
            <w:r>
              <w:rPr>
                <w:rFonts w:hint="eastAsia" w:ascii="宋体" w:hAnsi="宋体"/>
                <w:b/>
                <w:kern w:val="0"/>
                <w:sz w:val="24"/>
              </w:rPr>
              <w:t>是否授权评标委员会确定中标投标人：</w:t>
            </w:r>
            <w:r>
              <w:rPr>
                <w:rFonts w:hint="eastAsia" w:ascii="宋体" w:hAnsi="宋体"/>
                <w:kern w:val="0"/>
                <w:sz w:val="24"/>
              </w:rPr>
              <w:t xml:space="preserve"> </w:t>
            </w:r>
            <w:r>
              <w:rPr>
                <w:rFonts w:hint="eastAsia" w:ascii="宋体" w:hAnsi="宋体"/>
                <w:kern w:val="0"/>
                <w:sz w:val="24"/>
              </w:rPr>
              <w:fldChar w:fldCharType="begin"/>
            </w:r>
            <w:r>
              <w:rPr>
                <w:rFonts w:hint="eastAsia" w:ascii="宋体" w:hAnsi="宋体"/>
                <w:kern w:val="0"/>
                <w:sz w:val="24"/>
              </w:rPr>
              <w:instrText xml:space="preserve"> eq \o\ac(□)</w:instrText>
            </w:r>
            <w:r>
              <w:rPr>
                <w:rFonts w:hint="eastAsia" w:ascii="宋体" w:hAnsi="宋体"/>
                <w:kern w:val="0"/>
                <w:sz w:val="24"/>
              </w:rPr>
              <w:fldChar w:fldCharType="end"/>
            </w:r>
            <w:r>
              <w:rPr>
                <w:rFonts w:hint="eastAsia" w:ascii="宋体" w:hAnsi="宋体"/>
                <w:kern w:val="0"/>
                <w:sz w:val="24"/>
              </w:rPr>
              <w:t>是</w:t>
            </w:r>
          </w:p>
          <w:p w14:paraId="0BE28B41">
            <w:pPr>
              <w:spacing w:line="360" w:lineRule="auto"/>
              <w:ind w:left="2153" w:leftChars="1025" w:firstLine="1972" w:firstLineChars="822"/>
              <w:textAlignment w:val="baseline"/>
              <w:rPr>
                <w:rFonts w:ascii="宋体" w:hAnsi="宋体"/>
                <w:b/>
                <w:sz w:val="24"/>
              </w:rPr>
            </w:pPr>
            <w:r>
              <w:rPr>
                <w:rFonts w:hint="eastAsia" w:ascii="宋体" w:hAnsi="宋体"/>
                <w:kern w:val="0"/>
                <w:sz w:val="24"/>
              </w:rPr>
              <w:t>☑否，推荐的成交候选人数：3人</w:t>
            </w:r>
          </w:p>
        </w:tc>
      </w:tr>
      <w:tr w14:paraId="172CEEC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1" w:type="dxa"/>
            <w:vAlign w:val="center"/>
          </w:tcPr>
          <w:p w14:paraId="344C1FE5">
            <w:pPr>
              <w:adjustRightInd w:val="0"/>
              <w:snapToGrid w:val="0"/>
              <w:spacing w:line="276" w:lineRule="auto"/>
              <w:jc w:val="center"/>
              <w:textAlignment w:val="baseline"/>
              <w:rPr>
                <w:rFonts w:ascii="宋体" w:hAnsi="宋体"/>
                <w:sz w:val="24"/>
              </w:rPr>
            </w:pPr>
            <w:r>
              <w:rPr>
                <w:rFonts w:hint="eastAsia" w:ascii="宋体" w:hAnsi="宋体"/>
                <w:sz w:val="24"/>
              </w:rPr>
              <w:t>14</w:t>
            </w:r>
          </w:p>
        </w:tc>
        <w:tc>
          <w:tcPr>
            <w:tcW w:w="8782" w:type="dxa"/>
            <w:vAlign w:val="bottom"/>
          </w:tcPr>
          <w:p w14:paraId="6ED16C41">
            <w:pPr>
              <w:tabs>
                <w:tab w:val="left" w:pos="7665"/>
              </w:tabs>
              <w:spacing w:line="360" w:lineRule="auto"/>
              <w:rPr>
                <w:rFonts w:ascii="宋体" w:hAnsi="宋体"/>
                <w:b/>
                <w:kern w:val="0"/>
                <w:sz w:val="24"/>
              </w:rPr>
            </w:pPr>
            <w:r>
              <w:rPr>
                <w:rFonts w:ascii="宋体" w:hAnsi="宋体"/>
                <w:b/>
                <w:sz w:val="24"/>
                <w:lang w:val="zh-CN"/>
              </w:rPr>
              <w:t>考察现场、标前答疑会</w:t>
            </w:r>
            <w:r>
              <w:rPr>
                <w:rFonts w:hint="eastAsia" w:ascii="宋体" w:hAnsi="宋体"/>
                <w:b/>
                <w:kern w:val="0"/>
                <w:sz w:val="24"/>
              </w:rPr>
              <w:t>：</w:t>
            </w:r>
            <w:r>
              <w:rPr>
                <w:rFonts w:ascii="宋体" w:hAnsi="宋体"/>
                <w:sz w:val="24"/>
                <w:lang w:val="zh-CN"/>
              </w:rPr>
              <w:t>招标采购单位认为有必要，另行通知。</w:t>
            </w:r>
          </w:p>
        </w:tc>
      </w:tr>
      <w:tr w14:paraId="245B529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21" w:type="dxa"/>
            <w:vAlign w:val="center"/>
          </w:tcPr>
          <w:p w14:paraId="45A126D3">
            <w:pPr>
              <w:adjustRightInd w:val="0"/>
              <w:snapToGrid w:val="0"/>
              <w:spacing w:line="276" w:lineRule="auto"/>
              <w:jc w:val="center"/>
              <w:textAlignment w:val="baseline"/>
              <w:rPr>
                <w:rFonts w:ascii="宋体" w:hAnsi="宋体"/>
                <w:sz w:val="24"/>
              </w:rPr>
            </w:pPr>
            <w:r>
              <w:rPr>
                <w:rFonts w:hint="eastAsia" w:ascii="宋体" w:hAnsi="宋体"/>
                <w:sz w:val="24"/>
              </w:rPr>
              <w:t>15</w:t>
            </w:r>
          </w:p>
        </w:tc>
        <w:tc>
          <w:tcPr>
            <w:tcW w:w="8782" w:type="dxa"/>
            <w:vAlign w:val="bottom"/>
          </w:tcPr>
          <w:p w14:paraId="7478D323">
            <w:pPr>
              <w:tabs>
                <w:tab w:val="left" w:pos="7665"/>
              </w:tabs>
              <w:spacing w:line="360" w:lineRule="auto"/>
              <w:rPr>
                <w:rFonts w:ascii="宋体" w:hAnsi="宋体"/>
                <w:b/>
                <w:kern w:val="0"/>
                <w:sz w:val="24"/>
              </w:rPr>
            </w:pPr>
            <w:r>
              <w:rPr>
                <w:rFonts w:ascii="宋体" w:hAnsi="宋体"/>
                <w:b/>
                <w:sz w:val="24"/>
                <w:lang w:val="zh-CN"/>
              </w:rPr>
              <w:t>投标</w:t>
            </w:r>
            <w:r>
              <w:rPr>
                <w:rFonts w:hint="eastAsia" w:ascii="宋体" w:hAnsi="宋体"/>
                <w:b/>
                <w:sz w:val="24"/>
                <w:lang w:val="zh-CN"/>
              </w:rPr>
              <w:t>投标人</w:t>
            </w:r>
            <w:r>
              <w:rPr>
                <w:rFonts w:ascii="宋体" w:hAnsi="宋体"/>
                <w:b/>
                <w:sz w:val="24"/>
                <w:lang w:val="zh-CN"/>
              </w:rPr>
              <w:t>对</w:t>
            </w:r>
            <w:r>
              <w:rPr>
                <w:rFonts w:hint="eastAsia" w:ascii="宋体" w:hAnsi="宋体"/>
                <w:b/>
                <w:sz w:val="24"/>
                <w:lang w:val="zh-CN"/>
              </w:rPr>
              <w:t>招标文件</w:t>
            </w:r>
            <w:r>
              <w:rPr>
                <w:rFonts w:ascii="宋体" w:hAnsi="宋体"/>
                <w:b/>
                <w:sz w:val="24"/>
                <w:lang w:val="zh-CN"/>
              </w:rPr>
              <w:t>提出质疑的时间</w:t>
            </w:r>
            <w:r>
              <w:rPr>
                <w:rFonts w:hint="eastAsia" w:ascii="宋体" w:hAnsi="宋体"/>
                <w:b/>
                <w:sz w:val="24"/>
                <w:lang w:val="zh-CN"/>
              </w:rPr>
              <w:t>：</w:t>
            </w:r>
            <w:r>
              <w:rPr>
                <w:rFonts w:hint="eastAsia" w:ascii="宋体" w:hAnsi="宋体"/>
                <w:color w:val="auto"/>
                <w:sz w:val="24"/>
              </w:rPr>
              <w:t>投标人下载招标文件</w:t>
            </w:r>
            <w:r>
              <w:rPr>
                <w:rFonts w:hint="eastAsia" w:ascii="宋体" w:hAnsi="宋体"/>
                <w:color w:val="auto"/>
                <w:sz w:val="24"/>
                <w:lang w:val="zh-CN"/>
              </w:rPr>
              <w:t>之日起7个工作日内，以书面形式向采购人、采购代理机构提出质疑。</w:t>
            </w:r>
          </w:p>
        </w:tc>
      </w:tr>
      <w:tr w14:paraId="76D75FB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21" w:type="dxa"/>
            <w:vAlign w:val="center"/>
          </w:tcPr>
          <w:p w14:paraId="38F84048">
            <w:pPr>
              <w:adjustRightInd w:val="0"/>
              <w:snapToGrid w:val="0"/>
              <w:spacing w:line="276" w:lineRule="auto"/>
              <w:jc w:val="center"/>
              <w:textAlignment w:val="baseline"/>
              <w:rPr>
                <w:rFonts w:ascii="宋体" w:hAnsi="宋体"/>
                <w:sz w:val="24"/>
              </w:rPr>
            </w:pPr>
            <w:r>
              <w:rPr>
                <w:rFonts w:hint="eastAsia" w:ascii="宋体" w:hAnsi="宋体"/>
                <w:sz w:val="24"/>
              </w:rPr>
              <w:t>16</w:t>
            </w:r>
          </w:p>
        </w:tc>
        <w:tc>
          <w:tcPr>
            <w:tcW w:w="8782" w:type="dxa"/>
            <w:vAlign w:val="center"/>
          </w:tcPr>
          <w:p w14:paraId="2959A6BE">
            <w:pPr>
              <w:tabs>
                <w:tab w:val="left" w:pos="7665"/>
              </w:tabs>
              <w:spacing w:line="360" w:lineRule="auto"/>
              <w:ind w:left="3542" w:hanging="3542" w:hangingChars="1470"/>
              <w:rPr>
                <w:rFonts w:ascii="宋体" w:hAnsi="宋体"/>
                <w:b/>
                <w:sz w:val="24"/>
                <w:lang w:val="zh-CN"/>
              </w:rPr>
            </w:pPr>
            <w:r>
              <w:rPr>
                <w:rFonts w:ascii="宋体" w:hAnsi="宋体"/>
                <w:b/>
                <w:sz w:val="24"/>
                <w:lang w:val="zh-CN"/>
              </w:rPr>
              <w:t>构成</w:t>
            </w:r>
            <w:r>
              <w:rPr>
                <w:rFonts w:hint="eastAsia" w:ascii="宋体" w:hAnsi="宋体"/>
                <w:b/>
                <w:sz w:val="24"/>
                <w:lang w:val="zh-CN"/>
              </w:rPr>
              <w:t>招标文件</w:t>
            </w:r>
            <w:r>
              <w:rPr>
                <w:rFonts w:ascii="宋体" w:hAnsi="宋体"/>
                <w:b/>
                <w:sz w:val="24"/>
                <w:lang w:val="zh-CN"/>
              </w:rPr>
              <w:t>的其他文件</w:t>
            </w:r>
            <w:r>
              <w:rPr>
                <w:rFonts w:hint="eastAsia" w:ascii="宋体" w:hAnsi="宋体"/>
                <w:b/>
                <w:sz w:val="24"/>
                <w:lang w:val="zh-CN"/>
              </w:rPr>
              <w:t>：</w:t>
            </w:r>
          </w:p>
          <w:p w14:paraId="7C394639">
            <w:pPr>
              <w:tabs>
                <w:tab w:val="left" w:pos="7665"/>
              </w:tabs>
              <w:spacing w:line="360" w:lineRule="auto"/>
              <w:ind w:left="3517" w:leftChars="228" w:hanging="3038" w:hangingChars="1266"/>
              <w:rPr>
                <w:rFonts w:ascii="宋体" w:hAnsi="宋体"/>
                <w:b/>
                <w:kern w:val="0"/>
                <w:sz w:val="24"/>
              </w:rPr>
            </w:pPr>
            <w:r>
              <w:rPr>
                <w:rFonts w:hint="eastAsia" w:ascii="宋体" w:hAnsi="宋体"/>
                <w:sz w:val="24"/>
                <w:lang w:val="zh-CN"/>
              </w:rPr>
              <w:t>招标文件</w:t>
            </w:r>
            <w:r>
              <w:rPr>
                <w:rFonts w:ascii="宋体" w:hAnsi="宋体"/>
                <w:sz w:val="24"/>
                <w:lang w:val="zh-CN"/>
              </w:rPr>
              <w:t>的澄清</w:t>
            </w:r>
            <w:r>
              <w:rPr>
                <w:rFonts w:ascii="宋体" w:hAnsi="宋体"/>
                <w:sz w:val="24"/>
              </w:rPr>
              <w:t>、修改书及有关补充通知为</w:t>
            </w:r>
            <w:r>
              <w:rPr>
                <w:rFonts w:hint="eastAsia" w:ascii="宋体" w:hAnsi="宋体"/>
                <w:sz w:val="24"/>
                <w:lang w:val="zh-CN"/>
              </w:rPr>
              <w:t>招标文件</w:t>
            </w:r>
            <w:r>
              <w:rPr>
                <w:rFonts w:ascii="宋体" w:hAnsi="宋体"/>
                <w:sz w:val="24"/>
              </w:rPr>
              <w:t>的有效组成部分。</w:t>
            </w:r>
          </w:p>
        </w:tc>
      </w:tr>
      <w:tr w14:paraId="3C5A72F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21" w:type="dxa"/>
            <w:vAlign w:val="center"/>
          </w:tcPr>
          <w:p w14:paraId="339F474B">
            <w:pPr>
              <w:adjustRightInd w:val="0"/>
              <w:snapToGrid w:val="0"/>
              <w:spacing w:line="276" w:lineRule="auto"/>
              <w:jc w:val="center"/>
              <w:textAlignment w:val="baseline"/>
              <w:rPr>
                <w:rFonts w:ascii="宋体" w:hAnsi="宋体"/>
                <w:sz w:val="24"/>
              </w:rPr>
            </w:pPr>
            <w:r>
              <w:rPr>
                <w:rFonts w:hint="eastAsia" w:ascii="宋体" w:hAnsi="宋体"/>
                <w:sz w:val="24"/>
              </w:rPr>
              <w:t>17</w:t>
            </w:r>
          </w:p>
        </w:tc>
        <w:tc>
          <w:tcPr>
            <w:tcW w:w="8782" w:type="dxa"/>
            <w:vAlign w:val="bottom"/>
          </w:tcPr>
          <w:p w14:paraId="1D5CE3BF">
            <w:pPr>
              <w:adjustRightInd w:val="0"/>
              <w:snapToGrid w:val="0"/>
              <w:spacing w:line="360" w:lineRule="auto"/>
              <w:rPr>
                <w:rFonts w:ascii="宋体" w:hAnsi="宋体"/>
                <w:b/>
                <w:sz w:val="24"/>
              </w:rPr>
            </w:pPr>
            <w:r>
              <w:rPr>
                <w:rFonts w:hint="eastAsia" w:ascii="宋体" w:hAnsi="宋体" w:cs="仿宋_GB2312"/>
                <w:b/>
                <w:sz w:val="24"/>
              </w:rPr>
              <w:t>报名要求</w:t>
            </w:r>
            <w:r>
              <w:rPr>
                <w:rFonts w:hint="eastAsia" w:ascii="宋体" w:hAnsi="宋体"/>
                <w:b/>
                <w:sz w:val="24"/>
              </w:rPr>
              <w:t>：</w:t>
            </w:r>
            <w:r>
              <w:rPr>
                <w:rFonts w:hint="eastAsia" w:ascii="宋体" w:hAnsi="宋体"/>
                <w:sz w:val="24"/>
              </w:rPr>
              <w:t>见公告内容。</w:t>
            </w:r>
          </w:p>
        </w:tc>
      </w:tr>
      <w:tr w14:paraId="21182D28">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21" w:type="dxa"/>
            <w:vAlign w:val="center"/>
          </w:tcPr>
          <w:p w14:paraId="3F4BF86B">
            <w:pPr>
              <w:adjustRightInd w:val="0"/>
              <w:snapToGrid w:val="0"/>
              <w:spacing w:line="276" w:lineRule="auto"/>
              <w:jc w:val="center"/>
              <w:textAlignment w:val="baseline"/>
              <w:rPr>
                <w:rFonts w:ascii="宋体" w:hAnsi="宋体"/>
                <w:sz w:val="24"/>
              </w:rPr>
            </w:pPr>
            <w:r>
              <w:rPr>
                <w:rFonts w:hint="eastAsia" w:ascii="宋体" w:hAnsi="宋体"/>
                <w:sz w:val="24"/>
              </w:rPr>
              <w:t>18</w:t>
            </w:r>
          </w:p>
        </w:tc>
        <w:tc>
          <w:tcPr>
            <w:tcW w:w="8782" w:type="dxa"/>
            <w:vAlign w:val="bottom"/>
          </w:tcPr>
          <w:p w14:paraId="4D283E77">
            <w:pPr>
              <w:tabs>
                <w:tab w:val="left" w:pos="7665"/>
              </w:tabs>
              <w:spacing w:line="360" w:lineRule="auto"/>
              <w:rPr>
                <w:rFonts w:ascii="宋体" w:hAnsi="宋体"/>
                <w:b/>
                <w:sz w:val="24"/>
              </w:rPr>
            </w:pPr>
            <w:r>
              <w:rPr>
                <w:rFonts w:hint="eastAsia" w:ascii="宋体" w:hAnsi="宋体"/>
                <w:b/>
                <w:sz w:val="24"/>
              </w:rPr>
              <w:t>踏勘现场：</w:t>
            </w:r>
            <w:r>
              <w:rPr>
                <w:rFonts w:hint="eastAsia" w:ascii="宋体" w:hAnsi="宋体"/>
                <w:bCs/>
                <w:sz w:val="24"/>
              </w:rPr>
              <w:t>本项目不组织。</w:t>
            </w:r>
          </w:p>
        </w:tc>
      </w:tr>
      <w:tr w14:paraId="4501B85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21" w:type="dxa"/>
            <w:vAlign w:val="center"/>
          </w:tcPr>
          <w:p w14:paraId="0B913235">
            <w:pPr>
              <w:adjustRightInd w:val="0"/>
              <w:snapToGrid w:val="0"/>
              <w:spacing w:line="276" w:lineRule="auto"/>
              <w:jc w:val="center"/>
              <w:textAlignment w:val="baseline"/>
              <w:rPr>
                <w:rFonts w:ascii="宋体" w:hAnsi="宋体"/>
                <w:sz w:val="24"/>
              </w:rPr>
            </w:pPr>
            <w:r>
              <w:rPr>
                <w:rFonts w:hint="eastAsia" w:ascii="宋体" w:hAnsi="宋体"/>
                <w:sz w:val="24"/>
              </w:rPr>
              <w:t>19</w:t>
            </w:r>
          </w:p>
        </w:tc>
        <w:tc>
          <w:tcPr>
            <w:tcW w:w="8782" w:type="dxa"/>
            <w:vAlign w:val="bottom"/>
          </w:tcPr>
          <w:p w14:paraId="6D6AF962">
            <w:pPr>
              <w:tabs>
                <w:tab w:val="left" w:pos="7665"/>
              </w:tabs>
              <w:spacing w:line="360" w:lineRule="auto"/>
              <w:rPr>
                <w:rFonts w:ascii="宋体" w:hAnsi="宋体"/>
                <w:b/>
                <w:sz w:val="24"/>
              </w:rPr>
            </w:pPr>
            <w:r>
              <w:rPr>
                <w:rFonts w:hint="eastAsia" w:ascii="宋体" w:hAnsi="宋体"/>
                <w:b/>
                <w:sz w:val="24"/>
              </w:rPr>
              <w:t>分包（转让）：</w:t>
            </w:r>
            <w:r>
              <w:rPr>
                <w:rFonts w:hint="eastAsia" w:ascii="宋体" w:hAnsi="宋体"/>
                <w:sz w:val="24"/>
              </w:rPr>
              <w:t>不允许。</w:t>
            </w:r>
          </w:p>
        </w:tc>
      </w:tr>
      <w:tr w14:paraId="2F5C7BC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21" w:type="dxa"/>
            <w:vAlign w:val="center"/>
          </w:tcPr>
          <w:p w14:paraId="2D609B21">
            <w:pPr>
              <w:adjustRightInd w:val="0"/>
              <w:snapToGrid w:val="0"/>
              <w:spacing w:line="276" w:lineRule="auto"/>
              <w:jc w:val="center"/>
              <w:textAlignment w:val="baseline"/>
              <w:rPr>
                <w:rFonts w:ascii="宋体" w:hAnsi="宋体"/>
                <w:sz w:val="24"/>
              </w:rPr>
            </w:pPr>
            <w:r>
              <w:rPr>
                <w:rFonts w:hint="eastAsia" w:ascii="宋体" w:hAnsi="宋体"/>
                <w:sz w:val="24"/>
              </w:rPr>
              <w:t>20</w:t>
            </w:r>
          </w:p>
        </w:tc>
        <w:tc>
          <w:tcPr>
            <w:tcW w:w="8782" w:type="dxa"/>
            <w:vAlign w:val="bottom"/>
          </w:tcPr>
          <w:p w14:paraId="018025F0">
            <w:pPr>
              <w:tabs>
                <w:tab w:val="left" w:pos="7665"/>
              </w:tabs>
              <w:spacing w:line="360" w:lineRule="auto"/>
              <w:rPr>
                <w:rFonts w:ascii="宋体" w:hAnsi="宋体"/>
                <w:b/>
                <w:sz w:val="24"/>
              </w:rPr>
            </w:pPr>
            <w:r>
              <w:rPr>
                <w:rFonts w:hint="eastAsia" w:ascii="宋体" w:hAnsi="宋体"/>
                <w:b/>
                <w:sz w:val="24"/>
              </w:rPr>
              <w:t>联合投标：</w:t>
            </w:r>
            <w:r>
              <w:rPr>
                <w:rFonts w:hint="eastAsia" w:ascii="宋体" w:hAnsi="宋体"/>
                <w:sz w:val="24"/>
              </w:rPr>
              <w:t>本项目不接受联合体投标。</w:t>
            </w:r>
          </w:p>
        </w:tc>
      </w:tr>
      <w:tr w14:paraId="4CE8FA1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21" w:type="dxa"/>
            <w:vAlign w:val="center"/>
          </w:tcPr>
          <w:p w14:paraId="0E2C8F37">
            <w:pPr>
              <w:adjustRightInd w:val="0"/>
              <w:snapToGrid w:val="0"/>
              <w:spacing w:line="276" w:lineRule="auto"/>
              <w:jc w:val="center"/>
              <w:textAlignment w:val="baseline"/>
              <w:rPr>
                <w:rFonts w:ascii="宋体" w:hAnsi="宋体"/>
                <w:sz w:val="24"/>
              </w:rPr>
            </w:pPr>
            <w:r>
              <w:rPr>
                <w:rFonts w:hint="eastAsia" w:ascii="宋体" w:hAnsi="宋体"/>
                <w:sz w:val="24"/>
              </w:rPr>
              <w:t>21</w:t>
            </w:r>
          </w:p>
        </w:tc>
        <w:tc>
          <w:tcPr>
            <w:tcW w:w="8782" w:type="dxa"/>
            <w:vAlign w:val="bottom"/>
          </w:tcPr>
          <w:p w14:paraId="261EE762">
            <w:pPr>
              <w:adjustRightInd w:val="0"/>
              <w:snapToGrid w:val="0"/>
              <w:spacing w:line="360" w:lineRule="auto"/>
              <w:textAlignment w:val="baseline"/>
              <w:rPr>
                <w:rFonts w:ascii="宋体" w:hAnsi="宋体"/>
                <w:b/>
                <w:sz w:val="24"/>
              </w:rPr>
            </w:pPr>
            <w:r>
              <w:rPr>
                <w:rFonts w:hint="eastAsia" w:ascii="宋体" w:hAnsi="宋体"/>
                <w:b/>
                <w:sz w:val="24"/>
              </w:rPr>
              <w:t>是否退还投标文件：</w:t>
            </w:r>
            <w:r>
              <w:rPr>
                <w:rFonts w:hint="eastAsia" w:ascii="宋体" w:hAnsi="宋体"/>
                <w:sz w:val="24"/>
              </w:rPr>
              <w:t>否</w:t>
            </w:r>
          </w:p>
        </w:tc>
      </w:tr>
      <w:tr w14:paraId="5974069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21" w:type="dxa"/>
            <w:vAlign w:val="center"/>
          </w:tcPr>
          <w:p w14:paraId="6DC5D0F3">
            <w:pPr>
              <w:spacing w:line="276" w:lineRule="auto"/>
              <w:jc w:val="center"/>
              <w:textAlignment w:val="baseline"/>
              <w:rPr>
                <w:rFonts w:ascii="宋体" w:hAnsi="宋体"/>
                <w:sz w:val="24"/>
              </w:rPr>
            </w:pPr>
            <w:r>
              <w:rPr>
                <w:rFonts w:hint="eastAsia" w:ascii="宋体" w:hAnsi="宋体"/>
                <w:sz w:val="24"/>
              </w:rPr>
              <w:t>22</w:t>
            </w:r>
          </w:p>
        </w:tc>
        <w:tc>
          <w:tcPr>
            <w:tcW w:w="8782" w:type="dxa"/>
            <w:vAlign w:val="center"/>
          </w:tcPr>
          <w:p w14:paraId="505EC30F">
            <w:pPr>
              <w:numPr>
                <w:ilvl w:val="0"/>
                <w:numId w:val="0"/>
              </w:numPr>
              <w:spacing w:line="360" w:lineRule="auto"/>
              <w:textAlignment w:val="baseline"/>
              <w:rPr>
                <w:rFonts w:ascii="宋体" w:hAnsi="宋体"/>
                <w:b/>
                <w:bCs/>
                <w:color w:val="FF0000"/>
                <w:sz w:val="24"/>
              </w:rPr>
            </w:pPr>
            <w:r>
              <w:rPr>
                <w:rFonts w:hint="eastAsia" w:ascii="宋体" w:hAnsi="宋体"/>
                <w:b/>
                <w:color w:val="000000" w:themeColor="text1"/>
                <w:sz w:val="24"/>
                <w14:textFill>
                  <w14:solidFill>
                    <w14:schemeClr w14:val="tx1"/>
                  </w14:solidFill>
                </w14:textFill>
              </w:rPr>
              <w:t>投标保证金递交说明：</w:t>
            </w:r>
            <w:r>
              <w:rPr>
                <w:rFonts w:hint="eastAsia" w:ascii="宋体" w:hAnsi="宋体"/>
                <w:b/>
                <w:bCs/>
                <w:sz w:val="24"/>
              </w:rPr>
              <w:t>金额：</w:t>
            </w:r>
            <w:r>
              <w:rPr>
                <w:rFonts w:hint="eastAsia" w:ascii="宋体" w:hAnsi="宋体"/>
                <w:b/>
                <w:bCs/>
                <w:sz w:val="24"/>
                <w:lang w:val="en-US" w:eastAsia="zh-CN"/>
              </w:rPr>
              <w:t>40000</w:t>
            </w:r>
            <w:r>
              <w:rPr>
                <w:rFonts w:hint="eastAsia" w:ascii="宋体" w:hAnsi="宋体"/>
                <w:b/>
                <w:bCs/>
                <w:sz w:val="24"/>
              </w:rPr>
              <w:t>.00元  大写：</w:t>
            </w:r>
            <w:r>
              <w:rPr>
                <w:rFonts w:hint="eastAsia" w:ascii="宋体" w:hAnsi="宋体"/>
                <w:b/>
                <w:bCs/>
                <w:sz w:val="24"/>
                <w:lang w:val="en-US" w:eastAsia="zh-CN"/>
              </w:rPr>
              <w:t>肆</w:t>
            </w:r>
            <w:r>
              <w:rPr>
                <w:rFonts w:hint="eastAsia" w:ascii="宋体" w:hAnsi="宋体"/>
                <w:b/>
                <w:bCs/>
                <w:sz w:val="24"/>
              </w:rPr>
              <w:t>万元整</w:t>
            </w:r>
          </w:p>
          <w:p w14:paraId="66550A9E">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交纳账户信息如下：</w:t>
            </w:r>
          </w:p>
          <w:p w14:paraId="75810A41">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开 户 名：新疆华玫睿项目管理有限公司</w:t>
            </w:r>
          </w:p>
          <w:p w14:paraId="19CA8139">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开户银行：中国银行股份有限公司阿克苏地区分行</w:t>
            </w:r>
          </w:p>
          <w:p w14:paraId="63793700">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帐    号：1070 8446 9929</w:t>
            </w:r>
          </w:p>
          <w:p w14:paraId="43C42214">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1.投标保证金的交纳单位必须与投标人名称一致，投标人应按照标项缴纳投标保证金，并备注所投标项的项目编号，投标保证金缴存方式：投标保证金应当以支票、汇票、本票或者电子保函等非现金形式提交。投标人未按照采购文件要求提交投标保证金的视为投标无效；</w:t>
            </w:r>
          </w:p>
          <w:p w14:paraId="6C4AB8D9">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2.投标人以支票、汇票、本票、网上银行支付等形式提交投标保证金的，应在投标截止时间前到账；</w:t>
            </w:r>
          </w:p>
          <w:p w14:paraId="0828B59C">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3.电子保函</w:t>
            </w:r>
          </w:p>
          <w:p w14:paraId="47B5B690">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投标保证金还可以采用电子保函形式按以下要求办理：</w:t>
            </w:r>
          </w:p>
          <w:p w14:paraId="40437670">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(1）电子保函按照“一标项一保函”的原则。</w:t>
            </w:r>
          </w:p>
          <w:p w14:paraId="6658AC33">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(2）电子保函须在投标截止时间前办理完成。</w:t>
            </w:r>
          </w:p>
          <w:p w14:paraId="30089EB4">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(3）保函的有效期不得少于本项目投标有效期。</w:t>
            </w:r>
          </w:p>
          <w:p w14:paraId="4FBCDE8E">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(4）投标单位通过的电子保函必须真实有效，否则后果自负</w:t>
            </w:r>
          </w:p>
          <w:p w14:paraId="2AC2DF1B">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(5）投标人以电子保函形式缴纳投标保证金的，应通过“新疆政府采购网电子保函”的模块申请购买。</w:t>
            </w:r>
          </w:p>
          <w:p w14:paraId="7B8ADB04">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 xml:space="preserve">电子担保凭证需作为电子投标文件组成部分在递交投标文件时一并提交。 </w:t>
            </w:r>
          </w:p>
          <w:p w14:paraId="66347E81">
            <w:pPr>
              <w:spacing w:line="360" w:lineRule="auto"/>
              <w:ind w:firstLine="480" w:firstLineChars="200"/>
              <w:textAlignment w:val="baseline"/>
              <w:rPr>
                <w:rFonts w:hint="eastAsia" w:ascii="宋体" w:hAnsi="宋体"/>
                <w:sz w:val="24"/>
                <w:lang w:val="en-US" w:eastAsia="zh-CN"/>
              </w:rPr>
            </w:pPr>
            <w:r>
              <w:rPr>
                <w:rFonts w:hint="eastAsia" w:ascii="宋体" w:hAnsi="宋体"/>
                <w:sz w:val="24"/>
                <w:lang w:val="en-US" w:eastAsia="zh-CN"/>
              </w:rPr>
              <w:t>注：因投标人原因投标保证金到账时间晚于投标截止时间的，或者因投标人的票据错误、印鉴不清等原因导致保证金不能到账的，其投标按无效投标（响应）处理。</w:t>
            </w:r>
          </w:p>
          <w:p w14:paraId="0192CF1F">
            <w:pPr>
              <w:spacing w:line="360" w:lineRule="auto"/>
              <w:ind w:firstLine="480" w:firstLineChars="200"/>
              <w:textAlignment w:val="baseline"/>
              <w:rPr>
                <w:rFonts w:ascii="宋体" w:hAnsi="宋体"/>
                <w:sz w:val="24"/>
              </w:rPr>
            </w:pPr>
            <w:r>
              <w:rPr>
                <w:rFonts w:hint="eastAsia" w:ascii="宋体" w:hAnsi="宋体"/>
                <w:sz w:val="24"/>
                <w:lang w:val="en-US" w:eastAsia="zh-CN"/>
              </w:rPr>
              <w:t>4</w:t>
            </w:r>
            <w:r>
              <w:rPr>
                <w:rFonts w:hint="eastAsia" w:ascii="宋体" w:hAnsi="宋体"/>
                <w:sz w:val="24"/>
              </w:rPr>
              <w:t>.发生以下情况的，招标方将不予退还其投标保证金，并取消其以后参与招标方所组织的政府采购活动的资格：</w:t>
            </w:r>
          </w:p>
          <w:p w14:paraId="0C0BC344">
            <w:pPr>
              <w:spacing w:line="360" w:lineRule="auto"/>
              <w:ind w:firstLine="480" w:firstLineChars="200"/>
              <w:textAlignment w:val="baseline"/>
              <w:rPr>
                <w:rFonts w:ascii="宋体" w:hAnsi="宋体"/>
                <w:sz w:val="24"/>
              </w:rPr>
            </w:pPr>
            <w:r>
              <w:rPr>
                <w:rFonts w:hint="eastAsia" w:ascii="宋体" w:hAnsi="宋体"/>
                <w:sz w:val="24"/>
              </w:rPr>
              <w:t>①投标截至时间后开标前投标投标人撤回投标的；</w:t>
            </w:r>
          </w:p>
          <w:p w14:paraId="61F440B7">
            <w:pPr>
              <w:spacing w:line="360" w:lineRule="auto"/>
              <w:ind w:firstLine="480" w:firstLineChars="200"/>
              <w:textAlignment w:val="baseline"/>
              <w:rPr>
                <w:rFonts w:ascii="宋体" w:hAnsi="宋体"/>
                <w:sz w:val="24"/>
              </w:rPr>
            </w:pPr>
            <w:r>
              <w:rPr>
                <w:rFonts w:hint="eastAsia" w:ascii="宋体" w:hAnsi="宋体"/>
                <w:sz w:val="24"/>
              </w:rPr>
              <w:t>②中标后无正当理由不与招标人签订合同的；</w:t>
            </w:r>
          </w:p>
          <w:p w14:paraId="63250265">
            <w:pPr>
              <w:spacing w:line="360" w:lineRule="auto"/>
              <w:ind w:firstLine="480" w:firstLineChars="200"/>
              <w:textAlignment w:val="baseline"/>
              <w:rPr>
                <w:rFonts w:ascii="宋体" w:hAnsi="宋体"/>
                <w:sz w:val="24"/>
              </w:rPr>
            </w:pPr>
            <w:r>
              <w:rPr>
                <w:rFonts w:hint="eastAsia" w:ascii="宋体" w:hAnsi="宋体"/>
                <w:sz w:val="24"/>
              </w:rPr>
              <w:t xml:space="preserve">③将中标项目转让给他人，或者在竞标文件中未说明，且未经招标人同意，将中标项目分包给他人的； </w:t>
            </w:r>
          </w:p>
          <w:p w14:paraId="7A2C4626">
            <w:pPr>
              <w:spacing w:line="360" w:lineRule="auto"/>
              <w:ind w:firstLine="480" w:firstLineChars="200"/>
              <w:textAlignment w:val="baseline"/>
              <w:rPr>
                <w:rFonts w:ascii="宋体" w:hAnsi="宋体"/>
                <w:sz w:val="24"/>
              </w:rPr>
            </w:pPr>
            <w:r>
              <w:rPr>
                <w:rFonts w:hint="eastAsia" w:ascii="宋体" w:hAnsi="宋体"/>
                <w:sz w:val="24"/>
              </w:rPr>
              <w:t>④拒绝或不完全履行合同义务的；</w:t>
            </w:r>
          </w:p>
          <w:p w14:paraId="08350761">
            <w:pPr>
              <w:spacing w:line="360" w:lineRule="auto"/>
              <w:ind w:firstLine="480" w:firstLineChars="200"/>
              <w:rPr>
                <w:rFonts w:hint="default" w:ascii="宋体" w:hAnsi="宋体" w:eastAsia="宋体"/>
                <w:b/>
                <w:kern w:val="0"/>
                <w:sz w:val="24"/>
                <w:lang w:val="en-US" w:eastAsia="zh-CN"/>
              </w:rPr>
            </w:pPr>
            <w:r>
              <w:rPr>
                <w:rFonts w:hint="eastAsia" w:ascii="宋体" w:hAnsi="宋体"/>
                <w:sz w:val="24"/>
              </w:rPr>
              <w:t>⑤提供虚假材料谋取中标的。</w:t>
            </w:r>
          </w:p>
        </w:tc>
      </w:tr>
      <w:tr w14:paraId="0C67E327">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1" w:type="dxa"/>
            <w:vAlign w:val="center"/>
          </w:tcPr>
          <w:p w14:paraId="0F14DAA6">
            <w:pPr>
              <w:spacing w:line="276" w:lineRule="auto"/>
              <w:jc w:val="center"/>
              <w:textAlignment w:val="baseline"/>
              <w:rPr>
                <w:rFonts w:hint="eastAsia" w:ascii="宋体" w:hAnsi="宋体" w:eastAsia="宋体"/>
                <w:sz w:val="24"/>
                <w:lang w:eastAsia="zh-CN"/>
              </w:rPr>
            </w:pPr>
            <w:r>
              <w:rPr>
                <w:rFonts w:hint="eastAsia" w:ascii="宋体" w:hAnsi="宋体"/>
                <w:sz w:val="24"/>
              </w:rPr>
              <w:t>2</w:t>
            </w:r>
            <w:r>
              <w:rPr>
                <w:rFonts w:hint="eastAsia" w:ascii="宋体" w:hAnsi="宋体"/>
                <w:sz w:val="24"/>
                <w:lang w:val="en-US" w:eastAsia="zh-CN"/>
              </w:rPr>
              <w:t>3</w:t>
            </w:r>
          </w:p>
        </w:tc>
        <w:tc>
          <w:tcPr>
            <w:tcW w:w="8782" w:type="dxa"/>
            <w:vAlign w:val="center"/>
          </w:tcPr>
          <w:p w14:paraId="54A4074A">
            <w:pPr>
              <w:adjustRightInd w:val="0"/>
              <w:snapToGrid w:val="0"/>
              <w:spacing w:line="360" w:lineRule="auto"/>
              <w:jc w:val="left"/>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w:t>
            </w:r>
            <w:r>
              <w:rPr>
                <w:rFonts w:hint="eastAsia" w:ascii="宋体" w:hAnsi="宋体" w:eastAsia="宋体" w:cs="宋体"/>
                <w:b/>
                <w:bCs w:val="0"/>
                <w:color w:val="000000" w:themeColor="text1"/>
                <w:sz w:val="24"/>
                <w:szCs w:val="24"/>
                <w:lang w:val="en-US" w:eastAsia="zh-CN"/>
                <w14:textFill>
                  <w14:solidFill>
                    <w14:schemeClr w14:val="tx1"/>
                  </w14:solidFill>
                </w14:textFill>
              </w:rPr>
              <w:t>投标</w:t>
            </w:r>
            <w:r>
              <w:rPr>
                <w:rFonts w:hint="eastAsia" w:ascii="宋体" w:hAnsi="宋体" w:eastAsia="宋体" w:cs="宋体"/>
                <w:b/>
                <w:bCs w:val="0"/>
                <w:color w:val="000000" w:themeColor="text1"/>
                <w:sz w:val="24"/>
                <w:szCs w:val="24"/>
                <w:lang w:eastAsia="zh-CN"/>
                <w14:textFill>
                  <w14:solidFill>
                    <w14:schemeClr w14:val="tx1"/>
                  </w14:solidFill>
                </w14:textFill>
              </w:rPr>
              <w:t>文件</w:t>
            </w:r>
            <w:r>
              <w:rPr>
                <w:rFonts w:hint="eastAsia" w:ascii="宋体" w:hAnsi="宋体" w:eastAsia="宋体" w:cs="宋体"/>
                <w:b/>
                <w:bCs w:val="0"/>
                <w:color w:val="000000" w:themeColor="text1"/>
                <w:sz w:val="24"/>
                <w:szCs w:val="24"/>
                <w14:textFill>
                  <w14:solidFill>
                    <w14:schemeClr w14:val="tx1"/>
                  </w14:solidFill>
                </w14:textFill>
              </w:rPr>
              <w:t>》递交份数、时间及地点：</w:t>
            </w:r>
          </w:p>
          <w:p w14:paraId="47FF94E6">
            <w:pPr>
              <w:spacing w:line="360" w:lineRule="auto"/>
              <w:ind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 xml:space="preserve">文件电子版要求：按照本采购文件“第五章 </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文件格式”编写（第五章未附格式的，由供应商自行拟定），不可涂改并在规定加盖公章处加盖电子公章，否则</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文件按无效处理。</w:t>
            </w:r>
          </w:p>
          <w:p w14:paraId="2E068121">
            <w:pPr>
              <w:spacing w:line="360" w:lineRule="auto"/>
              <w:ind w:firstLine="480" w:firstLineChars="2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文件电子版密封方式：电子</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文件通过平台有效 CA 加密后在“政采云”平台投送。（操作方式见公告</w:t>
            </w:r>
            <w:r>
              <w:rPr>
                <w:rFonts w:hint="eastAsia" w:ascii="宋体" w:hAnsi="宋体" w:eastAsia="宋体" w:cs="宋体"/>
                <w:b w:val="0"/>
                <w:bCs/>
                <w:color w:val="000000" w:themeColor="text1"/>
                <w:sz w:val="24"/>
                <w:szCs w:val="24"/>
                <w:lang w:val="en-US" w:eastAsia="zh-CN"/>
                <w14:textFill>
                  <w14:solidFill>
                    <w14:schemeClr w14:val="tx1"/>
                  </w14:solidFill>
                </w14:textFill>
              </w:rPr>
              <w:t>要求</w:t>
            </w:r>
            <w:r>
              <w:rPr>
                <w:rFonts w:hint="eastAsia" w:ascii="宋体" w:hAnsi="宋体" w:eastAsia="宋体" w:cs="宋体"/>
                <w:b w:val="0"/>
                <w:bCs/>
                <w:color w:val="000000" w:themeColor="text1"/>
                <w:sz w:val="24"/>
                <w:szCs w:val="24"/>
                <w14:textFill>
                  <w14:solidFill>
                    <w14:schemeClr w14:val="tx1"/>
                  </w14:solidFill>
                </w14:textFill>
              </w:rPr>
              <w:t>“电子</w:t>
            </w:r>
            <w:r>
              <w:rPr>
                <w:rFonts w:hint="eastAsia" w:ascii="宋体" w:hAnsi="宋体" w:eastAsia="宋体" w:cs="宋体"/>
                <w:b w:val="0"/>
                <w:bCs/>
                <w:color w:val="000000" w:themeColor="text1"/>
                <w:sz w:val="24"/>
                <w:szCs w:val="24"/>
                <w:lang w:val="en-US"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文件制作与投送教程”）</w:t>
            </w:r>
          </w:p>
          <w:p w14:paraId="6F63805B">
            <w:pPr>
              <w:spacing w:line="360" w:lineRule="auto"/>
              <w:ind w:firstLine="482" w:firstLineChars="200"/>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3.政采云投标文件递交截止时间：</w:t>
            </w:r>
            <w:r>
              <w:rPr>
                <w:rFonts w:hint="eastAsia" w:asciiTheme="minorEastAsia" w:hAnsiTheme="minorEastAsia" w:eastAsiaTheme="minorEastAsia" w:cstheme="minorEastAsia"/>
                <w:b/>
                <w:bCs w:val="0"/>
                <w:color w:val="000000" w:themeColor="text1"/>
                <w:sz w:val="24"/>
                <w:lang w:eastAsia="zh-CN"/>
                <w14:textFill>
                  <w14:solidFill>
                    <w14:schemeClr w14:val="tx1"/>
                  </w14:solidFill>
                </w14:textFill>
              </w:rPr>
              <w:t>2026年06月29日11点00分</w:t>
            </w:r>
            <w:r>
              <w:rPr>
                <w:rFonts w:hint="eastAsia" w:asciiTheme="minorEastAsia" w:hAnsiTheme="minorEastAsia" w:eastAsiaTheme="minorEastAsia" w:cstheme="minorEastAsia"/>
                <w:b/>
                <w:bCs w:val="0"/>
                <w:color w:val="000000" w:themeColor="text1"/>
                <w:sz w:val="24"/>
                <w:szCs w:val="24"/>
                <w:lang w:eastAsia="zh-CN"/>
                <w14:textFill>
                  <w14:solidFill>
                    <w14:schemeClr w14:val="tx1"/>
                  </w14:solidFill>
                </w14:textFill>
              </w:rPr>
              <w:t>（北京时间）</w:t>
            </w:r>
          </w:p>
          <w:p w14:paraId="68996035">
            <w:pPr>
              <w:spacing w:line="360" w:lineRule="auto"/>
              <w:ind w:firstLine="482" w:firstLineChars="200"/>
              <w:rPr>
                <w:rFonts w:hint="eastAsia" w:ascii="宋体" w:hAnsi="宋体" w:eastAsia="宋体"/>
                <w:color w:val="000000" w:themeColor="text1"/>
                <w:sz w:val="24"/>
                <w:lang w:eastAsia="zh-CN"/>
                <w14:textFill>
                  <w14:solidFill>
                    <w14:schemeClr w14:val="tx1"/>
                  </w14:solidFill>
                </w14:textFill>
              </w:rPr>
            </w:pPr>
            <w:r>
              <w:rPr>
                <w:rFonts w:hint="eastAsia" w:ascii="宋体" w:hAnsi="宋体" w:cs="宋体"/>
                <w:b/>
                <w:bCs w:val="0"/>
                <w:color w:val="000000" w:themeColor="text1"/>
                <w:sz w:val="24"/>
                <w:szCs w:val="24"/>
                <w:lang w:val="en-US" w:eastAsia="zh-CN"/>
                <w14:textFill>
                  <w14:solidFill>
                    <w14:schemeClr w14:val="tx1"/>
                  </w14:solidFill>
                </w14:textFill>
              </w:rPr>
              <w:t>4.</w:t>
            </w:r>
            <w:r>
              <w:rPr>
                <w:rFonts w:hint="eastAsia" w:ascii="宋体" w:hAnsi="宋体" w:eastAsia="宋体" w:cs="宋体"/>
                <w:b/>
                <w:bCs w:val="0"/>
                <w:color w:val="000000" w:themeColor="text1"/>
                <w:sz w:val="24"/>
                <w:szCs w:val="24"/>
                <w:lang w:val="en-US" w:eastAsia="zh-CN"/>
                <w14:textFill>
                  <w14:solidFill>
                    <w14:schemeClr w14:val="tx1"/>
                  </w14:solidFill>
                </w14:textFill>
              </w:rPr>
              <w:t>递交地点：请登录政采云投标客户端投标</w:t>
            </w:r>
          </w:p>
        </w:tc>
      </w:tr>
      <w:tr w14:paraId="5133BB3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14:paraId="3507FC59">
            <w:pPr>
              <w:spacing w:line="276" w:lineRule="auto"/>
              <w:jc w:val="center"/>
              <w:textAlignment w:val="baseline"/>
              <w:rPr>
                <w:rFonts w:hint="eastAsia" w:ascii="宋体" w:hAnsi="宋体" w:eastAsia="宋体"/>
                <w:color w:val="auto"/>
                <w:sz w:val="24"/>
                <w:lang w:eastAsia="zh-CN"/>
              </w:rPr>
            </w:pPr>
            <w:r>
              <w:rPr>
                <w:rFonts w:hint="eastAsia" w:ascii="宋体" w:hAnsi="宋体"/>
                <w:color w:val="auto"/>
                <w:sz w:val="24"/>
              </w:rPr>
              <w:t>2</w:t>
            </w:r>
            <w:r>
              <w:rPr>
                <w:rFonts w:hint="eastAsia" w:ascii="宋体" w:hAnsi="宋体"/>
                <w:color w:val="auto"/>
                <w:sz w:val="24"/>
                <w:lang w:val="en-US" w:eastAsia="zh-CN"/>
              </w:rPr>
              <w:t>4</w:t>
            </w:r>
          </w:p>
        </w:tc>
        <w:tc>
          <w:tcPr>
            <w:tcW w:w="8782" w:type="dxa"/>
            <w:vAlign w:val="center"/>
          </w:tcPr>
          <w:p w14:paraId="69398F9C">
            <w:pPr>
              <w:adjustRightInd w:val="0"/>
              <w:snapToGrid w:val="0"/>
              <w:spacing w:line="360" w:lineRule="auto"/>
              <w:jc w:val="left"/>
              <w:rPr>
                <w:rFonts w:ascii="宋体" w:hAnsi="宋体"/>
                <w:b/>
                <w:color w:val="auto"/>
                <w:sz w:val="24"/>
              </w:rPr>
            </w:pPr>
            <w:r>
              <w:rPr>
                <w:rFonts w:hint="eastAsia" w:ascii="宋体" w:hAnsi="宋体"/>
                <w:b/>
                <w:color w:val="auto"/>
                <w:sz w:val="24"/>
              </w:rPr>
              <w:t>开标时间及地点：</w:t>
            </w:r>
          </w:p>
          <w:p w14:paraId="755573B5">
            <w:pPr>
              <w:widowControl/>
              <w:shd w:val="clear" w:color="auto" w:fill="FFFFFF"/>
              <w:spacing w:line="360" w:lineRule="auto"/>
              <w:jc w:val="left"/>
              <w:rPr>
                <w:rFonts w:ascii="宋体" w:hAnsi="宋体"/>
                <w:color w:val="auto"/>
                <w:sz w:val="24"/>
              </w:rPr>
            </w:pPr>
            <w:r>
              <w:rPr>
                <w:rFonts w:hint="eastAsia" w:ascii="宋体" w:hAnsi="宋体"/>
                <w:b/>
                <w:bCs/>
                <w:color w:val="auto"/>
                <w:sz w:val="24"/>
              </w:rPr>
              <w:t>开标时间：</w:t>
            </w:r>
            <w:r>
              <w:rPr>
                <w:rFonts w:hint="eastAsia" w:asciiTheme="minorEastAsia" w:hAnsiTheme="minorEastAsia" w:eastAsiaTheme="minorEastAsia" w:cstheme="minorEastAsia"/>
                <w:b/>
                <w:bCs w:val="0"/>
                <w:color w:val="000000" w:themeColor="text1"/>
                <w:sz w:val="24"/>
                <w:lang w:eastAsia="zh-CN"/>
                <w14:textFill>
                  <w14:solidFill>
                    <w14:schemeClr w14:val="tx1"/>
                  </w14:solidFill>
                </w14:textFill>
              </w:rPr>
              <w:t>2026年06月29日11点00分</w:t>
            </w:r>
            <w:r>
              <w:rPr>
                <w:rFonts w:hint="eastAsia" w:ascii="宋体" w:hAnsi="宋体"/>
                <w:b/>
                <w:bCs/>
                <w:color w:val="auto"/>
                <w:sz w:val="24"/>
                <w:lang w:eastAsia="zh-CN"/>
              </w:rPr>
              <w:t>（北京时间）</w:t>
            </w:r>
          </w:p>
          <w:p w14:paraId="77F3712D">
            <w:pPr>
              <w:tabs>
                <w:tab w:val="left" w:pos="400"/>
              </w:tabs>
              <w:spacing w:line="360" w:lineRule="auto"/>
              <w:textAlignment w:val="baseline"/>
              <w:rPr>
                <w:rFonts w:ascii="宋体" w:hAnsi="宋体"/>
                <w:color w:val="auto"/>
                <w:sz w:val="24"/>
              </w:rPr>
            </w:pPr>
            <w:r>
              <w:rPr>
                <w:rFonts w:hint="eastAsia" w:ascii="宋体" w:hAnsi="宋体"/>
                <w:b/>
                <w:color w:val="auto"/>
                <w:sz w:val="24"/>
              </w:rPr>
              <w:t>开标地点：投标人登录政采云平台https://www.zcygov.cn/，进入“项目采购-开标评标-右边选择对应项目点击“进入项目”进入开标大厅。</w:t>
            </w:r>
          </w:p>
        </w:tc>
      </w:tr>
      <w:tr w14:paraId="27D8852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1" w:type="dxa"/>
            <w:vAlign w:val="center"/>
          </w:tcPr>
          <w:p w14:paraId="14115D36">
            <w:pPr>
              <w:spacing w:line="276" w:lineRule="auto"/>
              <w:jc w:val="center"/>
              <w:textAlignment w:val="baseline"/>
              <w:rPr>
                <w:rFonts w:hint="eastAsia" w:ascii="宋体" w:hAnsi="宋体" w:eastAsia="宋体"/>
                <w:color w:val="auto"/>
                <w:sz w:val="24"/>
                <w:lang w:eastAsia="zh-CN"/>
              </w:rPr>
            </w:pPr>
            <w:r>
              <w:rPr>
                <w:rFonts w:hint="eastAsia" w:ascii="宋体" w:hAnsi="宋体"/>
                <w:color w:val="auto"/>
                <w:sz w:val="24"/>
              </w:rPr>
              <w:t>2</w:t>
            </w:r>
            <w:r>
              <w:rPr>
                <w:rFonts w:hint="eastAsia" w:ascii="宋体" w:hAnsi="宋体"/>
                <w:color w:val="auto"/>
                <w:sz w:val="24"/>
                <w:lang w:val="en-US" w:eastAsia="zh-CN"/>
              </w:rPr>
              <w:t>5</w:t>
            </w:r>
          </w:p>
        </w:tc>
        <w:tc>
          <w:tcPr>
            <w:tcW w:w="8782" w:type="dxa"/>
            <w:vAlign w:val="center"/>
          </w:tcPr>
          <w:p w14:paraId="553EBE90">
            <w:pPr>
              <w:pStyle w:val="93"/>
              <w:numPr>
                <w:ilvl w:val="0"/>
                <w:numId w:val="0"/>
              </w:numPr>
              <w:spacing w:line="360" w:lineRule="auto"/>
              <w:rPr>
                <w:color w:val="auto"/>
                <w:sz w:val="24"/>
                <w:szCs w:val="24"/>
              </w:rPr>
            </w:pPr>
            <w:r>
              <w:rPr>
                <w:rFonts w:hint="eastAsia"/>
                <w:b/>
                <w:color w:val="000000" w:themeColor="text1"/>
                <w:sz w:val="24"/>
                <w14:textFill>
                  <w14:solidFill>
                    <w14:schemeClr w14:val="tx1"/>
                  </w14:solidFill>
                </w14:textFill>
              </w:rPr>
              <w:t>履约保证金：</w:t>
            </w:r>
            <w:r>
              <w:rPr>
                <w:rFonts w:hint="eastAsia"/>
                <w:b/>
                <w:color w:val="000000" w:themeColor="text1"/>
                <w:sz w:val="24"/>
                <w:lang w:val="en-US" w:eastAsia="zh-CN"/>
                <w14:textFill>
                  <w14:solidFill>
                    <w14:schemeClr w14:val="tx1"/>
                  </w14:solidFill>
                </w14:textFill>
              </w:rPr>
              <w:t>无。</w:t>
            </w:r>
          </w:p>
        </w:tc>
      </w:tr>
      <w:tr w14:paraId="13329172">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1" w:type="dxa"/>
            <w:vAlign w:val="center"/>
          </w:tcPr>
          <w:p w14:paraId="0FCC2EF5">
            <w:pPr>
              <w:spacing w:line="276" w:lineRule="auto"/>
              <w:jc w:val="center"/>
              <w:textAlignment w:val="baseline"/>
              <w:rPr>
                <w:rFonts w:hint="eastAsia" w:ascii="宋体" w:hAnsi="宋体" w:eastAsia="宋体"/>
                <w:sz w:val="24"/>
                <w:lang w:eastAsia="zh-CN"/>
              </w:rPr>
            </w:pPr>
            <w:r>
              <w:rPr>
                <w:rFonts w:hint="eastAsia" w:ascii="宋体" w:hAnsi="宋体"/>
                <w:sz w:val="24"/>
              </w:rPr>
              <w:t>2</w:t>
            </w:r>
            <w:r>
              <w:rPr>
                <w:rFonts w:hint="eastAsia" w:ascii="宋体" w:hAnsi="宋体"/>
                <w:sz w:val="24"/>
                <w:lang w:val="en-US" w:eastAsia="zh-CN"/>
              </w:rPr>
              <w:t>6</w:t>
            </w:r>
          </w:p>
        </w:tc>
        <w:tc>
          <w:tcPr>
            <w:tcW w:w="8782" w:type="dxa"/>
            <w:vAlign w:val="center"/>
          </w:tcPr>
          <w:p w14:paraId="18049C9D">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lang w:val="zh-CN"/>
              </w:rPr>
              <w:t>开标程序：</w:t>
            </w:r>
          </w:p>
          <w:p w14:paraId="44200299">
            <w:pPr>
              <w:numPr>
                <w:ilvl w:val="0"/>
                <w:numId w:val="0"/>
              </w:numPr>
              <w:spacing w:line="360" w:lineRule="auto"/>
              <w:ind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rPr>
              <w:t>在</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文件确定的</w:t>
            </w:r>
            <w:r>
              <w:rPr>
                <w:rFonts w:hint="eastAsia" w:ascii="宋体" w:hAnsi="宋体" w:eastAsia="宋体" w:cs="宋体"/>
                <w:b w:val="0"/>
                <w:bCs/>
                <w:sz w:val="24"/>
                <w:szCs w:val="24"/>
                <w:lang w:val="en-US" w:eastAsia="zh-CN"/>
              </w:rPr>
              <w:t>投标</w:t>
            </w:r>
            <w:r>
              <w:rPr>
                <w:rFonts w:hint="eastAsia" w:ascii="宋体" w:hAnsi="宋体" w:eastAsia="宋体" w:cs="宋体"/>
                <w:b w:val="0"/>
                <w:bCs w:val="0"/>
                <w:sz w:val="24"/>
                <w:szCs w:val="24"/>
                <w:lang w:val="en-US" w:eastAsia="zh-CN"/>
              </w:rPr>
              <w:t>文件提交</w:t>
            </w:r>
            <w:r>
              <w:rPr>
                <w:rFonts w:hint="eastAsia" w:ascii="宋体" w:hAnsi="宋体" w:eastAsia="宋体" w:cs="宋体"/>
                <w:b w:val="0"/>
                <w:bCs w:val="0"/>
                <w:sz w:val="24"/>
                <w:szCs w:val="24"/>
              </w:rPr>
              <w:t>截止时间停止接受投标文件。开标会主持人确定投标</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rPr>
              <w:t>数量是否符合开标要求（要求所有投标</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rPr>
              <w:t>提前一小时准备好开标相关资料</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调试好电脑设备。</w:t>
            </w:r>
            <w:r>
              <w:rPr>
                <w:rFonts w:hint="eastAsia" w:ascii="宋体" w:hAnsi="宋体" w:eastAsia="宋体" w:cs="宋体"/>
                <w:b w:val="0"/>
                <w:bCs w:val="0"/>
                <w:sz w:val="24"/>
                <w:szCs w:val="24"/>
              </w:rPr>
              <w:t>）；</w:t>
            </w:r>
          </w:p>
          <w:p w14:paraId="46B8CC04">
            <w:pPr>
              <w:numPr>
                <w:ilvl w:val="0"/>
                <w:numId w:val="0"/>
              </w:numPr>
              <w:spacing w:line="360" w:lineRule="auto"/>
              <w:ind w:firstLine="480" w:firstLineChars="200"/>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本项目采用“</w:t>
            </w:r>
            <w:r>
              <w:rPr>
                <w:rFonts w:hint="eastAsia" w:ascii="宋体" w:hAnsi="宋体" w:eastAsia="宋体" w:cs="宋体"/>
                <w:b w:val="0"/>
                <w:bCs w:val="0"/>
                <w:sz w:val="24"/>
                <w:szCs w:val="24"/>
                <w:lang w:val="en-US" w:eastAsia="zh-CN"/>
              </w:rPr>
              <w:t>政采云</w:t>
            </w:r>
            <w:r>
              <w:rPr>
                <w:rFonts w:hint="eastAsia" w:ascii="宋体" w:hAnsi="宋体" w:eastAsia="宋体" w:cs="宋体"/>
                <w:b w:val="0"/>
                <w:bCs w:val="0"/>
                <w:sz w:val="24"/>
                <w:szCs w:val="24"/>
              </w:rPr>
              <w:t xml:space="preserve">不见面”开标，投标人须在投标截止时间前登录政采云平台http://www.zcygov.cn/进行签到。 </w:t>
            </w:r>
          </w:p>
          <w:p w14:paraId="5FD24D13">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 xml:space="preserve">.主持人宣布开标会开始，宣布开标纪律； </w:t>
            </w:r>
          </w:p>
          <w:p w14:paraId="09EBE76C">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.宣布主持人、开标人、唱标人、记录人、监督人等工作人员姓名；</w:t>
            </w:r>
          </w:p>
          <w:p w14:paraId="14979BBD">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5.解密：法定代表人或</w:t>
            </w:r>
            <w:r>
              <w:rPr>
                <w:rFonts w:hint="eastAsia" w:ascii="宋体" w:hAnsi="宋体" w:eastAsia="宋体" w:cs="宋体"/>
                <w:b w:val="0"/>
                <w:bCs w:val="0"/>
                <w:sz w:val="24"/>
                <w:szCs w:val="24"/>
              </w:rPr>
              <w:t>授权委托人</w:t>
            </w:r>
            <w:r>
              <w:rPr>
                <w:rFonts w:hint="eastAsia" w:ascii="宋体" w:hAnsi="宋体" w:eastAsia="宋体" w:cs="宋体"/>
                <w:b w:val="0"/>
                <w:bCs w:val="0"/>
                <w:sz w:val="24"/>
                <w:szCs w:val="24"/>
                <w:lang w:val="en-US" w:eastAsia="zh-CN"/>
              </w:rPr>
              <w:t>须</w:t>
            </w:r>
            <w:r>
              <w:rPr>
                <w:rFonts w:hint="eastAsia" w:ascii="宋体" w:hAnsi="宋体" w:eastAsia="宋体" w:cs="宋体"/>
                <w:b w:val="0"/>
                <w:bCs w:val="0"/>
                <w:sz w:val="24"/>
                <w:szCs w:val="24"/>
              </w:rPr>
              <w:t xml:space="preserve">全程在线准时参加开标活动进行文件解密、异议、质疑及澄清等。 </w:t>
            </w:r>
          </w:p>
          <w:p w14:paraId="4A76C036">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参与“</w:t>
            </w:r>
            <w:r>
              <w:rPr>
                <w:rFonts w:hint="eastAsia" w:ascii="宋体" w:hAnsi="宋体" w:eastAsia="宋体" w:cs="宋体"/>
                <w:b w:val="0"/>
                <w:bCs w:val="0"/>
                <w:sz w:val="24"/>
                <w:szCs w:val="24"/>
                <w:lang w:val="en-US" w:eastAsia="zh-CN"/>
              </w:rPr>
              <w:t>政采云</w:t>
            </w:r>
            <w:r>
              <w:rPr>
                <w:rFonts w:hint="eastAsia" w:ascii="宋体" w:hAnsi="宋体" w:eastAsia="宋体" w:cs="宋体"/>
                <w:b w:val="0"/>
                <w:bCs w:val="0"/>
                <w:sz w:val="24"/>
                <w:szCs w:val="24"/>
              </w:rPr>
              <w:t>不见面”开标的各</w:t>
            </w:r>
            <w:r>
              <w:rPr>
                <w:rFonts w:hint="eastAsia" w:ascii="宋体" w:hAnsi="宋体" w:eastAsia="宋体" w:cs="宋体"/>
                <w:b w:val="0"/>
                <w:bCs/>
                <w:sz w:val="24"/>
                <w:szCs w:val="24"/>
                <w:lang w:val="en-US" w:eastAsia="zh-CN"/>
              </w:rPr>
              <w:t>投标人</w:t>
            </w:r>
            <w:r>
              <w:rPr>
                <w:rFonts w:hint="eastAsia" w:ascii="宋体" w:hAnsi="宋体" w:eastAsia="宋体" w:cs="宋体"/>
                <w:b w:val="0"/>
                <w:bCs w:val="0"/>
                <w:sz w:val="24"/>
                <w:szCs w:val="24"/>
              </w:rPr>
              <w:t>，请在互联网网络环境较好的电脑端登录</w:t>
            </w:r>
            <w:r>
              <w:rPr>
                <w:rFonts w:hint="eastAsia" w:ascii="宋体" w:hAnsi="宋体" w:eastAsia="宋体" w:cs="宋体"/>
                <w:b w:val="0"/>
                <w:bCs w:val="0"/>
                <w:sz w:val="24"/>
                <w:szCs w:val="24"/>
                <w:lang w:val="en-US" w:eastAsia="zh-CN"/>
              </w:rPr>
              <w:t>政采云</w:t>
            </w:r>
            <w:r>
              <w:rPr>
                <w:rFonts w:hint="eastAsia" w:ascii="宋体" w:hAnsi="宋体" w:eastAsia="宋体" w:cs="宋体"/>
                <w:b w:val="0"/>
                <w:bCs w:val="0"/>
                <w:sz w:val="24"/>
                <w:szCs w:val="24"/>
              </w:rPr>
              <w:t xml:space="preserve">不见面开标大厅参与开标；不要在电脑进行下载、安装等工作，认真耐心等待指令并及时操作，并保持手机畅通；因投标人网络环境或硬件配备不达标等原因，影响开标的，造成的后果由投标人自行承担。 </w:t>
            </w:r>
          </w:p>
          <w:p w14:paraId="066A188B">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.开标结束。</w:t>
            </w:r>
          </w:p>
          <w:p w14:paraId="538835C9">
            <w:pPr>
              <w:spacing w:line="360" w:lineRule="auto"/>
              <w:rPr>
                <w:rFonts w:ascii="宋体" w:hAnsi="宋体"/>
                <w:b/>
                <w:sz w:val="24"/>
              </w:rPr>
            </w:pPr>
            <w:r>
              <w:rPr>
                <w:rFonts w:hint="eastAsia" w:ascii="宋体" w:hAnsi="宋体" w:eastAsia="宋体" w:cs="宋体"/>
                <w:b w:val="0"/>
                <w:bCs w:val="0"/>
                <w:sz w:val="24"/>
                <w:szCs w:val="24"/>
              </w:rPr>
              <w:t>招标代理机构应当对上述开标过程做好记录，存档备查。</w:t>
            </w:r>
          </w:p>
        </w:tc>
      </w:tr>
      <w:tr w14:paraId="2DF54DCA">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21" w:type="dxa"/>
            <w:vAlign w:val="center"/>
          </w:tcPr>
          <w:p w14:paraId="3C76F623">
            <w:pPr>
              <w:spacing w:line="276" w:lineRule="auto"/>
              <w:jc w:val="center"/>
              <w:textAlignment w:val="baseline"/>
              <w:rPr>
                <w:rFonts w:hint="eastAsia" w:ascii="宋体" w:hAnsi="宋体" w:eastAsia="宋体"/>
                <w:sz w:val="24"/>
                <w:lang w:eastAsia="zh-CN"/>
              </w:rPr>
            </w:pPr>
            <w:r>
              <w:rPr>
                <w:rFonts w:hint="eastAsia" w:ascii="宋体" w:hAnsi="宋体"/>
                <w:sz w:val="24"/>
              </w:rPr>
              <w:t>2</w:t>
            </w:r>
            <w:r>
              <w:rPr>
                <w:rFonts w:hint="eastAsia" w:ascii="宋体" w:hAnsi="宋体"/>
                <w:sz w:val="24"/>
                <w:lang w:val="en-US" w:eastAsia="zh-CN"/>
              </w:rPr>
              <w:t>7</w:t>
            </w:r>
          </w:p>
        </w:tc>
        <w:tc>
          <w:tcPr>
            <w:tcW w:w="8782" w:type="dxa"/>
            <w:vAlign w:val="center"/>
          </w:tcPr>
          <w:p w14:paraId="086E8232">
            <w:pPr>
              <w:spacing w:line="360" w:lineRule="auto"/>
              <w:rPr>
                <w:rFonts w:ascii="宋体" w:hAnsi="宋体"/>
                <w:sz w:val="24"/>
              </w:rPr>
            </w:pPr>
            <w:r>
              <w:rPr>
                <w:rFonts w:hint="eastAsia" w:ascii="宋体" w:hAnsi="宋体"/>
                <w:b/>
                <w:sz w:val="24"/>
                <w:lang w:val="zh-CN"/>
              </w:rPr>
              <w:t>中标结果公告：</w:t>
            </w:r>
            <w:r>
              <w:rPr>
                <w:rFonts w:hint="eastAsia" w:ascii="宋体" w:hAnsi="宋体"/>
                <w:sz w:val="24"/>
                <w:lang w:val="en-US" w:eastAsia="zh-CN"/>
              </w:rPr>
              <w:t>中标</w:t>
            </w:r>
            <w:r>
              <w:rPr>
                <w:rFonts w:hint="eastAsia" w:ascii="宋体" w:hAnsi="宋体"/>
                <w:sz w:val="24"/>
              </w:rPr>
              <w:t>结果公告在</w:t>
            </w:r>
            <w:r>
              <w:rPr>
                <w:rFonts w:hint="eastAsia" w:ascii="宋体" w:hAnsi="宋体"/>
                <w:sz w:val="24"/>
                <w:lang w:eastAsia="zh-CN"/>
              </w:rPr>
              <w:t>新疆政府采购网</w:t>
            </w:r>
            <w:r>
              <w:rPr>
                <w:rFonts w:hint="eastAsia" w:ascii="宋体" w:hAnsi="宋体"/>
                <w:sz w:val="24"/>
                <w:lang w:val="en-US" w:eastAsia="zh-CN"/>
              </w:rPr>
              <w:t>及</w:t>
            </w:r>
            <w:r>
              <w:rPr>
                <w:rFonts w:hint="eastAsia" w:ascii="宋体" w:hAnsi="宋体" w:eastAsia="宋体" w:cs="宋体"/>
                <w:kern w:val="0"/>
                <w:sz w:val="24"/>
                <w:szCs w:val="24"/>
                <w:lang w:val="en-US" w:eastAsia="zh-CN"/>
              </w:rPr>
              <w:t>阿瓦提县人民政府网</w:t>
            </w:r>
            <w:r>
              <w:rPr>
                <w:rFonts w:hint="eastAsia" w:ascii="宋体" w:hAnsi="宋体"/>
                <w:sz w:val="24"/>
              </w:rPr>
              <w:t>予以公告，公告期不少于1个工作日。</w:t>
            </w:r>
          </w:p>
        </w:tc>
      </w:tr>
      <w:tr w14:paraId="09151B4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721" w:type="dxa"/>
            <w:vAlign w:val="center"/>
          </w:tcPr>
          <w:p w14:paraId="34AA1BC5">
            <w:pPr>
              <w:spacing w:line="276" w:lineRule="auto"/>
              <w:jc w:val="center"/>
              <w:textAlignment w:val="baseline"/>
              <w:rPr>
                <w:rFonts w:hint="eastAsia" w:ascii="宋体" w:hAnsi="宋体" w:eastAsia="宋体"/>
                <w:sz w:val="24"/>
                <w:lang w:eastAsia="zh-CN"/>
              </w:rPr>
            </w:pPr>
            <w:r>
              <w:rPr>
                <w:rFonts w:hint="eastAsia" w:ascii="宋体" w:hAnsi="宋体"/>
                <w:sz w:val="24"/>
              </w:rPr>
              <w:t>2</w:t>
            </w:r>
            <w:r>
              <w:rPr>
                <w:rFonts w:hint="eastAsia" w:ascii="宋体" w:hAnsi="宋体"/>
                <w:sz w:val="24"/>
                <w:lang w:val="en-US" w:eastAsia="zh-CN"/>
              </w:rPr>
              <w:t>8</w:t>
            </w:r>
          </w:p>
        </w:tc>
        <w:tc>
          <w:tcPr>
            <w:tcW w:w="8782" w:type="dxa"/>
            <w:vAlign w:val="center"/>
          </w:tcPr>
          <w:p w14:paraId="27D1BBF7">
            <w:pPr>
              <w:spacing w:line="360" w:lineRule="auto"/>
              <w:rPr>
                <w:rFonts w:hint="eastAsia" w:ascii="宋体" w:hAnsi="宋体" w:eastAsia="宋体"/>
                <w:b/>
                <w:sz w:val="24"/>
                <w:lang w:val="zh-CN" w:eastAsia="zh-CN"/>
              </w:rPr>
            </w:pPr>
            <w:r>
              <w:rPr>
                <w:rFonts w:hint="eastAsia" w:ascii="宋体" w:hAnsi="宋体"/>
                <w:b/>
                <w:sz w:val="24"/>
                <w:lang w:val="zh-CN"/>
              </w:rPr>
              <w:t>相关费用：</w:t>
            </w:r>
            <w:r>
              <w:rPr>
                <w:rFonts w:hint="eastAsia" w:ascii="宋体" w:hAnsi="宋体"/>
                <w:sz w:val="24"/>
              </w:rPr>
              <w:t>代理服务费：</w:t>
            </w:r>
            <w:r>
              <w:rPr>
                <w:rFonts w:hint="eastAsia" w:ascii="宋体" w:hAnsi="宋体"/>
                <w:sz w:val="24"/>
                <w:lang w:val="en-US" w:eastAsia="zh-CN"/>
              </w:rPr>
              <w:t>中标/成交供应商参照</w:t>
            </w:r>
            <w:r>
              <w:rPr>
                <w:rFonts w:hint="eastAsia" w:ascii="宋体" w:hAnsi="宋体"/>
                <w:sz w:val="24"/>
              </w:rPr>
              <w:t>《招标代理服务收费管理暂行办法》（计价格[2002]1980号）向采购代理机构交纳成交服务费</w:t>
            </w:r>
            <w:r>
              <w:rPr>
                <w:rFonts w:hint="eastAsia" w:ascii="宋体" w:hAnsi="宋体"/>
                <w:sz w:val="24"/>
                <w:lang w:eastAsia="zh-CN"/>
              </w:rPr>
              <w:t>。</w:t>
            </w:r>
          </w:p>
        </w:tc>
      </w:tr>
      <w:tr w14:paraId="1CB9D55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1" w:type="dxa"/>
            <w:vAlign w:val="center"/>
          </w:tcPr>
          <w:p w14:paraId="684F40DD">
            <w:pPr>
              <w:spacing w:line="276" w:lineRule="auto"/>
              <w:jc w:val="center"/>
              <w:textAlignment w:val="baseline"/>
              <w:rPr>
                <w:rFonts w:hint="default" w:ascii="宋体" w:hAnsi="宋体"/>
                <w:sz w:val="24"/>
                <w:lang w:val="en-US" w:eastAsia="zh-CN"/>
              </w:rPr>
            </w:pPr>
            <w:r>
              <w:rPr>
                <w:rFonts w:hint="eastAsia" w:ascii="宋体" w:hAnsi="宋体"/>
                <w:sz w:val="24"/>
                <w:lang w:val="en-US" w:eastAsia="zh-CN"/>
              </w:rPr>
              <w:t>29</w:t>
            </w:r>
          </w:p>
        </w:tc>
        <w:tc>
          <w:tcPr>
            <w:tcW w:w="8782" w:type="dxa"/>
            <w:vAlign w:val="center"/>
          </w:tcPr>
          <w:p w14:paraId="444836C5">
            <w:pPr>
              <w:pStyle w:val="16"/>
              <w:spacing w:line="360" w:lineRule="auto"/>
              <w:rPr>
                <w:rFonts w:hint="eastAsia" w:ascii="宋体" w:hAnsi="宋体" w:cs="宋体"/>
                <w:b/>
                <w:bCs/>
                <w:sz w:val="24"/>
                <w:szCs w:val="24"/>
                <w:lang w:val="en-US" w:eastAsia="zh-CN"/>
              </w:rPr>
            </w:pPr>
            <w:r>
              <w:rPr>
                <w:rFonts w:hint="eastAsia" w:ascii="宋体" w:hAnsi="宋体" w:eastAsia="宋体" w:cs="宋体"/>
                <w:b/>
                <w:bCs/>
                <w:sz w:val="24"/>
                <w:szCs w:val="24"/>
                <w:lang w:val="en-US" w:eastAsia="zh-CN"/>
              </w:rPr>
              <w:t>低于成本价不正当竞争预防措施（实质性要求）</w:t>
            </w:r>
            <w:r>
              <w:rPr>
                <w:rFonts w:hint="eastAsia" w:ascii="宋体" w:hAnsi="宋体" w:cs="宋体"/>
                <w:b/>
                <w:bCs/>
                <w:sz w:val="24"/>
                <w:szCs w:val="24"/>
                <w:lang w:val="en-US" w:eastAsia="zh-CN"/>
              </w:rPr>
              <w:t>：</w:t>
            </w:r>
          </w:p>
          <w:p w14:paraId="78ED809E">
            <w:pPr>
              <w:pStyle w:val="16"/>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一、依据《关于推动解决政府采购异常低价问题的通知》财库〔2026〕2号文件通知，评审中出现下列情形之一的，评审委员会将启动异常低价投标（响应）审查：</w:t>
            </w:r>
          </w:p>
          <w:p w14:paraId="620B5FD4">
            <w:pPr>
              <w:pStyle w:val="16"/>
              <w:spacing w:line="360" w:lineRule="auto"/>
              <w:ind w:firstLine="480" w:firstLineChars="200"/>
              <w:rPr>
                <w:rFonts w:hint="eastAsia"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5812E4F1">
            <w:pPr>
              <w:pStyle w:val="16"/>
              <w:spacing w:line="360" w:lineRule="auto"/>
              <w:ind w:firstLine="480" w:firstLineChars="200"/>
              <w:rPr>
                <w:rFonts w:hint="eastAsia"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649707AF">
            <w:pPr>
              <w:pStyle w:val="16"/>
              <w:spacing w:line="360" w:lineRule="auto"/>
              <w:ind w:firstLine="480" w:firstLineChars="200"/>
              <w:rPr>
                <w:rFonts w:hint="eastAsia"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3.投标（响应）报价低于采购项目最高限价45%的，即投标（响应）报价&lt;采购项目最高限价×45%；</w:t>
            </w:r>
          </w:p>
          <w:p w14:paraId="5541A551">
            <w:pPr>
              <w:pStyle w:val="16"/>
              <w:spacing w:line="360" w:lineRule="auto"/>
              <w:ind w:firstLine="480" w:firstLineChars="200"/>
              <w:rPr>
                <w:rFonts w:hint="eastAsia" w:ascii="宋体" w:hAnsi="宋体" w:cs="宋体"/>
                <w:b w:val="0"/>
                <w:bCs w:val="0"/>
                <w:color w:val="auto"/>
                <w:sz w:val="24"/>
                <w:szCs w:val="24"/>
                <w:highlight w:val="red"/>
                <w:lang w:val="en-US" w:eastAsia="zh-CN"/>
              </w:rPr>
            </w:pPr>
            <w:r>
              <w:rPr>
                <w:rFonts w:hint="eastAsia" w:ascii="宋体" w:hAnsi="宋体" w:cs="宋体"/>
                <w:b w:val="0"/>
                <w:bCs w:val="0"/>
                <w:color w:val="auto"/>
                <w:sz w:val="24"/>
                <w:szCs w:val="24"/>
                <w:highlight w:val="none"/>
                <w:lang w:val="en-US" w:eastAsia="zh-CN"/>
              </w:rPr>
              <w:t>4.评审委员会基于专业判断，认为供应商报价过低，有可能影响产品质量或者不能诚信履约的其他情形。</w:t>
            </w:r>
          </w:p>
          <w:p w14:paraId="23DE7988">
            <w:pPr>
              <w:pStyle w:val="16"/>
              <w:spacing w:line="360" w:lineRule="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二、评审委员会启动异常低价投标（响应）审查后，属于前述第1项至第4项情形的，相关供应商需在评审现场合理的时间内（30分钟）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30732FED">
            <w:pPr>
              <w:pStyle w:val="16"/>
              <w:spacing w:line="360" w:lineRule="auto"/>
              <w:rPr>
                <w:rFonts w:hint="eastAsia" w:ascii="宋体" w:hAnsi="宋体" w:eastAsia="宋体" w:cs="宋体"/>
                <w:sz w:val="24"/>
                <w:szCs w:val="24"/>
                <w:lang w:val="en-US" w:eastAsia="zh-CN"/>
              </w:rPr>
            </w:pPr>
            <w:r>
              <w:rPr>
                <w:rFonts w:hint="eastAsia" w:ascii="宋体" w:hAnsi="宋体" w:cs="宋体"/>
                <w:b w:val="0"/>
                <w:bCs w:val="0"/>
                <w:sz w:val="24"/>
                <w:szCs w:val="24"/>
                <w:lang w:val="en-US" w:eastAsia="zh-CN"/>
              </w:rPr>
              <w:t>三、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35FF1A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1" w:type="dxa"/>
            <w:vAlign w:val="center"/>
          </w:tcPr>
          <w:p w14:paraId="6416DAD2">
            <w:pPr>
              <w:spacing w:line="276" w:lineRule="auto"/>
              <w:jc w:val="center"/>
              <w:textAlignment w:val="baseline"/>
              <w:rPr>
                <w:rFonts w:hint="default" w:ascii="宋体" w:hAnsi="宋体"/>
                <w:sz w:val="24"/>
                <w:lang w:val="en-US" w:eastAsia="zh-CN"/>
              </w:rPr>
            </w:pPr>
            <w:r>
              <w:rPr>
                <w:rFonts w:hint="eastAsia" w:ascii="宋体" w:hAnsi="宋体"/>
                <w:sz w:val="24"/>
                <w:lang w:val="en-US" w:eastAsia="zh-CN"/>
              </w:rPr>
              <w:t>30</w:t>
            </w:r>
          </w:p>
        </w:tc>
        <w:tc>
          <w:tcPr>
            <w:tcW w:w="8782" w:type="dxa"/>
            <w:vAlign w:val="center"/>
          </w:tcPr>
          <w:p w14:paraId="3E3F542C">
            <w:pPr>
              <w:pStyle w:val="16"/>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对符合《国务院办公厅关于在政府采购中实施本国产品标准及相关政策的通知》（国办发〔2025〕34号）要求的本国产品的支持政策：</w:t>
            </w:r>
          </w:p>
          <w:p w14:paraId="7E2DF7F2">
            <w:pPr>
              <w:pStyle w:val="16"/>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（1）政府采购活动中既有本国产品又有非本国产品参与竞争的，依法对本国产品给予价格评审优惠，对本国产品的报价给予20%的价格扣除，用扣除后的价格参与评审。</w:t>
            </w:r>
          </w:p>
          <w:p w14:paraId="43596A41">
            <w:pPr>
              <w:pStyle w:val="16"/>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当采购项目或者采购包中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76C469">
            <w:pPr>
              <w:pStyle w:val="16"/>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注：供应商提供符合《国务院办公厅关于在政府采购中实施本国产品标准及相关政策的通知》（国办发〔2025〕34号）要求的产品时，须出具《关于符合本国产品标准的声明函》（详见第六章 投标文件格式，以下简称《声明函》）或财政部会同有关部门规定的有关证明文件。出具符合要求的《声明函》或有关证明文件的，该产品视为本国产品。供应商提供虚假《声明函》、虚假证明文件谋取中标、成交的，依照《中华人民共和国政府采购法》等法律法规规定追究相应责任。</w:t>
            </w:r>
          </w:p>
        </w:tc>
      </w:tr>
      <w:tr w14:paraId="0E627E0F">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1" w:type="dxa"/>
            <w:vAlign w:val="center"/>
          </w:tcPr>
          <w:p w14:paraId="3F4F5F17">
            <w:pPr>
              <w:spacing w:line="276" w:lineRule="auto"/>
              <w:jc w:val="center"/>
              <w:textAlignment w:val="baseline"/>
              <w:rPr>
                <w:rFonts w:hint="default" w:ascii="宋体" w:hAnsi="宋体" w:eastAsia="宋体"/>
                <w:sz w:val="24"/>
                <w:lang w:val="en-US" w:eastAsia="zh-CN"/>
              </w:rPr>
            </w:pPr>
            <w:r>
              <w:rPr>
                <w:rFonts w:hint="eastAsia" w:ascii="宋体" w:hAnsi="宋体"/>
                <w:sz w:val="24"/>
                <w:lang w:val="en-US" w:eastAsia="zh-CN"/>
              </w:rPr>
              <w:t>31</w:t>
            </w:r>
          </w:p>
        </w:tc>
        <w:tc>
          <w:tcPr>
            <w:tcW w:w="8782" w:type="dxa"/>
            <w:vAlign w:val="center"/>
          </w:tcPr>
          <w:p w14:paraId="768A62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1.电子投标文件使用“新疆维吾尔自治区全流程电子招投标项目管理系统--供应商客户端”制作完成，生成电子加密标书（.jmbs）上传至政采云平台。</w:t>
            </w:r>
          </w:p>
          <w:p w14:paraId="50F90C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备份标书：投标人根据自身情况自愿制作备份标书（.bfbs）,备份标书在开标时，因开标系统原因解密不成功时方可上传备份标书。其他因投标人制作标书失误问题，数字证书（CA锁）问题导致不能现场解密的情况不允许上传备份文件。  </w:t>
            </w:r>
          </w:p>
          <w:p w14:paraId="2B71BA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3.投标人制作电子投标书加密文件应与开标现场解密时的数字证书（CA锁）同为一把，若因数字证书（CA锁）不是同一把锁导致现场解密失败的，投标人自行承担后果。</w:t>
            </w:r>
          </w:p>
          <w:p w14:paraId="7D4EBC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4.数字证书办理：投标人须自行办理政采云数字证书（CA锁）联系方式：政采云热线400-881-7190或阿克苏市（卢俊达0997-2151777）</w:t>
            </w:r>
          </w:p>
          <w:p w14:paraId="17DC6350">
            <w:pPr>
              <w:pStyle w:val="16"/>
              <w:spacing w:line="360" w:lineRule="auto"/>
              <w:ind w:firstLine="480" w:firstLineChars="200"/>
              <w:rPr>
                <w:rFonts w:hint="default" w:eastAsia="宋体"/>
                <w:lang w:val="en-US" w:eastAsia="zh-CN"/>
              </w:rPr>
            </w:pPr>
            <w:r>
              <w:rPr>
                <w:rFonts w:hint="eastAsia" w:ascii="宋体" w:hAnsi="宋体" w:eastAsia="宋体" w:cs="宋体"/>
                <w:sz w:val="24"/>
                <w:szCs w:val="24"/>
                <w:lang w:val="en-US" w:eastAsia="zh-CN"/>
              </w:rPr>
              <w:t>5.投标人应认真学习关于开展自治区政府采购“不见面开标系统”网络培训的通知，制作电子投标书。</w:t>
            </w:r>
          </w:p>
        </w:tc>
      </w:tr>
    </w:tbl>
    <w:p w14:paraId="411C51E3">
      <w:pPr>
        <w:pStyle w:val="3"/>
        <w:spacing w:line="480" w:lineRule="exact"/>
        <w:jc w:val="center"/>
        <w:rPr>
          <w:rFonts w:ascii="Times New Roman" w:hAnsi="Times New Roman"/>
          <w:sz w:val="21"/>
          <w:szCs w:val="21"/>
        </w:rPr>
      </w:pPr>
      <w:r>
        <w:rPr>
          <w:rFonts w:hint="eastAsia" w:ascii="宋体" w:hAnsi="宋体"/>
        </w:rPr>
        <w:br w:type="page"/>
      </w:r>
      <w:bookmarkEnd w:id="48"/>
      <w:bookmarkStart w:id="50" w:name="_Toc26518"/>
      <w:bookmarkStart w:id="51" w:name="_Toc17204479"/>
      <w:bookmarkStart w:id="52" w:name="_Toc8301"/>
      <w:r>
        <w:rPr>
          <w:rFonts w:hint="eastAsia" w:asciiTheme="minorEastAsia" w:hAnsiTheme="minorEastAsia" w:eastAsiaTheme="minorEastAsia" w:cstheme="minorEastAsia"/>
          <w:sz w:val="28"/>
          <w:szCs w:val="28"/>
        </w:rPr>
        <w:t>一、总则</w:t>
      </w:r>
      <w:bookmarkEnd w:id="50"/>
      <w:bookmarkEnd w:id="51"/>
    </w:p>
    <w:p w14:paraId="76A5B9EF">
      <w:pPr>
        <w:numPr>
          <w:ilvl w:val="0"/>
          <w:numId w:val="2"/>
        </w:numPr>
        <w:spacing w:line="360" w:lineRule="auto"/>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适用法律、法规</w:t>
      </w:r>
    </w:p>
    <w:p w14:paraId="09397D08">
      <w:pPr>
        <w:numPr>
          <w:ilvl w:val="1"/>
          <w:numId w:val="2"/>
        </w:numPr>
        <w:spacing w:line="360" w:lineRule="auto"/>
        <w:ind w:left="0" w:firstLine="0"/>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color w:val="auto"/>
          <w:sz w:val="24"/>
          <w:szCs w:val="24"/>
          <w:lang w:val="en-GB"/>
        </w:rPr>
        <w:t>本招标文件是</w:t>
      </w:r>
      <w:r>
        <w:rPr>
          <w:rFonts w:hint="eastAsia" w:asciiTheme="minorEastAsia" w:hAnsiTheme="minorEastAsia" w:eastAsiaTheme="minorEastAsia" w:cstheme="minorEastAsia"/>
          <w:color w:val="auto"/>
          <w:sz w:val="24"/>
          <w:szCs w:val="24"/>
          <w:lang w:val="en-US" w:eastAsia="zh-CN"/>
        </w:rPr>
        <w:t>按照</w:t>
      </w:r>
      <w:r>
        <w:rPr>
          <w:rFonts w:hint="eastAsia" w:asciiTheme="minorEastAsia" w:hAnsiTheme="minorEastAsia" w:eastAsiaTheme="minorEastAsia" w:cstheme="minorEastAsia"/>
          <w:sz w:val="24"/>
          <w:szCs w:val="24"/>
          <w:lang w:val="en-GB"/>
        </w:rPr>
        <w:t>《中华人民共和国政府采购法》《中华人民共和国政府采购法实施条例》《政府采购货物和服务招标投标管理办法》</w:t>
      </w:r>
      <w:r>
        <w:rPr>
          <w:rFonts w:hint="eastAsia" w:asciiTheme="minorEastAsia" w:hAnsiTheme="minorEastAsia" w:eastAsiaTheme="minorEastAsia" w:cstheme="minorEastAsia"/>
          <w:color w:val="auto"/>
          <w:sz w:val="24"/>
          <w:szCs w:val="24"/>
          <w:lang w:val="en-GB"/>
        </w:rPr>
        <w:t>等有关法律、法规、规章和规范性文件的规定，根据本招标项目的特点和需要编制的。</w:t>
      </w:r>
    </w:p>
    <w:p w14:paraId="1C0F6DE5">
      <w:pPr>
        <w:numPr>
          <w:ilvl w:val="0"/>
          <w:numId w:val="2"/>
        </w:numPr>
        <w:spacing w:line="480" w:lineRule="exact"/>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资金</w:t>
      </w:r>
    </w:p>
    <w:p w14:paraId="3D754FDB">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GB"/>
        </w:rPr>
        <w:t>本项目实施资金来</w:t>
      </w:r>
      <w:r>
        <w:rPr>
          <w:rFonts w:hint="eastAsia" w:asciiTheme="minorEastAsia" w:hAnsiTheme="minorEastAsia" w:eastAsiaTheme="minorEastAsia" w:cstheme="minorEastAsia"/>
          <w:color w:val="auto"/>
          <w:sz w:val="24"/>
          <w:szCs w:val="24"/>
          <w:lang w:val="en-GB"/>
        </w:rPr>
        <w:t>源为</w:t>
      </w:r>
      <w:r>
        <w:rPr>
          <w:rFonts w:hint="eastAsia" w:asciiTheme="minorEastAsia" w:hAnsiTheme="minorEastAsia" w:eastAsiaTheme="minorEastAsia" w:cstheme="minorEastAsia"/>
          <w:color w:val="auto"/>
          <w:sz w:val="24"/>
          <w:szCs w:val="24"/>
          <w:u w:val="single"/>
          <w:lang w:val="en-US" w:eastAsia="zh-CN"/>
        </w:rPr>
        <w:t>医疗收入</w:t>
      </w:r>
      <w:r>
        <w:rPr>
          <w:rFonts w:hint="eastAsia" w:asciiTheme="minorEastAsia" w:hAnsiTheme="minorEastAsia" w:eastAsiaTheme="minorEastAsia" w:cstheme="minorEastAsia"/>
          <w:color w:val="auto"/>
          <w:sz w:val="24"/>
          <w:szCs w:val="24"/>
          <w:lang w:val="en-GB"/>
        </w:rPr>
        <w:t>，计</w:t>
      </w:r>
      <w:r>
        <w:rPr>
          <w:rFonts w:hint="eastAsia" w:asciiTheme="minorEastAsia" w:hAnsiTheme="minorEastAsia" w:eastAsiaTheme="minorEastAsia" w:cstheme="minorEastAsia"/>
          <w:sz w:val="24"/>
          <w:szCs w:val="24"/>
          <w:lang w:val="en-GB"/>
        </w:rPr>
        <w:t>划用于支付本次采购后所签订的合同项下的款项。</w:t>
      </w:r>
    </w:p>
    <w:p w14:paraId="18DED95B">
      <w:pPr>
        <w:numPr>
          <w:ilvl w:val="0"/>
          <w:numId w:val="2"/>
        </w:numPr>
        <w:spacing w:line="360" w:lineRule="auto"/>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释义</w:t>
      </w:r>
    </w:p>
    <w:p w14:paraId="7D4A0C56">
      <w:pPr>
        <w:numPr>
          <w:ilvl w:val="1"/>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“招标人、买方、甲方”指</w:t>
      </w:r>
      <w:r>
        <w:rPr>
          <w:rFonts w:hint="eastAsia" w:asciiTheme="minorEastAsia" w:hAnsiTheme="minorEastAsia" w:eastAsiaTheme="minorEastAsia" w:cstheme="minorEastAsia"/>
          <w:b/>
          <w:bCs/>
          <w:sz w:val="24"/>
          <w:szCs w:val="24"/>
          <w:lang w:val="en-US" w:eastAsia="zh-CN"/>
        </w:rPr>
        <w:t>阿瓦提县人民医院</w:t>
      </w:r>
      <w:r>
        <w:rPr>
          <w:rFonts w:hint="eastAsia" w:asciiTheme="minorEastAsia" w:hAnsiTheme="minorEastAsia" w:eastAsiaTheme="minorEastAsia" w:cstheme="minorEastAsia"/>
          <w:bCs/>
          <w:sz w:val="24"/>
          <w:szCs w:val="24"/>
        </w:rPr>
        <w:t>；</w:t>
      </w:r>
    </w:p>
    <w:p w14:paraId="639F027D">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lang w:eastAsia="zh-CN"/>
        </w:rPr>
        <w:t>采购代理机构</w:t>
      </w:r>
      <w:r>
        <w:rPr>
          <w:rFonts w:hint="eastAsia" w:asciiTheme="minorEastAsia" w:hAnsiTheme="minorEastAsia" w:eastAsiaTheme="minorEastAsia" w:cstheme="minorEastAsia"/>
          <w:bCs/>
          <w:sz w:val="24"/>
          <w:szCs w:val="24"/>
        </w:rPr>
        <w:t>：指为本次招标项目提供招投标服务组织工作的机构，即</w:t>
      </w:r>
      <w:r>
        <w:rPr>
          <w:rFonts w:hint="eastAsia" w:asciiTheme="minorEastAsia" w:hAnsiTheme="minorEastAsia" w:eastAsiaTheme="minorEastAsia" w:cstheme="minorEastAsia"/>
          <w:b/>
          <w:bCs w:val="0"/>
          <w:sz w:val="24"/>
          <w:szCs w:val="24"/>
          <w:lang w:eastAsia="zh-CN"/>
        </w:rPr>
        <w:t>新疆华玫睿项目管理有限公司</w:t>
      </w:r>
      <w:r>
        <w:rPr>
          <w:rFonts w:hint="eastAsia" w:asciiTheme="minorEastAsia" w:hAnsiTheme="minorEastAsia" w:eastAsiaTheme="minorEastAsia" w:cstheme="minorEastAsia"/>
          <w:bCs/>
          <w:sz w:val="24"/>
          <w:szCs w:val="24"/>
        </w:rPr>
        <w:t>；</w:t>
      </w:r>
    </w:p>
    <w:p w14:paraId="16C29B5E">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投标人：指按照招标文件要求投标并向</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或招标代理机构提交投标文件的法人或者其它组织；</w:t>
      </w:r>
    </w:p>
    <w:p w14:paraId="6ED53938">
      <w:pPr>
        <w:numPr>
          <w:ilvl w:val="1"/>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法人：包括企业法人、机关法人、事业单位法人和社会团体法人；</w:t>
      </w:r>
    </w:p>
    <w:p w14:paraId="55F9626E">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其他组织：包括合伙企业、非企业专业服务机构、个体工商户、农村承包经营户；</w:t>
      </w:r>
    </w:p>
    <w:p w14:paraId="751E8130">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自然人：指《</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"https://baike.baidu.com/item/%E4%B8%AD%E5%8D%8E%E4%BA%BA%E6%B0%91%E5%85%B1%E5%92%8C%E5%9B%BD%E6%B0%91%E6%B3%95%E5%85%B8/19435116" \t "https://baike.baidu.com/item/%E4%B8%AD%E5%8D%8E%E4%BA%BA%E6%B0%91%E5%85%B1%E5%92%8C%E5%9B%BD%E6%B0%91%E6%B3%95%E6%80%BB%E5%88%99/_blank"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中华人民共和国民法典</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》规定的具有完全民事行为能力、能够承担民事责任和义务的中国公民。</w:t>
      </w:r>
    </w:p>
    <w:p w14:paraId="57D3EC90">
      <w:pPr>
        <w:numPr>
          <w:ilvl w:val="1"/>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中标人、卖方：指依法确定成交资格并授予合同的投标人；</w:t>
      </w:r>
    </w:p>
    <w:p w14:paraId="19E90F7B">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货物：系指投标人按招标文件要求，向</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提供的各种形态和种类的物品，包括原材料、设备、产品(包括软件)及相关的备品备件、工具、手册及其它技术资料和材料。</w:t>
      </w:r>
    </w:p>
    <w:p w14:paraId="36823D06">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服务：系指招标文件规定投标人须承担的系统集成、安装、调试、技术协助、校准、培训以及其它类似的义务。</w:t>
      </w:r>
    </w:p>
    <w:p w14:paraId="5289169E">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偏离：是指投标文件对招标文件的偏离，即不满足、或不响应招标文件的要求。偏离分为对招标文件的实质性要求条款偏离和对招标文件的一般商务和技术条款（参数）偏离。</w:t>
      </w:r>
    </w:p>
    <w:p w14:paraId="09DBD4C2">
      <w:pPr>
        <w:numPr>
          <w:ilvl w:val="1"/>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日期、天数、时间：未有特别说明时，均为公历日（天）及北京时间。</w:t>
      </w:r>
    </w:p>
    <w:p w14:paraId="53FF7EE2">
      <w:pPr>
        <w:numPr>
          <w:ilvl w:val="0"/>
          <w:numId w:val="2"/>
        </w:numPr>
        <w:spacing w:line="360" w:lineRule="auto"/>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投标人资格条件</w:t>
      </w:r>
    </w:p>
    <w:p w14:paraId="7468689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详见投标人须知前附表；</w:t>
      </w:r>
    </w:p>
    <w:p w14:paraId="64A31299">
      <w:pPr>
        <w:spacing w:line="360" w:lineRule="auto"/>
        <w:ind w:firstLine="482" w:firstLineChars="200"/>
        <w:rPr>
          <w:rFonts w:hint="eastAsia" w:ascii="宋体" w:hAnsi="宋体" w:eastAsia="宋体" w:cs="宋体"/>
          <w:sz w:val="24"/>
          <w:szCs w:val="24"/>
          <w:lang w:eastAsia="zh-CN"/>
        </w:rPr>
      </w:pPr>
      <w:r>
        <w:rPr>
          <w:rFonts w:hint="eastAsia" w:ascii="宋体" w:hAnsi="宋体" w:eastAsia="宋体" w:cs="宋体"/>
          <w:b/>
          <w:bCs/>
          <w:sz w:val="24"/>
          <w:szCs w:val="24"/>
        </w:rPr>
        <w:t>充分、公平竞争保障措施</w:t>
      </w:r>
      <w:r>
        <w:rPr>
          <w:rFonts w:hint="eastAsia" w:ascii="宋体" w:hAnsi="宋体" w:eastAsia="宋体" w:cs="宋体"/>
          <w:b/>
          <w:bCs/>
          <w:sz w:val="24"/>
          <w:szCs w:val="24"/>
          <w:lang w:eastAsia="zh-CN"/>
        </w:rPr>
        <w:t>：</w:t>
      </w:r>
    </w:p>
    <w:p w14:paraId="602CA8E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6A752B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4.2利害关系授权代表处理。两家以上的供应商不得在同一合同项下的采购项目中，委托同一个自然人、同一家庭的人员、同一单位的人员作为其授权代表，否则，其响应文件作为无效处理。</w:t>
      </w:r>
    </w:p>
    <w:p w14:paraId="509E79C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14:paraId="36D311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4.4提供相同品牌产品处理</w:t>
      </w:r>
      <w:r>
        <w:rPr>
          <w:rFonts w:hint="eastAsia" w:ascii="宋体" w:hAnsi="宋体" w:eastAsia="宋体" w:cs="宋体"/>
          <w:sz w:val="24"/>
          <w:szCs w:val="24"/>
          <w:lang w:eastAsia="zh-CN"/>
        </w:rPr>
        <w:t>：</w:t>
      </w:r>
      <w:r>
        <w:rPr>
          <w:rFonts w:hint="eastAsia" w:ascii="宋体" w:hAnsi="宋体" w:eastAsia="宋体" w:cs="宋体"/>
          <w:sz w:val="24"/>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4C65B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D058B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非单一产品采购项目中，多家供应商提供的部分或所有核心产品品牌相同的，视为提供相同品牌产品。</w:t>
      </w:r>
    </w:p>
    <w:p w14:paraId="79015D67">
      <w:pPr>
        <w:spacing w:line="360" w:lineRule="auto"/>
        <w:ind w:firstLine="482" w:firstLineChars="200"/>
        <w:rPr>
          <w:rFonts w:hint="default"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核心产品：组织包埋盒</w:t>
      </w:r>
    </w:p>
    <w:p w14:paraId="7BB150E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4.5供应商实际控制人或者中高级管理人员，同时是采购代理机构工作人员，不得参与本项目政府采购活动。</w:t>
      </w:r>
    </w:p>
    <w:p w14:paraId="44A5A1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4.6同一母公司的两家以上的子公司只能组成联合体参加本项目同一合同项下的采购活动，不得以不同供应商身份同时参加本项目同一合同项下的采购活动。</w:t>
      </w:r>
    </w:p>
    <w:p w14:paraId="292999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4.7供应商与采购代理机构存在关联关系，或者是采购代理机构的母公司或子公司，不得参加本项目政府采购活动。</w:t>
      </w:r>
    </w:p>
    <w:p w14:paraId="26FAA6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4.8回避。政府采购活动中，采购人员及相关人员与供应商有下列利害关系之一的，应当回避：</w:t>
      </w:r>
    </w:p>
    <w:p w14:paraId="26C55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（1）参加采购活动前3年内与供应商存在劳动关系；</w:t>
      </w:r>
    </w:p>
    <w:p w14:paraId="09B462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（2）参加采购活动前3年内担任供应商的董事、监事；</w:t>
      </w:r>
    </w:p>
    <w:p w14:paraId="2FA390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（3）参加采购活动前3年内是供应商的控股股东或者实际控制人；</w:t>
      </w:r>
    </w:p>
    <w:p w14:paraId="1BEA6E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（4）与供应商的法定代表人或者负责人有夫妻、直系血亲、三代以内旁系血亲或者近姻亲关系；</w:t>
      </w:r>
    </w:p>
    <w:p w14:paraId="7A71B5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（5）与供应商有其他可能影响政府采购活动公平、公正进行的关系。</w:t>
      </w:r>
    </w:p>
    <w:p w14:paraId="6B2970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Pr>
          <w:rFonts w:hint="eastAsia" w:ascii="宋体" w:hAnsi="宋体" w:eastAsia="宋体" w:cs="宋体"/>
          <w:sz w:val="24"/>
          <w:szCs w:val="24"/>
          <w:lang w:val="en-US" w:eastAsia="zh-CN"/>
        </w:rPr>
        <w:t>评审小组</w:t>
      </w:r>
      <w:r>
        <w:rPr>
          <w:rFonts w:hint="eastAsia" w:ascii="宋体" w:hAnsi="宋体" w:eastAsia="宋体" w:cs="宋体"/>
          <w:sz w:val="24"/>
          <w:szCs w:val="24"/>
        </w:rPr>
        <w:t>成员。</w:t>
      </w:r>
    </w:p>
    <w:p w14:paraId="0BD4B4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3FC3BD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4.9验收。</w:t>
      </w:r>
    </w:p>
    <w:p w14:paraId="2FBDDB8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4.9.1验收工作由采购人（或采购人指定的单位）与供应商共同进行。</w:t>
      </w:r>
    </w:p>
    <w:p w14:paraId="158E81C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4.9.2在验收时，供应商应向采购人提供货物或服务的相关资料，按采购人提出的方式验收。</w:t>
      </w:r>
    </w:p>
    <w:p w14:paraId="69F5AE0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4.9.3由采购人对货物或服务的质量、规格和数量及其他进行检验。如发现质量、规格和数量等任何一项与招标要求规定不符，采购人有权拒绝接受。</w:t>
      </w:r>
    </w:p>
    <w:p w14:paraId="59402A73">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投标人领取了招标文件并非意味着完全满足了合格投标人的条件，一切均以评标委员会审核的结果为准。</w:t>
      </w:r>
    </w:p>
    <w:p w14:paraId="7CA6A314">
      <w:pPr>
        <w:numPr>
          <w:ilvl w:val="0"/>
          <w:numId w:val="0"/>
        </w:numPr>
        <w:spacing w:line="360" w:lineRule="auto"/>
        <w:ind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本项目</w:t>
      </w:r>
      <w:r>
        <w:rPr>
          <w:rFonts w:hint="eastAsia" w:asciiTheme="minorEastAsia" w:hAnsiTheme="minorEastAsia" w:eastAsiaTheme="minorEastAsia" w:cstheme="minorEastAsia"/>
          <w:sz w:val="24"/>
          <w:szCs w:val="24"/>
        </w:rPr>
        <w:t>不接受联合体投标。</w:t>
      </w:r>
    </w:p>
    <w:p w14:paraId="7C8CEED0">
      <w:pPr>
        <w:numPr>
          <w:ilvl w:val="0"/>
          <w:numId w:val="2"/>
        </w:numPr>
        <w:spacing w:line="360" w:lineRule="auto"/>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授权委托</w:t>
      </w:r>
    </w:p>
    <w:p w14:paraId="26760D41">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投标人代表不是投标人的法定代表人或其他组织负责人，应持有授权委托书，并附法定代表人或负责人身份证明。</w:t>
      </w:r>
    </w:p>
    <w:p w14:paraId="4C65BC3F">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自然人参与本项目投标时不得再委托其他自然人进行投标，且持自然人身份证明投标。</w:t>
      </w:r>
    </w:p>
    <w:p w14:paraId="6C04013E">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法定代表人或其他组织负责人出席开标仪式或者直接办理投标相关事宜者无须提供授权委托书，但须提供法定代表人或其他组织负责人身份证明。</w:t>
      </w:r>
    </w:p>
    <w:p w14:paraId="21BF9535">
      <w:pPr>
        <w:numPr>
          <w:ilvl w:val="0"/>
          <w:numId w:val="2"/>
        </w:numPr>
        <w:spacing w:line="360" w:lineRule="auto"/>
        <w:outlineLvl w:val="2"/>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投标费用</w:t>
      </w:r>
    </w:p>
    <w:p w14:paraId="352191FF">
      <w:pPr>
        <w:spacing w:line="360" w:lineRule="auto"/>
        <w:ind w:lef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投标人应承担所有与准备和参加投标有关的费用。不论投标的结果如何，招标代理机构和</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在任何情况下均无义务和责任承担这些费用。</w:t>
      </w:r>
    </w:p>
    <w:p w14:paraId="7F3A3837">
      <w:pPr>
        <w:pStyle w:val="3"/>
        <w:spacing w:line="480" w:lineRule="exact"/>
        <w:jc w:val="center"/>
        <w:rPr>
          <w:rFonts w:hint="eastAsia" w:asciiTheme="minorEastAsia" w:hAnsiTheme="minorEastAsia" w:eastAsiaTheme="minorEastAsia" w:cstheme="minorEastAsia"/>
          <w:sz w:val="28"/>
          <w:szCs w:val="28"/>
        </w:rPr>
      </w:pPr>
      <w:bookmarkStart w:id="53" w:name="_Toc17204480"/>
      <w:bookmarkStart w:id="54" w:name="_Toc388260475"/>
      <w:bookmarkStart w:id="55" w:name="_Toc25738"/>
      <w:r>
        <w:rPr>
          <w:rFonts w:hint="eastAsia" w:asciiTheme="minorEastAsia" w:hAnsiTheme="minorEastAsia" w:eastAsiaTheme="minorEastAsia" w:cstheme="minorEastAsia"/>
          <w:sz w:val="28"/>
          <w:szCs w:val="28"/>
        </w:rPr>
        <w:t>二、招标文件</w:t>
      </w:r>
      <w:bookmarkEnd w:id="53"/>
      <w:bookmarkEnd w:id="54"/>
      <w:bookmarkEnd w:id="55"/>
    </w:p>
    <w:p w14:paraId="3C4EC19E">
      <w:pPr>
        <w:numPr>
          <w:ilvl w:val="0"/>
          <w:numId w:val="2"/>
        </w:numPr>
        <w:spacing w:line="48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招标文件组成</w:t>
      </w:r>
    </w:p>
    <w:p w14:paraId="6CFF2997">
      <w:pPr>
        <w:numPr>
          <w:ilvl w:val="1"/>
          <w:numId w:val="2"/>
        </w:numPr>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招标文件共分六章，其内容如下：</w:t>
      </w:r>
    </w:p>
    <w:p w14:paraId="4790516E">
      <w:pPr>
        <w:spacing w:line="480" w:lineRule="exact"/>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 招标公告</w:t>
      </w:r>
    </w:p>
    <w:p w14:paraId="2A9184C4">
      <w:pPr>
        <w:spacing w:line="480" w:lineRule="exact"/>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 投标须知</w:t>
      </w:r>
    </w:p>
    <w:p w14:paraId="65AAA51C">
      <w:pPr>
        <w:spacing w:line="480" w:lineRule="exact"/>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 评标办法</w:t>
      </w:r>
    </w:p>
    <w:p w14:paraId="14343DA1">
      <w:pPr>
        <w:spacing w:line="480" w:lineRule="exact"/>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合同条款</w:t>
      </w:r>
    </w:p>
    <w:p w14:paraId="2B389881">
      <w:pPr>
        <w:spacing w:line="480" w:lineRule="exact"/>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采购需求及技术参数</w:t>
      </w:r>
    </w:p>
    <w:p w14:paraId="796C47FD">
      <w:pPr>
        <w:spacing w:line="480" w:lineRule="exact"/>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第六章 投标文件格式</w:t>
      </w:r>
    </w:p>
    <w:p w14:paraId="1DDB51A9">
      <w:pPr>
        <w:numPr>
          <w:ilvl w:val="1"/>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对招标文件所作的澄清、修改，构成招标文件的组成部分。</w:t>
      </w:r>
    </w:p>
    <w:p w14:paraId="588BE599">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投标人应仔细阅读招标文件的全部内容，按照招标文件要求编制投标文件。任何对招标文件的忽略或误解不能作为投标文件存在缺陷或瑕疵的理由，其风险由投标人自行承担。</w:t>
      </w:r>
    </w:p>
    <w:p w14:paraId="4DBE5D05">
      <w:pPr>
        <w:numPr>
          <w:ilvl w:val="0"/>
          <w:numId w:val="2"/>
        </w:num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招标文件的澄清、修改</w:t>
      </w:r>
    </w:p>
    <w:p w14:paraId="690329E8">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要求对招标文件进行澄清的投标人，均应以书面形式通知招标代理机构。招标代理机构联系方式见“投标须知前附表”。招标代理机构对其招标公告自发布之日起七个工作日内收到的对招标文件的澄清要求，如认为有必要，将以书面形式予以答复，同时将书面答复发给每个领取招标文件的投标人(答复中不包括问题的来源)，否则将视为所有投标人已详细阅读招标文件并能够响应招标文件实质性要求。</w:t>
      </w:r>
    </w:p>
    <w:p w14:paraId="0936B1E2">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投标截止期前十五（15）天，无论出于何种原因，招标代理机构可主动地或在解答投标人提出的澄清问题时对招标文件进行修改，招标文件的修改书将构成招标文件的一部分。</w:t>
      </w:r>
    </w:p>
    <w:p w14:paraId="66DF283D">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招标文件的修改将以书面形式通知所有领取招标文件的投标人，并对其具有约束力。投标人在收到上述通知后，应立即以传真形式向招标代理机构予以确认；在规定时间内未收到回复确认的，将视为默认接受。</w:t>
      </w:r>
    </w:p>
    <w:p w14:paraId="1433D215">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为使投标人准备投标时有充分时间对招标文件的修改部分进行研究，招标人可自行决定是否延长投标截止日期和推迟开标时间。</w:t>
      </w:r>
    </w:p>
    <w:p w14:paraId="6C22D956">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投标文件内出现组价、开标阶段报价或投标文件内前后报价出现不一致，使得评审工作无法继续者，评标委员会可以要求该投标人做出书面澄清，投标人拒不履行评标委员会澄清要求的将视为无效投标；投标文件其他应予修正范围和标准以《政府采购货物和服务招标投标管理办法》第五十九条执行。</w:t>
      </w:r>
    </w:p>
    <w:p w14:paraId="7600B2FE">
      <w:pPr>
        <w:rPr>
          <w:rFonts w:hint="eastAsia" w:asciiTheme="minorEastAsia" w:hAnsiTheme="minorEastAsia" w:eastAsiaTheme="minorEastAsia" w:cstheme="minorEastAsia"/>
          <w:sz w:val="28"/>
          <w:szCs w:val="28"/>
        </w:rPr>
      </w:pPr>
      <w:bookmarkStart w:id="56" w:name="_Toc388260476"/>
      <w:bookmarkStart w:id="57" w:name="_Toc17204481"/>
      <w:bookmarkStart w:id="58" w:name="_Toc10230"/>
      <w:r>
        <w:rPr>
          <w:rFonts w:hint="eastAsia" w:asciiTheme="minorEastAsia" w:hAnsiTheme="minorEastAsia" w:eastAsiaTheme="minorEastAsia" w:cstheme="minorEastAsia"/>
          <w:sz w:val="28"/>
          <w:szCs w:val="28"/>
        </w:rPr>
        <w:br w:type="page"/>
      </w:r>
    </w:p>
    <w:p w14:paraId="0F46CE06">
      <w:pPr>
        <w:pStyle w:val="3"/>
        <w:spacing w:line="48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三、投标文件</w:t>
      </w:r>
      <w:bookmarkEnd w:id="56"/>
      <w:r>
        <w:rPr>
          <w:rFonts w:hint="eastAsia" w:asciiTheme="minorEastAsia" w:hAnsiTheme="minorEastAsia" w:eastAsiaTheme="minorEastAsia" w:cstheme="minorEastAsia"/>
          <w:sz w:val="28"/>
          <w:szCs w:val="28"/>
        </w:rPr>
        <w:t>的组成及编制</w:t>
      </w:r>
      <w:bookmarkEnd w:id="57"/>
      <w:bookmarkEnd w:id="58"/>
    </w:p>
    <w:p w14:paraId="397F4710">
      <w:pPr>
        <w:numPr>
          <w:ilvl w:val="0"/>
          <w:numId w:val="2"/>
        </w:numPr>
        <w:spacing w:line="48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投标文件的组成</w:t>
      </w:r>
    </w:p>
    <w:p w14:paraId="1151DFDF">
      <w:pPr>
        <w:numPr>
          <w:ilvl w:val="1"/>
          <w:numId w:val="2"/>
        </w:numPr>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投标文件由内容如下组成：</w:t>
      </w:r>
    </w:p>
    <w:p w14:paraId="477A9F33">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59" w:name="_Toc11325"/>
      <w:bookmarkStart w:id="60" w:name="_Toc11276"/>
      <w:bookmarkStart w:id="61" w:name="_Toc9004"/>
      <w:bookmarkStart w:id="62" w:name="_Toc364"/>
      <w:r>
        <w:rPr>
          <w:rFonts w:hint="eastAsia" w:asciiTheme="minorEastAsia" w:hAnsiTheme="minorEastAsia" w:eastAsiaTheme="minorEastAsia" w:cstheme="minorEastAsia"/>
          <w:bCs/>
          <w:color w:val="auto"/>
          <w:sz w:val="24"/>
          <w:szCs w:val="24"/>
        </w:rPr>
        <w:t>投标函</w:t>
      </w:r>
      <w:bookmarkEnd w:id="59"/>
      <w:bookmarkEnd w:id="60"/>
      <w:bookmarkEnd w:id="61"/>
      <w:bookmarkEnd w:id="62"/>
    </w:p>
    <w:p w14:paraId="6BE0A3E0">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63" w:name="_Toc24022"/>
      <w:bookmarkStart w:id="64" w:name="_Toc18334"/>
      <w:bookmarkStart w:id="65" w:name="_Toc19207"/>
      <w:bookmarkStart w:id="66" w:name="_Toc13481"/>
      <w:r>
        <w:rPr>
          <w:rFonts w:hint="eastAsia" w:asciiTheme="minorEastAsia" w:hAnsiTheme="minorEastAsia" w:eastAsiaTheme="minorEastAsia" w:cstheme="minorEastAsia"/>
          <w:bCs/>
          <w:color w:val="auto"/>
          <w:sz w:val="24"/>
          <w:szCs w:val="24"/>
        </w:rPr>
        <w:t>投标报价一览表</w:t>
      </w:r>
      <w:bookmarkEnd w:id="63"/>
      <w:bookmarkEnd w:id="64"/>
      <w:bookmarkEnd w:id="65"/>
      <w:bookmarkEnd w:id="66"/>
    </w:p>
    <w:p w14:paraId="4DC20C3B">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67" w:name="_Toc3882"/>
      <w:bookmarkStart w:id="68" w:name="_Toc22960"/>
      <w:bookmarkStart w:id="69" w:name="_Toc12035"/>
      <w:bookmarkStart w:id="70" w:name="_Toc4278"/>
      <w:r>
        <w:rPr>
          <w:rFonts w:hint="eastAsia" w:asciiTheme="minorEastAsia" w:hAnsiTheme="minorEastAsia" w:eastAsiaTheme="minorEastAsia" w:cstheme="minorEastAsia"/>
          <w:bCs/>
          <w:color w:val="auto"/>
          <w:sz w:val="24"/>
          <w:szCs w:val="24"/>
        </w:rPr>
        <w:t>报价明细表</w:t>
      </w:r>
      <w:bookmarkEnd w:id="67"/>
      <w:bookmarkEnd w:id="68"/>
      <w:bookmarkEnd w:id="69"/>
      <w:bookmarkEnd w:id="70"/>
    </w:p>
    <w:p w14:paraId="1BB93FC1">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71" w:name="_Toc28733"/>
      <w:bookmarkStart w:id="72" w:name="_Toc674"/>
      <w:bookmarkStart w:id="73" w:name="_Toc23504"/>
      <w:bookmarkStart w:id="74" w:name="_Toc1766"/>
      <w:r>
        <w:rPr>
          <w:rFonts w:hint="eastAsia" w:asciiTheme="minorEastAsia" w:hAnsiTheme="minorEastAsia" w:eastAsiaTheme="minorEastAsia" w:cstheme="minorEastAsia"/>
          <w:bCs/>
          <w:color w:val="auto"/>
          <w:sz w:val="24"/>
          <w:szCs w:val="24"/>
        </w:rPr>
        <w:t>法定代表人身份证明</w:t>
      </w:r>
      <w:bookmarkEnd w:id="71"/>
      <w:bookmarkEnd w:id="72"/>
      <w:bookmarkEnd w:id="73"/>
      <w:bookmarkEnd w:id="74"/>
    </w:p>
    <w:p w14:paraId="33A04F74">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75" w:name="_Toc25810"/>
      <w:bookmarkStart w:id="76" w:name="_Toc5427"/>
      <w:bookmarkStart w:id="77" w:name="_Toc23312"/>
      <w:bookmarkStart w:id="78" w:name="_Toc20368"/>
      <w:r>
        <w:rPr>
          <w:rFonts w:hint="eastAsia" w:asciiTheme="minorEastAsia" w:hAnsiTheme="minorEastAsia" w:eastAsiaTheme="minorEastAsia" w:cstheme="minorEastAsia"/>
          <w:bCs/>
          <w:color w:val="auto"/>
          <w:sz w:val="24"/>
          <w:szCs w:val="24"/>
        </w:rPr>
        <w:t>法定代表人授权委托书</w:t>
      </w:r>
      <w:bookmarkEnd w:id="75"/>
      <w:bookmarkEnd w:id="76"/>
      <w:bookmarkEnd w:id="77"/>
      <w:bookmarkEnd w:id="78"/>
    </w:p>
    <w:p w14:paraId="21E84BA0">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79" w:name="_Toc154"/>
      <w:bookmarkStart w:id="80" w:name="_Toc29602"/>
      <w:bookmarkStart w:id="81" w:name="_Toc11031"/>
      <w:bookmarkStart w:id="82" w:name="_Toc7121"/>
      <w:r>
        <w:rPr>
          <w:rFonts w:hint="eastAsia" w:asciiTheme="minorEastAsia" w:hAnsiTheme="minorEastAsia" w:eastAsiaTheme="minorEastAsia" w:cstheme="minorEastAsia"/>
          <w:bCs/>
          <w:color w:val="auto"/>
          <w:sz w:val="24"/>
          <w:szCs w:val="24"/>
        </w:rPr>
        <w:t>投标人基本情况</w:t>
      </w:r>
      <w:bookmarkEnd w:id="79"/>
      <w:bookmarkEnd w:id="80"/>
      <w:bookmarkEnd w:id="81"/>
      <w:bookmarkEnd w:id="82"/>
    </w:p>
    <w:p w14:paraId="0FC71F34">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83" w:name="_Toc23349"/>
      <w:bookmarkStart w:id="84" w:name="_Toc17945"/>
      <w:bookmarkStart w:id="85" w:name="_Toc5965"/>
      <w:bookmarkStart w:id="86" w:name="_Toc22821"/>
      <w:r>
        <w:rPr>
          <w:rFonts w:hint="eastAsia" w:asciiTheme="minorEastAsia" w:hAnsiTheme="minorEastAsia" w:eastAsiaTheme="minorEastAsia" w:cstheme="minorEastAsia"/>
          <w:bCs/>
          <w:color w:val="auto"/>
          <w:sz w:val="24"/>
          <w:szCs w:val="24"/>
          <w:lang w:eastAsia="zh-CN"/>
        </w:rPr>
        <w:t>近三年</w:t>
      </w:r>
      <w:r>
        <w:rPr>
          <w:rFonts w:hint="eastAsia" w:asciiTheme="minorEastAsia" w:hAnsiTheme="minorEastAsia" w:eastAsiaTheme="minorEastAsia" w:cstheme="minorEastAsia"/>
          <w:bCs/>
          <w:color w:val="auto"/>
          <w:sz w:val="24"/>
          <w:szCs w:val="24"/>
        </w:rPr>
        <w:t>已完成或在执行类似项目一览表</w:t>
      </w:r>
      <w:bookmarkEnd w:id="83"/>
      <w:bookmarkEnd w:id="84"/>
      <w:bookmarkEnd w:id="85"/>
      <w:bookmarkEnd w:id="86"/>
    </w:p>
    <w:p w14:paraId="37B633CD">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87" w:name="_Toc10528"/>
      <w:bookmarkStart w:id="88" w:name="_Toc22672"/>
      <w:bookmarkStart w:id="89" w:name="_Toc10673"/>
      <w:bookmarkStart w:id="90" w:name="_Toc16852"/>
      <w:r>
        <w:rPr>
          <w:rFonts w:hint="eastAsia" w:asciiTheme="minorEastAsia" w:hAnsiTheme="minorEastAsia" w:eastAsiaTheme="minorEastAsia" w:cstheme="minorEastAsia"/>
          <w:bCs/>
          <w:color w:val="auto"/>
          <w:sz w:val="24"/>
          <w:szCs w:val="24"/>
        </w:rPr>
        <w:t>商务条款偏离表</w:t>
      </w:r>
      <w:bookmarkEnd w:id="87"/>
      <w:bookmarkEnd w:id="88"/>
      <w:bookmarkEnd w:id="89"/>
      <w:bookmarkEnd w:id="90"/>
    </w:p>
    <w:p w14:paraId="455C065A">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91" w:name="_Toc29369"/>
      <w:bookmarkStart w:id="92" w:name="_Toc31748"/>
      <w:bookmarkStart w:id="93" w:name="_Toc5109"/>
      <w:bookmarkStart w:id="94" w:name="_Toc23181"/>
      <w:r>
        <w:rPr>
          <w:rFonts w:hint="eastAsia" w:asciiTheme="minorEastAsia" w:hAnsiTheme="minorEastAsia" w:eastAsiaTheme="minorEastAsia" w:cstheme="minorEastAsia"/>
          <w:bCs/>
          <w:color w:val="auto"/>
          <w:sz w:val="24"/>
          <w:szCs w:val="24"/>
        </w:rPr>
        <w:t>技术参数、规格偏离表</w:t>
      </w:r>
      <w:bookmarkEnd w:id="91"/>
      <w:bookmarkEnd w:id="92"/>
      <w:bookmarkEnd w:id="93"/>
      <w:bookmarkEnd w:id="94"/>
    </w:p>
    <w:p w14:paraId="1FF8E405">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95" w:name="_Toc14105"/>
      <w:bookmarkStart w:id="96" w:name="_Toc19400"/>
      <w:bookmarkStart w:id="97" w:name="_Toc7142"/>
      <w:bookmarkStart w:id="98" w:name="_Toc9841"/>
      <w:r>
        <w:rPr>
          <w:rFonts w:hint="eastAsia" w:asciiTheme="minorEastAsia" w:hAnsiTheme="minorEastAsia" w:eastAsiaTheme="minorEastAsia" w:cstheme="minorEastAsia"/>
          <w:bCs/>
          <w:color w:val="auto"/>
          <w:sz w:val="24"/>
          <w:szCs w:val="24"/>
        </w:rPr>
        <w:t>供货组织情况及实施方案</w:t>
      </w:r>
      <w:bookmarkEnd w:id="95"/>
      <w:bookmarkEnd w:id="96"/>
      <w:bookmarkEnd w:id="97"/>
      <w:bookmarkEnd w:id="98"/>
    </w:p>
    <w:p w14:paraId="349F1D48">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99" w:name="_Toc127"/>
      <w:bookmarkStart w:id="100" w:name="_Toc6642"/>
      <w:bookmarkStart w:id="101" w:name="_Toc10025"/>
      <w:bookmarkStart w:id="102" w:name="_Toc2788"/>
      <w:r>
        <w:rPr>
          <w:rFonts w:hint="eastAsia" w:asciiTheme="minorEastAsia" w:hAnsiTheme="minorEastAsia" w:eastAsiaTheme="minorEastAsia" w:cstheme="minorEastAsia"/>
          <w:bCs/>
          <w:color w:val="auto"/>
          <w:sz w:val="24"/>
          <w:szCs w:val="24"/>
        </w:rPr>
        <w:t>售后服务承诺书</w:t>
      </w:r>
      <w:bookmarkEnd w:id="99"/>
      <w:bookmarkEnd w:id="100"/>
      <w:bookmarkEnd w:id="101"/>
      <w:bookmarkEnd w:id="102"/>
    </w:p>
    <w:p w14:paraId="2A7FC1ED">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103" w:name="_Toc14121"/>
      <w:bookmarkStart w:id="104" w:name="_Toc11849"/>
      <w:bookmarkStart w:id="105" w:name="_Toc23426"/>
      <w:bookmarkStart w:id="106" w:name="_Toc1374"/>
      <w:r>
        <w:rPr>
          <w:rFonts w:hint="eastAsia" w:asciiTheme="minorEastAsia" w:hAnsiTheme="minorEastAsia" w:eastAsiaTheme="minorEastAsia" w:cstheme="minorEastAsia"/>
          <w:bCs/>
          <w:color w:val="auto"/>
          <w:sz w:val="24"/>
          <w:szCs w:val="24"/>
        </w:rPr>
        <w:t>其它证明材料</w:t>
      </w:r>
      <w:bookmarkEnd w:id="103"/>
      <w:bookmarkEnd w:id="104"/>
      <w:bookmarkEnd w:id="105"/>
      <w:bookmarkEnd w:id="106"/>
    </w:p>
    <w:p w14:paraId="2975F7C2">
      <w:pPr>
        <w:pStyle w:val="68"/>
        <w:numPr>
          <w:ilvl w:val="0"/>
          <w:numId w:val="3"/>
        </w:numPr>
        <w:snapToGrid w:val="0"/>
        <w:spacing w:line="400" w:lineRule="exact"/>
        <w:ind w:firstLine="480" w:firstLineChars="200"/>
        <w:jc w:val="both"/>
        <w:outlineLvl w:val="0"/>
        <w:rPr>
          <w:rFonts w:hint="eastAsia" w:asciiTheme="minorEastAsia" w:hAnsiTheme="minorEastAsia" w:eastAsiaTheme="minorEastAsia" w:cstheme="minorEastAsia"/>
          <w:bCs/>
          <w:color w:val="auto"/>
          <w:sz w:val="24"/>
          <w:szCs w:val="24"/>
        </w:rPr>
      </w:pPr>
      <w:bookmarkStart w:id="107" w:name="_Toc18465"/>
      <w:bookmarkStart w:id="108" w:name="_Toc9804"/>
      <w:bookmarkStart w:id="109" w:name="_Toc6393"/>
      <w:bookmarkStart w:id="110" w:name="_Toc15030"/>
      <w:r>
        <w:rPr>
          <w:rFonts w:hint="eastAsia" w:asciiTheme="minorEastAsia" w:hAnsiTheme="minorEastAsia" w:eastAsiaTheme="minorEastAsia" w:cstheme="minorEastAsia"/>
          <w:bCs/>
          <w:color w:val="auto"/>
          <w:sz w:val="24"/>
          <w:szCs w:val="24"/>
        </w:rPr>
        <w:t>声明函</w:t>
      </w:r>
      <w:bookmarkEnd w:id="107"/>
      <w:bookmarkEnd w:id="108"/>
      <w:bookmarkEnd w:id="109"/>
      <w:bookmarkEnd w:id="110"/>
    </w:p>
    <w:p w14:paraId="2852616A">
      <w:pPr>
        <w:numPr>
          <w:ilvl w:val="0"/>
          <w:numId w:val="2"/>
        </w:num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编制原则</w:t>
      </w:r>
    </w:p>
    <w:p w14:paraId="267F9D4E">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投标人应在认真阅读招标文件所有内容的基础上，按照招标文件的要求编制完整的投标文件。★招标文件中对投标文件格式有要求的，应按格式逐项填写内容，不准有空项；无相应内容可填的项应填写“无”、 “没有相应指标”等明确的回答文字。投标文件中留有空项的，将被视为不完整响应的投标文件，其投标将有可能被视为无效投标。</w:t>
      </w:r>
    </w:p>
    <w:p w14:paraId="74A57DC8">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投标人必须保证投标文件所提供的全部资料真实可靠，并接受评标委员会对其中任何资料进一步审查的要求。</w:t>
      </w:r>
    </w:p>
    <w:p w14:paraId="0AA0C407">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投标文件须对招标文件中的内容做出实质性和完整的响应，否则其投标将被视为无效投标。</w:t>
      </w:r>
    </w:p>
    <w:p w14:paraId="6ECA0EED">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投标文件的编制及相关参数、证明材料、认证或报告等投标文件组成部分均应为简体中文版或中英文双语版否则在评审时将不予认可。</w:t>
      </w:r>
    </w:p>
    <w:p w14:paraId="1F7BD4E2">
      <w:pPr>
        <w:numPr>
          <w:ilvl w:val="0"/>
          <w:numId w:val="2"/>
        </w:num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投标文件编制要求</w:t>
      </w:r>
    </w:p>
    <w:p w14:paraId="35BA7380">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投标文件应按照“投标文件格式”的要求</w:t>
      </w:r>
      <w:r>
        <w:rPr>
          <w:rFonts w:hint="eastAsia" w:asciiTheme="minorEastAsia" w:hAnsiTheme="minorEastAsia" w:eastAsiaTheme="minorEastAsia" w:cstheme="minorEastAsia"/>
          <w:sz w:val="24"/>
          <w:szCs w:val="24"/>
          <w:lang w:val="en-US" w:eastAsia="zh-CN"/>
        </w:rPr>
        <w:t>进行</w:t>
      </w:r>
      <w:r>
        <w:rPr>
          <w:rFonts w:hint="eastAsia" w:asciiTheme="minorEastAsia" w:hAnsiTheme="minorEastAsia" w:eastAsiaTheme="minorEastAsia" w:cstheme="minorEastAsia"/>
          <w:sz w:val="24"/>
          <w:szCs w:val="24"/>
        </w:rPr>
        <w:t>编制。</w:t>
      </w:r>
    </w:p>
    <w:p w14:paraId="2F0AF8B1">
      <w:pPr>
        <w:numPr>
          <w:ilvl w:val="1"/>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对于有特定格式要求的，不允许改动其内容，否则，其投标无效。</w:t>
      </w:r>
    </w:p>
    <w:p w14:paraId="75B91DC3">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投标文件的制作，应使用简体中文（包括投标人对其投标文件进行支持的第三方证明文件，如审计报告、产品说明书、检验报告、评估报告等，均须采用简体中文进行编制或提交）。</w:t>
      </w:r>
    </w:p>
    <w:p w14:paraId="7645137D">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行间插字、涂改和增删，须由投标人法定代表人（或其他组织负责人，或自然人直接签字）或其授权委托书在旁边签字、盖章后方为有效；否则其内容将不被认可，涉及资格认定的未进行签字盖章的行间插字、涂改和增删均不予认可，并一同视为无效投标。</w:t>
      </w:r>
    </w:p>
    <w:p w14:paraId="785B5997">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《投标文件》应根据《招标文件》的要求编制，签署、盖章和内容应完整，如有遗漏或与《招标文件》要求不否的将被视为无效投标。</w:t>
      </w:r>
    </w:p>
    <w:p w14:paraId="32DA374F">
      <w:pPr>
        <w:numPr>
          <w:ilvl w:val="0"/>
          <w:numId w:val="2"/>
        </w:num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投标报价</w:t>
      </w:r>
    </w:p>
    <w:p w14:paraId="58B63CB6">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投标人应按招标文件规定的供货及服务要求、责任范围和合同条件，以人民币进行报价。</w:t>
      </w:r>
    </w:p>
    <w:p w14:paraId="2D71A083">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应按投标报价一览表和分项价格表的内容和格式要求填写各项货物及服务的分项价格和总价。投标总价中不得包含招标文件要求以外的内容，否则，在评审时不予核减。投标总价中也不得缺漏招标文件所要求的内容，否则，在评审时将其视为无效投标。</w:t>
      </w:r>
    </w:p>
    <w:p w14:paraId="5D37BB77">
      <w:pPr>
        <w:numPr>
          <w:ilvl w:val="1"/>
          <w:numId w:val="2"/>
        </w:numPr>
        <w:spacing w:line="360" w:lineRule="auto"/>
        <w:ind w:left="0" w:firstLine="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投标人对每种货物及服务只允许有一个报价，不接受选择性报价，否则，在评审时将其视为无效投标。</w:t>
      </w:r>
    </w:p>
    <w:p w14:paraId="31301B62">
      <w:pPr>
        <w:numPr>
          <w:ilvl w:val="1"/>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投标报价范围及说明： </w:t>
      </w:r>
    </w:p>
    <w:p w14:paraId="323B28B4">
      <w:pPr>
        <w:spacing w:line="360" w:lineRule="auto"/>
        <w:ind w:left="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报价：包括完成采购内容中全部服务等全过程的全部费用</w:t>
      </w:r>
      <w:r>
        <w:rPr>
          <w:rFonts w:hint="eastAsia" w:asciiTheme="minorEastAsia" w:hAnsiTheme="minorEastAsia" w:eastAsiaTheme="minorEastAsia" w:cstheme="minorEastAsia"/>
          <w:b/>
          <w:sz w:val="24"/>
          <w:szCs w:val="24"/>
        </w:rPr>
        <w:t>。</w:t>
      </w:r>
    </w:p>
    <w:p w14:paraId="2EC2CA19">
      <w:pPr>
        <w:numPr>
          <w:ilvl w:val="1"/>
          <w:numId w:val="2"/>
        </w:numPr>
        <w:spacing w:line="360" w:lineRule="auto"/>
        <w:ind w:left="0" w:firstLine="0"/>
        <w:rPr>
          <w:rFonts w:hint="eastAsia"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采购项目需要落实的政府采购政策：依据《中华人民共和国政府采购法》和《中华人民共和国政府采购实施条例》的有关规定，落实政府采购政策。</w:t>
      </w:r>
      <w:r>
        <w:rPr>
          <w:rFonts w:hint="eastAsia" w:ascii="宋体" w:hAnsi="宋体" w:eastAsia="宋体" w:cs="宋体"/>
          <w:b/>
          <w:sz w:val="24"/>
          <w:szCs w:val="24"/>
          <w:lang w:val="en-US" w:eastAsia="zh-CN"/>
        </w:rPr>
        <w:t>本项目不专门面向中小企业采购，对于小微企业、监狱企业、残疾人福利性单位等参与本项目的在项目评审时对符合的小微企业、监狱企业、残疾人福利性单位报价给予10%的扣除，用扣除后的价格参与评审，</w:t>
      </w:r>
      <w:r>
        <w:rPr>
          <w:rFonts w:hint="eastAsia" w:ascii="宋体" w:hAnsi="宋体" w:cs="仿宋_GB2312"/>
          <w:b/>
          <w:kern w:val="0"/>
          <w:sz w:val="24"/>
          <w:lang w:eastAsia="zh-CN"/>
        </w:rPr>
        <w:t>中小企业行业划分为</w:t>
      </w:r>
      <w:r>
        <w:rPr>
          <w:rFonts w:hint="eastAsia" w:ascii="宋体" w:hAnsi="宋体" w:cs="仿宋_GB2312"/>
          <w:b/>
          <w:kern w:val="0"/>
          <w:sz w:val="24"/>
          <w:lang w:val="en-US" w:eastAsia="zh-CN"/>
        </w:rPr>
        <w:t>工业</w:t>
      </w:r>
      <w:r>
        <w:rPr>
          <w:rFonts w:hint="eastAsia" w:ascii="宋体" w:hAnsi="宋体" w:eastAsia="宋体" w:cs="宋体"/>
          <w:b/>
          <w:sz w:val="24"/>
          <w:szCs w:val="24"/>
          <w:lang w:val="en-US" w:eastAsia="zh-CN"/>
        </w:rPr>
        <w:t>。</w:t>
      </w:r>
    </w:p>
    <w:p w14:paraId="6CCC36EB">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财政部、工业和信息化部关于印发《政府采购促进中小企业发展管理办法》的通知（财库〔2020〕46号）； </w:t>
      </w:r>
    </w:p>
    <w:p w14:paraId="3F793E76">
      <w:pPr>
        <w:numPr>
          <w:ilvl w:val="1"/>
          <w:numId w:val="2"/>
        </w:numPr>
        <w:spacing w:line="360" w:lineRule="auto"/>
        <w:ind w:left="0" w:firstLine="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《财政部、司法部关于政府采购支持监狱企业发展有关问题的通知》（财库[2014]68号）； </w:t>
      </w:r>
    </w:p>
    <w:p w14:paraId="2E0EACE4">
      <w:pPr>
        <w:numPr>
          <w:ilvl w:val="1"/>
          <w:numId w:val="2"/>
        </w:numPr>
        <w:spacing w:line="360" w:lineRule="auto"/>
        <w:ind w:left="0" w:firstLine="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《国务院办公厅关于建立政府强制采购节能产品制度的通知》（国发办[2007]51号）； </w:t>
      </w:r>
    </w:p>
    <w:p w14:paraId="600A5816">
      <w:pPr>
        <w:numPr>
          <w:ilvl w:val="1"/>
          <w:numId w:val="2"/>
        </w:numPr>
        <w:spacing w:line="360" w:lineRule="auto"/>
        <w:ind w:left="0" w:firstLine="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《财政部 民政部 中国残疾人联合会关于促进残疾人就业政府采购政策的通知》财库[2017]141号； </w:t>
      </w:r>
    </w:p>
    <w:p w14:paraId="7B1F5A6C">
      <w:pPr>
        <w:numPr>
          <w:ilvl w:val="1"/>
          <w:numId w:val="2"/>
        </w:numPr>
        <w:spacing w:line="360" w:lineRule="auto"/>
        <w:ind w:left="0" w:firstLine="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14:paraId="6DC86B78">
      <w:pPr>
        <w:numPr>
          <w:ilvl w:val="1"/>
          <w:numId w:val="2"/>
        </w:numPr>
        <w:spacing w:line="360" w:lineRule="auto"/>
        <w:ind w:left="0" w:firstLine="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对中小微企业执行（财库〔2020〕46号）文件的规定，对其价格给予一定比例扣除，其评标价为按规定比例扣除后的价格，扣除比例为其投标报价按</w:t>
      </w:r>
      <w:r>
        <w:rPr>
          <w:rFonts w:hint="eastAsia" w:asciiTheme="minorEastAsia" w:hAnsiTheme="minorEastAsia" w:eastAsiaTheme="minorEastAsia" w:cstheme="minorEastAsia"/>
          <w:b/>
          <w:sz w:val="24"/>
          <w:szCs w:val="24"/>
          <w:lang w:val="en-US" w:eastAsia="zh-CN"/>
        </w:rPr>
        <w:t>10</w:t>
      </w:r>
      <w:r>
        <w:rPr>
          <w:rFonts w:hint="eastAsia" w:asciiTheme="minorEastAsia" w:hAnsiTheme="minorEastAsia" w:eastAsiaTheme="minorEastAsia" w:cstheme="minorEastAsia"/>
          <w:b/>
          <w:sz w:val="24"/>
          <w:szCs w:val="24"/>
        </w:rPr>
        <w:t>%扣除后的价格作为其评标价。</w:t>
      </w:r>
    </w:p>
    <w:p w14:paraId="53411286">
      <w:pPr>
        <w:numPr>
          <w:ilvl w:val="1"/>
          <w:numId w:val="2"/>
        </w:numPr>
        <w:spacing w:line="360" w:lineRule="auto"/>
        <w:ind w:left="0" w:firstLine="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对满足财政部、民政部、中国残疾人联合会发布的《关于促进残疾人就业政府采购政策的通知》规定，本项目对残疾人福利性单位产品的价格给予</w:t>
      </w:r>
      <w:r>
        <w:rPr>
          <w:rFonts w:hint="eastAsia" w:asciiTheme="minorEastAsia" w:hAnsiTheme="minorEastAsia" w:eastAsiaTheme="minorEastAsia" w:cstheme="minorEastAsia"/>
          <w:b/>
          <w:sz w:val="24"/>
          <w:szCs w:val="24"/>
          <w:lang w:val="en-US" w:eastAsia="zh-CN"/>
        </w:rPr>
        <w:t>10</w:t>
      </w:r>
      <w:r>
        <w:rPr>
          <w:rFonts w:hint="eastAsia" w:asciiTheme="minorEastAsia" w:hAnsiTheme="minorEastAsia" w:eastAsiaTheme="minorEastAsia" w:cstheme="minorEastAsia"/>
          <w:b/>
          <w:sz w:val="24"/>
          <w:szCs w:val="24"/>
        </w:rPr>
        <w:t>%的扣除，其评标价为按规定比例扣除后的价格，扣除比例为其投标报价按</w:t>
      </w:r>
      <w:r>
        <w:rPr>
          <w:rFonts w:hint="eastAsia" w:asciiTheme="minorEastAsia" w:hAnsiTheme="minorEastAsia" w:eastAsiaTheme="minorEastAsia" w:cstheme="minorEastAsia"/>
          <w:b/>
          <w:sz w:val="24"/>
          <w:szCs w:val="24"/>
          <w:lang w:val="en-US" w:eastAsia="zh-CN"/>
        </w:rPr>
        <w:t>10</w:t>
      </w:r>
      <w:r>
        <w:rPr>
          <w:rFonts w:hint="eastAsia" w:asciiTheme="minorEastAsia" w:hAnsiTheme="minorEastAsia" w:eastAsiaTheme="minorEastAsia" w:cstheme="minorEastAsia"/>
          <w:b/>
          <w:sz w:val="24"/>
          <w:szCs w:val="24"/>
        </w:rPr>
        <w:t>%扣除后的价格作为其评标价。</w:t>
      </w:r>
    </w:p>
    <w:p w14:paraId="70B55FD1">
      <w:pPr>
        <w:numPr>
          <w:ilvl w:val="1"/>
          <w:numId w:val="2"/>
        </w:numPr>
        <w:spacing w:line="360" w:lineRule="auto"/>
        <w:ind w:left="0" w:firstLine="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对满足《政府采购促进中小企业发展暂行办法》（财库〔2020〕46号）和《财政部司法部关于政府采购支持监狱企业发展有关问题的通知》（财库（2015）68号）的规定，对满足价格扣除条件且在投标文件中提交了《投标人企业类型声明函》或者省级以上监狱管理局、戒毒管理局（含新疆生产建设兵团）出具的属于监狱企业的证明文件的投标人，其投标报价扣除</w:t>
      </w:r>
      <w:r>
        <w:rPr>
          <w:rFonts w:hint="eastAsia" w:asciiTheme="minorEastAsia" w:hAnsiTheme="minorEastAsia" w:eastAsiaTheme="minorEastAsia" w:cstheme="minorEastAsia"/>
          <w:b/>
          <w:sz w:val="24"/>
          <w:szCs w:val="24"/>
          <w:lang w:val="en-US" w:eastAsia="zh-CN"/>
        </w:rPr>
        <w:t>10</w:t>
      </w:r>
      <w:r>
        <w:rPr>
          <w:rFonts w:hint="eastAsia" w:asciiTheme="minorEastAsia" w:hAnsiTheme="minorEastAsia" w:eastAsiaTheme="minorEastAsia" w:cstheme="minorEastAsia"/>
          <w:b/>
          <w:sz w:val="24"/>
          <w:szCs w:val="24"/>
        </w:rPr>
        <w:t>%后参与评审。</w:t>
      </w:r>
    </w:p>
    <w:p w14:paraId="30073165">
      <w:pPr>
        <w:numPr>
          <w:ilvl w:val="1"/>
          <w:numId w:val="2"/>
        </w:num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不符合下列要求的除外：</w:t>
      </w:r>
    </w:p>
    <w:p w14:paraId="13758BD4">
      <w:pPr>
        <w:spacing w:line="360" w:lineRule="auto"/>
        <w:ind w:left="567"/>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（1）不符合招标文件规定格式要求提供声明函的。</w:t>
      </w:r>
    </w:p>
    <w:p w14:paraId="38B1F424">
      <w:pPr>
        <w:spacing w:line="360" w:lineRule="auto"/>
        <w:ind w:left="567"/>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（2）不符合（财库〔2020〕46号）文件的规定企业的产品价格不予扣除。</w:t>
      </w:r>
    </w:p>
    <w:p w14:paraId="65CABD38">
      <w:pPr>
        <w:spacing w:line="360" w:lineRule="auto"/>
        <w:ind w:left="567"/>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（3）不符合招标文件规定格式要求并未提供“残疾人福利性单位声明函”声明函及证明材料的。</w:t>
      </w:r>
    </w:p>
    <w:p w14:paraId="62E9B833">
      <w:pPr>
        <w:spacing w:line="360" w:lineRule="auto"/>
        <w:ind w:left="567"/>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（4）不符合财政部、民政部、中国残疾人联合会发布的《关于促进残疾人就业政府采购政策的通知》规定的不予扣除。</w:t>
      </w:r>
    </w:p>
    <w:p w14:paraId="2287932B">
      <w:pPr>
        <w:spacing w:line="360" w:lineRule="auto"/>
        <w:ind w:firstLine="602" w:firstLineChars="25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（5）不符合《政府采购促进中小企业发展暂行办法》（财库〔2020〕46号）和《财政部司法部关于政府采购支持监狱企业发展有关问题的通知》（财库（2015）68号）的规定的不予扣除。</w:t>
      </w:r>
    </w:p>
    <w:p w14:paraId="2DFE3F22">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（6）不符合《国务院办公厅关于建立政府强制采购节能产品制度的通知》--国办发[2007]51号规定的不予扣除。 </w:t>
      </w:r>
    </w:p>
    <w:p w14:paraId="598B590B">
      <w:pPr>
        <w:numPr>
          <w:ilvl w:val="0"/>
          <w:numId w:val="0"/>
        </w:numPr>
        <w:spacing w:line="360" w:lineRule="auto"/>
        <w:ind w:leftChars="0"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7）不符合《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的不予扣除。备选方案</w:t>
      </w:r>
    </w:p>
    <w:p w14:paraId="0FFEC5A1">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备选方案是指在本招标文件已明确的货物（设备）或服务的基本要求，如货物（设备）或服务的用途、用意、服务基本需求等；但投标人应标的货物（设备）或服务分部分项内容优于招标文件基本要求的，不在备选方案之列。</w:t>
      </w:r>
    </w:p>
    <w:p w14:paraId="7AD6758B">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13.1</w:t>
      </w:r>
      <w:r>
        <w:rPr>
          <w:rFonts w:hint="eastAsia" w:asciiTheme="minorEastAsia" w:hAnsiTheme="minorEastAsia" w:eastAsiaTheme="minorEastAsia" w:cstheme="minorEastAsia"/>
          <w:sz w:val="24"/>
          <w:szCs w:val="24"/>
        </w:rPr>
        <w:t>本采购项目不接受备选方案投标。</w:t>
      </w:r>
    </w:p>
    <w:p w14:paraId="04E84369">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投标人的资格证明文件</w:t>
      </w:r>
    </w:p>
    <w:p w14:paraId="5DDE4B3A">
      <w:pPr>
        <w:spacing w:line="360" w:lineRule="auto"/>
        <w:ind w:left="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投标人应提交满足资格条件要求的证明文件，该证明文件作为投标文件的一部分。</w:t>
      </w:r>
    </w:p>
    <w:p w14:paraId="53F7232F">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15.</w:t>
      </w:r>
      <w:r>
        <w:rPr>
          <w:rFonts w:hint="eastAsia" w:asciiTheme="minorEastAsia" w:hAnsiTheme="minorEastAsia" w:eastAsiaTheme="minorEastAsia" w:cstheme="minorEastAsia"/>
          <w:b/>
          <w:sz w:val="24"/>
          <w:szCs w:val="24"/>
        </w:rPr>
        <w:t>投标保证金</w:t>
      </w:r>
    </w:p>
    <w:p w14:paraId="3A22C63B">
      <w:pPr>
        <w:numPr>
          <w:ilvl w:val="1"/>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投标保证金金额及缴纳方式详见“投标须知前附表”。</w:t>
      </w:r>
    </w:p>
    <w:p w14:paraId="7797B13F">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bCs/>
          <w:sz w:val="24"/>
          <w:szCs w:val="24"/>
        </w:rPr>
        <w:t>投标有效期</w:t>
      </w:r>
    </w:p>
    <w:p w14:paraId="6B131ADB">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16.1</w:t>
      </w:r>
      <w:r>
        <w:rPr>
          <w:rFonts w:hint="eastAsia" w:asciiTheme="minorEastAsia" w:hAnsiTheme="minorEastAsia" w:eastAsiaTheme="minorEastAsia" w:cstheme="minorEastAsia"/>
          <w:sz w:val="24"/>
          <w:szCs w:val="24"/>
        </w:rPr>
        <w:t>投标有效期为90天，在此期间投标文件对投标人具有法律约束力，以保证招标人有足够的时间完成评审、定标以及签订合同。投标有效期从规定的投标文件递交截止之日起计算。投标有效期不足的，在评审时将其视为无效投标。</w:t>
      </w:r>
    </w:p>
    <w:p w14:paraId="4221877B">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16.2</w:t>
      </w:r>
      <w:r>
        <w:rPr>
          <w:rFonts w:hint="eastAsia" w:asciiTheme="minorEastAsia" w:hAnsiTheme="minorEastAsia" w:eastAsiaTheme="minorEastAsia" w:cstheme="minorEastAsia"/>
          <w:sz w:val="24"/>
          <w:szCs w:val="24"/>
        </w:rPr>
        <w:t>特殊情况需延长投标有效期的，招标代理机构可于投标有效期届满之前，要求投标人同意延长有效期，招标代理机构的要求与投标人的答复均应为书面形式。投标人拒绝延长的，其投标在原投标有效期期届满后将不再有效，但有权收回其投标保证金；投标人同意延长的，应相应延长其投标保证金的有效期，但不允许修改或撤回投标文件。</w:t>
      </w:r>
    </w:p>
    <w:p w14:paraId="3E4F89D0">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投标文件份数和签署、盖章</w:t>
      </w:r>
    </w:p>
    <w:p w14:paraId="29C29EBB">
      <w:pPr>
        <w:spacing w:line="360" w:lineRule="auto"/>
        <w:rPr>
          <w:rFonts w:hint="eastAsia" w:ascii="宋体" w:hAnsi="宋体"/>
          <w:bCs/>
          <w:sz w:val="24"/>
        </w:rPr>
      </w:pPr>
      <w:bookmarkStart w:id="111" w:name="_Toc19085"/>
      <w:bookmarkStart w:id="112" w:name="_Toc388260477"/>
      <w:bookmarkStart w:id="113" w:name="_Toc17204482"/>
      <w:r>
        <w:rPr>
          <w:rFonts w:hint="eastAsia" w:ascii="宋体" w:hAnsi="宋体"/>
          <w:sz w:val="24"/>
          <w:lang w:val="en-US" w:eastAsia="zh-CN"/>
        </w:rPr>
        <w:t>1</w:t>
      </w:r>
      <w:r>
        <w:rPr>
          <w:rFonts w:hint="eastAsia" w:ascii="宋体" w:hAnsi="宋体"/>
          <w:sz w:val="24"/>
        </w:rPr>
        <w:t>7.1供应商</w:t>
      </w:r>
      <w:r>
        <w:rPr>
          <w:rFonts w:hint="eastAsia" w:ascii="宋体" w:hAnsi="宋体"/>
          <w:bCs/>
          <w:sz w:val="24"/>
        </w:rPr>
        <w:t>应按“</w:t>
      </w:r>
      <w:r>
        <w:rPr>
          <w:rFonts w:hint="eastAsia" w:ascii="宋体" w:hAnsi="宋体"/>
          <w:sz w:val="24"/>
        </w:rPr>
        <w:t>供应商</w:t>
      </w:r>
      <w:r>
        <w:rPr>
          <w:rFonts w:hint="eastAsia" w:ascii="宋体" w:hAnsi="宋体"/>
          <w:bCs/>
          <w:sz w:val="24"/>
        </w:rPr>
        <w:t>须知前附表”规定的份数提交《</w:t>
      </w:r>
      <w:r>
        <w:rPr>
          <w:rFonts w:hint="eastAsia" w:ascii="宋体" w:hAnsi="宋体"/>
          <w:bCs/>
          <w:sz w:val="24"/>
          <w:lang w:val="en-US" w:eastAsia="zh-CN"/>
        </w:rPr>
        <w:t>投标</w:t>
      </w:r>
      <w:r>
        <w:rPr>
          <w:rFonts w:hint="eastAsia" w:ascii="宋体" w:hAnsi="宋体"/>
          <w:bCs/>
          <w:sz w:val="24"/>
          <w:lang w:eastAsia="zh-CN"/>
        </w:rPr>
        <w:t>文件</w:t>
      </w:r>
      <w:r>
        <w:rPr>
          <w:rFonts w:hint="eastAsia" w:ascii="宋体" w:hAnsi="宋体"/>
          <w:bCs/>
          <w:sz w:val="24"/>
        </w:rPr>
        <w:t>》，否则视为无效投标。</w:t>
      </w:r>
    </w:p>
    <w:p w14:paraId="5B905E35">
      <w:pPr>
        <w:spacing w:line="360" w:lineRule="auto"/>
        <w:rPr>
          <w:rFonts w:hint="eastAsia" w:ascii="宋体" w:hAnsi="宋体"/>
          <w:sz w:val="24"/>
        </w:rPr>
      </w:pPr>
      <w:r>
        <w:rPr>
          <w:rFonts w:hint="eastAsia" w:ascii="宋体" w:hAnsi="宋体"/>
          <w:sz w:val="24"/>
          <w:lang w:val="en-US" w:eastAsia="zh-CN"/>
        </w:rPr>
        <w:t>1</w:t>
      </w:r>
      <w:r>
        <w:rPr>
          <w:rFonts w:hint="eastAsia" w:ascii="宋体" w:hAnsi="宋体"/>
          <w:sz w:val="24"/>
        </w:rPr>
        <w:t xml:space="preserve">7.2 </w:t>
      </w:r>
      <w:r>
        <w:rPr>
          <w:rFonts w:hint="eastAsia" w:ascii="宋体" w:hAnsi="宋体"/>
          <w:bCs/>
          <w:sz w:val="24"/>
          <w:lang w:val="en-US" w:eastAsia="zh-CN"/>
        </w:rPr>
        <w:t>投标</w:t>
      </w:r>
      <w:r>
        <w:rPr>
          <w:rFonts w:hint="eastAsia" w:ascii="宋体" w:hAnsi="宋体"/>
          <w:sz w:val="24"/>
        </w:rPr>
        <w:t xml:space="preserve">文件电子版要求：按照本采购文件“第五章 </w:t>
      </w:r>
      <w:r>
        <w:rPr>
          <w:rFonts w:hint="eastAsia" w:ascii="宋体" w:hAnsi="宋体"/>
          <w:bCs/>
          <w:sz w:val="24"/>
          <w:lang w:val="en-US" w:eastAsia="zh-CN"/>
        </w:rPr>
        <w:t>投标</w:t>
      </w:r>
      <w:r>
        <w:rPr>
          <w:rFonts w:hint="eastAsia" w:ascii="宋体" w:hAnsi="宋体"/>
          <w:sz w:val="24"/>
        </w:rPr>
        <w:t>文件格式”编写（第五章未附格式的，由供应商自行拟定），不可涂改并在规定加盖公章处加盖电子公章，否则</w:t>
      </w:r>
      <w:r>
        <w:rPr>
          <w:rFonts w:hint="eastAsia" w:ascii="宋体" w:hAnsi="宋体"/>
          <w:bCs/>
          <w:sz w:val="24"/>
          <w:lang w:val="en-US" w:eastAsia="zh-CN"/>
        </w:rPr>
        <w:t>投标</w:t>
      </w:r>
      <w:r>
        <w:rPr>
          <w:rFonts w:hint="eastAsia" w:ascii="宋体" w:hAnsi="宋体"/>
          <w:sz w:val="24"/>
        </w:rPr>
        <w:t>文件按无效</w:t>
      </w:r>
      <w:r>
        <w:rPr>
          <w:rFonts w:hint="eastAsia" w:ascii="宋体" w:hAnsi="宋体"/>
          <w:bCs/>
          <w:sz w:val="24"/>
          <w:lang w:val="en-US" w:eastAsia="zh-CN"/>
        </w:rPr>
        <w:t>投标</w:t>
      </w:r>
      <w:r>
        <w:rPr>
          <w:rFonts w:hint="eastAsia" w:ascii="宋体" w:hAnsi="宋体"/>
          <w:sz w:val="24"/>
        </w:rPr>
        <w:t>处理。</w:t>
      </w:r>
    </w:p>
    <w:p w14:paraId="695D4F5E">
      <w:pPr>
        <w:spacing w:line="360" w:lineRule="auto"/>
        <w:rPr>
          <w:rFonts w:hint="eastAsia" w:ascii="宋体" w:hAnsi="宋体"/>
          <w:sz w:val="24"/>
        </w:rPr>
      </w:pPr>
      <w:r>
        <w:rPr>
          <w:rFonts w:hint="eastAsia" w:ascii="宋体" w:hAnsi="宋体"/>
          <w:sz w:val="24"/>
          <w:lang w:val="en-US" w:eastAsia="zh-CN"/>
        </w:rPr>
        <w:t>17.3</w:t>
      </w:r>
      <w:r>
        <w:rPr>
          <w:rFonts w:hint="eastAsia" w:ascii="宋体" w:hAnsi="宋体"/>
          <w:bCs/>
          <w:sz w:val="24"/>
          <w:lang w:val="en-US" w:eastAsia="zh-CN"/>
        </w:rPr>
        <w:t>投标</w:t>
      </w:r>
      <w:r>
        <w:rPr>
          <w:rFonts w:hint="eastAsia" w:ascii="宋体" w:hAnsi="宋体"/>
          <w:sz w:val="24"/>
        </w:rPr>
        <w:t>文件电子版密封方式：电子</w:t>
      </w:r>
      <w:r>
        <w:rPr>
          <w:rFonts w:hint="eastAsia" w:ascii="宋体" w:hAnsi="宋体"/>
          <w:bCs/>
          <w:sz w:val="24"/>
          <w:lang w:val="en-US" w:eastAsia="zh-CN"/>
        </w:rPr>
        <w:t>投标</w:t>
      </w:r>
      <w:r>
        <w:rPr>
          <w:rFonts w:hint="eastAsia" w:ascii="宋体" w:hAnsi="宋体"/>
          <w:sz w:val="24"/>
        </w:rPr>
        <w:t>文件通过平台有效 CA 加密后在 “政采云”平台投送。（操作方式见公告要求“电子</w:t>
      </w:r>
      <w:r>
        <w:rPr>
          <w:rFonts w:hint="eastAsia" w:ascii="宋体" w:hAnsi="宋体"/>
          <w:bCs/>
          <w:sz w:val="24"/>
          <w:lang w:val="en-US" w:eastAsia="zh-CN"/>
        </w:rPr>
        <w:t>投标</w:t>
      </w:r>
      <w:r>
        <w:rPr>
          <w:rFonts w:hint="eastAsia" w:ascii="宋体" w:hAnsi="宋体"/>
          <w:sz w:val="24"/>
        </w:rPr>
        <w:t>文件制作与投送教程” ）</w:t>
      </w:r>
    </w:p>
    <w:p w14:paraId="2A2384EB">
      <w:pPr>
        <w:spacing w:line="360" w:lineRule="auto"/>
        <w:rPr>
          <w:rFonts w:hint="eastAsia" w:ascii="宋体" w:hAnsi="宋体"/>
          <w:sz w:val="24"/>
        </w:rPr>
      </w:pPr>
      <w:r>
        <w:rPr>
          <w:rFonts w:hint="eastAsia" w:ascii="宋体" w:hAnsi="宋体"/>
          <w:sz w:val="24"/>
          <w:lang w:val="en-US" w:eastAsia="zh-CN"/>
        </w:rPr>
        <w:t>17.4</w:t>
      </w:r>
      <w:r>
        <w:rPr>
          <w:rFonts w:hint="eastAsia" w:ascii="宋体" w:hAnsi="宋体"/>
          <w:sz w:val="24"/>
        </w:rPr>
        <w:t>本项目采用电子招投标，开标现场无需提供纸质版投标文件。</w:t>
      </w:r>
    </w:p>
    <w:p w14:paraId="216661CF">
      <w:pPr>
        <w:autoSpaceDE w:val="0"/>
        <w:autoSpaceDN w:val="0"/>
        <w:adjustRightInd w:val="0"/>
        <w:snapToGrid w:val="0"/>
        <w:spacing w:line="360" w:lineRule="auto"/>
        <w:jc w:val="left"/>
        <w:rPr>
          <w:rFonts w:hint="eastAsia" w:ascii="宋体" w:hAnsi="宋体"/>
          <w:sz w:val="24"/>
        </w:rPr>
      </w:pPr>
      <w:r>
        <w:rPr>
          <w:rFonts w:hint="eastAsia" w:ascii="宋体" w:hAnsi="宋体"/>
          <w:sz w:val="24"/>
          <w:lang w:val="en-US" w:eastAsia="zh-CN"/>
        </w:rPr>
        <w:t>1</w:t>
      </w:r>
      <w:r>
        <w:rPr>
          <w:rFonts w:hint="eastAsia" w:ascii="宋体" w:hAnsi="宋体"/>
          <w:sz w:val="24"/>
        </w:rPr>
        <w:t>7.</w:t>
      </w:r>
      <w:r>
        <w:rPr>
          <w:rFonts w:hint="eastAsia" w:ascii="宋体" w:hAnsi="宋体"/>
          <w:sz w:val="24"/>
          <w:lang w:val="en-US" w:eastAsia="zh-CN"/>
        </w:rPr>
        <w:t>5</w:t>
      </w:r>
      <w:r>
        <w:rPr>
          <w:rFonts w:hint="eastAsia" w:ascii="宋体" w:hAnsi="宋体"/>
          <w:sz w:val="24"/>
        </w:rPr>
        <w:t xml:space="preserve"> 除供应商对错误处须修改外，全套《</w:t>
      </w:r>
      <w:r>
        <w:rPr>
          <w:rFonts w:hint="eastAsia" w:ascii="宋体" w:hAnsi="宋体"/>
          <w:bCs/>
          <w:sz w:val="24"/>
          <w:lang w:val="en-US" w:eastAsia="zh-CN"/>
        </w:rPr>
        <w:t>投标</w:t>
      </w:r>
      <w:r>
        <w:rPr>
          <w:rFonts w:hint="eastAsia" w:ascii="宋体" w:hAnsi="宋体"/>
          <w:sz w:val="24"/>
          <w:lang w:eastAsia="zh-CN"/>
        </w:rPr>
        <w:t>文件</w:t>
      </w:r>
      <w:r>
        <w:rPr>
          <w:rFonts w:hint="eastAsia" w:ascii="宋体" w:hAnsi="宋体"/>
          <w:sz w:val="24"/>
        </w:rPr>
        <w:t>》应无涂改或行间插字和增删。如有修改，修改处应由供应商加盖投标单位的印章或由《</w:t>
      </w:r>
      <w:r>
        <w:rPr>
          <w:rFonts w:hint="eastAsia" w:ascii="宋体" w:hAnsi="宋体"/>
          <w:bCs/>
          <w:sz w:val="24"/>
          <w:lang w:val="en-US" w:eastAsia="zh-CN"/>
        </w:rPr>
        <w:t>投标</w:t>
      </w:r>
      <w:r>
        <w:rPr>
          <w:rFonts w:hint="eastAsia" w:ascii="宋体" w:hAnsi="宋体"/>
          <w:sz w:val="24"/>
          <w:lang w:eastAsia="zh-CN"/>
        </w:rPr>
        <w:t>文件</w:t>
      </w:r>
      <w:r>
        <w:rPr>
          <w:rFonts w:hint="eastAsia" w:ascii="宋体" w:hAnsi="宋体"/>
          <w:sz w:val="24"/>
        </w:rPr>
        <w:t>》签字人签字或盖章。字迹潦草、表达不清或可能导致非唯一理解的</w:t>
      </w:r>
      <w:r>
        <w:rPr>
          <w:rFonts w:hint="eastAsia" w:ascii="宋体" w:hAnsi="宋体"/>
          <w:bCs/>
          <w:sz w:val="24"/>
          <w:lang w:val="en-US" w:eastAsia="zh-CN"/>
        </w:rPr>
        <w:t>投标</w:t>
      </w:r>
      <w:r>
        <w:rPr>
          <w:rFonts w:hint="eastAsia" w:ascii="宋体" w:hAnsi="宋体"/>
          <w:sz w:val="24"/>
          <w:lang w:eastAsia="zh-CN"/>
        </w:rPr>
        <w:t>文件</w:t>
      </w:r>
      <w:r>
        <w:rPr>
          <w:rFonts w:hint="eastAsia" w:ascii="宋体" w:hAnsi="宋体"/>
          <w:sz w:val="24"/>
        </w:rPr>
        <w:t>可能视为无效投标。</w:t>
      </w:r>
    </w:p>
    <w:p w14:paraId="79F3DBA2">
      <w:pPr>
        <w:autoSpaceDE w:val="0"/>
        <w:autoSpaceDN w:val="0"/>
        <w:adjustRightInd w:val="0"/>
        <w:snapToGrid w:val="0"/>
        <w:spacing w:line="360" w:lineRule="auto"/>
        <w:jc w:val="left"/>
        <w:rPr>
          <w:rFonts w:hint="eastAsia" w:ascii="宋体" w:hAnsi="宋体" w:eastAsia="宋体" w:cs="Times New Roman"/>
          <w:sz w:val="24"/>
          <w:lang w:val="en-US" w:eastAsia="zh-CN"/>
        </w:rPr>
      </w:pPr>
      <w:r>
        <w:rPr>
          <w:rFonts w:hint="eastAsia" w:ascii="宋体" w:hAnsi="宋体" w:eastAsia="宋体" w:cs="Times New Roman"/>
          <w:sz w:val="24"/>
          <w:lang w:val="en-US" w:eastAsia="zh-CN"/>
        </w:rPr>
        <w:t>17.6 《</w:t>
      </w:r>
      <w:r>
        <w:rPr>
          <w:rFonts w:hint="eastAsia" w:ascii="宋体" w:hAnsi="宋体"/>
          <w:bCs/>
          <w:sz w:val="24"/>
          <w:lang w:val="en-US" w:eastAsia="zh-CN"/>
        </w:rPr>
        <w:t>投标</w:t>
      </w:r>
      <w:r>
        <w:rPr>
          <w:rFonts w:hint="eastAsia" w:ascii="宋体" w:hAnsi="宋体" w:eastAsia="宋体" w:cs="Times New Roman"/>
          <w:sz w:val="24"/>
          <w:lang w:val="en-US" w:eastAsia="zh-CN"/>
        </w:rPr>
        <w:t>文件》应根据《招标文件》的要求签署及盖章，内容应完整详细，如有遗漏，将被视为无效投标。</w:t>
      </w:r>
    </w:p>
    <w:p w14:paraId="5812D358">
      <w:pPr>
        <w:pStyle w:val="3"/>
        <w:spacing w:line="480" w:lineRule="exact"/>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四、投标文件的密封标记和递交</w:t>
      </w:r>
      <w:bookmarkEnd w:id="111"/>
      <w:bookmarkEnd w:id="112"/>
      <w:bookmarkEnd w:id="113"/>
    </w:p>
    <w:p w14:paraId="2D9C11F3">
      <w:pPr>
        <w:numPr>
          <w:ilvl w:val="0"/>
          <w:numId w:val="0"/>
        </w:numPr>
        <w:spacing w:line="480" w:lineRule="exact"/>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b/>
          <w:sz w:val="24"/>
          <w:szCs w:val="24"/>
        </w:rPr>
        <w:t>投标文件的密封</w:t>
      </w:r>
    </w:p>
    <w:p w14:paraId="18A2BAD7">
      <w:pPr>
        <w:adjustRightInd w:val="0"/>
        <w:snapToGrid w:val="0"/>
        <w:spacing w:line="360" w:lineRule="auto"/>
        <w:rPr>
          <w:rFonts w:hint="eastAsia" w:ascii="宋体" w:hAnsi="宋体" w:eastAsia="宋体" w:cs="Times New Roman"/>
          <w:bCs/>
          <w:color w:val="auto"/>
          <w:sz w:val="24"/>
          <w:lang w:eastAsia="zh-CN"/>
        </w:rPr>
      </w:pPr>
      <w:r>
        <w:rPr>
          <w:rFonts w:hint="eastAsia" w:ascii="宋体" w:hAnsi="宋体" w:eastAsia="宋体" w:cs="Times New Roman"/>
          <w:bCs/>
          <w:color w:val="auto"/>
          <w:sz w:val="24"/>
          <w:lang w:val="en-US" w:eastAsia="zh-CN"/>
        </w:rPr>
        <w:t>18.</w:t>
      </w:r>
      <w:r>
        <w:rPr>
          <w:rFonts w:hint="eastAsia" w:ascii="宋体" w:hAnsi="宋体" w:eastAsia="宋体" w:cs="Times New Roman"/>
          <w:bCs/>
          <w:color w:val="auto"/>
          <w:sz w:val="24"/>
          <w:lang w:eastAsia="zh-CN"/>
        </w:rPr>
        <w:t>1.电子投标文件使用“新疆维吾尔自治区全流程电子招投标项目管理系统--供应商客户端”制作完成，生成电子加密标书（.jmbs）上传至政采云平台。</w:t>
      </w:r>
    </w:p>
    <w:p w14:paraId="0BF1A661">
      <w:pPr>
        <w:adjustRightInd w:val="0"/>
        <w:snapToGrid w:val="0"/>
        <w:spacing w:line="360" w:lineRule="auto"/>
        <w:rPr>
          <w:rFonts w:hint="eastAsia" w:ascii="宋体" w:hAnsi="宋体" w:eastAsia="宋体" w:cs="Times New Roman"/>
          <w:bCs/>
          <w:color w:val="auto"/>
          <w:sz w:val="24"/>
          <w:lang w:eastAsia="zh-CN"/>
        </w:rPr>
      </w:pPr>
      <w:r>
        <w:rPr>
          <w:rFonts w:hint="eastAsia" w:ascii="宋体" w:hAnsi="宋体" w:eastAsia="宋体" w:cs="Times New Roman"/>
          <w:bCs/>
          <w:color w:val="auto"/>
          <w:sz w:val="24"/>
          <w:lang w:val="en-US" w:eastAsia="zh-CN"/>
        </w:rPr>
        <w:t>18.</w:t>
      </w:r>
      <w:r>
        <w:rPr>
          <w:rFonts w:hint="eastAsia" w:ascii="宋体" w:hAnsi="宋体" w:eastAsia="宋体" w:cs="Times New Roman"/>
          <w:bCs/>
          <w:color w:val="auto"/>
          <w:sz w:val="24"/>
          <w:lang w:eastAsia="zh-CN"/>
        </w:rPr>
        <w:t xml:space="preserve">2.备份标书：投标人根据自身情况自愿制作备份标书（.bfbs）,备份标书在开标时，因开标系统原因解密不成功时方可上传备份标书。其他因投标人制作标书失误问题，数字证书（CA锁）问题导致不能现场解密的情况不允许上传备份文件。  </w:t>
      </w:r>
    </w:p>
    <w:p w14:paraId="1628BC55">
      <w:pPr>
        <w:adjustRightInd w:val="0"/>
        <w:snapToGrid w:val="0"/>
        <w:spacing w:line="360" w:lineRule="auto"/>
        <w:rPr>
          <w:rFonts w:hint="eastAsia" w:ascii="宋体" w:hAnsi="宋体" w:eastAsia="宋体" w:cs="Times New Roman"/>
          <w:bCs/>
          <w:color w:val="auto"/>
          <w:sz w:val="24"/>
          <w:lang w:eastAsia="zh-CN"/>
        </w:rPr>
      </w:pPr>
      <w:r>
        <w:rPr>
          <w:rFonts w:hint="eastAsia" w:ascii="宋体" w:hAnsi="宋体" w:eastAsia="宋体" w:cs="Times New Roman"/>
          <w:bCs/>
          <w:color w:val="auto"/>
          <w:sz w:val="24"/>
          <w:lang w:val="en-US" w:eastAsia="zh-CN"/>
        </w:rPr>
        <w:t>18.</w:t>
      </w:r>
      <w:r>
        <w:rPr>
          <w:rFonts w:hint="eastAsia" w:ascii="宋体" w:hAnsi="宋体" w:eastAsia="宋体" w:cs="Times New Roman"/>
          <w:bCs/>
          <w:color w:val="auto"/>
          <w:sz w:val="24"/>
          <w:lang w:eastAsia="zh-CN"/>
        </w:rPr>
        <w:t>3.投标人制作电子投标书加密文件应与开标现场解密时的数字证书（CA锁）同为一把，若因数字证书（CA锁）不是同一把锁导致现场解密失败的，投标人自行承担后果。</w:t>
      </w:r>
    </w:p>
    <w:p w14:paraId="3582CFB8">
      <w:pPr>
        <w:numPr>
          <w:ilvl w:val="0"/>
          <w:numId w:val="0"/>
        </w:numPr>
        <w:spacing w:line="480" w:lineRule="exact"/>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19.</w:t>
      </w:r>
      <w:r>
        <w:rPr>
          <w:rFonts w:hint="eastAsia" w:asciiTheme="minorEastAsia" w:hAnsiTheme="minorEastAsia" w:eastAsiaTheme="minorEastAsia" w:cstheme="minorEastAsia"/>
          <w:b/>
          <w:sz w:val="24"/>
          <w:szCs w:val="24"/>
        </w:rPr>
        <w:t>投标文件的递交</w:t>
      </w:r>
    </w:p>
    <w:p w14:paraId="099878EB">
      <w:pPr>
        <w:adjustRightInd w:val="0"/>
        <w:snapToGrid w:val="0"/>
        <w:spacing w:line="360" w:lineRule="auto"/>
        <w:rPr>
          <w:rFonts w:ascii="宋体" w:hAnsi="宋体"/>
          <w:bCs/>
          <w:color w:val="auto"/>
          <w:sz w:val="24"/>
        </w:rPr>
      </w:pPr>
      <w:r>
        <w:rPr>
          <w:rFonts w:hint="eastAsia" w:ascii="宋体" w:hAnsi="宋体"/>
          <w:bCs/>
          <w:color w:val="auto"/>
          <w:sz w:val="24"/>
          <w:lang w:val="en-US" w:eastAsia="zh-CN"/>
        </w:rPr>
        <w:t>19.1投标人</w:t>
      </w:r>
      <w:r>
        <w:rPr>
          <w:rFonts w:hint="eastAsia" w:ascii="宋体" w:hAnsi="宋体"/>
          <w:bCs/>
          <w:color w:val="auto"/>
          <w:sz w:val="24"/>
        </w:rPr>
        <w:t>应按本须知前附表所规定的地点，于递交截止时间前提交</w:t>
      </w:r>
      <w:r>
        <w:rPr>
          <w:rFonts w:hint="eastAsia" w:ascii="宋体" w:hAnsi="宋体"/>
          <w:bCs/>
          <w:color w:val="auto"/>
          <w:sz w:val="24"/>
          <w:lang w:val="en-US" w:eastAsia="zh-CN"/>
        </w:rPr>
        <w:t>投标</w:t>
      </w:r>
      <w:r>
        <w:rPr>
          <w:rFonts w:hint="eastAsia" w:ascii="宋体" w:hAnsi="宋体"/>
          <w:bCs/>
          <w:color w:val="auto"/>
          <w:sz w:val="24"/>
          <w:lang w:eastAsia="zh-CN"/>
        </w:rPr>
        <w:t>文件</w:t>
      </w:r>
      <w:r>
        <w:rPr>
          <w:rFonts w:hint="eastAsia" w:ascii="宋体" w:hAnsi="宋体"/>
          <w:bCs/>
          <w:color w:val="auto"/>
          <w:sz w:val="24"/>
        </w:rPr>
        <w:t>。</w:t>
      </w:r>
      <w:bookmarkStart w:id="114" w:name="_Toc17216810"/>
    </w:p>
    <w:bookmarkEnd w:id="114"/>
    <w:p w14:paraId="10F9FC9B">
      <w:pPr>
        <w:adjustRightInd w:val="0"/>
        <w:snapToGrid w:val="0"/>
        <w:spacing w:line="360" w:lineRule="auto"/>
        <w:rPr>
          <w:rFonts w:hint="eastAsia" w:ascii="宋体" w:hAnsi="宋体"/>
          <w:bCs/>
          <w:color w:val="auto"/>
          <w:sz w:val="24"/>
        </w:rPr>
      </w:pPr>
      <w:r>
        <w:rPr>
          <w:rFonts w:hint="eastAsia" w:ascii="宋体" w:hAnsi="宋体"/>
          <w:bCs/>
          <w:color w:val="auto"/>
          <w:sz w:val="24"/>
          <w:lang w:val="en-US" w:eastAsia="zh-CN"/>
        </w:rPr>
        <w:t>19</w:t>
      </w:r>
      <w:r>
        <w:rPr>
          <w:rFonts w:hint="eastAsia" w:ascii="宋体" w:hAnsi="宋体"/>
          <w:bCs/>
          <w:color w:val="auto"/>
          <w:sz w:val="24"/>
        </w:rPr>
        <w:t>.2超过“投标须知前附表”规定的“投标文件递交截止时间”的投标文件将不予接收。</w:t>
      </w:r>
    </w:p>
    <w:p w14:paraId="4822E4B9">
      <w:pPr>
        <w:adjustRightInd w:val="0"/>
        <w:snapToGrid w:val="0"/>
        <w:spacing w:line="360" w:lineRule="auto"/>
        <w:rPr>
          <w:rFonts w:hint="eastAsia" w:ascii="宋体" w:hAnsi="宋体"/>
          <w:color w:val="auto"/>
          <w:sz w:val="24"/>
        </w:rPr>
      </w:pPr>
      <w:r>
        <w:rPr>
          <w:rFonts w:hint="eastAsia" w:ascii="宋体" w:hAnsi="宋体"/>
          <w:bCs/>
          <w:color w:val="auto"/>
          <w:sz w:val="24"/>
          <w:lang w:val="en-US" w:eastAsia="zh-CN"/>
        </w:rPr>
        <w:t>19</w:t>
      </w:r>
      <w:r>
        <w:rPr>
          <w:rFonts w:hint="eastAsia" w:ascii="宋体" w:hAnsi="宋体"/>
          <w:bCs/>
          <w:color w:val="auto"/>
          <w:sz w:val="24"/>
        </w:rPr>
        <w:t>.3</w:t>
      </w:r>
      <w:r>
        <w:rPr>
          <w:rFonts w:ascii="宋体" w:hAnsi="宋体"/>
          <w:bCs/>
          <w:color w:val="auto"/>
          <w:sz w:val="24"/>
        </w:rPr>
        <w:t xml:space="preserve"> </w:t>
      </w:r>
      <w:bookmarkStart w:id="115" w:name="_Toc440006357"/>
      <w:bookmarkStart w:id="116" w:name="_Toc440618813"/>
      <w:bookmarkStart w:id="117" w:name="_Toc457219459"/>
      <w:bookmarkStart w:id="118" w:name="_Toc443313401"/>
      <w:bookmarkStart w:id="119" w:name="_Toc440010896"/>
      <w:bookmarkStart w:id="120" w:name="_Toc443313552"/>
      <w:bookmarkStart w:id="121" w:name="_Toc440062301"/>
      <w:r>
        <w:rPr>
          <w:rFonts w:hint="eastAsia" w:ascii="宋体" w:hAnsi="宋体"/>
          <w:color w:val="auto"/>
          <w:sz w:val="24"/>
        </w:rPr>
        <w:t>到投标截止时间止，采购人收到的</w:t>
      </w:r>
      <w:r>
        <w:rPr>
          <w:rFonts w:hint="eastAsia" w:ascii="宋体" w:hAnsi="宋体"/>
          <w:color w:val="auto"/>
          <w:sz w:val="24"/>
          <w:lang w:val="en-US" w:eastAsia="zh-CN"/>
        </w:rPr>
        <w:t>投标</w:t>
      </w:r>
      <w:r>
        <w:rPr>
          <w:rFonts w:hint="eastAsia" w:ascii="宋体" w:hAnsi="宋体"/>
          <w:color w:val="auto"/>
          <w:sz w:val="24"/>
          <w:lang w:eastAsia="zh-CN"/>
        </w:rPr>
        <w:t>文件</w:t>
      </w:r>
      <w:r>
        <w:rPr>
          <w:rFonts w:hint="eastAsia" w:ascii="宋体" w:hAnsi="宋体"/>
          <w:color w:val="auto"/>
          <w:sz w:val="24"/>
        </w:rPr>
        <w:t>少于</w:t>
      </w:r>
      <w:r>
        <w:rPr>
          <w:rFonts w:ascii="宋体" w:hAnsi="宋体"/>
          <w:color w:val="auto"/>
          <w:sz w:val="24"/>
        </w:rPr>
        <w:t>3</w:t>
      </w:r>
      <w:r>
        <w:rPr>
          <w:rFonts w:hint="eastAsia" w:ascii="宋体" w:hAnsi="宋体"/>
          <w:color w:val="auto"/>
          <w:sz w:val="24"/>
        </w:rPr>
        <w:t>个的，采购人将依法重新组织招标。</w:t>
      </w:r>
      <w:bookmarkEnd w:id="115"/>
      <w:bookmarkEnd w:id="116"/>
      <w:bookmarkEnd w:id="117"/>
      <w:bookmarkEnd w:id="118"/>
      <w:bookmarkEnd w:id="119"/>
      <w:bookmarkEnd w:id="120"/>
      <w:bookmarkEnd w:id="121"/>
    </w:p>
    <w:p w14:paraId="11A90774">
      <w:pPr>
        <w:pStyle w:val="79"/>
        <w:adjustRightInd w:val="0"/>
        <w:snapToGrid w:val="0"/>
        <w:spacing w:line="360" w:lineRule="auto"/>
        <w:ind w:left="0" w:leftChars="0" w:firstLine="0" w:firstLineChars="0"/>
        <w:rPr>
          <w:rFonts w:hint="eastAsia" w:ascii="宋体" w:hAnsi="宋体"/>
          <w:color w:val="auto"/>
          <w:sz w:val="24"/>
        </w:rPr>
      </w:pPr>
      <w:bookmarkStart w:id="122" w:name="_Toc440010897"/>
      <w:bookmarkStart w:id="123" w:name="_Toc457219460"/>
      <w:bookmarkStart w:id="124" w:name="_Toc443313553"/>
      <w:bookmarkStart w:id="125" w:name="_Toc440618814"/>
      <w:bookmarkStart w:id="126" w:name="_Toc440006358"/>
      <w:bookmarkStart w:id="127" w:name="_Toc440062302"/>
      <w:bookmarkStart w:id="128" w:name="_Toc443313402"/>
      <w:r>
        <w:rPr>
          <w:rFonts w:hint="eastAsia" w:ascii="宋体" w:hAnsi="宋体"/>
          <w:color w:val="auto"/>
          <w:sz w:val="24"/>
          <w:lang w:val="en-US" w:eastAsia="zh-CN"/>
        </w:rPr>
        <w:t>19</w:t>
      </w:r>
      <w:r>
        <w:rPr>
          <w:rFonts w:hint="eastAsia" w:ascii="宋体" w:hAnsi="宋体"/>
          <w:color w:val="auto"/>
          <w:sz w:val="24"/>
        </w:rPr>
        <w:t>.</w:t>
      </w:r>
      <w:r>
        <w:rPr>
          <w:rFonts w:hint="eastAsia" w:ascii="宋体" w:hAnsi="宋体"/>
          <w:color w:val="auto"/>
          <w:sz w:val="24"/>
          <w:lang w:val="en-US" w:eastAsia="zh-CN"/>
        </w:rPr>
        <w:t>5</w:t>
      </w:r>
      <w:r>
        <w:rPr>
          <w:rFonts w:hint="eastAsia" w:ascii="宋体" w:hAnsi="宋体"/>
          <w:color w:val="auto"/>
          <w:sz w:val="24"/>
        </w:rPr>
        <w:t>本次招标不接受邮寄的</w:t>
      </w:r>
      <w:r>
        <w:rPr>
          <w:rFonts w:hint="eastAsia" w:ascii="宋体" w:hAnsi="宋体"/>
          <w:bCs/>
          <w:color w:val="auto"/>
          <w:sz w:val="24"/>
        </w:rPr>
        <w:t>投标</w:t>
      </w:r>
      <w:r>
        <w:rPr>
          <w:rFonts w:hint="eastAsia" w:ascii="宋体" w:hAnsi="宋体"/>
          <w:color w:val="auto"/>
          <w:sz w:val="24"/>
          <w:lang w:eastAsia="zh-CN"/>
        </w:rPr>
        <w:t>文件</w:t>
      </w:r>
      <w:r>
        <w:rPr>
          <w:rFonts w:hint="eastAsia" w:ascii="宋体" w:hAnsi="宋体"/>
          <w:color w:val="auto"/>
          <w:sz w:val="24"/>
        </w:rPr>
        <w:t>。</w:t>
      </w:r>
      <w:bookmarkEnd w:id="122"/>
      <w:bookmarkEnd w:id="123"/>
      <w:bookmarkEnd w:id="124"/>
      <w:bookmarkEnd w:id="125"/>
      <w:bookmarkEnd w:id="126"/>
      <w:bookmarkEnd w:id="127"/>
      <w:bookmarkEnd w:id="128"/>
    </w:p>
    <w:p w14:paraId="5B09CF4D">
      <w:pPr>
        <w:pStyle w:val="3"/>
        <w:spacing w:line="480" w:lineRule="exact"/>
        <w:jc w:val="center"/>
        <w:rPr>
          <w:rFonts w:hint="eastAsia" w:asciiTheme="minorEastAsia" w:hAnsiTheme="minorEastAsia" w:eastAsiaTheme="minorEastAsia" w:cstheme="minorEastAsia"/>
          <w:sz w:val="28"/>
          <w:szCs w:val="28"/>
        </w:rPr>
      </w:pPr>
      <w:bookmarkStart w:id="129" w:name="_Toc388260478"/>
      <w:bookmarkStart w:id="130" w:name="_Toc17204483"/>
      <w:bookmarkStart w:id="131" w:name="_Toc23456"/>
      <w:r>
        <w:rPr>
          <w:rFonts w:hint="eastAsia" w:asciiTheme="minorEastAsia" w:hAnsiTheme="minorEastAsia" w:eastAsiaTheme="minorEastAsia" w:cstheme="minorEastAsia"/>
          <w:sz w:val="28"/>
          <w:szCs w:val="28"/>
        </w:rPr>
        <w:t>五、开标、</w:t>
      </w:r>
      <w:bookmarkEnd w:id="129"/>
      <w:r>
        <w:rPr>
          <w:rFonts w:hint="eastAsia" w:asciiTheme="minorEastAsia" w:hAnsiTheme="minorEastAsia" w:eastAsiaTheme="minorEastAsia" w:cstheme="minorEastAsia"/>
          <w:sz w:val="28"/>
          <w:szCs w:val="28"/>
        </w:rPr>
        <w:t>评标、定标</w:t>
      </w:r>
      <w:bookmarkEnd w:id="130"/>
      <w:bookmarkEnd w:id="131"/>
    </w:p>
    <w:p w14:paraId="449B55AF">
      <w:pPr>
        <w:numPr>
          <w:ilvl w:val="0"/>
          <w:numId w:val="0"/>
        </w:numPr>
        <w:spacing w:line="480" w:lineRule="exact"/>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20.</w:t>
      </w:r>
      <w:r>
        <w:rPr>
          <w:rFonts w:hint="eastAsia" w:asciiTheme="minorEastAsia" w:hAnsiTheme="minorEastAsia" w:eastAsiaTheme="minorEastAsia" w:cstheme="minorEastAsia"/>
          <w:b/>
          <w:sz w:val="24"/>
          <w:szCs w:val="24"/>
        </w:rPr>
        <w:t>开标</w:t>
      </w:r>
    </w:p>
    <w:p w14:paraId="1457C400">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（1）代理机构按招标文件规定的时间、地点组织公开开标；开标大会由代理机构主持，</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人参会人员、</w:t>
      </w:r>
      <w:r>
        <w:rPr>
          <w:rFonts w:hint="eastAsia" w:ascii="宋体" w:hAnsi="宋体"/>
          <w:bCs/>
          <w:color w:val="auto"/>
          <w:sz w:val="24"/>
        </w:rPr>
        <w:t>投标</w:t>
      </w:r>
      <w:r>
        <w:rPr>
          <w:rFonts w:hint="eastAsia" w:asciiTheme="minorEastAsia" w:hAnsiTheme="minorEastAsia" w:eastAsiaTheme="minorEastAsia" w:cstheme="minorEastAsia"/>
          <w:sz w:val="24"/>
          <w:szCs w:val="24"/>
        </w:rPr>
        <w:t>人代表及有关工作人员参加，并检查其授权委托书或法人身份证明，以证明其出席；</w:t>
      </w:r>
    </w:p>
    <w:p w14:paraId="1C7809A5">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（2）开标后，由采购代理机构</w:t>
      </w:r>
      <w:r>
        <w:rPr>
          <w:rFonts w:hint="eastAsia" w:asciiTheme="minorEastAsia" w:hAnsiTheme="minorEastAsia" w:eastAsiaTheme="minorEastAsia" w:cstheme="minorEastAsia"/>
          <w:sz w:val="24"/>
          <w:szCs w:val="24"/>
          <w:lang w:val="en-US" w:eastAsia="zh-CN"/>
        </w:rPr>
        <w:t>进行投标文件解密，</w:t>
      </w:r>
      <w:r>
        <w:rPr>
          <w:rFonts w:hint="eastAsia" w:asciiTheme="minorEastAsia" w:hAnsiTheme="minorEastAsia" w:eastAsiaTheme="minorEastAsia" w:cstheme="minorEastAsia"/>
          <w:sz w:val="24"/>
          <w:szCs w:val="24"/>
        </w:rPr>
        <w:t>以公开唱价的形式进行公布，宣布投标人名称、投标价格和招标文件中规定的需要宣布的其他内容，由参加开标的各投标人代表和相关工作人员签字确认后并存档备案。</w:t>
      </w:r>
    </w:p>
    <w:p w14:paraId="3B8D5EAC">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（3）开标时，投标文件中出现下列情况，修正原则为：</w:t>
      </w:r>
    </w:p>
    <w:p w14:paraId="207C314F">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A、大写金额和小写金额不一致的，以大写金额为准；</w:t>
      </w:r>
    </w:p>
    <w:p w14:paraId="14F20AD0">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B、单价金额小数点或者百分比有明显错位的，以投标报价一览表的总价为准，并修改单价；</w:t>
      </w:r>
    </w:p>
    <w:p w14:paraId="6D103BF3">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C、总价金额与按单价汇总金额不一致的，以单价金额计算结果为准；</w:t>
      </w:r>
    </w:p>
    <w:p w14:paraId="3359680F">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D、投标文件正本与副本不一致的，以正本为准；</w:t>
      </w:r>
    </w:p>
    <w:p w14:paraId="16529894">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E、多处内容交叉不符的，以评标委员会评审结果为准；</w:t>
      </w:r>
    </w:p>
    <w:p w14:paraId="75907D22">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F、文字与图表不符的，以文字为准。</w:t>
      </w:r>
    </w:p>
    <w:p w14:paraId="30F0512F">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按上述修正错误的原则及方法调整或修正投标文件的报价和内容，投标人同意后，调整后的报价和内容对投标人起约束作用。如果投标人不接受修正后的报价和内容，则其投标无效。</w:t>
      </w:r>
    </w:p>
    <w:p w14:paraId="0A36161B">
      <w:pPr>
        <w:spacing w:line="480" w:lineRule="exact"/>
        <w:ind w:left="42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（5）公开开标后，直到向中标的投标人授予合同为止，凡审查、澄清、评价和比较投标的有关资料及被授标意见等内容，评标委员会成员均不得向投标人及与评标无关的其他人透露。</w:t>
      </w:r>
    </w:p>
    <w:p w14:paraId="04673A9C">
      <w:pPr>
        <w:numPr>
          <w:ilvl w:val="0"/>
          <w:numId w:val="0"/>
        </w:numPr>
        <w:spacing w:line="480" w:lineRule="exact"/>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21.</w:t>
      </w:r>
      <w:r>
        <w:rPr>
          <w:rFonts w:hint="eastAsia" w:asciiTheme="minorEastAsia" w:hAnsiTheme="minorEastAsia" w:eastAsiaTheme="minorEastAsia" w:cstheme="minorEastAsia"/>
          <w:b/>
          <w:sz w:val="24"/>
          <w:szCs w:val="24"/>
        </w:rPr>
        <w:t>评标委员会</w:t>
      </w:r>
    </w:p>
    <w:p w14:paraId="371EB116">
      <w:pPr>
        <w:spacing w:line="480" w:lineRule="exact"/>
        <w:ind w:left="425"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为确保评标工作公开、公平、公正，依法成立评标委员会。评标委员会由5人以上单数评审专家组成，专家名单从政府采购评审专家库中随机抽取，评标委员会成员应当遵守并履行下列责任和义务：</w:t>
      </w:r>
    </w:p>
    <w:p w14:paraId="01951F0B">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A、要严格遵守政府采购相关法律制度，依法履行各自职责，公正、客观、审慎地组织和参与评审工作；</w:t>
      </w:r>
    </w:p>
    <w:p w14:paraId="39EE58B0">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B、审查、评价投标文件是否符合招标文件的商务、技术等实质性要求；</w:t>
      </w:r>
    </w:p>
    <w:p w14:paraId="41466536">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C、要求投标人对投标文件有关事项作出澄清或说明；</w:t>
      </w:r>
    </w:p>
    <w:p w14:paraId="1AC797BC">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D、按招标文件规定的评审方法和标准，对投标文件进行比较和评价；对投标人的客观评分项的评分应当一致；</w:t>
      </w:r>
    </w:p>
    <w:p w14:paraId="0FB7C764">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E、要依法独立评审，按照招标文件的要求和评标标准进行评标，推荐中标候选人名单，对评审意见承担个人责任；</w:t>
      </w:r>
    </w:p>
    <w:p w14:paraId="45379130">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F、对需要共同认定的事项存在争议的，按照少数服从多数的原则做出结论。持不同意见的评审委员会成员应当在评审报告上签署不同意见并说明理由，否则视为同意； </w:t>
      </w:r>
    </w:p>
    <w:p w14:paraId="2BB8E2F6">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G、对评审情况以及在评审过程中获悉的国家秘密、商业秘密负有保密责任；</w:t>
      </w:r>
    </w:p>
    <w:p w14:paraId="26DF966A">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H、向招标人、代理机构或者有关部门报告评标中发现的违法行为；</w:t>
      </w:r>
    </w:p>
    <w:p w14:paraId="3AF06F41">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I、配合招标人、代理机构答复投标人提出的质疑；</w:t>
      </w:r>
    </w:p>
    <w:p w14:paraId="7CF5956C">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J、配合处理投诉工作；</w:t>
      </w:r>
    </w:p>
    <w:p w14:paraId="2BF06414">
      <w:pPr>
        <w:spacing w:line="480" w:lineRule="exact"/>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招标文件及法律法律规定的其他评标委员会须履行的义务。</w:t>
      </w:r>
    </w:p>
    <w:p w14:paraId="15B862F9">
      <w:pPr>
        <w:numPr>
          <w:ilvl w:val="0"/>
          <w:numId w:val="0"/>
        </w:numPr>
        <w:spacing w:line="480" w:lineRule="exact"/>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22.</w:t>
      </w:r>
      <w:r>
        <w:rPr>
          <w:rFonts w:hint="eastAsia" w:asciiTheme="minorEastAsia" w:hAnsiTheme="minorEastAsia" w:eastAsiaTheme="minorEastAsia" w:cstheme="minorEastAsia"/>
          <w:b/>
          <w:sz w:val="24"/>
          <w:szCs w:val="24"/>
        </w:rPr>
        <w:t>评审</w:t>
      </w:r>
    </w:p>
    <w:p w14:paraId="0DFFFCD5">
      <w:pPr>
        <w:numPr>
          <w:ilvl w:val="0"/>
          <w:numId w:val="0"/>
        </w:numPr>
        <w:spacing w:line="480" w:lineRule="exact"/>
        <w:ind w:lef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22.1</w:t>
      </w:r>
      <w:r>
        <w:rPr>
          <w:rFonts w:hint="eastAsia" w:asciiTheme="minorEastAsia" w:hAnsiTheme="minorEastAsia" w:eastAsiaTheme="minorEastAsia" w:cstheme="minorEastAsia"/>
          <w:sz w:val="24"/>
          <w:szCs w:val="24"/>
        </w:rPr>
        <w:t>评标委员会按照</w:t>
      </w:r>
      <w:r>
        <w:rPr>
          <w:rFonts w:hint="eastAsia" w:asciiTheme="minorEastAsia" w:hAnsiTheme="minorEastAsia" w:eastAsiaTheme="minorEastAsia" w:cstheme="minorEastAsia"/>
          <w:bCs/>
          <w:sz w:val="24"/>
          <w:szCs w:val="24"/>
        </w:rPr>
        <w:t xml:space="preserve"> “评标办法”</w:t>
      </w:r>
      <w:r>
        <w:rPr>
          <w:rFonts w:hint="eastAsia" w:asciiTheme="minorEastAsia" w:hAnsiTheme="minorEastAsia" w:eastAsiaTheme="minorEastAsia" w:cstheme="minorEastAsia"/>
          <w:sz w:val="24"/>
          <w:szCs w:val="24"/>
        </w:rPr>
        <w:t>规定的评审标准对投标文件进行评审。</w:t>
      </w:r>
    </w:p>
    <w:p w14:paraId="50044523">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23.</w:t>
      </w:r>
      <w:r>
        <w:rPr>
          <w:rFonts w:hint="eastAsia" w:asciiTheme="minorEastAsia" w:hAnsiTheme="minorEastAsia" w:eastAsiaTheme="minorEastAsia" w:cstheme="minorEastAsia"/>
          <w:b/>
          <w:sz w:val="24"/>
          <w:szCs w:val="24"/>
        </w:rPr>
        <w:t>无效投标的情形</w:t>
      </w:r>
    </w:p>
    <w:p w14:paraId="5266AB30">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23.1</w:t>
      </w:r>
      <w:r>
        <w:rPr>
          <w:rFonts w:hint="eastAsia" w:asciiTheme="minorEastAsia" w:hAnsiTheme="minorEastAsia" w:eastAsiaTheme="minorEastAsia" w:cstheme="minorEastAsia"/>
          <w:sz w:val="24"/>
          <w:szCs w:val="24"/>
        </w:rPr>
        <w:t>投标人未按招标文件要求提供法人（（或其他组织负责人，或自然人））身份证复印件，被授权人身份证复印件和法人授权委托书等证明文件和资料的，或提供的证件不齐或无效；</w:t>
      </w:r>
    </w:p>
    <w:p w14:paraId="5E36EB99">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23.2</w:t>
      </w:r>
      <w:r>
        <w:rPr>
          <w:rFonts w:hint="eastAsia" w:asciiTheme="minorEastAsia" w:hAnsiTheme="minorEastAsia" w:eastAsiaTheme="minorEastAsia" w:cstheme="minorEastAsia"/>
          <w:kern w:val="0"/>
          <w:sz w:val="24"/>
          <w:szCs w:val="24"/>
        </w:rPr>
        <w:t>《投标文件》</w:t>
      </w:r>
      <w:r>
        <w:rPr>
          <w:rFonts w:hint="eastAsia" w:asciiTheme="minorEastAsia" w:hAnsiTheme="minorEastAsia" w:eastAsiaTheme="minorEastAsia" w:cstheme="minorEastAsia"/>
          <w:sz w:val="24"/>
          <w:szCs w:val="24"/>
        </w:rPr>
        <w:t>未按照《招标文件》规定要求签署、盖章或提交的；</w:t>
      </w:r>
    </w:p>
    <w:p w14:paraId="4414F803">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23.3</w:t>
      </w:r>
      <w:r>
        <w:rPr>
          <w:rFonts w:hint="eastAsia" w:asciiTheme="minorEastAsia" w:hAnsiTheme="minorEastAsia" w:eastAsiaTheme="minorEastAsia" w:cstheme="minorEastAsia"/>
          <w:sz w:val="24"/>
          <w:szCs w:val="24"/>
        </w:rPr>
        <w:t>投标文件未按照招标文件规定的格式填写，或者填写的内容不全，或者辨认不清产生歧义，或者涂改处未加盖投标人公章及法人或法人授权委托人的印章或签字的；</w:t>
      </w:r>
    </w:p>
    <w:p w14:paraId="5075054A">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val="en-US" w:eastAsia="zh-CN"/>
        </w:rPr>
        <w:t>23.4</w:t>
      </w:r>
      <w:r>
        <w:rPr>
          <w:rFonts w:hint="eastAsia" w:asciiTheme="minorEastAsia" w:hAnsiTheme="minorEastAsia" w:eastAsiaTheme="minorEastAsia" w:cstheme="minorEastAsia"/>
          <w:kern w:val="0"/>
          <w:sz w:val="24"/>
          <w:szCs w:val="24"/>
        </w:rPr>
        <w:t>《投标文件》不符合</w:t>
      </w:r>
      <w:r>
        <w:rPr>
          <w:rFonts w:hint="eastAsia" w:asciiTheme="minorEastAsia" w:hAnsiTheme="minorEastAsia" w:eastAsiaTheme="minorEastAsia" w:cstheme="minorEastAsia"/>
          <w:sz w:val="24"/>
          <w:szCs w:val="24"/>
        </w:rPr>
        <w:t>《招标文件》</w:t>
      </w:r>
      <w:r>
        <w:rPr>
          <w:rFonts w:hint="eastAsia" w:asciiTheme="minorEastAsia" w:hAnsiTheme="minorEastAsia" w:eastAsiaTheme="minorEastAsia" w:cstheme="minorEastAsia"/>
          <w:kern w:val="0"/>
          <w:sz w:val="24"/>
          <w:szCs w:val="24"/>
        </w:rPr>
        <w:t>规定格式的；</w:t>
      </w:r>
    </w:p>
    <w:p w14:paraId="523DB86C">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23.5</w:t>
      </w:r>
      <w:r>
        <w:rPr>
          <w:rFonts w:hint="eastAsia" w:asciiTheme="minorEastAsia" w:hAnsiTheme="minorEastAsia" w:eastAsiaTheme="minorEastAsia" w:cstheme="minorEastAsia"/>
          <w:sz w:val="24"/>
          <w:szCs w:val="24"/>
        </w:rPr>
        <w:t>投标总报价超出项目采购预算的。</w:t>
      </w:r>
    </w:p>
    <w:p w14:paraId="33207A8A">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23.6</w:t>
      </w:r>
      <w:r>
        <w:rPr>
          <w:rFonts w:hint="eastAsia" w:asciiTheme="minorEastAsia" w:hAnsiTheme="minorEastAsia" w:eastAsiaTheme="minorEastAsia" w:cstheme="minorEastAsia"/>
          <w:sz w:val="24"/>
          <w:szCs w:val="24"/>
        </w:rPr>
        <w:t>应交未交投标保证金或不能提供有效缴纳凭证的；</w:t>
      </w:r>
    </w:p>
    <w:p w14:paraId="2ADC8F5F">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23.7</w:t>
      </w:r>
      <w:r>
        <w:rPr>
          <w:rFonts w:hint="eastAsia" w:asciiTheme="minorEastAsia" w:hAnsiTheme="minorEastAsia" w:eastAsiaTheme="minorEastAsia" w:cstheme="minorEastAsia"/>
          <w:sz w:val="24"/>
          <w:szCs w:val="24"/>
        </w:rPr>
        <w:t>不具备招标文件中规定资格要求或</w:t>
      </w:r>
      <w:r>
        <w:rPr>
          <w:rFonts w:hint="eastAsia" w:asciiTheme="minorEastAsia" w:hAnsiTheme="minorEastAsia" w:eastAsiaTheme="minorEastAsia" w:cstheme="minorEastAsia"/>
          <w:kern w:val="0"/>
          <w:sz w:val="24"/>
          <w:szCs w:val="24"/>
        </w:rPr>
        <w:t>资格证明文件不全或是虚假的</w:t>
      </w:r>
      <w:r>
        <w:rPr>
          <w:rFonts w:hint="eastAsia" w:asciiTheme="minorEastAsia" w:hAnsiTheme="minorEastAsia" w:eastAsiaTheme="minorEastAsia" w:cstheme="minorEastAsia"/>
          <w:sz w:val="24"/>
          <w:szCs w:val="24"/>
        </w:rPr>
        <w:t>；</w:t>
      </w:r>
    </w:p>
    <w:p w14:paraId="3F70D9C0">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val="en-US" w:eastAsia="zh-CN"/>
        </w:rPr>
        <w:t>23.8</w:t>
      </w:r>
      <w:r>
        <w:rPr>
          <w:rFonts w:hint="eastAsia" w:asciiTheme="minorEastAsia" w:hAnsiTheme="minorEastAsia" w:eastAsiaTheme="minorEastAsia" w:cstheme="minorEastAsia"/>
          <w:kern w:val="0"/>
          <w:sz w:val="24"/>
          <w:szCs w:val="24"/>
        </w:rPr>
        <w:t>投标有效期不符合</w:t>
      </w:r>
      <w:r>
        <w:rPr>
          <w:rFonts w:hint="eastAsia" w:asciiTheme="minorEastAsia" w:hAnsiTheme="minorEastAsia" w:eastAsiaTheme="minorEastAsia" w:cstheme="minorEastAsia"/>
          <w:sz w:val="24"/>
          <w:szCs w:val="24"/>
        </w:rPr>
        <w:t>《招标文件》</w:t>
      </w:r>
      <w:r>
        <w:rPr>
          <w:rFonts w:hint="eastAsia" w:asciiTheme="minorEastAsia" w:hAnsiTheme="minorEastAsia" w:eastAsiaTheme="minorEastAsia" w:cstheme="minorEastAsia"/>
          <w:kern w:val="0"/>
          <w:sz w:val="24"/>
          <w:szCs w:val="24"/>
        </w:rPr>
        <w:t>要求的；</w:t>
      </w:r>
    </w:p>
    <w:p w14:paraId="18987D44">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val="en-US" w:eastAsia="zh-CN"/>
        </w:rPr>
        <w:t>23.9</w:t>
      </w:r>
      <w:r>
        <w:rPr>
          <w:rFonts w:hint="eastAsia" w:asciiTheme="minorEastAsia" w:hAnsiTheme="minorEastAsia" w:eastAsiaTheme="minorEastAsia" w:cstheme="minorEastAsia"/>
          <w:kern w:val="0"/>
          <w:sz w:val="24"/>
          <w:szCs w:val="24"/>
        </w:rPr>
        <w:t>不能按</w:t>
      </w:r>
      <w:r>
        <w:rPr>
          <w:rFonts w:hint="eastAsia" w:asciiTheme="minorEastAsia" w:hAnsiTheme="minorEastAsia" w:eastAsiaTheme="minorEastAsia" w:cstheme="minorEastAsia"/>
          <w:sz w:val="24"/>
          <w:szCs w:val="24"/>
        </w:rPr>
        <w:t>《招标文件》</w:t>
      </w:r>
      <w:r>
        <w:rPr>
          <w:rFonts w:hint="eastAsia" w:asciiTheme="minorEastAsia" w:hAnsiTheme="minorEastAsia" w:eastAsiaTheme="minorEastAsia" w:cstheme="minorEastAsia"/>
          <w:kern w:val="0"/>
          <w:sz w:val="24"/>
          <w:szCs w:val="24"/>
        </w:rPr>
        <w:t>要求提供相应</w:t>
      </w:r>
      <w:r>
        <w:rPr>
          <w:rFonts w:hint="eastAsia" w:asciiTheme="minorEastAsia" w:hAnsiTheme="minorEastAsia" w:eastAsiaTheme="minorEastAsia" w:cstheme="minorEastAsia"/>
          <w:kern w:val="0"/>
          <w:sz w:val="24"/>
          <w:szCs w:val="24"/>
          <w:lang w:val="en-US" w:eastAsia="zh-CN"/>
        </w:rPr>
        <w:t>证明材料</w:t>
      </w:r>
      <w:r>
        <w:rPr>
          <w:rFonts w:hint="eastAsia" w:asciiTheme="minorEastAsia" w:hAnsiTheme="minorEastAsia" w:eastAsiaTheme="minorEastAsia" w:cstheme="minorEastAsia"/>
          <w:kern w:val="0"/>
          <w:sz w:val="24"/>
          <w:szCs w:val="24"/>
        </w:rPr>
        <w:t>，且存在伪造行为的；</w:t>
      </w:r>
    </w:p>
    <w:p w14:paraId="222ADA62">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23.10</w:t>
      </w:r>
      <w:r>
        <w:rPr>
          <w:rFonts w:hint="eastAsia" w:asciiTheme="minorEastAsia" w:hAnsiTheme="minorEastAsia" w:eastAsiaTheme="minorEastAsia" w:cstheme="minorEastAsia"/>
          <w:sz w:val="24"/>
          <w:szCs w:val="24"/>
        </w:rPr>
        <w:t>投标人的投标报价是可变动价格的，或包含了价格调整要求的，或投标报价中提供两个（含两个）以上的报价且未声明哪个有效的（招标文件规定提交备选投标方案的除外）</w:t>
      </w:r>
      <w:r>
        <w:rPr>
          <w:rFonts w:hint="eastAsia" w:asciiTheme="minorEastAsia" w:hAnsiTheme="minorEastAsia" w:eastAsiaTheme="minorEastAsia" w:cstheme="minorEastAsia"/>
          <w:kern w:val="0"/>
          <w:sz w:val="24"/>
          <w:szCs w:val="24"/>
        </w:rPr>
        <w:t>；</w:t>
      </w:r>
    </w:p>
    <w:p w14:paraId="416DD9E5">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23.11</w:t>
      </w:r>
      <w:r>
        <w:rPr>
          <w:rFonts w:hint="eastAsia" w:asciiTheme="minorEastAsia" w:hAnsiTheme="minorEastAsia" w:eastAsiaTheme="minorEastAsia" w:cstheme="minorEastAsia"/>
          <w:sz w:val="24"/>
          <w:szCs w:val="24"/>
        </w:rPr>
        <w:t>评审专家中有2/3认定投标人投标价格有恶意报价行为的</w:t>
      </w:r>
      <w:r>
        <w:rPr>
          <w:rFonts w:hint="eastAsia" w:asciiTheme="minorEastAsia" w:hAnsiTheme="minorEastAsia" w:eastAsiaTheme="minorEastAsia" w:cstheme="minorEastAsia"/>
          <w:kern w:val="0"/>
          <w:sz w:val="24"/>
          <w:szCs w:val="24"/>
        </w:rPr>
        <w:t>；</w:t>
      </w:r>
    </w:p>
    <w:p w14:paraId="5520BB02">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val="en-US" w:eastAsia="zh-CN"/>
        </w:rPr>
        <w:t>23.12</w:t>
      </w:r>
      <w:r>
        <w:rPr>
          <w:rFonts w:hint="eastAsia" w:asciiTheme="minorEastAsia" w:hAnsiTheme="minorEastAsia" w:eastAsiaTheme="minorEastAsia" w:cstheme="minorEastAsia"/>
          <w:kern w:val="0"/>
          <w:sz w:val="24"/>
          <w:szCs w:val="24"/>
        </w:rPr>
        <w:t>《投标文件》含有招标人不能接受的条件或声明的；</w:t>
      </w:r>
    </w:p>
    <w:p w14:paraId="3FB70F5D">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23.13</w:t>
      </w:r>
      <w:r>
        <w:rPr>
          <w:rFonts w:hint="eastAsia" w:asciiTheme="minorEastAsia" w:hAnsiTheme="minorEastAsia" w:eastAsiaTheme="minorEastAsia" w:cstheme="minorEastAsia"/>
          <w:sz w:val="24"/>
          <w:szCs w:val="24"/>
        </w:rPr>
        <w:t>在评标过程中，如果投标人试图在投标审查、澄清、比较及授予合同方面向招标人施加任何影响的；</w:t>
      </w:r>
    </w:p>
    <w:p w14:paraId="412EF7CB">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23.14</w:t>
      </w:r>
      <w:r>
        <w:rPr>
          <w:rFonts w:hint="eastAsia" w:asciiTheme="minorEastAsia" w:hAnsiTheme="minorEastAsia" w:eastAsiaTheme="minorEastAsia" w:cstheme="minorEastAsia"/>
          <w:sz w:val="24"/>
          <w:szCs w:val="24"/>
        </w:rPr>
        <w:t>投标人以他人名义投标、串通投标、以行贿手段谋取中标或者以弄虚作假等方式投标的；</w:t>
      </w:r>
    </w:p>
    <w:p w14:paraId="7AA1110F">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23.15</w:t>
      </w:r>
      <w:r>
        <w:rPr>
          <w:rFonts w:hint="eastAsia" w:asciiTheme="minorEastAsia" w:hAnsiTheme="minorEastAsia" w:eastAsiaTheme="minorEastAsia" w:cstheme="minorEastAsia"/>
          <w:sz w:val="24"/>
          <w:szCs w:val="24"/>
        </w:rPr>
        <w:t>经核实两个或两个以上投标人的投标文件有雷同或有抄袭行为的；</w:t>
      </w:r>
    </w:p>
    <w:p w14:paraId="1B31541C">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23.16</w:t>
      </w:r>
      <w:r>
        <w:rPr>
          <w:rFonts w:hint="eastAsia" w:asciiTheme="minorEastAsia" w:hAnsiTheme="minorEastAsia" w:eastAsiaTheme="minorEastAsia" w:cstheme="minorEastAsia"/>
          <w:sz w:val="24"/>
          <w:szCs w:val="24"/>
        </w:rPr>
        <w:t>违反《中华人民共和国政府采购法》的投标；</w:t>
      </w:r>
    </w:p>
    <w:p w14:paraId="581A9E6F">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val="en-US" w:eastAsia="zh-CN"/>
        </w:rPr>
        <w:t>23.17</w:t>
      </w:r>
      <w:r>
        <w:rPr>
          <w:rFonts w:hint="eastAsia" w:asciiTheme="minorEastAsia" w:hAnsiTheme="minorEastAsia" w:eastAsiaTheme="minorEastAsia" w:cstheme="minorEastAsia"/>
          <w:kern w:val="0"/>
          <w:sz w:val="24"/>
          <w:szCs w:val="24"/>
        </w:rPr>
        <w:t>招标文件中已明确无效投标的其他条款。</w:t>
      </w:r>
    </w:p>
    <w:p w14:paraId="602A913E">
      <w:pPr>
        <w:numPr>
          <w:ilvl w:val="0"/>
          <w:numId w:val="0"/>
        </w:numPr>
        <w:spacing w:line="480" w:lineRule="exact"/>
        <w:ind w:leftChars="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stheme="minorEastAsia"/>
          <w:b/>
          <w:color w:val="000000" w:themeColor="text1"/>
          <w:sz w:val="24"/>
          <w:szCs w:val="24"/>
          <w14:textFill>
            <w14:solidFill>
              <w14:schemeClr w14:val="tx1"/>
            </w14:solidFill>
          </w14:textFill>
        </w:rPr>
        <w:t>定标</w:t>
      </w:r>
    </w:p>
    <w:p w14:paraId="0D2B91C1">
      <w:pPr>
        <w:spacing w:line="480" w:lineRule="exact"/>
        <w:ind w:firstLine="482"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sz w:val="24"/>
          <w:szCs w:val="24"/>
        </w:rPr>
        <w:t>定标及确定中标人的原则：投标文件满足招标文件全部实质性要求，且按照评审因素的量化指标评审得分最高的投标人为排名第一的中标候选人即中标人。得分相同的，选择最</w:t>
      </w:r>
      <w:r>
        <w:rPr>
          <w:rFonts w:hint="eastAsia" w:asciiTheme="minorEastAsia" w:hAnsiTheme="minorEastAsia" w:eastAsiaTheme="minorEastAsia" w:cstheme="minorEastAsia"/>
          <w:b/>
          <w:sz w:val="24"/>
          <w:szCs w:val="24"/>
          <w:lang w:eastAsia="zh-CN"/>
        </w:rPr>
        <w:t>低</w:t>
      </w:r>
      <w:r>
        <w:rPr>
          <w:rFonts w:hint="eastAsia" w:asciiTheme="minorEastAsia" w:hAnsiTheme="minorEastAsia" w:eastAsiaTheme="minorEastAsia" w:cstheme="minorEastAsia"/>
          <w:b/>
          <w:sz w:val="24"/>
          <w:szCs w:val="24"/>
        </w:rPr>
        <w:t>报价的投标人为排名第一的中标候选人即中标人。</w:t>
      </w:r>
    </w:p>
    <w:p w14:paraId="67C79572">
      <w:pPr>
        <w:pStyle w:val="3"/>
        <w:spacing w:line="480" w:lineRule="exact"/>
        <w:jc w:val="center"/>
        <w:rPr>
          <w:rFonts w:hint="eastAsia" w:asciiTheme="minorEastAsia" w:hAnsiTheme="minorEastAsia" w:eastAsiaTheme="minorEastAsia" w:cstheme="minorEastAsia"/>
          <w:sz w:val="28"/>
          <w:szCs w:val="28"/>
        </w:rPr>
      </w:pPr>
      <w:bookmarkStart w:id="132" w:name="_Toc388260479"/>
      <w:bookmarkStart w:id="133" w:name="_Toc1750"/>
      <w:bookmarkStart w:id="134" w:name="_Toc17204484"/>
      <w:r>
        <w:rPr>
          <w:rFonts w:hint="eastAsia" w:asciiTheme="minorEastAsia" w:hAnsiTheme="minorEastAsia" w:eastAsiaTheme="minorEastAsia" w:cstheme="minorEastAsia"/>
          <w:sz w:val="28"/>
          <w:szCs w:val="28"/>
        </w:rPr>
        <w:t>六、质疑</w:t>
      </w:r>
      <w:bookmarkEnd w:id="132"/>
      <w:bookmarkEnd w:id="133"/>
      <w:bookmarkEnd w:id="134"/>
    </w:p>
    <w:p w14:paraId="61DF0279">
      <w:pPr>
        <w:numPr>
          <w:ilvl w:val="0"/>
          <w:numId w:val="0"/>
        </w:numPr>
        <w:adjustRightInd w:val="0"/>
        <w:snapToGrid w:val="0"/>
        <w:spacing w:before="159" w:beforeLines="50" w:line="360" w:lineRule="auto"/>
        <w:ind w:leftChars="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lang w:val="en-US" w:eastAsia="zh-CN"/>
        </w:rPr>
        <w:t>25.</w:t>
      </w:r>
      <w:r>
        <w:rPr>
          <w:rFonts w:hint="eastAsia" w:asciiTheme="minorEastAsia" w:hAnsiTheme="minorEastAsia" w:eastAsiaTheme="minorEastAsia" w:cstheme="minorEastAsia"/>
          <w:b/>
          <w:sz w:val="24"/>
          <w:szCs w:val="24"/>
        </w:rPr>
        <w:t>投标人</w:t>
      </w:r>
      <w:r>
        <w:rPr>
          <w:rFonts w:hint="eastAsia" w:asciiTheme="minorEastAsia" w:hAnsiTheme="minorEastAsia" w:eastAsiaTheme="minorEastAsia" w:cstheme="minorEastAsia"/>
          <w:b/>
          <w:bCs/>
          <w:sz w:val="24"/>
          <w:szCs w:val="24"/>
        </w:rPr>
        <w:t>质疑</w:t>
      </w:r>
    </w:p>
    <w:p w14:paraId="237A339E">
      <w:pPr>
        <w:numPr>
          <w:ilvl w:val="0"/>
          <w:numId w:val="0"/>
        </w:numPr>
        <w:spacing w:line="360" w:lineRule="auto"/>
        <w:ind w:leftChars="0"/>
        <w:rPr>
          <w:rFonts w:hint="eastAsia" w:asciiTheme="minorEastAsia" w:hAnsiTheme="minorEastAsia" w:eastAsiaTheme="minorEastAsia" w:cstheme="minorEastAsia"/>
          <w:sz w:val="24"/>
          <w:szCs w:val="24"/>
        </w:rPr>
      </w:pPr>
      <w:bookmarkStart w:id="135" w:name="_Toc388260480"/>
      <w:r>
        <w:rPr>
          <w:rFonts w:hint="eastAsia" w:asciiTheme="minorEastAsia" w:hAnsiTheme="minorEastAsia" w:eastAsiaTheme="minorEastAsia" w:cstheme="minorEastAsia"/>
          <w:sz w:val="24"/>
          <w:szCs w:val="24"/>
          <w:lang w:val="en-US" w:eastAsia="zh-CN"/>
        </w:rPr>
        <w:t>25.1</w:t>
      </w:r>
      <w:r>
        <w:rPr>
          <w:rFonts w:hint="eastAsia" w:asciiTheme="minorEastAsia" w:hAnsiTheme="minorEastAsia" w:eastAsiaTheme="minorEastAsia" w:cstheme="minorEastAsia"/>
          <w:sz w:val="24"/>
          <w:szCs w:val="24"/>
        </w:rPr>
        <w:t>投标人对政府采购活动事项有疑问的，可以向招标人或招标代理机构提出询问。招标人或招标代理机构将在三个工作日内作出答复。本次招标投标人如对招标文件或招投标过程进行质疑，投标人须一次性提出针对同一采购程序环节的所有质疑内容，多次质疑将不予受理。</w:t>
      </w:r>
    </w:p>
    <w:p w14:paraId="49E43875">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25.2</w:t>
      </w:r>
      <w:r>
        <w:rPr>
          <w:rFonts w:hint="eastAsia" w:asciiTheme="minorEastAsia" w:hAnsiTheme="minorEastAsia" w:eastAsiaTheme="minorEastAsia" w:cstheme="minorEastAsia"/>
          <w:sz w:val="24"/>
          <w:szCs w:val="24"/>
        </w:rPr>
        <w:t>投标人若认为招标文件、采购过程和中标结果使自己的权益受到损害，应当在下列时间内以书面形式向招标人或招标代理机构提出：</w:t>
      </w:r>
    </w:p>
    <w:p w14:paraId="7BBE57C4">
      <w:pPr>
        <w:numPr>
          <w:ilvl w:val="0"/>
          <w:numId w:val="4"/>
        </w:numPr>
        <w:adjustRightInd w:val="0"/>
        <w:snapToGrid w:val="0"/>
        <w:spacing w:before="159"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关于招标文件的质疑，应在递交投标文件截止时间前提出。</w:t>
      </w:r>
    </w:p>
    <w:p w14:paraId="0CFFAA34">
      <w:pPr>
        <w:numPr>
          <w:ilvl w:val="0"/>
          <w:numId w:val="0"/>
        </w:numPr>
        <w:adjustRightInd w:val="0"/>
        <w:snapToGrid w:val="0"/>
        <w:spacing w:before="159" w:beforeLines="50"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（2）关于招标过程的质疑，应在招标程序环节结束之日起七个工作日内提出。</w:t>
      </w:r>
    </w:p>
    <w:p w14:paraId="76C4AA3E">
      <w:pPr>
        <w:adjustRightInd w:val="0"/>
        <w:snapToGrid w:val="0"/>
        <w:spacing w:before="159" w:beforeLines="50" w:line="360" w:lineRule="auto"/>
        <w:ind w:left="42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（3）关于中标结果的质疑，应在中标结果信息发布后七个工作日内提出。</w:t>
      </w:r>
    </w:p>
    <w:p w14:paraId="12D3F6C6">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25.3</w:t>
      </w:r>
      <w:r>
        <w:rPr>
          <w:rFonts w:hint="eastAsia" w:asciiTheme="minorEastAsia" w:hAnsiTheme="minorEastAsia" w:eastAsiaTheme="minorEastAsia" w:cstheme="minorEastAsia"/>
          <w:sz w:val="24"/>
          <w:szCs w:val="24"/>
        </w:rPr>
        <w:t>投标人提出质疑的，应提供质疑书原件。招标人或招标代理机构应当向质疑投标人签收回执。</w:t>
      </w:r>
    </w:p>
    <w:p w14:paraId="56971C40">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25.4</w:t>
      </w:r>
      <w:r>
        <w:rPr>
          <w:rFonts w:hint="eastAsia" w:asciiTheme="minorEastAsia" w:hAnsiTheme="minorEastAsia" w:eastAsiaTheme="minorEastAsia" w:cstheme="minorEastAsia"/>
          <w:sz w:val="24"/>
          <w:szCs w:val="24"/>
        </w:rPr>
        <w:t>质疑书应当包括下列内容：</w:t>
      </w:r>
    </w:p>
    <w:p w14:paraId="4E7899BB">
      <w:pPr>
        <w:pStyle w:val="22"/>
        <w:adjustRightInd w:val="0"/>
        <w:snapToGrid w:val="0"/>
        <w:spacing w:before="159" w:beforeLines="50" w:line="360" w:lineRule="auto"/>
        <w:ind w:left="42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（1）质疑投标人的名称、地址及有效联系方式；</w:t>
      </w:r>
    </w:p>
    <w:p w14:paraId="407BB1ED">
      <w:pPr>
        <w:pStyle w:val="22"/>
        <w:adjustRightInd w:val="0"/>
        <w:snapToGrid w:val="0"/>
        <w:spacing w:before="159" w:beforeLines="50" w:line="360" w:lineRule="auto"/>
        <w:ind w:left="42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（2）质疑事项；</w:t>
      </w:r>
    </w:p>
    <w:p w14:paraId="146076DB">
      <w:pPr>
        <w:pStyle w:val="22"/>
        <w:adjustRightInd w:val="0"/>
        <w:snapToGrid w:val="0"/>
        <w:spacing w:before="159" w:beforeLines="50" w:line="360" w:lineRule="auto"/>
        <w:ind w:left="42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（3）事实依据及相关证明材料；</w:t>
      </w:r>
    </w:p>
    <w:p w14:paraId="00B53E5E">
      <w:pPr>
        <w:pStyle w:val="22"/>
        <w:adjustRightInd w:val="0"/>
        <w:snapToGrid w:val="0"/>
        <w:spacing w:before="159" w:beforeLines="50" w:line="360" w:lineRule="auto"/>
        <w:ind w:left="42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（4）相关请求及主张。</w:t>
      </w:r>
    </w:p>
    <w:p w14:paraId="38106F41">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25.5</w:t>
      </w:r>
      <w:r>
        <w:rPr>
          <w:rFonts w:hint="eastAsia" w:asciiTheme="minorEastAsia" w:hAnsiTheme="minorEastAsia" w:eastAsiaTheme="minorEastAsia" w:cstheme="minorEastAsia"/>
          <w:sz w:val="24"/>
          <w:szCs w:val="24"/>
        </w:rPr>
        <w:t>质疑书应当由投标人法定代表人（或其他组织负责人，或自然人）或其授权委托人签字并加盖投标人单位章，质疑书由授权委托人签字的应附投标人授权委托书（自然人除外）。</w:t>
      </w:r>
    </w:p>
    <w:p w14:paraId="2D3AFE75">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25.6</w:t>
      </w:r>
      <w:r>
        <w:rPr>
          <w:rFonts w:hint="eastAsia" w:asciiTheme="minorEastAsia" w:hAnsiTheme="minorEastAsia" w:eastAsiaTheme="minorEastAsia" w:cstheme="minorEastAsia"/>
          <w:sz w:val="24"/>
          <w:szCs w:val="24"/>
        </w:rPr>
        <w:t>招标人或招标代理机构将在签收回执之日起七个工作日内作出书面答复，并以书面形式通知质疑投标人和其他有关的投标人。</w:t>
      </w:r>
    </w:p>
    <w:p w14:paraId="7BEE69AE">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25.7</w:t>
      </w:r>
      <w:r>
        <w:rPr>
          <w:rFonts w:hint="eastAsia" w:asciiTheme="minorEastAsia" w:hAnsiTheme="minorEastAsia" w:eastAsiaTheme="minorEastAsia" w:cstheme="minorEastAsia"/>
          <w:sz w:val="24"/>
          <w:szCs w:val="24"/>
        </w:rPr>
        <w:t>投标人对招标人或招标代理机构的答复不满意，或招标人或招标代理机构未在规定的期限作出答复的，可在答复期满后十五个工作日内，按政府采购相关法律法规规章的规定及程序，向同级财政部门提出投诉。</w:t>
      </w:r>
    </w:p>
    <w:p w14:paraId="27E8CE5A">
      <w:pPr>
        <w:pStyle w:val="3"/>
        <w:spacing w:line="480" w:lineRule="exact"/>
        <w:jc w:val="center"/>
        <w:rPr>
          <w:rFonts w:hint="eastAsia" w:asciiTheme="minorEastAsia" w:hAnsiTheme="minorEastAsia" w:eastAsiaTheme="minorEastAsia" w:cstheme="minorEastAsia"/>
          <w:sz w:val="28"/>
          <w:szCs w:val="28"/>
        </w:rPr>
      </w:pPr>
      <w:bookmarkStart w:id="136" w:name="_Toc8723"/>
      <w:bookmarkStart w:id="137" w:name="_Toc17204485"/>
      <w:r>
        <w:rPr>
          <w:rFonts w:hint="eastAsia" w:asciiTheme="minorEastAsia" w:hAnsiTheme="minorEastAsia" w:eastAsiaTheme="minorEastAsia" w:cstheme="minorEastAsia"/>
          <w:sz w:val="28"/>
          <w:szCs w:val="28"/>
        </w:rPr>
        <w:t>七、签订合同</w:t>
      </w:r>
      <w:bookmarkEnd w:id="135"/>
      <w:bookmarkEnd w:id="136"/>
      <w:bookmarkEnd w:id="137"/>
    </w:p>
    <w:p w14:paraId="52A65536">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26.</w:t>
      </w:r>
      <w:r>
        <w:rPr>
          <w:rFonts w:hint="eastAsia" w:asciiTheme="minorEastAsia" w:hAnsiTheme="minorEastAsia" w:eastAsiaTheme="minorEastAsia" w:cstheme="minorEastAsia"/>
          <w:b/>
          <w:sz w:val="24"/>
          <w:szCs w:val="24"/>
        </w:rPr>
        <w:t>招标代理服务费</w:t>
      </w:r>
    </w:p>
    <w:p w14:paraId="36F8794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Theme="minorEastAsia" w:hAnsiTheme="minorEastAsia" w:eastAsiaTheme="minorEastAsia" w:cstheme="minorEastAsia"/>
          <w:b w:val="0"/>
          <w:bCs/>
          <w:sz w:val="24"/>
          <w:szCs w:val="24"/>
          <w:u w:val="none"/>
          <w:lang w:val="en-US" w:eastAsia="zh-CN"/>
        </w:rPr>
        <w:t>26.1</w:t>
      </w:r>
      <w:r>
        <w:rPr>
          <w:rFonts w:hint="eastAsia" w:asciiTheme="minorEastAsia" w:hAnsiTheme="minorEastAsia" w:eastAsiaTheme="minorEastAsia" w:cstheme="minorEastAsia"/>
          <w:b w:val="0"/>
          <w:bCs/>
          <w:sz w:val="24"/>
          <w:szCs w:val="24"/>
          <w:u w:val="none"/>
        </w:rPr>
        <w:t>招标代理服务费收取标准：</w:t>
      </w:r>
      <w:r>
        <w:rPr>
          <w:rFonts w:hint="eastAsia" w:ascii="宋体" w:hAnsi="宋体" w:eastAsia="宋体" w:cs="宋体"/>
          <w:sz w:val="24"/>
          <w:szCs w:val="24"/>
          <w:lang w:val="en-US" w:eastAsia="zh-CN"/>
        </w:rPr>
        <w:t>中标人参照《招标代理服务收费管理暂行办法》（计价格[2002]1980号）向采购代理机构交纳中标服务费。</w:t>
      </w:r>
    </w:p>
    <w:p w14:paraId="428F3B42">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26.2</w:t>
      </w:r>
      <w:r>
        <w:rPr>
          <w:rFonts w:hint="eastAsia" w:asciiTheme="minorEastAsia" w:hAnsiTheme="minorEastAsia" w:eastAsiaTheme="minorEastAsia" w:cstheme="minorEastAsia"/>
          <w:sz w:val="24"/>
          <w:szCs w:val="24"/>
        </w:rPr>
        <w:t>费用缴纳可采用电汇、转支（公户）的方式支付，在领取《中标通知书》前一次性支付给</w:t>
      </w:r>
      <w:r>
        <w:rPr>
          <w:rFonts w:hint="eastAsia" w:ascii="宋体" w:hAnsi="宋体" w:eastAsia="宋体" w:cs="宋体"/>
          <w:sz w:val="24"/>
          <w:szCs w:val="24"/>
          <w:lang w:val="en-US" w:eastAsia="zh-CN"/>
        </w:rPr>
        <w:t>采购</w:t>
      </w:r>
      <w:r>
        <w:rPr>
          <w:rFonts w:hint="eastAsia" w:asciiTheme="minorEastAsia" w:hAnsiTheme="minorEastAsia" w:eastAsiaTheme="minorEastAsia" w:cstheme="minorEastAsia"/>
          <w:sz w:val="24"/>
          <w:szCs w:val="24"/>
        </w:rPr>
        <w:t>代理机构。</w:t>
      </w:r>
    </w:p>
    <w:p w14:paraId="4E9F4E32">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27.</w:t>
      </w:r>
      <w:r>
        <w:rPr>
          <w:rFonts w:hint="eastAsia" w:asciiTheme="minorEastAsia" w:hAnsiTheme="minorEastAsia" w:eastAsiaTheme="minorEastAsia" w:cstheme="minorEastAsia"/>
          <w:b/>
          <w:sz w:val="24"/>
          <w:szCs w:val="24"/>
        </w:rPr>
        <w:t>中标通知书</w:t>
      </w:r>
    </w:p>
    <w:p w14:paraId="62D09331">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宋体" w:hAnsi="宋体" w:cs="宋体"/>
          <w:sz w:val="24"/>
          <w:szCs w:val="24"/>
          <w:lang w:val="en-US" w:eastAsia="zh-CN"/>
        </w:rPr>
        <w:t>27.1</w:t>
      </w:r>
      <w:r>
        <w:rPr>
          <w:rFonts w:hint="eastAsia" w:ascii="宋体" w:hAnsi="宋体" w:eastAsia="宋体" w:cs="宋体"/>
          <w:sz w:val="24"/>
          <w:szCs w:val="24"/>
          <w:lang w:val="en-US" w:eastAsia="zh-CN"/>
        </w:rPr>
        <w:t>采购</w:t>
      </w:r>
      <w:r>
        <w:rPr>
          <w:rFonts w:hint="eastAsia" w:asciiTheme="minorEastAsia" w:hAnsiTheme="minorEastAsia" w:eastAsiaTheme="minorEastAsia" w:cstheme="minorEastAsia"/>
          <w:sz w:val="24"/>
          <w:szCs w:val="24"/>
        </w:rPr>
        <w:t>代理机构将电话通知中标人缴纳招标代理服务费。</w:t>
      </w:r>
    </w:p>
    <w:p w14:paraId="1CA7EF3B">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27.2</w:t>
      </w:r>
      <w:r>
        <w:rPr>
          <w:rFonts w:hint="eastAsia" w:asciiTheme="minorEastAsia" w:hAnsiTheme="minorEastAsia" w:eastAsiaTheme="minorEastAsia" w:cstheme="minorEastAsia"/>
          <w:sz w:val="24"/>
          <w:szCs w:val="24"/>
        </w:rPr>
        <w:t>未按规定缴纳招标代理服务费的中标人，则视为自动放弃成交资格。</w:t>
      </w:r>
    </w:p>
    <w:p w14:paraId="25DC72C1">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27.3</w:t>
      </w:r>
      <w:r>
        <w:rPr>
          <w:rFonts w:hint="eastAsia" w:asciiTheme="minorEastAsia" w:hAnsiTheme="minorEastAsia" w:eastAsiaTheme="minorEastAsia" w:cstheme="minorEastAsia"/>
          <w:sz w:val="24"/>
          <w:szCs w:val="24"/>
        </w:rPr>
        <w:t>在规定的投标有效期内，</w:t>
      </w:r>
      <w:r>
        <w:rPr>
          <w:rFonts w:hint="eastAsia" w:ascii="宋体" w:hAnsi="宋体" w:eastAsia="宋体" w:cs="宋体"/>
          <w:sz w:val="24"/>
          <w:szCs w:val="24"/>
          <w:lang w:val="en-US" w:eastAsia="zh-CN"/>
        </w:rPr>
        <w:t>采购</w:t>
      </w:r>
      <w:r>
        <w:rPr>
          <w:rFonts w:hint="eastAsia" w:asciiTheme="minorEastAsia" w:hAnsiTheme="minorEastAsia" w:eastAsiaTheme="minorEastAsia" w:cstheme="minorEastAsia"/>
          <w:sz w:val="24"/>
          <w:szCs w:val="24"/>
        </w:rPr>
        <w:t>代理机构将以书面形式向中标人发出《中标通知书》。</w:t>
      </w:r>
    </w:p>
    <w:p w14:paraId="68D4FEA9">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27.4</w:t>
      </w:r>
      <w:r>
        <w:rPr>
          <w:rFonts w:hint="eastAsia" w:asciiTheme="minorEastAsia" w:hAnsiTheme="minorEastAsia" w:eastAsiaTheme="minorEastAsia" w:cstheme="minorEastAsia"/>
          <w:sz w:val="24"/>
          <w:szCs w:val="24"/>
        </w:rPr>
        <w:t>中标通知书对招标人和中标人具有同等法律效力。</w:t>
      </w:r>
    </w:p>
    <w:p w14:paraId="51724C7A">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27.5</w:t>
      </w:r>
      <w:r>
        <w:rPr>
          <w:rFonts w:hint="eastAsia" w:asciiTheme="minorEastAsia" w:hAnsiTheme="minorEastAsia" w:eastAsiaTheme="minorEastAsia" w:cstheme="minorEastAsia"/>
          <w:sz w:val="24"/>
          <w:szCs w:val="24"/>
        </w:rPr>
        <w:t>中标通知书是中标人签订合同的依据，是合同必不可少的一个组成部分。</w:t>
      </w:r>
    </w:p>
    <w:p w14:paraId="39502578">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27.6</w:t>
      </w:r>
      <w:r>
        <w:rPr>
          <w:rFonts w:hint="eastAsia" w:asciiTheme="minorEastAsia" w:hAnsiTheme="minorEastAsia" w:eastAsiaTheme="minorEastAsia" w:cstheme="minorEastAsia"/>
          <w:b/>
          <w:sz w:val="24"/>
          <w:szCs w:val="24"/>
        </w:rPr>
        <w:t>中标人未按照招标文件要求与招标人签订采购采购合同或放弃中标资格的，按照《中华人民共和国政府采购法实施条例》第四十九条规定执行。</w:t>
      </w:r>
    </w:p>
    <w:p w14:paraId="69D33986">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28.</w:t>
      </w:r>
      <w:r>
        <w:rPr>
          <w:rFonts w:hint="eastAsia" w:asciiTheme="minorEastAsia" w:hAnsiTheme="minorEastAsia" w:eastAsiaTheme="minorEastAsia" w:cstheme="minorEastAsia"/>
          <w:b/>
          <w:sz w:val="24"/>
          <w:szCs w:val="24"/>
        </w:rPr>
        <w:t>签订合同</w:t>
      </w:r>
    </w:p>
    <w:p w14:paraId="09B0FA31">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28.1</w:t>
      </w:r>
      <w:r>
        <w:rPr>
          <w:rFonts w:hint="eastAsia" w:asciiTheme="minorEastAsia" w:hAnsiTheme="minorEastAsia" w:eastAsiaTheme="minorEastAsia" w:cstheme="minorEastAsia"/>
          <w:kern w:val="0"/>
          <w:sz w:val="24"/>
          <w:szCs w:val="24"/>
        </w:rPr>
        <w:t>招标人与中标人应当在中标通知书发出之日起30日内，按照招标文件确定的合同文本以及采购标的、规格型号、采购金额、采购数量、技术和服务要求等事项签订政府采购合同。</w:t>
      </w:r>
    </w:p>
    <w:p w14:paraId="1967D5F7">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28.2</w:t>
      </w:r>
      <w:r>
        <w:rPr>
          <w:rFonts w:hint="eastAsia" w:asciiTheme="minorEastAsia" w:hAnsiTheme="minorEastAsia" w:eastAsiaTheme="minorEastAsia" w:cstheme="minorEastAsia"/>
          <w:kern w:val="0"/>
          <w:sz w:val="24"/>
          <w:szCs w:val="24"/>
        </w:rPr>
        <w:t>招标人不得向中标人提出超出招标文件以外的任何要求作为签订合同的条件，不得与中标人订立背离招标文件确定的合同文本以及采购标的、规格型号、采购金额、采购数量、技术和服务要求等实质性内容的协议。</w:t>
      </w:r>
    </w:p>
    <w:p w14:paraId="31AC295F">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28.3</w:t>
      </w:r>
      <w:r>
        <w:rPr>
          <w:rFonts w:hint="eastAsia" w:asciiTheme="minorEastAsia" w:hAnsiTheme="minorEastAsia" w:eastAsiaTheme="minorEastAsia" w:cstheme="minorEastAsia"/>
          <w:kern w:val="0"/>
          <w:sz w:val="24"/>
          <w:szCs w:val="24"/>
        </w:rPr>
        <w:t>除不可抗力等因素外，中标通知书发出后，招标人改变成交结果，或者中标人拒绝签订政府采购合同的，应当承担相应的法律责任。</w:t>
      </w:r>
    </w:p>
    <w:p w14:paraId="1507E6CA">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rPr>
        <w:t>28.4</w:t>
      </w:r>
      <w:r>
        <w:rPr>
          <w:rFonts w:hint="eastAsia" w:asciiTheme="minorEastAsia" w:hAnsiTheme="minorEastAsia" w:eastAsiaTheme="minorEastAsia" w:cstheme="minorEastAsia"/>
          <w:kern w:val="0"/>
          <w:sz w:val="24"/>
          <w:szCs w:val="24"/>
        </w:rPr>
        <w:t>中标人拒绝签订政府采购合同的，招标人可以按照</w:t>
      </w:r>
      <w:r>
        <w:rPr>
          <w:rFonts w:hint="eastAsia" w:asciiTheme="minorEastAsia" w:hAnsiTheme="minorEastAsia" w:eastAsiaTheme="minorEastAsia" w:cstheme="minorEastAsia"/>
          <w:sz w:val="24"/>
          <w:szCs w:val="24"/>
          <w:lang w:val="en-GB"/>
        </w:rPr>
        <w:t>《政府采购非招标招标人式管理办法》</w:t>
      </w:r>
      <w:r>
        <w:rPr>
          <w:rFonts w:hint="eastAsia" w:asciiTheme="minorEastAsia" w:hAnsiTheme="minorEastAsia" w:eastAsiaTheme="minorEastAsia" w:cstheme="minorEastAsia"/>
          <w:kern w:val="0"/>
          <w:sz w:val="24"/>
          <w:szCs w:val="24"/>
        </w:rPr>
        <w:t>第三十六条第二款、第四十九条第二款规定的原则确定其他投标人作为中标人并签订政府采购合同，也可以重新开展采购活动。拒绝签订政府采购合同的中标人不得参加对该项目重新开展的采购活动。</w:t>
      </w:r>
    </w:p>
    <w:p w14:paraId="72CE5BDF">
      <w:pPr>
        <w:numPr>
          <w:ilvl w:val="0"/>
          <w:numId w:val="0"/>
        </w:numPr>
        <w:spacing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28.5</w:t>
      </w:r>
      <w:r>
        <w:rPr>
          <w:rFonts w:hint="eastAsia" w:asciiTheme="minorEastAsia" w:hAnsiTheme="minorEastAsia" w:eastAsiaTheme="minorEastAsia" w:cstheme="minorEastAsia"/>
          <w:sz w:val="24"/>
          <w:szCs w:val="24"/>
        </w:rPr>
        <w:t>招标人或者招标代理机构应当自采购合同签订之日起七个工作日内，按照有关规定将采购合同副本报同级人民政府财政部门备案。</w:t>
      </w:r>
    </w:p>
    <w:p w14:paraId="30D34376">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29.</w:t>
      </w:r>
      <w:r>
        <w:rPr>
          <w:rFonts w:hint="eastAsia" w:asciiTheme="minorEastAsia" w:hAnsiTheme="minorEastAsia" w:eastAsiaTheme="minorEastAsia" w:cstheme="minorEastAsia"/>
          <w:b/>
          <w:sz w:val="24"/>
          <w:szCs w:val="24"/>
        </w:rPr>
        <w:t>分包履行合同</w:t>
      </w:r>
    </w:p>
    <w:p w14:paraId="2A35E3D3">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29.1</w:t>
      </w:r>
      <w:r>
        <w:rPr>
          <w:rFonts w:hint="eastAsia" w:asciiTheme="minorEastAsia" w:hAnsiTheme="minorEastAsia" w:eastAsiaTheme="minorEastAsia" w:cstheme="minorEastAsia"/>
          <w:sz w:val="24"/>
          <w:szCs w:val="24"/>
        </w:rPr>
        <w:t>如招标文件同意分包，经招标人同意，中标人可以依法采取分包方式履行合同。</w:t>
      </w:r>
    </w:p>
    <w:p w14:paraId="0B38CC89">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29.2</w:t>
      </w:r>
      <w:r>
        <w:rPr>
          <w:rFonts w:hint="eastAsia" w:asciiTheme="minorEastAsia" w:hAnsiTheme="minorEastAsia" w:eastAsiaTheme="minorEastAsia" w:cstheme="minorEastAsia"/>
          <w:sz w:val="24"/>
          <w:szCs w:val="24"/>
        </w:rPr>
        <w:t>政府采购合同分包履行的，中标人就采购项目和分包项目向招标人负责，分包投标人就分包项目承担责任。</w:t>
      </w:r>
    </w:p>
    <w:p w14:paraId="7DFA1F4C">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30.</w:t>
      </w:r>
      <w:r>
        <w:rPr>
          <w:rFonts w:hint="eastAsia" w:asciiTheme="minorEastAsia" w:hAnsiTheme="minorEastAsia" w:eastAsiaTheme="minorEastAsia" w:cstheme="minorEastAsia"/>
          <w:b/>
          <w:sz w:val="24"/>
          <w:szCs w:val="24"/>
        </w:rPr>
        <w:t>政府采购合同履行中合同标的的追加</w:t>
      </w:r>
    </w:p>
    <w:p w14:paraId="14B83D07">
      <w:pPr>
        <w:numPr>
          <w:ilvl w:val="0"/>
          <w:numId w:val="0"/>
        </w:numPr>
        <w:spacing w:line="360" w:lineRule="auto"/>
        <w:ind w:left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lang w:val="en-US" w:eastAsia="zh-CN"/>
        </w:rPr>
        <w:t>30.1</w:t>
      </w:r>
      <w:r>
        <w:rPr>
          <w:rFonts w:hint="eastAsia" w:asciiTheme="minorEastAsia" w:hAnsiTheme="minorEastAsia" w:eastAsiaTheme="minorEastAsia" w:cstheme="minorEastAsia"/>
          <w:sz w:val="24"/>
          <w:szCs w:val="24"/>
        </w:rPr>
        <w:t>政府采购合同履行中，招标人需追加与合同标的相同的货物、工程或者服务的，在不改变合同其他条款的前提下，可以与中标人协商签订补充合同，但所有补充合同的采购金额不得超过原合同采购金额的百分之十。</w:t>
      </w:r>
    </w:p>
    <w:p w14:paraId="3BCA06B9">
      <w:pPr>
        <w:pStyle w:val="22"/>
        <w:numPr>
          <w:ilvl w:val="0"/>
          <w:numId w:val="0"/>
        </w:numPr>
        <w:adjustRightInd w:val="0"/>
        <w:snapToGrid w:val="0"/>
        <w:spacing w:before="159" w:beforeLines="50" w:line="360" w:lineRule="auto"/>
        <w:ind w:leftChars="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31.</w:t>
      </w:r>
      <w:r>
        <w:rPr>
          <w:rFonts w:hint="eastAsia" w:asciiTheme="minorEastAsia" w:hAnsiTheme="minorEastAsia" w:eastAsiaTheme="minorEastAsia" w:cstheme="minorEastAsia"/>
          <w:b/>
          <w:bCs/>
          <w:sz w:val="24"/>
          <w:szCs w:val="24"/>
        </w:rPr>
        <w:t>废标条款</w:t>
      </w:r>
    </w:p>
    <w:p w14:paraId="642A2165">
      <w:pPr>
        <w:numPr>
          <w:ilvl w:val="0"/>
          <w:numId w:val="0"/>
        </w:numPr>
        <w:spacing w:line="360" w:lineRule="auto"/>
        <w:ind w:left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31.1</w:t>
      </w:r>
      <w:r>
        <w:rPr>
          <w:rFonts w:hint="eastAsia" w:asciiTheme="minorEastAsia" w:hAnsiTheme="minorEastAsia" w:eastAsiaTheme="minorEastAsia" w:cstheme="minorEastAsia"/>
          <w:kern w:val="0"/>
          <w:sz w:val="24"/>
          <w:szCs w:val="24"/>
        </w:rPr>
        <w:t>出现下列情形之一的，招标人或者招标代理机构应当终止采购活动，发布项目终止公告并说明原因，重新开展采购活动：</w:t>
      </w:r>
    </w:p>
    <w:p w14:paraId="1494EC22">
      <w:pPr>
        <w:widowControl/>
        <w:spacing w:line="360" w:lineRule="auto"/>
        <w:ind w:left="42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（1）因情况变化，不再符合规定的公开招标采购方式适用情形的；</w:t>
      </w:r>
    </w:p>
    <w:p w14:paraId="28E3E956">
      <w:pPr>
        <w:widowControl/>
        <w:spacing w:line="360" w:lineRule="auto"/>
        <w:ind w:left="425"/>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（2）出现影响采购公正的违法、违规行为的；</w:t>
      </w:r>
    </w:p>
    <w:p w14:paraId="7B5008E0">
      <w:pPr>
        <w:widowControl/>
        <w:spacing w:line="360" w:lineRule="auto"/>
        <w:ind w:left="0" w:leftChars="0"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（3）在采购过程中符合竞争要求的投标人或者报价未超过采购预算的投标人不足3家的。</w:t>
      </w:r>
    </w:p>
    <w:p w14:paraId="5B8D9898">
      <w:pPr>
        <w:widowControl/>
        <w:spacing w:line="360" w:lineRule="auto"/>
        <w:ind w:left="0" w:left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31.2</w:t>
      </w:r>
      <w:r>
        <w:rPr>
          <w:rFonts w:hint="eastAsia" w:asciiTheme="minorEastAsia" w:hAnsiTheme="minorEastAsia" w:eastAsiaTheme="minorEastAsia" w:cstheme="minorEastAsia"/>
          <w:kern w:val="0"/>
          <w:sz w:val="24"/>
          <w:szCs w:val="24"/>
        </w:rPr>
        <w:t>有效投标人不足三家的，除采购任务取消外，可废标后重新组织采购；也可比照财政部《货物和服务招标投标管理办法》第43条规定，经政府采购管理部门同意，所有评委（监委）签字认可，书面通知投标人当场改作竞争性谈判或单一来源方式采购。</w:t>
      </w:r>
    </w:p>
    <w:p w14:paraId="1BC87383">
      <w:pPr>
        <w:pStyle w:val="22"/>
        <w:numPr>
          <w:ilvl w:val="0"/>
          <w:numId w:val="0"/>
        </w:numPr>
        <w:adjustRightInd w:val="0"/>
        <w:snapToGrid w:val="0"/>
        <w:spacing w:before="159" w:beforeLines="50" w:line="360" w:lineRule="auto"/>
        <w:ind w:leftChars="0"/>
        <w:jc w:val="left"/>
        <w:rPr>
          <w:rFonts w:hint="eastAsia" w:asciiTheme="minorEastAsia" w:hAnsiTheme="minorEastAsia" w:eastAsiaTheme="minorEastAsia" w:cstheme="minorEastAsia"/>
          <w:b/>
          <w:bCs/>
          <w:sz w:val="24"/>
          <w:szCs w:val="24"/>
        </w:rPr>
      </w:pPr>
      <w:bookmarkStart w:id="138" w:name="_Toc446605021"/>
      <w:bookmarkStart w:id="139" w:name="_Toc267645535"/>
      <w:bookmarkStart w:id="140" w:name="_Toc429734627"/>
      <w:r>
        <w:rPr>
          <w:rFonts w:hint="eastAsia" w:asciiTheme="minorEastAsia" w:hAnsiTheme="minorEastAsia" w:eastAsiaTheme="minorEastAsia" w:cstheme="minorEastAsia"/>
          <w:b/>
          <w:bCs/>
          <w:sz w:val="24"/>
          <w:szCs w:val="24"/>
          <w:lang w:val="en-US" w:eastAsia="zh-CN"/>
        </w:rPr>
        <w:t>32.</w:t>
      </w:r>
      <w:r>
        <w:rPr>
          <w:rFonts w:hint="eastAsia" w:asciiTheme="minorEastAsia" w:hAnsiTheme="minorEastAsia" w:eastAsiaTheme="minorEastAsia" w:cstheme="minorEastAsia"/>
          <w:b/>
          <w:bCs/>
          <w:sz w:val="24"/>
          <w:szCs w:val="24"/>
        </w:rPr>
        <w:t>履约保证金</w:t>
      </w:r>
      <w:bookmarkEnd w:id="138"/>
      <w:bookmarkEnd w:id="139"/>
      <w:bookmarkEnd w:id="140"/>
    </w:p>
    <w:p w14:paraId="69CFF58B">
      <w:pPr>
        <w:numPr>
          <w:ilvl w:val="0"/>
          <w:numId w:val="0"/>
        </w:numPr>
        <w:spacing w:line="360" w:lineRule="auto"/>
        <w:ind w:lef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32.1</w:t>
      </w:r>
      <w:r>
        <w:rPr>
          <w:rFonts w:hint="eastAsia" w:asciiTheme="minorEastAsia" w:hAnsiTheme="minorEastAsia" w:eastAsiaTheme="minorEastAsia" w:cstheme="minorEastAsia"/>
          <w:sz w:val="24"/>
          <w:szCs w:val="24"/>
        </w:rPr>
        <w:t>在接到中标通知书30个日历天内，中标的投标人应按合同规定向招标人提交履约保证金。</w:t>
      </w:r>
    </w:p>
    <w:p w14:paraId="10C00A59">
      <w:pPr>
        <w:numPr>
          <w:ilvl w:val="0"/>
          <w:numId w:val="0"/>
        </w:numPr>
        <w:spacing w:line="360" w:lineRule="auto"/>
        <w:ind w:lef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32.2</w:t>
      </w:r>
      <w:r>
        <w:rPr>
          <w:rFonts w:hint="eastAsia" w:asciiTheme="minorEastAsia" w:hAnsiTheme="minorEastAsia" w:eastAsiaTheme="minorEastAsia" w:cstheme="minorEastAsia"/>
          <w:sz w:val="24"/>
          <w:szCs w:val="24"/>
        </w:rPr>
        <w:t>如果中标人的履约保证金是以银行保函的形式提供，则该银行保函应由在中国注册的银行开具。</w:t>
      </w:r>
    </w:p>
    <w:p w14:paraId="66E42B31">
      <w:pPr>
        <w:numPr>
          <w:ilvl w:val="0"/>
          <w:numId w:val="0"/>
        </w:numPr>
        <w:spacing w:line="360" w:lineRule="auto"/>
        <w:ind w:lef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32.3</w:t>
      </w:r>
      <w:r>
        <w:rPr>
          <w:rFonts w:hint="eastAsia" w:asciiTheme="minorEastAsia" w:hAnsiTheme="minorEastAsia" w:eastAsiaTheme="minorEastAsia" w:cstheme="minorEastAsia"/>
          <w:sz w:val="24"/>
          <w:szCs w:val="24"/>
        </w:rPr>
        <w:t>如果中标人不与招标人签订合同并提交履约保证金，或者在签订合同时向招标人提出附加条件或者更改合同实质性内容的，招标人则有权没收该投标人的投标保证金，并视为其放弃中标资格；给招标人的损失超过投标保证金数额的，中标人应对超过部分予以赔偿。</w:t>
      </w:r>
    </w:p>
    <w:p w14:paraId="2249EF54">
      <w:pPr>
        <w:pStyle w:val="22"/>
        <w:numPr>
          <w:ilvl w:val="0"/>
          <w:numId w:val="0"/>
        </w:numPr>
        <w:adjustRightInd w:val="0"/>
        <w:snapToGrid w:val="0"/>
        <w:spacing w:before="159" w:beforeLines="50" w:line="360" w:lineRule="auto"/>
        <w:ind w:leftChars="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33.</w:t>
      </w:r>
      <w:r>
        <w:rPr>
          <w:rFonts w:hint="eastAsia" w:asciiTheme="minorEastAsia" w:hAnsiTheme="minorEastAsia" w:eastAsiaTheme="minorEastAsia" w:cstheme="minorEastAsia"/>
          <w:b/>
          <w:bCs/>
          <w:sz w:val="24"/>
          <w:szCs w:val="24"/>
        </w:rPr>
        <w:t>采购任务取消</w:t>
      </w:r>
    </w:p>
    <w:p w14:paraId="3935992A">
      <w:pPr>
        <w:numPr>
          <w:ilvl w:val="0"/>
          <w:numId w:val="0"/>
        </w:numPr>
        <w:spacing w:line="360" w:lineRule="auto"/>
        <w:ind w:left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kern w:val="0"/>
          <w:sz w:val="24"/>
          <w:szCs w:val="24"/>
          <w:lang w:val="en-US" w:eastAsia="zh-CN"/>
        </w:rPr>
        <w:t>33.1</w:t>
      </w:r>
      <w:r>
        <w:rPr>
          <w:rFonts w:hint="eastAsia" w:asciiTheme="minorEastAsia" w:hAnsiTheme="minorEastAsia" w:eastAsiaTheme="minorEastAsia" w:cstheme="minorEastAsia"/>
          <w:kern w:val="0"/>
          <w:sz w:val="24"/>
          <w:szCs w:val="24"/>
        </w:rPr>
        <w:t>在采购活动中因重大变故，采购任务取消的，招标人或者招标代理机构应当终止采购活动，通知所有参加采购活动的投标人，并将项目实施情况和采购任务取消原因报送本级财政部门。</w:t>
      </w:r>
    </w:p>
    <w:p w14:paraId="704CB984">
      <w:pPr>
        <w:pStyle w:val="22"/>
        <w:numPr>
          <w:ilvl w:val="0"/>
          <w:numId w:val="0"/>
        </w:numPr>
        <w:adjustRightInd w:val="0"/>
        <w:snapToGrid w:val="0"/>
        <w:spacing w:before="159" w:beforeLines="50" w:line="360" w:lineRule="auto"/>
        <w:ind w:leftChars="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34.</w:t>
      </w:r>
      <w:r>
        <w:rPr>
          <w:rFonts w:hint="eastAsia" w:asciiTheme="minorEastAsia" w:hAnsiTheme="minorEastAsia" w:eastAsiaTheme="minorEastAsia" w:cstheme="minorEastAsia"/>
          <w:b/>
          <w:bCs/>
          <w:sz w:val="24"/>
          <w:szCs w:val="24"/>
        </w:rPr>
        <w:t>其他</w:t>
      </w:r>
    </w:p>
    <w:p w14:paraId="06239229">
      <w:pPr>
        <w:numPr>
          <w:ilvl w:val="0"/>
          <w:numId w:val="0"/>
        </w:numPr>
        <w:spacing w:line="360" w:lineRule="auto"/>
        <w:ind w:left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34.1</w:t>
      </w:r>
      <w:r>
        <w:rPr>
          <w:rFonts w:hint="eastAsia" w:asciiTheme="minorEastAsia" w:hAnsiTheme="minorEastAsia" w:eastAsiaTheme="minorEastAsia" w:cstheme="minorEastAsia"/>
          <w:bCs/>
          <w:sz w:val="24"/>
          <w:szCs w:val="24"/>
        </w:rPr>
        <w:t>本招标文件如与网上发布的招标公告、更正公告等有差异的部分，以网上发布的为准。</w:t>
      </w:r>
    </w:p>
    <w:p w14:paraId="4A970102">
      <w:pPr>
        <w:numPr>
          <w:ilvl w:val="0"/>
          <w:numId w:val="0"/>
        </w:numPr>
        <w:spacing w:line="360" w:lineRule="auto"/>
        <w:ind w:left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34.2</w:t>
      </w:r>
      <w:r>
        <w:rPr>
          <w:rFonts w:hint="eastAsia" w:asciiTheme="minorEastAsia" w:hAnsiTheme="minorEastAsia" w:eastAsiaTheme="minorEastAsia" w:cstheme="minorEastAsia"/>
          <w:bCs/>
          <w:sz w:val="24"/>
          <w:szCs w:val="24"/>
        </w:rPr>
        <w:t>投标人成功投标并不意味着其满足投标人资格，具体评判标准以本文件和评标委员会评审为依据。</w:t>
      </w:r>
    </w:p>
    <w:p w14:paraId="6BB02411">
      <w:pPr>
        <w:widowControl/>
        <w:spacing w:line="560" w:lineRule="exact"/>
        <w:jc w:val="center"/>
        <w:outlineLvl w:val="0"/>
        <w:rPr>
          <w:b/>
          <w:bCs/>
          <w:sz w:val="32"/>
          <w:szCs w:val="32"/>
        </w:rPr>
      </w:pPr>
      <w:r>
        <w:rPr>
          <w:rFonts w:hint="eastAsia"/>
          <w:b/>
          <w:bCs/>
          <w:sz w:val="32"/>
          <w:szCs w:val="32"/>
        </w:rPr>
        <w:br w:type="page"/>
      </w:r>
      <w:bookmarkStart w:id="141" w:name="_Toc2336"/>
      <w:bookmarkStart w:id="142" w:name="_Toc26415"/>
      <w:bookmarkStart w:id="143" w:name="_Toc4399"/>
      <w:bookmarkStart w:id="144" w:name="_Toc3923"/>
      <w:r>
        <w:rPr>
          <w:rFonts w:hint="eastAsia"/>
          <w:b/>
          <w:bCs/>
          <w:sz w:val="32"/>
          <w:szCs w:val="32"/>
        </w:rPr>
        <w:t>第三章  评标办法</w:t>
      </w:r>
      <w:bookmarkEnd w:id="141"/>
      <w:bookmarkEnd w:id="142"/>
      <w:bookmarkEnd w:id="143"/>
      <w:bookmarkEnd w:id="144"/>
    </w:p>
    <w:p w14:paraId="2347158F">
      <w:pPr>
        <w:rPr>
          <w:rFonts w:ascii="宋体" w:hAnsi="宋体" w:cs="宋体"/>
          <w:b/>
          <w:bCs/>
          <w:sz w:val="24"/>
          <w:szCs w:val="24"/>
        </w:rPr>
      </w:pPr>
      <w:r>
        <w:rPr>
          <w:rFonts w:hint="eastAsia" w:ascii="宋体" w:hAnsi="宋体" w:cs="宋体"/>
          <w:b/>
          <w:bCs/>
          <w:sz w:val="24"/>
          <w:szCs w:val="24"/>
        </w:rPr>
        <w:t>评标办法（综合评分法）正文部分</w:t>
      </w:r>
    </w:p>
    <w:p w14:paraId="3DAF57D3">
      <w:pPr>
        <w:spacing w:line="360" w:lineRule="auto"/>
        <w:jc w:val="left"/>
        <w:rPr>
          <w:rFonts w:ascii="宋体" w:hAnsi="宋体" w:cs="宋体"/>
          <w:b/>
          <w:bCs/>
          <w:sz w:val="24"/>
          <w:szCs w:val="24"/>
        </w:rPr>
      </w:pPr>
      <w:r>
        <w:rPr>
          <w:rFonts w:hint="eastAsia" w:ascii="宋体" w:hAnsi="宋体" w:cs="宋体"/>
          <w:b/>
          <w:bCs/>
          <w:sz w:val="24"/>
          <w:szCs w:val="24"/>
        </w:rPr>
        <w:t>（一）评标方式</w:t>
      </w:r>
    </w:p>
    <w:p w14:paraId="371FC883">
      <w:pPr>
        <w:spacing w:line="360" w:lineRule="auto"/>
        <w:ind w:firstLine="540" w:firstLineChars="225"/>
        <w:rPr>
          <w:rFonts w:ascii="宋体" w:hAnsi="宋体" w:cs="宋体"/>
          <w:sz w:val="24"/>
          <w:szCs w:val="24"/>
        </w:rPr>
      </w:pPr>
      <w:r>
        <w:rPr>
          <w:rFonts w:hint="eastAsia" w:ascii="宋体" w:hAnsi="宋体" w:cs="宋体"/>
          <w:sz w:val="24"/>
          <w:szCs w:val="24"/>
        </w:rPr>
        <w:t>1、通过初步审查的投标人为合格的投标人。</w:t>
      </w:r>
    </w:p>
    <w:p w14:paraId="72B54013">
      <w:pPr>
        <w:spacing w:line="360" w:lineRule="auto"/>
        <w:ind w:firstLine="540" w:firstLineChars="225"/>
        <w:rPr>
          <w:rFonts w:ascii="宋体" w:hAnsi="宋体" w:cs="宋体"/>
          <w:sz w:val="24"/>
          <w:szCs w:val="24"/>
        </w:rPr>
      </w:pPr>
      <w:r>
        <w:rPr>
          <w:rFonts w:hint="eastAsia" w:ascii="宋体" w:hAnsi="宋体" w:cs="宋体"/>
          <w:sz w:val="24"/>
          <w:szCs w:val="24"/>
        </w:rPr>
        <w:t>2、本次评标采用综合评分法。根据《中华人民共和国招投标法》、《中华人民共和国政府采购法》、《评标委员会和评标方法暂行规定》所规定的标准和补充规定等法律法规和有关实施办法。评标委员会将对各投标单位的投标文件，能否最大限度的满足招标文件中规定的各项要求和评价标准进行评审和比较。</w:t>
      </w:r>
    </w:p>
    <w:p w14:paraId="2926BC1C">
      <w:pPr>
        <w:spacing w:line="360" w:lineRule="auto"/>
        <w:ind w:firstLine="540" w:firstLineChars="225"/>
        <w:rPr>
          <w:rFonts w:ascii="宋体" w:hAnsi="宋体" w:cs="宋体"/>
          <w:sz w:val="24"/>
          <w:szCs w:val="24"/>
        </w:rPr>
      </w:pPr>
      <w:r>
        <w:rPr>
          <w:rFonts w:hint="eastAsia" w:ascii="宋体" w:hAnsi="宋体" w:cs="宋体"/>
          <w:sz w:val="24"/>
          <w:szCs w:val="24"/>
        </w:rPr>
        <w:t>3、综合评分法采取百分制的量化评审；由评标委员会成员依据评审标准独立打分。</w:t>
      </w:r>
    </w:p>
    <w:p w14:paraId="3D8E8F6A">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（二）评标计算规则</w:t>
      </w:r>
      <w:r>
        <w:rPr>
          <w:rFonts w:hint="eastAsia" w:ascii="宋体" w:hAnsi="宋体" w:cs="宋体"/>
          <w:color w:val="000000" w:themeColor="text1"/>
          <w:sz w:val="24"/>
          <w:szCs w:val="24"/>
          <w14:textFill>
            <w14:solidFill>
              <w14:schemeClr w14:val="tx1"/>
            </w14:solidFill>
          </w14:textFill>
        </w:rPr>
        <w:tab/>
      </w:r>
    </w:p>
    <w:p w14:paraId="58C8E3F6">
      <w:pPr>
        <w:spacing w:line="360" w:lineRule="auto"/>
        <w:ind w:firstLine="480"/>
        <w:rPr>
          <w:rFonts w:ascii="宋体" w:hAnsi="宋体" w:cs="宋体"/>
          <w:sz w:val="24"/>
          <w:szCs w:val="24"/>
        </w:rPr>
      </w:pPr>
      <w:r>
        <w:rPr>
          <w:rFonts w:hint="eastAsia" w:ascii="宋体" w:hAnsi="宋体" w:cs="宋体"/>
          <w:sz w:val="24"/>
          <w:szCs w:val="24"/>
        </w:rPr>
        <w:t>投标报价得分=（评标基准价/投标报价）*价格权重*100</w:t>
      </w:r>
    </w:p>
    <w:p w14:paraId="6ED053EE">
      <w:pPr>
        <w:spacing w:line="360" w:lineRule="auto"/>
        <w:ind w:firstLine="480"/>
        <w:rPr>
          <w:rFonts w:ascii="宋体" w:hAnsi="宋体" w:cs="宋体"/>
          <w:sz w:val="24"/>
          <w:szCs w:val="24"/>
        </w:rPr>
      </w:pPr>
      <w:r>
        <w:rPr>
          <w:rFonts w:hint="eastAsia" w:ascii="宋体" w:hAnsi="宋体" w:cs="宋体"/>
          <w:sz w:val="24"/>
          <w:szCs w:val="24"/>
        </w:rPr>
        <w:t>基准价=响应招标文件的最低投标报价</w:t>
      </w:r>
    </w:p>
    <w:p w14:paraId="020A00A1">
      <w:pPr>
        <w:pStyle w:val="75"/>
        <w:snapToGrid w:val="0"/>
        <w:spacing w:line="440" w:lineRule="exact"/>
        <w:ind w:firstLine="480" w:firstLineChars="200"/>
        <w:rPr>
          <w:b/>
          <w:bCs/>
          <w:color w:val="auto"/>
          <w:sz w:val="32"/>
          <w:szCs w:val="32"/>
        </w:rPr>
      </w:pPr>
      <w:r>
        <w:rPr>
          <w:rFonts w:hint="eastAsia" w:ascii="宋体" w:hAnsi="宋体" w:eastAsia="宋体" w:cs="宋体"/>
          <w:color w:val="auto"/>
          <w:kern w:val="2"/>
          <w:sz w:val="24"/>
          <w:szCs w:val="24"/>
          <w:lang w:val="en-US" w:eastAsia="zh-CN" w:bidi="ar-SA"/>
        </w:rPr>
        <w:t>评标时，评标委员会各成员应当独立对每个投标人的投标文件进行评价，并汇总每个投标人的得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b/>
          <w:bCs/>
          <w:color w:val="auto"/>
          <w:sz w:val="32"/>
          <w:szCs w:val="32"/>
        </w:rPr>
        <w:br w:type="page"/>
      </w:r>
    </w:p>
    <w:p w14:paraId="56E17BC2">
      <w:pPr>
        <w:tabs>
          <w:tab w:val="left" w:pos="900"/>
        </w:tabs>
        <w:rPr>
          <w:rFonts w:ascii="宋体" w:hAnsi="宋体"/>
          <w:szCs w:val="21"/>
        </w:rPr>
      </w:pPr>
      <w:r>
        <w:rPr>
          <w:rFonts w:hint="eastAsia" w:ascii="宋体" w:hAnsi="宋体"/>
          <w:szCs w:val="21"/>
        </w:rPr>
        <w:t>附表一</w:t>
      </w:r>
    </w:p>
    <w:p w14:paraId="7C74D86E">
      <w:pPr>
        <w:jc w:val="center"/>
        <w:outlineLvl w:val="1"/>
        <w:rPr>
          <w:rFonts w:hint="default" w:ascii="宋体" w:hAnsi="宋体" w:eastAsia="宋体" w:cs="宋体"/>
          <w:b/>
          <w:sz w:val="28"/>
          <w:szCs w:val="28"/>
          <w:lang w:val="en-US" w:eastAsia="zh-CN"/>
        </w:rPr>
      </w:pPr>
      <w:bookmarkStart w:id="145" w:name="_Toc27399"/>
      <w:bookmarkStart w:id="146" w:name="_Toc7989"/>
      <w:bookmarkStart w:id="147" w:name="_Toc12120"/>
      <w:bookmarkStart w:id="148" w:name="_Toc31507"/>
      <w:bookmarkStart w:id="149" w:name="_Toc13054"/>
      <w:r>
        <w:rPr>
          <w:rFonts w:hint="eastAsia" w:ascii="宋体" w:hAnsi="宋体" w:cs="宋体"/>
          <w:b/>
          <w:sz w:val="28"/>
          <w:szCs w:val="28"/>
        </w:rPr>
        <w:t>初步评审标准</w:t>
      </w:r>
      <w:bookmarkEnd w:id="145"/>
      <w:bookmarkEnd w:id="146"/>
      <w:bookmarkEnd w:id="147"/>
      <w:bookmarkEnd w:id="148"/>
      <w:bookmarkEnd w:id="149"/>
    </w:p>
    <w:tbl>
      <w:tblPr>
        <w:tblStyle w:val="42"/>
        <w:tblW w:w="97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4"/>
        <w:gridCol w:w="737"/>
        <w:gridCol w:w="6697"/>
        <w:gridCol w:w="740"/>
        <w:gridCol w:w="752"/>
      </w:tblGrid>
      <w:tr w14:paraId="12F805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jc w:val="center"/>
        </w:trPr>
        <w:tc>
          <w:tcPr>
            <w:tcW w:w="834" w:type="dxa"/>
            <w:vMerge w:val="restart"/>
            <w:vAlign w:val="center"/>
          </w:tcPr>
          <w:p w14:paraId="65FBE001">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w:t>
            </w:r>
          </w:p>
        </w:tc>
        <w:tc>
          <w:tcPr>
            <w:tcW w:w="7434" w:type="dxa"/>
            <w:gridSpan w:val="2"/>
            <w:vMerge w:val="restart"/>
            <w:vAlign w:val="center"/>
          </w:tcPr>
          <w:p w14:paraId="655C275D">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评审内容</w:t>
            </w:r>
          </w:p>
        </w:tc>
        <w:tc>
          <w:tcPr>
            <w:tcW w:w="1492" w:type="dxa"/>
            <w:gridSpan w:val="2"/>
            <w:vAlign w:val="center"/>
          </w:tcPr>
          <w:p w14:paraId="295C7C5E">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w:t>
            </w:r>
          </w:p>
          <w:p w14:paraId="775265E2">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意见</w:t>
            </w:r>
          </w:p>
        </w:tc>
      </w:tr>
      <w:tr w14:paraId="4B93A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834" w:type="dxa"/>
            <w:vMerge w:val="continue"/>
            <w:vAlign w:val="center"/>
          </w:tcPr>
          <w:p w14:paraId="49DBCD64">
            <w:pPr>
              <w:jc w:val="center"/>
              <w:rPr>
                <w:rFonts w:hint="eastAsia" w:asciiTheme="minorEastAsia" w:hAnsiTheme="minorEastAsia" w:eastAsiaTheme="minorEastAsia" w:cstheme="minorEastAsia"/>
                <w:b/>
                <w:sz w:val="24"/>
                <w:szCs w:val="24"/>
              </w:rPr>
            </w:pPr>
          </w:p>
        </w:tc>
        <w:tc>
          <w:tcPr>
            <w:tcW w:w="7434" w:type="dxa"/>
            <w:gridSpan w:val="2"/>
            <w:vMerge w:val="continue"/>
          </w:tcPr>
          <w:p w14:paraId="76579CCC">
            <w:pPr>
              <w:rPr>
                <w:rFonts w:hint="eastAsia" w:asciiTheme="minorEastAsia" w:hAnsiTheme="minorEastAsia" w:eastAsiaTheme="minorEastAsia" w:cstheme="minorEastAsia"/>
                <w:b/>
                <w:sz w:val="24"/>
                <w:szCs w:val="24"/>
              </w:rPr>
            </w:pPr>
          </w:p>
        </w:tc>
        <w:tc>
          <w:tcPr>
            <w:tcW w:w="740" w:type="dxa"/>
            <w:vAlign w:val="center"/>
          </w:tcPr>
          <w:p w14:paraId="03760F28">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是</w:t>
            </w:r>
          </w:p>
        </w:tc>
        <w:tc>
          <w:tcPr>
            <w:tcW w:w="752" w:type="dxa"/>
            <w:vAlign w:val="center"/>
          </w:tcPr>
          <w:p w14:paraId="21CB6DE7">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否</w:t>
            </w:r>
          </w:p>
        </w:tc>
      </w:tr>
      <w:tr w14:paraId="69BCD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834" w:type="dxa"/>
            <w:vMerge w:val="restart"/>
            <w:vAlign w:val="center"/>
          </w:tcPr>
          <w:p w14:paraId="65F9696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w:t>
            </w:r>
          </w:p>
          <w:p w14:paraId="65E8EDB6">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格</w:t>
            </w:r>
          </w:p>
          <w:p w14:paraId="285F5C75">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w:t>
            </w:r>
          </w:p>
          <w:p w14:paraId="7D4FF88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w:t>
            </w:r>
          </w:p>
          <w:p w14:paraId="75175DCB">
            <w:pPr>
              <w:jc w:val="center"/>
              <w:rPr>
                <w:rFonts w:hint="eastAsia" w:asciiTheme="minorEastAsia" w:hAnsiTheme="minorEastAsia" w:eastAsiaTheme="minorEastAsia" w:cstheme="minorEastAsia"/>
                <w:sz w:val="24"/>
                <w:szCs w:val="24"/>
              </w:rPr>
            </w:pPr>
          </w:p>
        </w:tc>
        <w:tc>
          <w:tcPr>
            <w:tcW w:w="737" w:type="dxa"/>
            <w:vAlign w:val="center"/>
          </w:tcPr>
          <w:p w14:paraId="7158758C">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697" w:type="dxa"/>
            <w:vAlign w:val="center"/>
          </w:tcPr>
          <w:p w14:paraId="6A63F0C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w:t>
            </w: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lang w:eastAsia="zh-CN"/>
              </w:rPr>
              <w:t>有效的三证合一的营业执照</w:t>
            </w:r>
            <w:r>
              <w:rPr>
                <w:rFonts w:hint="eastAsia" w:asciiTheme="minorEastAsia" w:hAnsiTheme="minorEastAsia" w:eastAsiaTheme="minorEastAsia" w:cstheme="minorEastAsia"/>
                <w:sz w:val="24"/>
                <w:szCs w:val="24"/>
              </w:rPr>
              <w:t>；</w:t>
            </w:r>
          </w:p>
        </w:tc>
        <w:tc>
          <w:tcPr>
            <w:tcW w:w="740" w:type="dxa"/>
            <w:tcBorders>
              <w:right w:val="single" w:color="auto" w:sz="4" w:space="0"/>
            </w:tcBorders>
          </w:tcPr>
          <w:p w14:paraId="42DFE53D">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tcPr>
          <w:p w14:paraId="004D3DEC">
            <w:pPr>
              <w:spacing w:line="360" w:lineRule="auto"/>
              <w:rPr>
                <w:rFonts w:hint="eastAsia" w:asciiTheme="minorEastAsia" w:hAnsiTheme="minorEastAsia" w:eastAsiaTheme="minorEastAsia" w:cstheme="minorEastAsia"/>
                <w:sz w:val="24"/>
                <w:szCs w:val="24"/>
              </w:rPr>
            </w:pPr>
          </w:p>
        </w:tc>
      </w:tr>
      <w:tr w14:paraId="2EBD0B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23" w:hRule="atLeast"/>
          <w:jc w:val="center"/>
        </w:trPr>
        <w:tc>
          <w:tcPr>
            <w:tcW w:w="834" w:type="dxa"/>
            <w:vMerge w:val="continue"/>
            <w:vAlign w:val="center"/>
          </w:tcPr>
          <w:p w14:paraId="48CDE6CC">
            <w:pPr>
              <w:jc w:val="center"/>
              <w:rPr>
                <w:rFonts w:hint="eastAsia" w:asciiTheme="minorEastAsia" w:hAnsiTheme="minorEastAsia" w:eastAsiaTheme="minorEastAsia" w:cstheme="minorEastAsia"/>
                <w:sz w:val="24"/>
                <w:szCs w:val="24"/>
              </w:rPr>
            </w:pPr>
          </w:p>
        </w:tc>
        <w:tc>
          <w:tcPr>
            <w:tcW w:w="737" w:type="dxa"/>
            <w:vAlign w:val="center"/>
          </w:tcPr>
          <w:p w14:paraId="5FA2B357">
            <w:pPr>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6697" w:type="dxa"/>
            <w:vAlign w:val="center"/>
          </w:tcPr>
          <w:p w14:paraId="3E594BD8">
            <w:pPr>
              <w:spacing w:line="360" w:lineRule="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投标产品属于医疗器械的。若投标人为货物制造商，使用自身生产的产品投标时，所投产品属第一类医疗器械的应具有《医疗器械生产备案凭证》，属第二类、第三类医疗器械的应具有《医疗器械生产许可证》；若投标人为代理商所投产品属于第二类医疗器械的的须具有《医疗器械经营备案凭证》或《医疗器械经营许可证》；所投产品属于第三类医疗器械的的须具有《医疗器械经营许可证》</w:t>
            </w:r>
            <w:r>
              <w:rPr>
                <w:rFonts w:hint="eastAsia" w:asciiTheme="minorEastAsia" w:hAnsiTheme="minorEastAsia" w:eastAsiaTheme="minorEastAsia" w:cstheme="minorEastAsia"/>
                <w:kern w:val="0"/>
                <w:sz w:val="24"/>
                <w:szCs w:val="24"/>
                <w:lang w:eastAsia="zh-CN"/>
              </w:rPr>
              <w:t>；</w:t>
            </w:r>
          </w:p>
        </w:tc>
        <w:tc>
          <w:tcPr>
            <w:tcW w:w="740" w:type="dxa"/>
            <w:tcBorders>
              <w:right w:val="single" w:color="auto" w:sz="4" w:space="0"/>
            </w:tcBorders>
          </w:tcPr>
          <w:p w14:paraId="534E98ED">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tcPr>
          <w:p w14:paraId="12EECD4A">
            <w:pPr>
              <w:spacing w:line="360" w:lineRule="auto"/>
              <w:rPr>
                <w:rFonts w:hint="eastAsia" w:asciiTheme="minorEastAsia" w:hAnsiTheme="minorEastAsia" w:eastAsiaTheme="minorEastAsia" w:cstheme="minorEastAsia"/>
                <w:sz w:val="24"/>
                <w:szCs w:val="24"/>
              </w:rPr>
            </w:pPr>
          </w:p>
        </w:tc>
      </w:tr>
      <w:tr w14:paraId="380B5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8" w:hRule="atLeast"/>
          <w:jc w:val="center"/>
        </w:trPr>
        <w:tc>
          <w:tcPr>
            <w:tcW w:w="834" w:type="dxa"/>
            <w:vMerge w:val="continue"/>
            <w:vAlign w:val="center"/>
          </w:tcPr>
          <w:p w14:paraId="362FFA77">
            <w:pPr>
              <w:jc w:val="center"/>
              <w:rPr>
                <w:rFonts w:hint="eastAsia" w:asciiTheme="minorEastAsia" w:hAnsiTheme="minorEastAsia" w:eastAsiaTheme="minorEastAsia" w:cstheme="minorEastAsia"/>
                <w:sz w:val="24"/>
                <w:szCs w:val="24"/>
              </w:rPr>
            </w:pPr>
          </w:p>
        </w:tc>
        <w:tc>
          <w:tcPr>
            <w:tcW w:w="737" w:type="dxa"/>
            <w:vAlign w:val="center"/>
          </w:tcPr>
          <w:p w14:paraId="29D6F2FA">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6697" w:type="dxa"/>
            <w:vAlign w:val="center"/>
          </w:tcPr>
          <w:p w14:paraId="60D7741A">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w:t>
            </w:r>
            <w:r>
              <w:rPr>
                <w:rFonts w:hint="eastAsia" w:asciiTheme="minorEastAsia" w:hAnsiTheme="minorEastAsia" w:eastAsiaTheme="minorEastAsia" w:cstheme="minorEastAsia"/>
                <w:kern w:val="0"/>
                <w:sz w:val="24"/>
                <w:szCs w:val="24"/>
                <w:lang w:eastAsia="zh-CN"/>
              </w:rPr>
              <w:t>提供</w:t>
            </w:r>
            <w:r>
              <w:rPr>
                <w:rFonts w:hint="eastAsia" w:asciiTheme="minorEastAsia" w:hAnsiTheme="minorEastAsia" w:eastAsiaTheme="minorEastAsia" w:cstheme="minorEastAsia"/>
                <w:kern w:val="0"/>
                <w:sz w:val="24"/>
                <w:szCs w:val="24"/>
                <w:lang w:val="en-US" w:eastAsia="zh-CN"/>
              </w:rPr>
              <w:t>2024或2025年度经审计的财务报告（包含审计报告和审计报告中所涉及的财务报表和报表附注）或供应商注册时间至文件递交截止日不足一年的提供注册时间至文件递交截止日前供应商内部财务报表（至少包含资产负债表）</w:t>
            </w:r>
            <w:r>
              <w:rPr>
                <w:rFonts w:hint="eastAsia" w:asciiTheme="minorEastAsia" w:hAnsiTheme="minorEastAsia" w:eastAsiaTheme="minorEastAsia" w:cstheme="minorEastAsia"/>
                <w:kern w:val="0"/>
                <w:sz w:val="24"/>
                <w:szCs w:val="24"/>
                <w:lang w:eastAsia="zh-CN"/>
              </w:rPr>
              <w:t>；</w:t>
            </w:r>
          </w:p>
        </w:tc>
        <w:tc>
          <w:tcPr>
            <w:tcW w:w="740" w:type="dxa"/>
            <w:tcBorders>
              <w:right w:val="single" w:color="auto" w:sz="4" w:space="0"/>
            </w:tcBorders>
          </w:tcPr>
          <w:p w14:paraId="625A095E">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tcPr>
          <w:p w14:paraId="25880A5C">
            <w:pPr>
              <w:spacing w:line="360" w:lineRule="auto"/>
              <w:rPr>
                <w:rFonts w:hint="eastAsia" w:asciiTheme="minorEastAsia" w:hAnsiTheme="minorEastAsia" w:eastAsiaTheme="minorEastAsia" w:cstheme="minorEastAsia"/>
                <w:sz w:val="24"/>
                <w:szCs w:val="24"/>
              </w:rPr>
            </w:pPr>
          </w:p>
        </w:tc>
      </w:tr>
      <w:tr w14:paraId="1257B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4" w:hRule="atLeast"/>
          <w:jc w:val="center"/>
        </w:trPr>
        <w:tc>
          <w:tcPr>
            <w:tcW w:w="834" w:type="dxa"/>
            <w:vMerge w:val="continue"/>
            <w:vAlign w:val="center"/>
          </w:tcPr>
          <w:p w14:paraId="0F279E27">
            <w:pPr>
              <w:jc w:val="center"/>
              <w:rPr>
                <w:rFonts w:hint="eastAsia" w:asciiTheme="minorEastAsia" w:hAnsiTheme="minorEastAsia" w:eastAsiaTheme="minorEastAsia" w:cstheme="minorEastAsia"/>
                <w:sz w:val="24"/>
                <w:szCs w:val="24"/>
              </w:rPr>
            </w:pPr>
          </w:p>
        </w:tc>
        <w:tc>
          <w:tcPr>
            <w:tcW w:w="737" w:type="dxa"/>
            <w:vAlign w:val="center"/>
          </w:tcPr>
          <w:p w14:paraId="0AC6C96C">
            <w:pPr>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6697" w:type="dxa"/>
            <w:vAlign w:val="center"/>
          </w:tcPr>
          <w:p w14:paraId="05C6F832">
            <w:pPr>
              <w:autoSpaceDE w:val="0"/>
              <w:autoSpaceDN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是否提供</w:t>
            </w:r>
            <w:r>
              <w:rPr>
                <w:rFonts w:hint="eastAsia" w:ascii="宋体" w:hAnsi="宋体"/>
                <w:bCs/>
                <w:sz w:val="24"/>
                <w:lang w:val="en-US" w:eastAsia="zh-CN"/>
              </w:rPr>
              <w:t>近三个月内</w:t>
            </w:r>
            <w:r>
              <w:rPr>
                <w:rFonts w:hint="eastAsia" w:asciiTheme="minorEastAsia" w:hAnsiTheme="minorEastAsia" w:eastAsiaTheme="minorEastAsia" w:cstheme="minorEastAsia"/>
                <w:sz w:val="24"/>
                <w:szCs w:val="24"/>
                <w:lang w:eastAsia="zh-CN"/>
              </w:rPr>
              <w:t>任意一个月完税证明和盖有社保局公章的社保缴纳证明（社保缴纳证明中含法人或委托人的社保明细）；</w:t>
            </w:r>
          </w:p>
        </w:tc>
        <w:tc>
          <w:tcPr>
            <w:tcW w:w="740" w:type="dxa"/>
            <w:tcBorders>
              <w:right w:val="single" w:color="auto" w:sz="4" w:space="0"/>
            </w:tcBorders>
          </w:tcPr>
          <w:p w14:paraId="7A006B52">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tcPr>
          <w:p w14:paraId="256E54F3">
            <w:pPr>
              <w:spacing w:line="360" w:lineRule="auto"/>
              <w:rPr>
                <w:rFonts w:hint="eastAsia" w:asciiTheme="minorEastAsia" w:hAnsiTheme="minorEastAsia" w:eastAsiaTheme="minorEastAsia" w:cstheme="minorEastAsia"/>
                <w:sz w:val="24"/>
                <w:szCs w:val="24"/>
              </w:rPr>
            </w:pPr>
          </w:p>
        </w:tc>
      </w:tr>
      <w:tr w14:paraId="3C5C4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834" w:type="dxa"/>
            <w:vMerge w:val="continue"/>
            <w:vAlign w:val="center"/>
          </w:tcPr>
          <w:p w14:paraId="2BA2DBE4">
            <w:pPr>
              <w:jc w:val="center"/>
              <w:rPr>
                <w:rFonts w:hint="eastAsia" w:asciiTheme="minorEastAsia" w:hAnsiTheme="minorEastAsia" w:eastAsiaTheme="minorEastAsia" w:cstheme="minorEastAsia"/>
                <w:sz w:val="24"/>
                <w:szCs w:val="24"/>
              </w:rPr>
            </w:pPr>
          </w:p>
        </w:tc>
        <w:tc>
          <w:tcPr>
            <w:tcW w:w="737" w:type="dxa"/>
            <w:vAlign w:val="center"/>
          </w:tcPr>
          <w:p w14:paraId="37FE1928">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6697" w:type="dxa"/>
            <w:vAlign w:val="center"/>
          </w:tcPr>
          <w:p w14:paraId="38D29F76">
            <w:pPr>
              <w:autoSpaceDE w:val="0"/>
              <w:autoSpaceDN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是否提供法定代表人身份证明或法定代表人授权委托书及受托人身份证；</w:t>
            </w:r>
          </w:p>
        </w:tc>
        <w:tc>
          <w:tcPr>
            <w:tcW w:w="740" w:type="dxa"/>
            <w:tcBorders>
              <w:right w:val="single" w:color="auto" w:sz="4" w:space="0"/>
            </w:tcBorders>
          </w:tcPr>
          <w:p w14:paraId="63958FEC">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tcPr>
          <w:p w14:paraId="302796E7">
            <w:pPr>
              <w:spacing w:line="360" w:lineRule="auto"/>
              <w:rPr>
                <w:rFonts w:hint="eastAsia" w:asciiTheme="minorEastAsia" w:hAnsiTheme="minorEastAsia" w:eastAsiaTheme="minorEastAsia" w:cstheme="minorEastAsia"/>
                <w:sz w:val="24"/>
                <w:szCs w:val="24"/>
              </w:rPr>
            </w:pPr>
          </w:p>
        </w:tc>
      </w:tr>
      <w:tr w14:paraId="2776E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2" w:hRule="atLeast"/>
          <w:jc w:val="center"/>
        </w:trPr>
        <w:tc>
          <w:tcPr>
            <w:tcW w:w="834" w:type="dxa"/>
            <w:vMerge w:val="continue"/>
            <w:vAlign w:val="center"/>
          </w:tcPr>
          <w:p w14:paraId="45B97968">
            <w:pPr>
              <w:jc w:val="center"/>
              <w:rPr>
                <w:rFonts w:hint="eastAsia" w:asciiTheme="minorEastAsia" w:hAnsiTheme="minorEastAsia" w:eastAsiaTheme="minorEastAsia" w:cstheme="minorEastAsia"/>
                <w:sz w:val="24"/>
                <w:szCs w:val="24"/>
              </w:rPr>
            </w:pPr>
          </w:p>
        </w:tc>
        <w:tc>
          <w:tcPr>
            <w:tcW w:w="737" w:type="dxa"/>
            <w:vAlign w:val="center"/>
          </w:tcPr>
          <w:p w14:paraId="553F0278">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6697" w:type="dxa"/>
            <w:vAlign w:val="center"/>
          </w:tcPr>
          <w:p w14:paraId="6F5D5695">
            <w:pPr>
              <w:autoSpaceDE w:val="0"/>
              <w:autoSpaceDN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是否提供具有履行合同所必需的设备和专业技术能力（提供声明函）；</w:t>
            </w:r>
          </w:p>
        </w:tc>
        <w:tc>
          <w:tcPr>
            <w:tcW w:w="740" w:type="dxa"/>
            <w:tcBorders>
              <w:right w:val="single" w:color="auto" w:sz="4" w:space="0"/>
            </w:tcBorders>
          </w:tcPr>
          <w:p w14:paraId="3EFAABA1">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tcPr>
          <w:p w14:paraId="0EBEA3CD">
            <w:pPr>
              <w:spacing w:line="360" w:lineRule="auto"/>
              <w:rPr>
                <w:rFonts w:hint="eastAsia" w:asciiTheme="minorEastAsia" w:hAnsiTheme="minorEastAsia" w:eastAsiaTheme="minorEastAsia" w:cstheme="minorEastAsia"/>
                <w:sz w:val="24"/>
                <w:szCs w:val="24"/>
              </w:rPr>
            </w:pPr>
          </w:p>
        </w:tc>
      </w:tr>
      <w:tr w14:paraId="12776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6" w:hRule="atLeast"/>
          <w:jc w:val="center"/>
        </w:trPr>
        <w:tc>
          <w:tcPr>
            <w:tcW w:w="834" w:type="dxa"/>
            <w:vMerge w:val="continue"/>
            <w:vAlign w:val="center"/>
          </w:tcPr>
          <w:p w14:paraId="4476AA00">
            <w:pPr>
              <w:jc w:val="center"/>
              <w:rPr>
                <w:rFonts w:hint="eastAsia" w:asciiTheme="minorEastAsia" w:hAnsiTheme="minorEastAsia" w:eastAsiaTheme="minorEastAsia" w:cstheme="minorEastAsia"/>
                <w:sz w:val="24"/>
                <w:szCs w:val="24"/>
              </w:rPr>
            </w:pPr>
          </w:p>
        </w:tc>
        <w:tc>
          <w:tcPr>
            <w:tcW w:w="737" w:type="dxa"/>
            <w:vAlign w:val="center"/>
          </w:tcPr>
          <w:p w14:paraId="306A6E8B">
            <w:pPr>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6697" w:type="dxa"/>
            <w:vAlign w:val="center"/>
          </w:tcPr>
          <w:p w14:paraId="73D0E475">
            <w:pPr>
              <w:autoSpaceDE w:val="0"/>
              <w:autoSpaceDN w:val="0"/>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是否提供</w:t>
            </w:r>
            <w:r>
              <w:rPr>
                <w:rFonts w:hint="eastAsia" w:asciiTheme="minorEastAsia" w:hAnsiTheme="minorEastAsia" w:eastAsiaTheme="minorEastAsia" w:cstheme="minorEastAsia"/>
                <w:kern w:val="0"/>
                <w:sz w:val="24"/>
                <w:szCs w:val="24"/>
                <w:lang w:val="en-US" w:eastAsia="zh-CN"/>
              </w:rPr>
              <w:t>参加政府采购活动前三年内，在经营活动中没有重大违法记录声明；</w:t>
            </w:r>
          </w:p>
        </w:tc>
        <w:tc>
          <w:tcPr>
            <w:tcW w:w="740" w:type="dxa"/>
            <w:tcBorders>
              <w:right w:val="single" w:color="auto" w:sz="4" w:space="0"/>
            </w:tcBorders>
          </w:tcPr>
          <w:p w14:paraId="0DA57928">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tcPr>
          <w:p w14:paraId="770EB93C">
            <w:pPr>
              <w:spacing w:line="360" w:lineRule="auto"/>
              <w:rPr>
                <w:rFonts w:hint="eastAsia" w:asciiTheme="minorEastAsia" w:hAnsiTheme="minorEastAsia" w:eastAsiaTheme="minorEastAsia" w:cstheme="minorEastAsia"/>
                <w:sz w:val="24"/>
                <w:szCs w:val="24"/>
              </w:rPr>
            </w:pPr>
          </w:p>
        </w:tc>
      </w:tr>
      <w:tr w14:paraId="3A937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834" w:type="dxa"/>
            <w:vMerge w:val="restart"/>
            <w:vAlign w:val="center"/>
          </w:tcPr>
          <w:p w14:paraId="22E29FC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符合</w:t>
            </w:r>
            <w:r>
              <w:rPr>
                <w:rFonts w:hint="eastAsia" w:asciiTheme="minorEastAsia" w:hAnsiTheme="minorEastAsia" w:eastAsiaTheme="minorEastAsia" w:cstheme="minorEastAsia"/>
                <w:sz w:val="24"/>
                <w:szCs w:val="24"/>
              </w:rPr>
              <w:t>性评审</w:t>
            </w:r>
          </w:p>
        </w:tc>
        <w:tc>
          <w:tcPr>
            <w:tcW w:w="737" w:type="dxa"/>
            <w:vAlign w:val="center"/>
          </w:tcPr>
          <w:p w14:paraId="088B6BB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1</w:t>
            </w:r>
          </w:p>
        </w:tc>
        <w:tc>
          <w:tcPr>
            <w:tcW w:w="6697" w:type="dxa"/>
            <w:vAlign w:val="center"/>
          </w:tcPr>
          <w:p w14:paraId="442E2D2A">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投标单位名称</w:t>
            </w:r>
            <w:r>
              <w:rPr>
                <w:rFonts w:hint="eastAsia" w:asciiTheme="minorEastAsia" w:hAnsiTheme="minorEastAsia" w:eastAsiaTheme="minorEastAsia" w:cstheme="minorEastAsia"/>
                <w:kern w:val="0"/>
                <w:sz w:val="24"/>
                <w:szCs w:val="24"/>
              </w:rPr>
              <w:t>与营业执照一致</w:t>
            </w:r>
          </w:p>
        </w:tc>
        <w:tc>
          <w:tcPr>
            <w:tcW w:w="740" w:type="dxa"/>
            <w:tcBorders>
              <w:right w:val="single" w:color="auto" w:sz="4" w:space="0"/>
            </w:tcBorders>
            <w:vAlign w:val="top"/>
          </w:tcPr>
          <w:p w14:paraId="7C6FD220">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vAlign w:val="top"/>
          </w:tcPr>
          <w:p w14:paraId="5A3084CE">
            <w:pPr>
              <w:spacing w:line="360" w:lineRule="auto"/>
              <w:rPr>
                <w:rFonts w:hint="eastAsia" w:asciiTheme="minorEastAsia" w:hAnsiTheme="minorEastAsia" w:eastAsiaTheme="minorEastAsia" w:cstheme="minorEastAsia"/>
                <w:sz w:val="24"/>
                <w:szCs w:val="24"/>
              </w:rPr>
            </w:pPr>
          </w:p>
        </w:tc>
      </w:tr>
      <w:tr w14:paraId="7CE95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jc w:val="center"/>
        </w:trPr>
        <w:tc>
          <w:tcPr>
            <w:tcW w:w="834" w:type="dxa"/>
            <w:vMerge w:val="continue"/>
            <w:vAlign w:val="center"/>
          </w:tcPr>
          <w:p w14:paraId="746A30F3">
            <w:pPr>
              <w:jc w:val="center"/>
              <w:rPr>
                <w:rFonts w:hint="eastAsia" w:asciiTheme="minorEastAsia" w:hAnsiTheme="minorEastAsia" w:eastAsiaTheme="minorEastAsia" w:cstheme="minorEastAsia"/>
                <w:sz w:val="24"/>
                <w:szCs w:val="24"/>
              </w:rPr>
            </w:pPr>
          </w:p>
        </w:tc>
        <w:tc>
          <w:tcPr>
            <w:tcW w:w="737" w:type="dxa"/>
            <w:vAlign w:val="center"/>
          </w:tcPr>
          <w:p w14:paraId="5EC22F6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2</w:t>
            </w:r>
          </w:p>
        </w:tc>
        <w:tc>
          <w:tcPr>
            <w:tcW w:w="6697" w:type="dxa"/>
            <w:vAlign w:val="center"/>
          </w:tcPr>
          <w:p w14:paraId="571EAA79">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合同履行期限</w:t>
            </w:r>
            <w:r>
              <w:rPr>
                <w:rFonts w:hint="eastAsia" w:asciiTheme="minorEastAsia" w:hAnsiTheme="minorEastAsia" w:eastAsiaTheme="minorEastAsia" w:cstheme="minorEastAsia"/>
                <w:kern w:val="0"/>
                <w:sz w:val="24"/>
                <w:szCs w:val="24"/>
              </w:rPr>
              <w:t>符合</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kern w:val="0"/>
                <w:sz w:val="24"/>
                <w:szCs w:val="24"/>
              </w:rPr>
              <w:t>规定</w:t>
            </w:r>
          </w:p>
        </w:tc>
        <w:tc>
          <w:tcPr>
            <w:tcW w:w="740" w:type="dxa"/>
            <w:tcBorders>
              <w:right w:val="single" w:color="auto" w:sz="4" w:space="0"/>
            </w:tcBorders>
            <w:vAlign w:val="top"/>
          </w:tcPr>
          <w:p w14:paraId="10638FEE">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vAlign w:val="top"/>
          </w:tcPr>
          <w:p w14:paraId="0AEC2D5C">
            <w:pPr>
              <w:spacing w:line="360" w:lineRule="auto"/>
              <w:rPr>
                <w:rFonts w:hint="eastAsia" w:asciiTheme="minorEastAsia" w:hAnsiTheme="minorEastAsia" w:eastAsiaTheme="minorEastAsia" w:cstheme="minorEastAsia"/>
                <w:sz w:val="24"/>
                <w:szCs w:val="24"/>
              </w:rPr>
            </w:pPr>
          </w:p>
        </w:tc>
      </w:tr>
      <w:tr w14:paraId="5E281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2" w:hRule="atLeast"/>
          <w:jc w:val="center"/>
        </w:trPr>
        <w:tc>
          <w:tcPr>
            <w:tcW w:w="834" w:type="dxa"/>
            <w:vMerge w:val="continue"/>
            <w:vAlign w:val="center"/>
          </w:tcPr>
          <w:p w14:paraId="15E331C7">
            <w:pPr>
              <w:jc w:val="center"/>
              <w:rPr>
                <w:rFonts w:hint="eastAsia" w:asciiTheme="minorEastAsia" w:hAnsiTheme="minorEastAsia" w:eastAsiaTheme="minorEastAsia" w:cstheme="minorEastAsia"/>
                <w:sz w:val="24"/>
                <w:szCs w:val="24"/>
              </w:rPr>
            </w:pPr>
          </w:p>
        </w:tc>
        <w:tc>
          <w:tcPr>
            <w:tcW w:w="737" w:type="dxa"/>
            <w:vAlign w:val="center"/>
          </w:tcPr>
          <w:p w14:paraId="0AF2D2B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3</w:t>
            </w:r>
          </w:p>
        </w:tc>
        <w:tc>
          <w:tcPr>
            <w:tcW w:w="6697" w:type="dxa"/>
            <w:vAlign w:val="center"/>
          </w:tcPr>
          <w:p w14:paraId="152173A2">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投标内容</w:t>
            </w:r>
            <w:r>
              <w:rPr>
                <w:rFonts w:hint="eastAsia" w:asciiTheme="minorEastAsia" w:hAnsiTheme="minorEastAsia" w:eastAsiaTheme="minorEastAsia" w:cstheme="minorEastAsia"/>
                <w:kern w:val="0"/>
                <w:sz w:val="24"/>
                <w:szCs w:val="24"/>
              </w:rPr>
              <w:t>符合</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kern w:val="0"/>
                <w:sz w:val="24"/>
                <w:szCs w:val="24"/>
              </w:rPr>
              <w:t>规定</w:t>
            </w:r>
          </w:p>
        </w:tc>
        <w:tc>
          <w:tcPr>
            <w:tcW w:w="740" w:type="dxa"/>
            <w:tcBorders>
              <w:right w:val="single" w:color="auto" w:sz="4" w:space="0"/>
            </w:tcBorders>
            <w:vAlign w:val="top"/>
          </w:tcPr>
          <w:p w14:paraId="77EAF0A8">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vAlign w:val="top"/>
          </w:tcPr>
          <w:p w14:paraId="66B4A1C2">
            <w:pPr>
              <w:spacing w:line="360" w:lineRule="auto"/>
              <w:rPr>
                <w:rFonts w:hint="eastAsia" w:asciiTheme="minorEastAsia" w:hAnsiTheme="minorEastAsia" w:eastAsiaTheme="minorEastAsia" w:cstheme="minorEastAsia"/>
                <w:sz w:val="24"/>
                <w:szCs w:val="24"/>
              </w:rPr>
            </w:pPr>
          </w:p>
        </w:tc>
      </w:tr>
      <w:tr w14:paraId="5E9F7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834" w:type="dxa"/>
            <w:vMerge w:val="continue"/>
            <w:vAlign w:val="center"/>
          </w:tcPr>
          <w:p w14:paraId="4B53DC07">
            <w:pPr>
              <w:jc w:val="center"/>
              <w:rPr>
                <w:rFonts w:hint="eastAsia" w:asciiTheme="minorEastAsia" w:hAnsiTheme="minorEastAsia" w:eastAsiaTheme="minorEastAsia" w:cstheme="minorEastAsia"/>
                <w:sz w:val="24"/>
                <w:szCs w:val="24"/>
              </w:rPr>
            </w:pPr>
          </w:p>
        </w:tc>
        <w:tc>
          <w:tcPr>
            <w:tcW w:w="737" w:type="dxa"/>
            <w:vAlign w:val="center"/>
          </w:tcPr>
          <w:p w14:paraId="55246CA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4</w:t>
            </w:r>
          </w:p>
        </w:tc>
        <w:tc>
          <w:tcPr>
            <w:tcW w:w="6697" w:type="dxa"/>
            <w:vAlign w:val="center"/>
          </w:tcPr>
          <w:p w14:paraId="4FF0AF2C">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质量</w:t>
            </w:r>
            <w:r>
              <w:rPr>
                <w:rFonts w:hint="eastAsia" w:asciiTheme="minorEastAsia" w:hAnsiTheme="minorEastAsia" w:eastAsiaTheme="minorEastAsia" w:cstheme="minorEastAsia"/>
                <w:kern w:val="0"/>
                <w:sz w:val="24"/>
                <w:szCs w:val="24"/>
              </w:rPr>
              <w:t>符合</w:t>
            </w:r>
            <w:r>
              <w:rPr>
                <w:rFonts w:hint="eastAsia" w:asciiTheme="minorEastAsia" w:hAnsiTheme="minorEastAsia" w:eastAsiaTheme="minorEastAsia" w:cstheme="minorEastAsia"/>
                <w:kern w:val="0"/>
                <w:sz w:val="24"/>
                <w:szCs w:val="24"/>
                <w:lang w:val="en-US" w:eastAsia="zh-CN"/>
              </w:rPr>
              <w:t>招标文件</w:t>
            </w:r>
            <w:r>
              <w:rPr>
                <w:rFonts w:hint="eastAsia" w:asciiTheme="minorEastAsia" w:hAnsiTheme="minorEastAsia" w:eastAsiaTheme="minorEastAsia" w:cstheme="minorEastAsia"/>
                <w:kern w:val="0"/>
                <w:sz w:val="24"/>
                <w:szCs w:val="24"/>
              </w:rPr>
              <w:t>规定</w:t>
            </w:r>
          </w:p>
        </w:tc>
        <w:tc>
          <w:tcPr>
            <w:tcW w:w="740" w:type="dxa"/>
            <w:tcBorders>
              <w:right w:val="single" w:color="auto" w:sz="4" w:space="0"/>
            </w:tcBorders>
            <w:vAlign w:val="top"/>
          </w:tcPr>
          <w:p w14:paraId="7CDAD914">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vAlign w:val="top"/>
          </w:tcPr>
          <w:p w14:paraId="6FA4BB11">
            <w:pPr>
              <w:spacing w:line="360" w:lineRule="auto"/>
              <w:rPr>
                <w:rFonts w:hint="eastAsia" w:asciiTheme="minorEastAsia" w:hAnsiTheme="minorEastAsia" w:eastAsiaTheme="minorEastAsia" w:cstheme="minorEastAsia"/>
                <w:sz w:val="24"/>
                <w:szCs w:val="24"/>
              </w:rPr>
            </w:pPr>
          </w:p>
        </w:tc>
      </w:tr>
      <w:tr w14:paraId="266012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34" w:type="dxa"/>
            <w:vMerge w:val="continue"/>
            <w:vAlign w:val="center"/>
          </w:tcPr>
          <w:p w14:paraId="36754341">
            <w:pPr>
              <w:jc w:val="center"/>
              <w:rPr>
                <w:rFonts w:hint="eastAsia" w:asciiTheme="minorEastAsia" w:hAnsiTheme="minorEastAsia" w:eastAsiaTheme="minorEastAsia" w:cstheme="minorEastAsia"/>
                <w:sz w:val="24"/>
                <w:szCs w:val="24"/>
              </w:rPr>
            </w:pPr>
          </w:p>
        </w:tc>
        <w:tc>
          <w:tcPr>
            <w:tcW w:w="737" w:type="dxa"/>
            <w:vAlign w:val="center"/>
          </w:tcPr>
          <w:p w14:paraId="2A15783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val="en-US" w:eastAsia="zh-CN"/>
              </w:rPr>
              <w:t>5</w:t>
            </w:r>
          </w:p>
        </w:tc>
        <w:tc>
          <w:tcPr>
            <w:tcW w:w="6697" w:type="dxa"/>
            <w:vAlign w:val="center"/>
          </w:tcPr>
          <w:p w14:paraId="7B70E92E">
            <w:pPr>
              <w:spacing w:line="360"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投标有效期</w:t>
            </w:r>
            <w:r>
              <w:rPr>
                <w:rFonts w:hint="eastAsia" w:asciiTheme="minorEastAsia" w:hAnsiTheme="minorEastAsia" w:eastAsiaTheme="minorEastAsia" w:cstheme="minorEastAsia"/>
                <w:kern w:val="0"/>
                <w:sz w:val="24"/>
                <w:szCs w:val="24"/>
              </w:rPr>
              <w:t>符合</w:t>
            </w:r>
            <w:r>
              <w:rPr>
                <w:rFonts w:hint="eastAsia" w:asciiTheme="minorEastAsia" w:hAnsiTheme="minorEastAsia" w:eastAsiaTheme="minorEastAsia" w:cstheme="minorEastAsia"/>
                <w:kern w:val="0"/>
                <w:sz w:val="24"/>
                <w:szCs w:val="24"/>
                <w:lang w:val="en-US" w:eastAsia="zh-CN"/>
              </w:rPr>
              <w:t>招标文件9</w:t>
            </w:r>
            <w:r>
              <w:rPr>
                <w:rFonts w:hint="eastAsia" w:asciiTheme="minorEastAsia" w:hAnsiTheme="minorEastAsia" w:eastAsiaTheme="minorEastAsia" w:cstheme="minorEastAsia"/>
                <w:kern w:val="0"/>
                <w:sz w:val="24"/>
                <w:szCs w:val="24"/>
              </w:rPr>
              <w:t>0日历天的规定</w:t>
            </w:r>
          </w:p>
        </w:tc>
        <w:tc>
          <w:tcPr>
            <w:tcW w:w="740" w:type="dxa"/>
            <w:tcBorders>
              <w:right w:val="single" w:color="auto" w:sz="4" w:space="0"/>
            </w:tcBorders>
            <w:vAlign w:val="top"/>
          </w:tcPr>
          <w:p w14:paraId="16A8FB36">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vAlign w:val="top"/>
          </w:tcPr>
          <w:p w14:paraId="2C2ADC43">
            <w:pPr>
              <w:spacing w:line="360" w:lineRule="auto"/>
              <w:rPr>
                <w:rFonts w:hint="eastAsia" w:asciiTheme="minorEastAsia" w:hAnsiTheme="minorEastAsia" w:eastAsiaTheme="minorEastAsia" w:cstheme="minorEastAsia"/>
                <w:sz w:val="24"/>
                <w:szCs w:val="24"/>
              </w:rPr>
            </w:pPr>
          </w:p>
        </w:tc>
      </w:tr>
      <w:tr w14:paraId="5AB08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34" w:type="dxa"/>
            <w:vMerge w:val="continue"/>
            <w:vAlign w:val="center"/>
          </w:tcPr>
          <w:p w14:paraId="4771123B">
            <w:pPr>
              <w:jc w:val="center"/>
              <w:rPr>
                <w:rFonts w:hint="eastAsia" w:asciiTheme="minorEastAsia" w:hAnsiTheme="minorEastAsia" w:eastAsiaTheme="minorEastAsia" w:cstheme="minorEastAsia"/>
                <w:sz w:val="24"/>
                <w:szCs w:val="24"/>
              </w:rPr>
            </w:pPr>
          </w:p>
        </w:tc>
        <w:tc>
          <w:tcPr>
            <w:tcW w:w="737" w:type="dxa"/>
            <w:vAlign w:val="center"/>
          </w:tcPr>
          <w:p w14:paraId="3E305EE2">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6697" w:type="dxa"/>
            <w:vAlign w:val="center"/>
          </w:tcPr>
          <w:p w14:paraId="589E0FEF">
            <w:pPr>
              <w:spacing w:line="360" w:lineRule="auto"/>
              <w:rPr>
                <w:rFonts w:hint="eastAsia" w:asciiTheme="minorEastAsia" w:hAnsiTheme="minorEastAsia" w:eastAsiaTheme="minorEastAsia" w:cstheme="minorEastAsia"/>
                <w:kern w:val="0"/>
                <w:sz w:val="24"/>
                <w:szCs w:val="24"/>
                <w:lang w:val="en-US" w:eastAsia="zh-CN"/>
              </w:rPr>
            </w:pPr>
            <w:r>
              <w:rPr>
                <w:rFonts w:hint="eastAsia" w:ascii="宋体" w:hAnsi="宋体" w:cs="仿宋_GB2312"/>
                <w:kern w:val="0"/>
                <w:sz w:val="24"/>
              </w:rPr>
              <w:t>按照</w:t>
            </w:r>
            <w:r>
              <w:rPr>
                <w:rFonts w:hint="eastAsia" w:ascii="宋体" w:hAnsi="宋体" w:cs="仿宋_GB2312"/>
                <w:kern w:val="0"/>
                <w:sz w:val="24"/>
                <w:lang w:val="en-US" w:eastAsia="zh-CN"/>
              </w:rPr>
              <w:t>招标</w:t>
            </w:r>
            <w:r>
              <w:rPr>
                <w:rFonts w:hint="eastAsia" w:ascii="宋体" w:hAnsi="宋体" w:cs="仿宋_GB2312"/>
                <w:kern w:val="0"/>
                <w:sz w:val="24"/>
                <w:lang w:eastAsia="zh-CN"/>
              </w:rPr>
              <w:t>文件</w:t>
            </w:r>
            <w:r>
              <w:rPr>
                <w:rFonts w:hint="eastAsia" w:ascii="宋体" w:hAnsi="宋体" w:cs="仿宋_GB2312"/>
                <w:kern w:val="0"/>
                <w:sz w:val="24"/>
              </w:rPr>
              <w:t>规定报价只有一个有效报价且没有漏项</w:t>
            </w:r>
          </w:p>
        </w:tc>
        <w:tc>
          <w:tcPr>
            <w:tcW w:w="740" w:type="dxa"/>
            <w:tcBorders>
              <w:right w:val="single" w:color="auto" w:sz="4" w:space="0"/>
            </w:tcBorders>
            <w:vAlign w:val="top"/>
          </w:tcPr>
          <w:p w14:paraId="07A2AC27">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vAlign w:val="top"/>
          </w:tcPr>
          <w:p w14:paraId="0E4AE915">
            <w:pPr>
              <w:spacing w:line="360" w:lineRule="auto"/>
              <w:rPr>
                <w:rFonts w:hint="eastAsia" w:asciiTheme="minorEastAsia" w:hAnsiTheme="minorEastAsia" w:eastAsiaTheme="minorEastAsia" w:cstheme="minorEastAsia"/>
                <w:sz w:val="24"/>
                <w:szCs w:val="24"/>
              </w:rPr>
            </w:pPr>
          </w:p>
        </w:tc>
      </w:tr>
      <w:tr w14:paraId="41E57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34" w:type="dxa"/>
            <w:vMerge w:val="continue"/>
            <w:vAlign w:val="center"/>
          </w:tcPr>
          <w:p w14:paraId="6D79A380">
            <w:pPr>
              <w:jc w:val="center"/>
              <w:rPr>
                <w:rFonts w:hint="eastAsia" w:asciiTheme="minorEastAsia" w:hAnsiTheme="minorEastAsia" w:eastAsiaTheme="minorEastAsia" w:cstheme="minorEastAsia"/>
                <w:sz w:val="24"/>
                <w:szCs w:val="24"/>
              </w:rPr>
            </w:pPr>
          </w:p>
        </w:tc>
        <w:tc>
          <w:tcPr>
            <w:tcW w:w="737" w:type="dxa"/>
            <w:vAlign w:val="center"/>
          </w:tcPr>
          <w:p w14:paraId="6EE15618">
            <w:pPr>
              <w:spacing w:line="360" w:lineRule="auto"/>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w:t>
            </w:r>
          </w:p>
        </w:tc>
        <w:tc>
          <w:tcPr>
            <w:tcW w:w="6697" w:type="dxa"/>
            <w:vAlign w:val="center"/>
          </w:tcPr>
          <w:p w14:paraId="295C1FEB">
            <w:pPr>
              <w:spacing w:line="360" w:lineRule="auto"/>
              <w:rPr>
                <w:rFonts w:hint="eastAsia" w:ascii="宋体" w:hAnsi="宋体" w:cs="仿宋_GB2312"/>
                <w:kern w:val="0"/>
                <w:sz w:val="24"/>
              </w:rPr>
            </w:pPr>
            <w:r>
              <w:rPr>
                <w:rFonts w:hint="eastAsia" w:asciiTheme="minorEastAsia" w:hAnsiTheme="minorEastAsia" w:eastAsiaTheme="minorEastAsia" w:cstheme="minorEastAsia"/>
                <w:kern w:val="0"/>
                <w:sz w:val="24"/>
                <w:szCs w:val="24"/>
                <w:lang w:val="en-US" w:eastAsia="zh-CN"/>
              </w:rPr>
              <w:t>投标保证金缴纳</w:t>
            </w:r>
            <w:r>
              <w:rPr>
                <w:rFonts w:hint="eastAsia" w:asciiTheme="minorEastAsia" w:hAnsiTheme="minorEastAsia" w:eastAsiaTheme="minorEastAsia" w:cstheme="minorEastAsia"/>
                <w:kern w:val="0"/>
                <w:sz w:val="24"/>
                <w:szCs w:val="24"/>
              </w:rPr>
              <w:t>符合</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kern w:val="0"/>
                <w:sz w:val="24"/>
                <w:szCs w:val="24"/>
              </w:rPr>
              <w:t>规定</w:t>
            </w:r>
          </w:p>
        </w:tc>
        <w:tc>
          <w:tcPr>
            <w:tcW w:w="740" w:type="dxa"/>
            <w:tcBorders>
              <w:right w:val="single" w:color="auto" w:sz="4" w:space="0"/>
            </w:tcBorders>
            <w:vAlign w:val="top"/>
          </w:tcPr>
          <w:p w14:paraId="065AF6EC">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vAlign w:val="top"/>
          </w:tcPr>
          <w:p w14:paraId="449077B1">
            <w:pPr>
              <w:spacing w:line="360" w:lineRule="auto"/>
              <w:rPr>
                <w:rFonts w:hint="eastAsia" w:asciiTheme="minorEastAsia" w:hAnsiTheme="minorEastAsia" w:eastAsiaTheme="minorEastAsia" w:cstheme="minorEastAsia"/>
                <w:sz w:val="24"/>
                <w:szCs w:val="24"/>
              </w:rPr>
            </w:pPr>
          </w:p>
        </w:tc>
      </w:tr>
      <w:tr w14:paraId="09E6B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34" w:type="dxa"/>
            <w:vMerge w:val="continue"/>
            <w:vAlign w:val="center"/>
          </w:tcPr>
          <w:p w14:paraId="29F9D4EF">
            <w:pPr>
              <w:jc w:val="center"/>
              <w:rPr>
                <w:rFonts w:hint="eastAsia" w:asciiTheme="minorEastAsia" w:hAnsiTheme="minorEastAsia" w:eastAsiaTheme="minorEastAsia" w:cstheme="minorEastAsia"/>
                <w:sz w:val="24"/>
                <w:szCs w:val="24"/>
              </w:rPr>
            </w:pPr>
          </w:p>
        </w:tc>
        <w:tc>
          <w:tcPr>
            <w:tcW w:w="737" w:type="dxa"/>
            <w:vAlign w:val="center"/>
          </w:tcPr>
          <w:p w14:paraId="1CBC6AF7">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w:t>
            </w:r>
          </w:p>
        </w:tc>
        <w:tc>
          <w:tcPr>
            <w:tcW w:w="6697" w:type="dxa"/>
            <w:vAlign w:val="center"/>
          </w:tcPr>
          <w:p w14:paraId="3D867592">
            <w:pPr>
              <w:spacing w:line="360"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其他不符合</w:t>
            </w:r>
            <w:r>
              <w:rPr>
                <w:rFonts w:hint="eastAsia" w:asciiTheme="minorEastAsia" w:hAnsiTheme="minorEastAsia" w:eastAsiaTheme="minorEastAsia" w:cstheme="minorEastAsia"/>
                <w:sz w:val="24"/>
                <w:szCs w:val="24"/>
                <w:lang w:val="en-US" w:eastAsia="zh-CN"/>
              </w:rPr>
              <w:t>招标</w:t>
            </w:r>
            <w:r>
              <w:rPr>
                <w:rFonts w:hint="eastAsia" w:asciiTheme="minorEastAsia" w:hAnsiTheme="minorEastAsia" w:eastAsiaTheme="minorEastAsia" w:cstheme="minorEastAsia"/>
                <w:kern w:val="0"/>
                <w:sz w:val="24"/>
                <w:szCs w:val="24"/>
                <w:lang w:val="en-US" w:eastAsia="zh-CN"/>
              </w:rPr>
              <w:t>文件的实质性要求</w:t>
            </w:r>
          </w:p>
        </w:tc>
        <w:tc>
          <w:tcPr>
            <w:tcW w:w="740" w:type="dxa"/>
            <w:tcBorders>
              <w:right w:val="single" w:color="auto" w:sz="4" w:space="0"/>
            </w:tcBorders>
            <w:vAlign w:val="top"/>
          </w:tcPr>
          <w:p w14:paraId="3EBBE4B2">
            <w:pPr>
              <w:spacing w:line="360" w:lineRule="auto"/>
              <w:rPr>
                <w:rFonts w:hint="eastAsia" w:asciiTheme="minorEastAsia" w:hAnsiTheme="minorEastAsia" w:eastAsiaTheme="minorEastAsia" w:cstheme="minorEastAsia"/>
                <w:sz w:val="24"/>
                <w:szCs w:val="24"/>
              </w:rPr>
            </w:pPr>
          </w:p>
        </w:tc>
        <w:tc>
          <w:tcPr>
            <w:tcW w:w="752" w:type="dxa"/>
            <w:tcBorders>
              <w:left w:val="single" w:color="auto" w:sz="4" w:space="0"/>
            </w:tcBorders>
            <w:vAlign w:val="top"/>
          </w:tcPr>
          <w:p w14:paraId="7529DA04">
            <w:pPr>
              <w:spacing w:line="360" w:lineRule="auto"/>
              <w:rPr>
                <w:rFonts w:hint="eastAsia" w:asciiTheme="minorEastAsia" w:hAnsiTheme="minorEastAsia" w:eastAsiaTheme="minorEastAsia" w:cstheme="minorEastAsia"/>
                <w:sz w:val="24"/>
                <w:szCs w:val="24"/>
              </w:rPr>
            </w:pPr>
          </w:p>
        </w:tc>
      </w:tr>
      <w:tr w14:paraId="6BDD32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834" w:type="dxa"/>
            <w:vAlign w:val="center"/>
          </w:tcPr>
          <w:p w14:paraId="76ABB7D4">
            <w:pPr>
              <w:jc w:val="center"/>
              <w:rPr>
                <w:rFonts w:hint="eastAsia" w:asciiTheme="minorEastAsia" w:hAnsiTheme="minorEastAsia" w:eastAsiaTheme="minorEastAsia" w:cstheme="minorEastAsia"/>
                <w:sz w:val="24"/>
                <w:szCs w:val="24"/>
              </w:rPr>
            </w:pPr>
          </w:p>
        </w:tc>
        <w:tc>
          <w:tcPr>
            <w:tcW w:w="8926" w:type="dxa"/>
            <w:gridSpan w:val="4"/>
            <w:vAlign w:val="center"/>
          </w:tcPr>
          <w:p w14:paraId="6EC2269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结论：是否通过评审</w:t>
            </w:r>
          </w:p>
        </w:tc>
      </w:tr>
    </w:tbl>
    <w:p w14:paraId="125B2242">
      <w:pPr>
        <w:rPr>
          <w:rFonts w:hint="eastAsia" w:ascii="宋体" w:hAnsi="宋体"/>
          <w:szCs w:val="21"/>
        </w:rPr>
      </w:pPr>
      <w:r>
        <w:rPr>
          <w:rFonts w:hint="eastAsia" w:ascii="宋体" w:hAnsi="宋体"/>
          <w:szCs w:val="21"/>
        </w:rPr>
        <w:br w:type="page"/>
      </w:r>
    </w:p>
    <w:p w14:paraId="48F46936">
      <w:pPr>
        <w:tabs>
          <w:tab w:val="left" w:pos="900"/>
        </w:tabs>
        <w:rPr>
          <w:rFonts w:hint="eastAsia" w:ascii="宋体" w:hAnsi="宋体"/>
          <w:sz w:val="28"/>
          <w:szCs w:val="28"/>
        </w:rPr>
      </w:pPr>
      <w:r>
        <w:rPr>
          <w:rFonts w:hint="eastAsia" w:ascii="宋体" w:hAnsi="宋体"/>
          <w:szCs w:val="21"/>
        </w:rPr>
        <w:t>附表二</w:t>
      </w:r>
      <w:bookmarkStart w:id="150" w:name="_Toc10870"/>
      <w:r>
        <w:rPr>
          <w:rFonts w:hint="eastAsia" w:ascii="宋体" w:hAnsi="宋体"/>
          <w:szCs w:val="21"/>
        </w:rPr>
        <w:t xml:space="preserve">                             </w:t>
      </w:r>
      <w:r>
        <w:rPr>
          <w:rFonts w:hint="eastAsia" w:ascii="宋体" w:hAnsi="宋体"/>
          <w:sz w:val="28"/>
          <w:szCs w:val="28"/>
        </w:rPr>
        <w:t xml:space="preserve">  </w:t>
      </w:r>
    </w:p>
    <w:p w14:paraId="280FA985">
      <w:pPr>
        <w:tabs>
          <w:tab w:val="left" w:pos="900"/>
        </w:tabs>
        <w:jc w:val="center"/>
        <w:rPr>
          <w:rFonts w:ascii="宋体" w:hAnsi="宋体"/>
          <w:b/>
          <w:szCs w:val="21"/>
        </w:rPr>
      </w:pPr>
      <w:r>
        <w:rPr>
          <w:rFonts w:hint="eastAsia" w:ascii="宋体" w:hAnsi="宋体"/>
          <w:b/>
          <w:sz w:val="28"/>
          <w:szCs w:val="28"/>
        </w:rPr>
        <w:t>详细评分标准表</w:t>
      </w:r>
    </w:p>
    <w:bookmarkEnd w:id="150"/>
    <w:tbl>
      <w:tblPr>
        <w:tblStyle w:val="42"/>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411"/>
        <w:gridCol w:w="1426"/>
        <w:gridCol w:w="1025"/>
        <w:gridCol w:w="6666"/>
      </w:tblGrid>
      <w:tr w14:paraId="0822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703" w:hRule="atLeast"/>
          <w:tblHeader/>
          <w:jc w:val="center"/>
        </w:trPr>
        <w:tc>
          <w:tcPr>
            <w:tcW w:w="411" w:type="dxa"/>
            <w:noWrap w:val="0"/>
            <w:vAlign w:val="center"/>
          </w:tcPr>
          <w:p w14:paraId="78028D3E">
            <w:pPr>
              <w:autoSpaceDE w:val="0"/>
              <w:autoSpaceDN w:val="0"/>
              <w:adjustRightInd w:val="0"/>
              <w:snapToGrid w:val="0"/>
              <w:spacing w:line="360" w:lineRule="auto"/>
              <w:jc w:val="center"/>
              <w:rPr>
                <w:rFonts w:hint="eastAsia" w:ascii="宋体" w:hAnsi="宋体" w:eastAsia="宋体" w:cs="宋体"/>
                <w:sz w:val="24"/>
                <w:szCs w:val="24"/>
              </w:rPr>
            </w:pPr>
            <w:bookmarkStart w:id="151" w:name="_Toc27312"/>
            <w:bookmarkStart w:id="152" w:name="_Toc21096"/>
            <w:bookmarkStart w:id="153" w:name="_Toc28571"/>
            <w:bookmarkStart w:id="154" w:name="_Toc31810"/>
            <w:r>
              <w:rPr>
                <w:rFonts w:hint="eastAsia" w:ascii="宋体" w:hAnsi="宋体" w:eastAsia="宋体" w:cs="宋体"/>
                <w:sz w:val="24"/>
                <w:szCs w:val="24"/>
              </w:rPr>
              <w:t>序号</w:t>
            </w:r>
          </w:p>
        </w:tc>
        <w:tc>
          <w:tcPr>
            <w:tcW w:w="1426" w:type="dxa"/>
            <w:noWrap w:val="0"/>
            <w:vAlign w:val="center"/>
          </w:tcPr>
          <w:p w14:paraId="3DD08830">
            <w:pPr>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评分因素及 权重</w:t>
            </w:r>
          </w:p>
        </w:tc>
        <w:tc>
          <w:tcPr>
            <w:tcW w:w="1025" w:type="dxa"/>
            <w:noWrap w:val="0"/>
            <w:vAlign w:val="center"/>
          </w:tcPr>
          <w:p w14:paraId="100223A6">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分 值</w:t>
            </w:r>
          </w:p>
        </w:tc>
        <w:tc>
          <w:tcPr>
            <w:tcW w:w="6666" w:type="dxa"/>
            <w:noWrap w:val="0"/>
            <w:vAlign w:val="center"/>
          </w:tcPr>
          <w:p w14:paraId="6AF6A496">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评分标准</w:t>
            </w:r>
          </w:p>
        </w:tc>
      </w:tr>
      <w:tr w14:paraId="4129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blHeader/>
          <w:jc w:val="center"/>
        </w:trPr>
        <w:tc>
          <w:tcPr>
            <w:tcW w:w="411" w:type="dxa"/>
            <w:noWrap w:val="0"/>
            <w:vAlign w:val="center"/>
          </w:tcPr>
          <w:p w14:paraId="26F05E27">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426" w:type="dxa"/>
            <w:noWrap w:val="0"/>
            <w:vAlign w:val="center"/>
          </w:tcPr>
          <w:p w14:paraId="4C9CCDE0">
            <w:pPr>
              <w:tabs>
                <w:tab w:val="left" w:pos="540"/>
              </w:tabs>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价格</w:t>
            </w:r>
          </w:p>
          <w:p w14:paraId="0C2A7E3C">
            <w:pPr>
              <w:tabs>
                <w:tab w:val="left" w:pos="540"/>
              </w:tabs>
              <w:autoSpaceDE w:val="0"/>
              <w:autoSpaceDN w:val="0"/>
              <w:adjustRightInd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30</w:t>
            </w:r>
            <w:r>
              <w:rPr>
                <w:rFonts w:hint="eastAsia" w:ascii="宋体" w:hAnsi="宋体" w:eastAsia="宋体" w:cs="宋体"/>
                <w:sz w:val="24"/>
                <w:szCs w:val="24"/>
                <w:lang w:val="en-US" w:eastAsia="zh-CN"/>
              </w:rPr>
              <w:t>%</w:t>
            </w:r>
          </w:p>
        </w:tc>
        <w:tc>
          <w:tcPr>
            <w:tcW w:w="1025" w:type="dxa"/>
            <w:noWrap w:val="0"/>
            <w:vAlign w:val="center"/>
          </w:tcPr>
          <w:p w14:paraId="0079F8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30</w:t>
            </w:r>
          </w:p>
        </w:tc>
        <w:tc>
          <w:tcPr>
            <w:tcW w:w="6666" w:type="dxa"/>
            <w:noWrap w:val="0"/>
            <w:vAlign w:val="center"/>
          </w:tcPr>
          <w:p w14:paraId="0BCB9ED1">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投标报价得分=（评标基准价/投标报价）*价格权重*100</w:t>
            </w:r>
          </w:p>
          <w:p w14:paraId="2D7E50F6">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注：基准价=响应招标文件的最低投标报价</w:t>
            </w:r>
          </w:p>
        </w:tc>
      </w:tr>
      <w:tr w14:paraId="4974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3414" w:hRule="atLeast"/>
          <w:tblHeader/>
          <w:jc w:val="center"/>
        </w:trPr>
        <w:tc>
          <w:tcPr>
            <w:tcW w:w="411" w:type="dxa"/>
            <w:noWrap w:val="0"/>
            <w:vAlign w:val="center"/>
          </w:tcPr>
          <w:p w14:paraId="1CF1CE84">
            <w:pPr>
              <w:autoSpaceDE w:val="0"/>
              <w:autoSpaceDN w:val="0"/>
              <w:adjustRightInd w:val="0"/>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1426" w:type="dxa"/>
            <w:noWrap w:val="0"/>
            <w:vAlign w:val="center"/>
          </w:tcPr>
          <w:p w14:paraId="35A53F7B">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技</w:t>
            </w:r>
          </w:p>
          <w:p w14:paraId="648C0404">
            <w:pPr>
              <w:autoSpaceDE w:val="0"/>
              <w:autoSpaceDN w:val="0"/>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术</w:t>
            </w:r>
          </w:p>
          <w:p w14:paraId="4F9C7827">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30</w:t>
            </w:r>
            <w:r>
              <w:rPr>
                <w:rFonts w:hint="eastAsia" w:ascii="宋体" w:hAnsi="宋体" w:eastAsia="宋体" w:cs="宋体"/>
                <w:sz w:val="24"/>
                <w:szCs w:val="24"/>
                <w:lang w:val="en-US" w:eastAsia="zh-CN"/>
              </w:rPr>
              <w:t>%</w:t>
            </w:r>
          </w:p>
        </w:tc>
        <w:tc>
          <w:tcPr>
            <w:tcW w:w="1025" w:type="dxa"/>
            <w:noWrap w:val="0"/>
            <w:vAlign w:val="center"/>
          </w:tcPr>
          <w:p w14:paraId="4EB927CE">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0-30</w:t>
            </w:r>
          </w:p>
          <w:p w14:paraId="12364E1D">
            <w:pPr>
              <w:spacing w:line="360" w:lineRule="auto"/>
              <w:jc w:val="center"/>
              <w:rPr>
                <w:rFonts w:hint="default" w:ascii="宋体" w:hAnsi="宋体" w:eastAsia="宋体" w:cs="宋体"/>
                <w:sz w:val="24"/>
                <w:szCs w:val="24"/>
                <w:lang w:val="en-US" w:eastAsia="zh-CN"/>
              </w:rPr>
            </w:pPr>
          </w:p>
        </w:tc>
        <w:tc>
          <w:tcPr>
            <w:tcW w:w="6666" w:type="dxa"/>
            <w:noWrap w:val="0"/>
            <w:vAlign w:val="top"/>
          </w:tcPr>
          <w:p w14:paraId="6C593B69">
            <w:pPr>
              <w:numPr>
                <w:ilvl w:val="0"/>
                <w:numId w:val="0"/>
              </w:numPr>
              <w:spacing w:line="360" w:lineRule="auto"/>
              <w:ind w:firstLine="480" w:firstLineChars="200"/>
              <w:rPr>
                <w:rFonts w:hint="default" w:ascii="宋体" w:hAnsi="宋体" w:eastAsia="宋体" w:cs="宋体"/>
                <w:b/>
                <w:bCs/>
                <w:color w:val="000000"/>
                <w:sz w:val="24"/>
                <w:szCs w:val="24"/>
                <w:lang w:val="en-US" w:eastAsia="zh-CN"/>
              </w:rPr>
            </w:pPr>
            <w:r>
              <w:rPr>
                <w:rFonts w:hint="eastAsia" w:ascii="宋体" w:hAnsi="宋体" w:eastAsia="宋体" w:cs="宋体"/>
                <w:color w:val="000000"/>
                <w:sz w:val="24"/>
                <w:szCs w:val="24"/>
              </w:rPr>
              <w:t>投标人</w:t>
            </w:r>
            <w:r>
              <w:rPr>
                <w:rFonts w:hint="eastAsia" w:ascii="宋体" w:hAnsi="宋体" w:cs="宋体"/>
                <w:color w:val="000000"/>
                <w:sz w:val="24"/>
                <w:szCs w:val="24"/>
                <w:lang w:val="en-US" w:eastAsia="zh-CN"/>
              </w:rPr>
              <w:t>完全</w:t>
            </w:r>
            <w:r>
              <w:rPr>
                <w:rFonts w:hint="eastAsia" w:ascii="宋体" w:hAnsi="宋体" w:eastAsia="宋体" w:cs="宋体"/>
                <w:color w:val="000000"/>
                <w:sz w:val="24"/>
                <w:szCs w:val="24"/>
              </w:rPr>
              <w:t>满足招标文件第五章“采购需求及技术参数”得</w:t>
            </w:r>
            <w:r>
              <w:rPr>
                <w:rFonts w:hint="eastAsia" w:ascii="宋体" w:hAnsi="宋体" w:eastAsia="宋体" w:cs="宋体"/>
                <w:color w:val="000000"/>
                <w:sz w:val="24"/>
                <w:szCs w:val="24"/>
                <w:lang w:val="en-US" w:eastAsia="zh-CN"/>
              </w:rPr>
              <w:t>3</w:t>
            </w:r>
            <w:r>
              <w:rPr>
                <w:rFonts w:hint="eastAsia" w:ascii="宋体" w:hAnsi="宋体" w:cs="宋体"/>
                <w:color w:val="000000"/>
                <w:sz w:val="24"/>
                <w:szCs w:val="24"/>
                <w:lang w:val="en-US" w:eastAsia="zh-CN"/>
              </w:rPr>
              <w:t>0</w:t>
            </w:r>
            <w:r>
              <w:rPr>
                <w:rFonts w:hint="eastAsia" w:ascii="宋体" w:hAnsi="宋体" w:eastAsia="宋体" w:cs="宋体"/>
                <w:color w:val="000000"/>
                <w:sz w:val="24"/>
                <w:szCs w:val="24"/>
              </w:rPr>
              <w:t>分</w:t>
            </w:r>
            <w:r>
              <w:rPr>
                <w:rFonts w:hint="eastAsia" w:ascii="宋体" w:hAnsi="宋体" w:cs="宋体"/>
                <w:color w:val="000000"/>
                <w:sz w:val="24"/>
                <w:szCs w:val="24"/>
                <w:lang w:eastAsia="zh-CN"/>
              </w:rPr>
              <w:t>；</w:t>
            </w:r>
            <w:r>
              <w:rPr>
                <w:rFonts w:hint="eastAsia" w:ascii="宋体" w:hAnsi="宋体" w:cs="宋体"/>
                <w:b w:val="0"/>
                <w:bCs w:val="0"/>
                <w:color w:val="000000"/>
                <w:sz w:val="24"/>
                <w:szCs w:val="24"/>
                <w:lang w:val="en-US" w:eastAsia="zh-CN"/>
              </w:rPr>
              <w:t>负偏离在30条以内(含30条)每出现一条负偏离扣1分，负偏离超过30条本项不得分。</w:t>
            </w:r>
          </w:p>
          <w:p w14:paraId="225198A3">
            <w:pPr>
              <w:numPr>
                <w:ilvl w:val="0"/>
                <w:numId w:val="0"/>
              </w:numPr>
              <w:spacing w:line="360" w:lineRule="auto"/>
              <w:rPr>
                <w:rFonts w:hint="default" w:ascii="宋体" w:hAnsi="宋体" w:cs="宋体"/>
                <w:b/>
                <w:bCs/>
                <w:color w:val="000000"/>
                <w:sz w:val="24"/>
                <w:szCs w:val="24"/>
                <w:lang w:val="en-US" w:eastAsia="zh-CN"/>
              </w:rPr>
            </w:pPr>
            <w:r>
              <w:rPr>
                <w:rFonts w:hint="eastAsia" w:ascii="宋体" w:hAnsi="宋体" w:eastAsia="宋体" w:cs="宋体"/>
                <w:b/>
                <w:bCs/>
                <w:color w:val="000000"/>
                <w:sz w:val="24"/>
                <w:szCs w:val="24"/>
              </w:rPr>
              <w:t>注：</w:t>
            </w:r>
            <w:r>
              <w:rPr>
                <w:rFonts w:hint="eastAsia" w:ascii="宋体" w:hAnsi="宋体" w:cs="宋体"/>
                <w:b/>
                <w:bCs/>
                <w:color w:val="000000"/>
                <w:sz w:val="24"/>
                <w:szCs w:val="24"/>
                <w:lang w:val="en-US" w:eastAsia="zh-CN"/>
              </w:rPr>
              <w:t>1.供应商须对照招标文件第五章“采购需求及技术参数”全部内容逐条在《技术参数、规格偏离表》中列明响应内容及是否偏离等情况，需提供相关证明资料的，在“备注”栏说明证明资料在《投标文件》的具体位置或页码；</w:t>
            </w:r>
          </w:p>
          <w:p w14:paraId="7B882E13">
            <w:pPr>
              <w:numPr>
                <w:ilvl w:val="0"/>
                <w:numId w:val="0"/>
              </w:numPr>
              <w:spacing w:line="360" w:lineRule="auto"/>
              <w:ind w:firstLine="482" w:firstLineChars="200"/>
              <w:rPr>
                <w:rFonts w:hint="default" w:ascii="宋体" w:hAnsi="宋体" w:eastAsia="宋体" w:cs="宋体"/>
                <w:sz w:val="24"/>
                <w:szCs w:val="24"/>
                <w:lang w:val="en-US" w:eastAsia="zh-CN"/>
              </w:rPr>
            </w:pPr>
            <w:r>
              <w:rPr>
                <w:rFonts w:hint="eastAsia" w:ascii="宋体" w:hAnsi="宋体" w:cs="宋体"/>
                <w:b/>
                <w:bCs/>
                <w:color w:val="000000"/>
                <w:sz w:val="24"/>
                <w:szCs w:val="24"/>
                <w:lang w:val="en-US" w:eastAsia="zh-CN"/>
              </w:rPr>
              <w:t>2.技术</w:t>
            </w:r>
            <w:r>
              <w:rPr>
                <w:rFonts w:hint="eastAsia" w:ascii="宋体" w:hAnsi="宋体" w:eastAsia="宋体" w:cs="宋体"/>
                <w:b/>
                <w:bCs/>
                <w:color w:val="000000"/>
                <w:sz w:val="24"/>
                <w:szCs w:val="24"/>
              </w:rPr>
              <w:t>参数</w:t>
            </w:r>
            <w:r>
              <w:rPr>
                <w:rFonts w:hint="eastAsia" w:ascii="宋体" w:hAnsi="宋体" w:cs="宋体"/>
                <w:b/>
                <w:bCs/>
                <w:color w:val="000000"/>
                <w:sz w:val="24"/>
                <w:szCs w:val="24"/>
                <w:lang w:val="en-US" w:eastAsia="zh-CN"/>
              </w:rPr>
              <w:t>条款</w:t>
            </w:r>
            <w:r>
              <w:rPr>
                <w:rFonts w:hint="eastAsia" w:ascii="宋体" w:hAnsi="宋体" w:eastAsia="宋体" w:cs="宋体"/>
                <w:b/>
                <w:bCs/>
                <w:color w:val="000000"/>
                <w:sz w:val="24"/>
                <w:szCs w:val="24"/>
              </w:rPr>
              <w:t>中若要求提供佐证材料的，需按要求提供，如</w:t>
            </w:r>
            <w:r>
              <w:rPr>
                <w:rFonts w:hint="eastAsia" w:ascii="宋体" w:hAnsi="宋体" w:cs="宋体"/>
                <w:b/>
                <w:bCs/>
                <w:color w:val="000000"/>
                <w:sz w:val="24"/>
                <w:szCs w:val="24"/>
                <w:lang w:val="en-US" w:eastAsia="zh-CN"/>
              </w:rPr>
              <w:t>不提供的</w:t>
            </w:r>
            <w:r>
              <w:rPr>
                <w:rFonts w:hint="eastAsia" w:ascii="宋体" w:hAnsi="宋体" w:eastAsia="宋体" w:cs="宋体"/>
                <w:b/>
                <w:bCs/>
                <w:color w:val="000000"/>
                <w:sz w:val="24"/>
                <w:szCs w:val="24"/>
              </w:rPr>
              <w:t>，将视为负偏离。</w:t>
            </w:r>
          </w:p>
        </w:tc>
      </w:tr>
      <w:tr w14:paraId="0DC4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235" w:hRule="atLeast"/>
          <w:tblHeader/>
          <w:jc w:val="center"/>
        </w:trPr>
        <w:tc>
          <w:tcPr>
            <w:tcW w:w="411" w:type="dxa"/>
            <w:noWrap w:val="0"/>
            <w:vAlign w:val="center"/>
          </w:tcPr>
          <w:p w14:paraId="65750D37">
            <w:pPr>
              <w:autoSpaceDE w:val="0"/>
              <w:autoSpaceDN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1426" w:type="dxa"/>
            <w:noWrap w:val="0"/>
            <w:vAlign w:val="center"/>
          </w:tcPr>
          <w:p w14:paraId="2FA0ACB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经营业绩</w:t>
            </w:r>
          </w:p>
          <w:p w14:paraId="4B737FBE">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w:t>
            </w:r>
          </w:p>
        </w:tc>
        <w:tc>
          <w:tcPr>
            <w:tcW w:w="1025" w:type="dxa"/>
            <w:noWrap w:val="0"/>
            <w:vAlign w:val="center"/>
          </w:tcPr>
          <w:p w14:paraId="0433459F">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0-2</w:t>
            </w:r>
          </w:p>
        </w:tc>
        <w:tc>
          <w:tcPr>
            <w:tcW w:w="6666" w:type="dxa"/>
            <w:noWrap w:val="0"/>
            <w:vAlign w:val="top"/>
          </w:tcPr>
          <w:p w14:paraId="61733BE5">
            <w:pPr>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根据投标文件所提供投标截止日前三年内的同类业绩（检验试剂类）进行打分，附合同+验收单或中标/成交通知书+验收单复印件（需体现供货内容为检验试剂类），每提供一份合同+验收单或中标/成交通知书+验收单得1分，满分2分；未提供或不符合要求的，不得分。</w:t>
            </w:r>
          </w:p>
        </w:tc>
      </w:tr>
      <w:tr w14:paraId="5788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69" w:hRule="atLeast"/>
          <w:tblHeader/>
          <w:jc w:val="center"/>
        </w:trPr>
        <w:tc>
          <w:tcPr>
            <w:tcW w:w="411" w:type="dxa"/>
            <w:noWrap w:val="0"/>
            <w:vAlign w:val="center"/>
          </w:tcPr>
          <w:p w14:paraId="0C13B16B">
            <w:pPr>
              <w:autoSpaceDE w:val="0"/>
              <w:autoSpaceDN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1426" w:type="dxa"/>
            <w:noWrap w:val="0"/>
            <w:vAlign w:val="center"/>
          </w:tcPr>
          <w:p w14:paraId="0CC4C161">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服务保障能力5%</w:t>
            </w:r>
          </w:p>
        </w:tc>
        <w:tc>
          <w:tcPr>
            <w:tcW w:w="1025" w:type="dxa"/>
            <w:noWrap w:val="0"/>
            <w:vAlign w:val="center"/>
          </w:tcPr>
          <w:p w14:paraId="6622A1E7">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0-5</w:t>
            </w:r>
          </w:p>
        </w:tc>
        <w:tc>
          <w:tcPr>
            <w:tcW w:w="6666" w:type="dxa"/>
            <w:noWrap w:val="0"/>
            <w:vAlign w:val="top"/>
          </w:tcPr>
          <w:p w14:paraId="7BEB52F5">
            <w:pPr>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US" w:eastAsia="zh-CN"/>
              </w:rPr>
              <w:t>.针对本项目提供</w:t>
            </w:r>
            <w:r>
              <w:rPr>
                <w:rFonts w:hint="eastAsia" w:ascii="宋体" w:hAnsi="宋体" w:cs="宋体"/>
                <w:sz w:val="24"/>
                <w:szCs w:val="24"/>
                <w:lang w:eastAsia="zh-CN"/>
              </w:rPr>
              <w:t>稳定的专业</w:t>
            </w:r>
            <w:r>
              <w:rPr>
                <w:rFonts w:hint="eastAsia" w:ascii="宋体" w:hAnsi="宋体" w:cs="宋体"/>
                <w:sz w:val="24"/>
                <w:szCs w:val="24"/>
                <w:lang w:val="en-US" w:eastAsia="zh-CN"/>
              </w:rPr>
              <w:t>服务人员3人及以上</w:t>
            </w:r>
            <w:r>
              <w:rPr>
                <w:rFonts w:hint="eastAsia" w:ascii="宋体" w:hAnsi="宋体" w:cs="宋体"/>
                <w:sz w:val="24"/>
                <w:szCs w:val="24"/>
                <w:lang w:eastAsia="zh-CN"/>
              </w:rPr>
              <w:t>，得</w:t>
            </w:r>
            <w:r>
              <w:rPr>
                <w:rFonts w:hint="eastAsia" w:ascii="宋体" w:hAnsi="宋体" w:cs="宋体"/>
                <w:sz w:val="24"/>
                <w:szCs w:val="24"/>
                <w:lang w:val="en-US" w:eastAsia="zh-CN"/>
              </w:rPr>
              <w:t>1.5</w:t>
            </w:r>
            <w:r>
              <w:rPr>
                <w:rFonts w:hint="eastAsia" w:ascii="宋体" w:hAnsi="宋体" w:cs="宋体"/>
                <w:sz w:val="24"/>
                <w:szCs w:val="24"/>
                <w:lang w:eastAsia="zh-CN"/>
              </w:rPr>
              <w:t>分（需提供证明材料：</w:t>
            </w:r>
            <w:r>
              <w:rPr>
                <w:rFonts w:hint="eastAsia" w:ascii="宋体" w:hAnsi="宋体" w:cs="宋体"/>
                <w:sz w:val="24"/>
                <w:szCs w:val="24"/>
                <w:lang w:val="en-US" w:eastAsia="zh-CN"/>
              </w:rPr>
              <w:t>联系方式及</w:t>
            </w:r>
            <w:r>
              <w:rPr>
                <w:rFonts w:ascii="宋体" w:hAnsi="宋体" w:eastAsia="宋体" w:cs="宋体"/>
                <w:sz w:val="24"/>
                <w:szCs w:val="24"/>
              </w:rPr>
              <w:t>岗位职责分工</w:t>
            </w:r>
            <w:r>
              <w:rPr>
                <w:rFonts w:hint="eastAsia" w:ascii="宋体" w:hAnsi="宋体" w:cs="宋体"/>
                <w:sz w:val="24"/>
                <w:szCs w:val="24"/>
                <w:lang w:val="en-US" w:eastAsia="zh-CN"/>
              </w:rPr>
              <w:t>明细表</w:t>
            </w:r>
            <w:r>
              <w:rPr>
                <w:rFonts w:hint="eastAsia" w:ascii="宋体" w:hAnsi="宋体" w:cs="宋体"/>
                <w:sz w:val="24"/>
                <w:szCs w:val="24"/>
                <w:lang w:eastAsia="zh-CN"/>
              </w:rPr>
              <w:t>、近半年内任意一个月</w:t>
            </w:r>
            <w:r>
              <w:rPr>
                <w:rFonts w:hint="eastAsia" w:ascii="宋体" w:hAnsi="宋体" w:cs="宋体"/>
                <w:sz w:val="24"/>
                <w:szCs w:val="24"/>
                <w:lang w:val="en-US" w:eastAsia="zh-CN"/>
              </w:rPr>
              <w:t>在本公司</w:t>
            </w:r>
            <w:r>
              <w:rPr>
                <w:rFonts w:hint="eastAsia" w:ascii="宋体" w:hAnsi="宋体" w:cs="宋体"/>
                <w:sz w:val="24"/>
                <w:szCs w:val="24"/>
                <w:lang w:eastAsia="zh-CN"/>
              </w:rPr>
              <w:t>的社保或劳动合同，未提供</w:t>
            </w:r>
            <w:r>
              <w:rPr>
                <w:rFonts w:hint="eastAsia" w:ascii="宋体" w:hAnsi="宋体" w:cs="宋体"/>
                <w:sz w:val="24"/>
                <w:szCs w:val="24"/>
                <w:lang w:val="en-US" w:eastAsia="zh-CN"/>
              </w:rPr>
              <w:t>或提供不全</w:t>
            </w:r>
            <w:r>
              <w:rPr>
                <w:rFonts w:hint="eastAsia" w:ascii="宋体" w:hAnsi="宋体" w:cs="宋体"/>
                <w:sz w:val="24"/>
                <w:szCs w:val="24"/>
                <w:lang w:eastAsia="zh-CN"/>
              </w:rPr>
              <w:t>的本项不得分）</w:t>
            </w:r>
          </w:p>
          <w:p w14:paraId="070F39E9">
            <w:pPr>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2</w:t>
            </w:r>
            <w:r>
              <w:rPr>
                <w:rFonts w:hint="eastAsia" w:ascii="宋体" w:hAnsi="宋体" w:cs="宋体"/>
                <w:sz w:val="24"/>
                <w:szCs w:val="24"/>
                <w:lang w:val="en-US" w:eastAsia="zh-CN"/>
              </w:rPr>
              <w:t>.</w:t>
            </w:r>
            <w:r>
              <w:rPr>
                <w:rFonts w:hint="eastAsia" w:ascii="宋体" w:hAnsi="宋体" w:cs="宋体"/>
                <w:sz w:val="24"/>
                <w:szCs w:val="24"/>
                <w:lang w:eastAsia="zh-CN"/>
              </w:rPr>
              <w:t>具备稳定的售后服务机构，并具备相应的证明，得</w:t>
            </w:r>
            <w:r>
              <w:rPr>
                <w:rFonts w:hint="eastAsia" w:ascii="宋体" w:hAnsi="宋体" w:cs="宋体"/>
                <w:sz w:val="24"/>
                <w:szCs w:val="24"/>
                <w:lang w:val="en-US" w:eastAsia="zh-CN"/>
              </w:rPr>
              <w:t>1.5</w:t>
            </w:r>
            <w:r>
              <w:rPr>
                <w:rFonts w:hint="eastAsia" w:ascii="宋体" w:hAnsi="宋体" w:cs="宋体"/>
                <w:sz w:val="24"/>
                <w:szCs w:val="24"/>
                <w:lang w:eastAsia="zh-CN"/>
              </w:rPr>
              <w:t>分（需提供证明材料：租赁的提供场地租赁合同；自有的</w:t>
            </w:r>
            <w:r>
              <w:rPr>
                <w:rFonts w:hint="eastAsia" w:ascii="宋体" w:hAnsi="宋体" w:cs="宋体"/>
                <w:sz w:val="24"/>
                <w:szCs w:val="24"/>
                <w:lang w:val="en-US" w:eastAsia="zh-CN"/>
              </w:rPr>
              <w:t>提供</w:t>
            </w:r>
            <w:r>
              <w:rPr>
                <w:rFonts w:hint="eastAsia" w:ascii="宋体" w:hAnsi="宋体" w:cs="宋体"/>
                <w:sz w:val="24"/>
                <w:szCs w:val="24"/>
                <w:lang w:eastAsia="zh-CN"/>
              </w:rPr>
              <w:t>房产证等证明材料，未提供的本项不得分）</w:t>
            </w:r>
          </w:p>
          <w:p w14:paraId="38BCA1F1">
            <w:pPr>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3.为本项目配备冷藏车的，每提供一辆符合要求的试剂配送冷藏车每辆得1分，此项最高2分。</w:t>
            </w:r>
          </w:p>
          <w:p w14:paraId="0B859EB9">
            <w:pPr>
              <w:spacing w:line="360" w:lineRule="auto"/>
              <w:ind w:firstLine="480" w:firstLineChars="200"/>
              <w:jc w:val="left"/>
              <w:rPr>
                <w:rFonts w:hint="default" w:ascii="宋体" w:hAnsi="宋体" w:cs="宋体"/>
                <w:sz w:val="24"/>
                <w:szCs w:val="24"/>
                <w:lang w:val="en-US" w:eastAsia="zh-CN"/>
              </w:rPr>
            </w:pPr>
            <w:r>
              <w:rPr>
                <w:rFonts w:hint="eastAsia" w:ascii="宋体" w:hAnsi="宋体" w:cs="宋体"/>
                <w:sz w:val="24"/>
                <w:szCs w:val="24"/>
                <w:lang w:val="en-US" w:eastAsia="zh-CN"/>
              </w:rPr>
              <w:t>注：车辆必须为投标供应商自有或租赁，车辆必须符合药剂药品安全要求，提供车辆行驶证及商业保险单（有效期内），租赁的还需提供租赁合同。车辆租赁企业需提供付款记录及发票。</w:t>
            </w:r>
          </w:p>
        </w:tc>
      </w:tr>
      <w:tr w14:paraId="158B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69" w:hRule="atLeast"/>
          <w:tblHeader/>
          <w:jc w:val="center"/>
        </w:trPr>
        <w:tc>
          <w:tcPr>
            <w:tcW w:w="411" w:type="dxa"/>
            <w:noWrap w:val="0"/>
            <w:vAlign w:val="center"/>
          </w:tcPr>
          <w:p w14:paraId="03F96079">
            <w:pPr>
              <w:autoSpaceDE w:val="0"/>
              <w:autoSpaceDN w:val="0"/>
              <w:adjustRightInd w:val="0"/>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1426" w:type="dxa"/>
            <w:noWrap w:val="0"/>
            <w:vAlign w:val="center"/>
          </w:tcPr>
          <w:p w14:paraId="7FFAB62D">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仓储设施设备及备品库存4%</w:t>
            </w:r>
          </w:p>
        </w:tc>
        <w:tc>
          <w:tcPr>
            <w:tcW w:w="1025" w:type="dxa"/>
            <w:noWrap w:val="0"/>
            <w:vAlign w:val="center"/>
          </w:tcPr>
          <w:p w14:paraId="19BAA2A2">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0-4</w:t>
            </w:r>
          </w:p>
        </w:tc>
        <w:tc>
          <w:tcPr>
            <w:tcW w:w="6666" w:type="dxa"/>
            <w:noWrap w:val="0"/>
            <w:vAlign w:val="top"/>
          </w:tcPr>
          <w:p w14:paraId="5838D7B3">
            <w:pPr>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US" w:eastAsia="zh-CN"/>
              </w:rPr>
              <w:t>.</w:t>
            </w:r>
            <w:r>
              <w:rPr>
                <w:rFonts w:hint="eastAsia" w:ascii="宋体" w:hAnsi="宋体" w:cs="宋体"/>
                <w:sz w:val="24"/>
                <w:szCs w:val="24"/>
                <w:lang w:eastAsia="zh-CN"/>
              </w:rPr>
              <w:t>仓存库房（专用恒温冷链仓储场地）、仓存设备、仓存具有冷冻冷藏功能（冷冻冷藏功能根据产品需要）；</w:t>
            </w:r>
          </w:p>
          <w:p w14:paraId="745C6D3D">
            <w:pPr>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val="en-US" w:eastAsia="zh-CN"/>
              </w:rPr>
              <w:t>2.</w:t>
            </w:r>
            <w:r>
              <w:rPr>
                <w:rFonts w:hint="eastAsia" w:ascii="宋体" w:hAnsi="宋体" w:cs="宋体"/>
                <w:sz w:val="24"/>
                <w:szCs w:val="24"/>
                <w:lang w:eastAsia="zh-CN"/>
              </w:rPr>
              <w:t>备品库存（针对本项目检测试剂盒设置固定安全库存，可随时应对批量供货、应急补货需求）。</w:t>
            </w:r>
          </w:p>
          <w:p w14:paraId="047B018E">
            <w:pPr>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以上内容每提供一项内容得2分，本项最高得</w:t>
            </w:r>
            <w:r>
              <w:rPr>
                <w:rFonts w:hint="eastAsia" w:ascii="宋体" w:hAnsi="宋体" w:cs="宋体"/>
                <w:sz w:val="24"/>
                <w:szCs w:val="24"/>
                <w:lang w:val="en-US" w:eastAsia="zh-CN"/>
              </w:rPr>
              <w:t>4</w:t>
            </w:r>
            <w:r>
              <w:rPr>
                <w:rFonts w:hint="eastAsia" w:ascii="宋体" w:hAnsi="宋体" w:cs="宋体"/>
                <w:sz w:val="24"/>
                <w:szCs w:val="24"/>
                <w:lang w:eastAsia="zh-CN"/>
              </w:rPr>
              <w:t>分，未提供不得分。</w:t>
            </w:r>
          </w:p>
          <w:p w14:paraId="260EA72F">
            <w:pPr>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val="en-US" w:eastAsia="zh-CN"/>
              </w:rPr>
              <w:t>注：</w:t>
            </w:r>
            <w:r>
              <w:rPr>
                <w:rFonts w:hint="eastAsia" w:ascii="宋体" w:hAnsi="宋体" w:cs="宋体"/>
                <w:sz w:val="24"/>
                <w:szCs w:val="24"/>
                <w:lang w:eastAsia="zh-CN"/>
              </w:rPr>
              <w:t>需提供相关证明材料，如仓存租赁合同或房产证等证明材料、仓存设备购置发票及仓存具有冷冻冷藏功能</w:t>
            </w:r>
            <w:r>
              <w:rPr>
                <w:rFonts w:hint="eastAsia" w:ascii="宋体" w:hAnsi="宋体" w:cs="宋体"/>
                <w:sz w:val="24"/>
                <w:szCs w:val="24"/>
                <w:lang w:val="en-US" w:eastAsia="zh-CN"/>
              </w:rPr>
              <w:t>的</w:t>
            </w:r>
            <w:r>
              <w:rPr>
                <w:rFonts w:hint="eastAsia" w:ascii="宋体" w:hAnsi="宋体" w:cs="宋体"/>
                <w:sz w:val="24"/>
                <w:szCs w:val="24"/>
                <w:lang w:eastAsia="zh-CN"/>
              </w:rPr>
              <w:t>证明</w:t>
            </w:r>
            <w:r>
              <w:rPr>
                <w:rFonts w:hint="eastAsia" w:ascii="宋体" w:hAnsi="宋体" w:cs="宋体"/>
                <w:sz w:val="24"/>
                <w:szCs w:val="24"/>
                <w:lang w:val="en-US" w:eastAsia="zh-CN"/>
              </w:rPr>
              <w:t>材料</w:t>
            </w:r>
            <w:r>
              <w:rPr>
                <w:rFonts w:hint="eastAsia" w:ascii="宋体" w:hAnsi="宋体" w:cs="宋体"/>
                <w:sz w:val="24"/>
                <w:szCs w:val="24"/>
                <w:lang w:eastAsia="zh-CN"/>
              </w:rPr>
              <w:t>、备品库存清单等，未提供相关证明材料</w:t>
            </w:r>
            <w:r>
              <w:rPr>
                <w:rFonts w:hint="eastAsia" w:ascii="宋体" w:hAnsi="宋体" w:cs="宋体"/>
                <w:sz w:val="24"/>
                <w:szCs w:val="24"/>
                <w:lang w:val="en-US" w:eastAsia="zh-CN"/>
              </w:rPr>
              <w:t>或提供不全的</w:t>
            </w:r>
            <w:r>
              <w:rPr>
                <w:rFonts w:hint="eastAsia" w:ascii="宋体" w:hAnsi="宋体" w:cs="宋体"/>
                <w:sz w:val="24"/>
                <w:szCs w:val="24"/>
                <w:lang w:eastAsia="zh-CN"/>
              </w:rPr>
              <w:t>相应内容不得分。</w:t>
            </w:r>
          </w:p>
        </w:tc>
      </w:tr>
      <w:tr w14:paraId="2E45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69" w:hRule="atLeast"/>
          <w:tblHeader/>
          <w:jc w:val="center"/>
        </w:trPr>
        <w:tc>
          <w:tcPr>
            <w:tcW w:w="411" w:type="dxa"/>
            <w:noWrap w:val="0"/>
            <w:vAlign w:val="center"/>
          </w:tcPr>
          <w:p w14:paraId="25968FEC">
            <w:pPr>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c>
          <w:tcPr>
            <w:tcW w:w="1426" w:type="dxa"/>
            <w:noWrap w:val="0"/>
            <w:vAlign w:val="center"/>
          </w:tcPr>
          <w:p w14:paraId="235E7D3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实施方案</w:t>
            </w:r>
            <w:r>
              <w:rPr>
                <w:rFonts w:hint="eastAsia" w:ascii="宋体" w:hAnsi="宋体" w:cs="宋体"/>
                <w:sz w:val="24"/>
                <w:szCs w:val="24"/>
                <w:lang w:val="en-US" w:eastAsia="zh-CN"/>
              </w:rPr>
              <w:t>15</w:t>
            </w:r>
            <w:r>
              <w:rPr>
                <w:rFonts w:hint="eastAsia" w:ascii="宋体" w:hAnsi="宋体" w:eastAsia="宋体" w:cs="宋体"/>
                <w:sz w:val="24"/>
                <w:szCs w:val="24"/>
                <w:lang w:val="en-US" w:eastAsia="zh-CN"/>
              </w:rPr>
              <w:t>%</w:t>
            </w:r>
          </w:p>
        </w:tc>
        <w:tc>
          <w:tcPr>
            <w:tcW w:w="1025" w:type="dxa"/>
            <w:noWrap w:val="0"/>
            <w:vAlign w:val="center"/>
          </w:tcPr>
          <w:p w14:paraId="351187FD">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0-15</w:t>
            </w:r>
          </w:p>
          <w:p w14:paraId="37ABE67B">
            <w:pPr>
              <w:spacing w:line="360" w:lineRule="auto"/>
              <w:jc w:val="center"/>
              <w:rPr>
                <w:rFonts w:hint="default" w:ascii="宋体" w:hAnsi="宋体" w:cs="宋体"/>
                <w:sz w:val="24"/>
                <w:szCs w:val="24"/>
                <w:lang w:val="en-US" w:eastAsia="zh-CN"/>
              </w:rPr>
            </w:pPr>
          </w:p>
        </w:tc>
        <w:tc>
          <w:tcPr>
            <w:tcW w:w="6666" w:type="dxa"/>
            <w:noWrap w:val="0"/>
            <w:vAlign w:val="top"/>
          </w:tcPr>
          <w:p w14:paraId="46F2AD40">
            <w:pPr>
              <w:spacing w:line="360" w:lineRule="auto"/>
              <w:jc w:val="left"/>
              <w:rPr>
                <w:rFonts w:hint="eastAsia" w:ascii="宋体" w:hAnsi="宋体" w:cs="宋体"/>
                <w:sz w:val="24"/>
                <w:szCs w:val="24"/>
                <w:lang w:eastAsia="zh-CN"/>
              </w:rPr>
            </w:pPr>
            <w:r>
              <w:rPr>
                <w:rFonts w:hint="eastAsia" w:ascii="宋体" w:hAnsi="宋体" w:eastAsia="宋体" w:cs="宋体"/>
                <w:sz w:val="24"/>
                <w:szCs w:val="24"/>
              </w:rPr>
              <w:t>根据投标人提供的针对本项目制定的</w:t>
            </w:r>
            <w:r>
              <w:rPr>
                <w:rFonts w:hint="eastAsia" w:ascii="宋体" w:hAnsi="宋体" w:cs="宋体"/>
                <w:sz w:val="24"/>
                <w:szCs w:val="24"/>
                <w:lang w:val="en-US" w:eastAsia="zh-CN"/>
              </w:rPr>
              <w:t>实施</w:t>
            </w:r>
            <w:r>
              <w:rPr>
                <w:rFonts w:hint="eastAsia" w:ascii="宋体" w:hAnsi="宋体" w:eastAsia="宋体" w:cs="宋体"/>
                <w:sz w:val="24"/>
                <w:szCs w:val="24"/>
              </w:rPr>
              <w:t>方案进行打分</w:t>
            </w:r>
            <w:r>
              <w:rPr>
                <w:spacing w:val="-3"/>
                <w:sz w:val="24"/>
                <w:szCs w:val="24"/>
              </w:rPr>
              <w:t>：</w:t>
            </w:r>
          </w:p>
          <w:p w14:paraId="2524091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1.供货</w:t>
            </w:r>
            <w:r>
              <w:rPr>
                <w:rFonts w:hint="eastAsia" w:ascii="宋体" w:hAnsi="宋体" w:cs="宋体"/>
                <w:sz w:val="24"/>
                <w:szCs w:val="24"/>
                <w:lang w:val="en-US" w:eastAsia="zh-CN"/>
              </w:rPr>
              <w:t>计划</w:t>
            </w:r>
            <w:r>
              <w:rPr>
                <w:rFonts w:hint="eastAsia" w:ascii="宋体" w:hAnsi="宋体" w:eastAsia="宋体" w:cs="宋体"/>
                <w:sz w:val="24"/>
                <w:szCs w:val="24"/>
              </w:rPr>
              <w:t>；</w:t>
            </w:r>
          </w:p>
          <w:p w14:paraId="23C3AB2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流程安排</w:t>
            </w:r>
            <w:r>
              <w:rPr>
                <w:rFonts w:hint="eastAsia" w:ascii="宋体" w:hAnsi="宋体" w:eastAsia="宋体" w:cs="宋体"/>
                <w:sz w:val="24"/>
                <w:szCs w:val="24"/>
              </w:rPr>
              <w:t>；</w:t>
            </w:r>
          </w:p>
          <w:p w14:paraId="32832FCD">
            <w:pPr>
              <w:spacing w:line="36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3.时效保障</w:t>
            </w:r>
            <w:r>
              <w:rPr>
                <w:rFonts w:hint="eastAsia" w:ascii="宋体" w:hAnsi="宋体" w:eastAsia="宋体" w:cs="宋体"/>
                <w:sz w:val="24"/>
                <w:szCs w:val="24"/>
              </w:rPr>
              <w:t>；</w:t>
            </w:r>
          </w:p>
          <w:p w14:paraId="561468D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供货渠道</w:t>
            </w:r>
            <w:r>
              <w:rPr>
                <w:rFonts w:hint="eastAsia" w:ascii="宋体" w:hAnsi="宋体" w:eastAsia="宋体" w:cs="宋体"/>
                <w:sz w:val="24"/>
                <w:szCs w:val="24"/>
              </w:rPr>
              <w:t>；</w:t>
            </w:r>
          </w:p>
          <w:p w14:paraId="4E34F149">
            <w:pPr>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验收机制</w:t>
            </w:r>
            <w:r>
              <w:rPr>
                <w:rFonts w:hint="eastAsia" w:ascii="宋体" w:hAnsi="宋体" w:cs="宋体"/>
                <w:sz w:val="24"/>
                <w:szCs w:val="24"/>
                <w:lang w:eastAsia="zh-CN"/>
              </w:rPr>
              <w:t>。</w:t>
            </w:r>
          </w:p>
          <w:p w14:paraId="48CE28E4">
            <w:pPr>
              <w:spacing w:line="360" w:lineRule="auto"/>
              <w:jc w:val="left"/>
              <w:rPr>
                <w:rFonts w:hint="default" w:ascii="宋体" w:hAnsi="宋体" w:eastAsia="宋体" w:cs="宋体"/>
                <w:sz w:val="24"/>
                <w:szCs w:val="24"/>
                <w:lang w:val="en-US" w:eastAsia="zh-CN"/>
              </w:rPr>
            </w:pPr>
            <w:r>
              <w:rPr>
                <w:rFonts w:hint="eastAsia" w:ascii="宋体" w:hAnsi="宋体" w:cs="宋体"/>
                <w:sz w:val="24"/>
                <w:szCs w:val="24"/>
                <w:highlight w:val="none"/>
                <w:lang w:val="en-US" w:eastAsia="zh-CN"/>
              </w:rPr>
              <w:t>（每项最高3分，满分15分，不提供不得分。）</w:t>
            </w:r>
          </w:p>
        </w:tc>
      </w:tr>
      <w:tr w14:paraId="201A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04" w:hRule="atLeast"/>
          <w:tblHeader/>
          <w:jc w:val="center"/>
        </w:trPr>
        <w:tc>
          <w:tcPr>
            <w:tcW w:w="411" w:type="dxa"/>
            <w:noWrap w:val="0"/>
            <w:vAlign w:val="center"/>
          </w:tcPr>
          <w:p w14:paraId="6D353395">
            <w:pPr>
              <w:autoSpaceDE w:val="0"/>
              <w:autoSpaceDN w:val="0"/>
              <w:adjustRightInd w:val="0"/>
              <w:snapToGrid w:val="0"/>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7</w:t>
            </w:r>
          </w:p>
        </w:tc>
        <w:tc>
          <w:tcPr>
            <w:tcW w:w="1426" w:type="dxa"/>
            <w:noWrap w:val="0"/>
            <w:vAlign w:val="center"/>
          </w:tcPr>
          <w:p w14:paraId="0B641AB1">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应急服务方案4%</w:t>
            </w:r>
          </w:p>
        </w:tc>
        <w:tc>
          <w:tcPr>
            <w:tcW w:w="1025" w:type="dxa"/>
            <w:noWrap w:val="0"/>
            <w:vAlign w:val="center"/>
          </w:tcPr>
          <w:p w14:paraId="2D8E4895">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0-4</w:t>
            </w:r>
          </w:p>
        </w:tc>
        <w:tc>
          <w:tcPr>
            <w:tcW w:w="6666" w:type="dxa"/>
            <w:noWrap w:val="0"/>
            <w:vAlign w:val="top"/>
          </w:tcPr>
          <w:p w14:paraId="7158EBDB">
            <w:pPr>
              <w:spacing w:line="360" w:lineRule="auto"/>
              <w:jc w:val="left"/>
              <w:rPr>
                <w:rFonts w:hint="eastAsia" w:ascii="宋体" w:hAnsi="宋体" w:eastAsia="宋体" w:cs="宋体"/>
                <w:sz w:val="24"/>
                <w:szCs w:val="24"/>
              </w:rPr>
            </w:pPr>
            <w:r>
              <w:rPr>
                <w:rFonts w:hint="eastAsia" w:ascii="宋体" w:hAnsi="宋体" w:eastAsia="宋体" w:cs="宋体"/>
                <w:sz w:val="24"/>
                <w:szCs w:val="24"/>
              </w:rPr>
              <w:t>根据投标人提供的针对本项目制定的</w:t>
            </w:r>
            <w:r>
              <w:rPr>
                <w:rFonts w:hint="eastAsia" w:ascii="宋体" w:hAnsi="宋体" w:cs="宋体"/>
                <w:sz w:val="24"/>
                <w:szCs w:val="24"/>
                <w:lang w:val="en-US" w:eastAsia="zh-CN"/>
              </w:rPr>
              <w:t>应急服务方案</w:t>
            </w:r>
            <w:r>
              <w:rPr>
                <w:rFonts w:hint="eastAsia" w:ascii="宋体" w:hAnsi="宋体" w:eastAsia="宋体" w:cs="宋体"/>
                <w:sz w:val="24"/>
                <w:szCs w:val="24"/>
              </w:rPr>
              <w:t>进行打分</w:t>
            </w:r>
            <w:r>
              <w:rPr>
                <w:spacing w:val="-3"/>
                <w:sz w:val="24"/>
                <w:szCs w:val="24"/>
              </w:rPr>
              <w:t>：</w:t>
            </w:r>
          </w:p>
          <w:p w14:paraId="616501E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具备成熟的突发应急保障机制，针对试剂短缺、质量异常、批量损耗、紧急检测任务、物流中断等突发情况，制定</w:t>
            </w:r>
            <w:r>
              <w:rPr>
                <w:rFonts w:hint="eastAsia" w:ascii="宋体" w:hAnsi="宋体" w:cs="宋体"/>
                <w:sz w:val="24"/>
                <w:szCs w:val="24"/>
                <w:lang w:val="en-US" w:eastAsia="zh-CN"/>
              </w:rPr>
              <w:t>①</w:t>
            </w:r>
            <w:r>
              <w:rPr>
                <w:rFonts w:hint="eastAsia" w:ascii="宋体" w:hAnsi="宋体" w:eastAsia="宋体" w:cs="宋体"/>
                <w:sz w:val="24"/>
                <w:szCs w:val="24"/>
              </w:rPr>
              <w:t>应急补货、</w:t>
            </w:r>
            <w:r>
              <w:rPr>
                <w:rFonts w:hint="eastAsia" w:ascii="宋体" w:hAnsi="宋体" w:cs="宋体"/>
                <w:sz w:val="24"/>
                <w:szCs w:val="24"/>
                <w:lang w:val="en-US" w:eastAsia="zh-CN"/>
              </w:rPr>
              <w:t>②</w:t>
            </w:r>
            <w:r>
              <w:rPr>
                <w:rFonts w:hint="eastAsia" w:ascii="宋体" w:hAnsi="宋体" w:eastAsia="宋体" w:cs="宋体"/>
                <w:sz w:val="24"/>
                <w:szCs w:val="24"/>
              </w:rPr>
              <w:t>紧急调货、</w:t>
            </w:r>
            <w:r>
              <w:rPr>
                <w:rFonts w:hint="eastAsia" w:ascii="宋体" w:hAnsi="宋体" w:cs="宋体"/>
                <w:sz w:val="24"/>
                <w:szCs w:val="24"/>
                <w:lang w:val="en-US" w:eastAsia="zh-CN"/>
              </w:rPr>
              <w:t>③</w:t>
            </w:r>
            <w:r>
              <w:rPr>
                <w:rFonts w:hint="eastAsia" w:ascii="宋体" w:hAnsi="宋体" w:eastAsia="宋体" w:cs="宋体"/>
                <w:sz w:val="24"/>
                <w:szCs w:val="24"/>
              </w:rPr>
              <w:t>备用试剂调配、</w:t>
            </w:r>
            <w:r>
              <w:rPr>
                <w:rFonts w:hint="eastAsia" w:ascii="宋体" w:hAnsi="宋体" w:cs="宋体"/>
                <w:sz w:val="24"/>
                <w:szCs w:val="24"/>
                <w:lang w:val="en-US" w:eastAsia="zh-CN"/>
              </w:rPr>
              <w:t>④</w:t>
            </w:r>
            <w:r>
              <w:rPr>
                <w:rFonts w:hint="eastAsia" w:ascii="宋体" w:hAnsi="宋体" w:eastAsia="宋体" w:cs="宋体"/>
                <w:sz w:val="24"/>
                <w:szCs w:val="24"/>
              </w:rPr>
              <w:t>现场应急技术支援方案，可快速处置各类突发问题，保障检验工作连续开展</w:t>
            </w:r>
            <w:r>
              <w:rPr>
                <w:rFonts w:hint="eastAsia" w:ascii="宋体" w:hAnsi="宋体" w:cs="宋体"/>
                <w:sz w:val="24"/>
                <w:szCs w:val="24"/>
                <w:lang w:eastAsia="zh-CN"/>
              </w:rPr>
              <w:t>，</w:t>
            </w:r>
            <w:r>
              <w:rPr>
                <w:rFonts w:hint="eastAsia" w:ascii="宋体" w:hAnsi="宋体" w:cs="宋体"/>
                <w:sz w:val="24"/>
                <w:szCs w:val="24"/>
                <w:highlight w:val="none"/>
                <w:lang w:val="en-US" w:eastAsia="zh-CN"/>
              </w:rPr>
              <w:t>每项最高1分，满分4分，不提供不得分。</w:t>
            </w:r>
          </w:p>
        </w:tc>
      </w:tr>
      <w:tr w14:paraId="7DF4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904" w:hRule="atLeast"/>
          <w:tblHeader/>
          <w:jc w:val="center"/>
        </w:trPr>
        <w:tc>
          <w:tcPr>
            <w:tcW w:w="411" w:type="dxa"/>
            <w:noWrap w:val="0"/>
            <w:vAlign w:val="center"/>
          </w:tcPr>
          <w:p w14:paraId="0989C74E">
            <w:pPr>
              <w:autoSpaceDE w:val="0"/>
              <w:autoSpaceDN w:val="0"/>
              <w:adjustRightInd w:val="0"/>
              <w:snapToGrid w:val="0"/>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1426" w:type="dxa"/>
            <w:noWrap w:val="0"/>
            <w:vAlign w:val="center"/>
          </w:tcPr>
          <w:p w14:paraId="7326BE5D">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eastAsia="zh-CN"/>
              </w:rPr>
              <w:t>售后服务方案</w:t>
            </w:r>
            <w:r>
              <w:rPr>
                <w:rFonts w:hint="eastAsia" w:ascii="宋体" w:hAnsi="宋体" w:cs="宋体"/>
                <w:sz w:val="24"/>
                <w:szCs w:val="24"/>
                <w:lang w:val="en-US" w:eastAsia="zh-CN"/>
              </w:rPr>
              <w:t>10%</w:t>
            </w:r>
          </w:p>
        </w:tc>
        <w:tc>
          <w:tcPr>
            <w:tcW w:w="1025" w:type="dxa"/>
            <w:noWrap w:val="0"/>
            <w:vAlign w:val="center"/>
          </w:tcPr>
          <w:p w14:paraId="6D417AB6">
            <w:pPr>
              <w:spacing w:line="360" w:lineRule="auto"/>
              <w:jc w:val="center"/>
              <w:rPr>
                <w:rFonts w:hint="eastAsia" w:ascii="宋体" w:hAnsi="宋体" w:cs="宋体"/>
                <w:sz w:val="24"/>
                <w:szCs w:val="24"/>
                <w:lang w:val="en-US" w:eastAsia="zh-CN"/>
              </w:rPr>
            </w:pPr>
            <w:r>
              <w:rPr>
                <w:rFonts w:hint="eastAsia" w:ascii="宋体" w:hAnsi="宋体" w:cs="宋体"/>
                <w:sz w:val="24"/>
                <w:szCs w:val="24"/>
                <w:lang w:val="en-US" w:eastAsia="zh-CN"/>
              </w:rPr>
              <w:t>0-10</w:t>
            </w:r>
          </w:p>
          <w:p w14:paraId="2E86A27F">
            <w:pPr>
              <w:spacing w:line="360" w:lineRule="auto"/>
              <w:jc w:val="center"/>
              <w:rPr>
                <w:rFonts w:hint="default" w:ascii="宋体" w:hAnsi="宋体" w:eastAsia="宋体" w:cs="宋体"/>
                <w:sz w:val="24"/>
                <w:szCs w:val="24"/>
                <w:lang w:val="en-US" w:eastAsia="zh-CN"/>
              </w:rPr>
            </w:pPr>
          </w:p>
        </w:tc>
        <w:tc>
          <w:tcPr>
            <w:tcW w:w="6666" w:type="dxa"/>
            <w:noWrap w:val="0"/>
            <w:vAlign w:val="top"/>
          </w:tcPr>
          <w:p w14:paraId="3D663FD8">
            <w:pPr>
              <w:spacing w:line="360" w:lineRule="auto"/>
              <w:jc w:val="left"/>
              <w:rPr>
                <w:rFonts w:hint="eastAsia" w:ascii="宋体" w:hAnsi="宋体"/>
                <w:bCs/>
                <w:sz w:val="24"/>
                <w:szCs w:val="24"/>
                <w:lang w:val="en-US" w:eastAsia="zh-CN"/>
              </w:rPr>
            </w:pPr>
            <w:r>
              <w:rPr>
                <w:rFonts w:hint="eastAsia" w:ascii="宋体" w:hAnsi="宋体" w:eastAsia="宋体" w:cs="宋体"/>
                <w:sz w:val="24"/>
                <w:szCs w:val="24"/>
              </w:rPr>
              <w:t>根据投标人提供的针对本项目制定的</w:t>
            </w:r>
            <w:r>
              <w:rPr>
                <w:rFonts w:hint="eastAsia" w:ascii="宋体" w:hAnsi="宋体" w:cs="宋体"/>
                <w:sz w:val="24"/>
                <w:szCs w:val="24"/>
                <w:lang w:eastAsia="zh-CN"/>
              </w:rPr>
              <w:t>售后服务方案</w:t>
            </w:r>
            <w:r>
              <w:rPr>
                <w:rFonts w:hint="eastAsia" w:ascii="宋体" w:hAnsi="宋体" w:eastAsia="宋体" w:cs="宋体"/>
                <w:sz w:val="24"/>
                <w:szCs w:val="24"/>
              </w:rPr>
              <w:t>进行打分：</w:t>
            </w:r>
          </w:p>
          <w:p w14:paraId="26382125">
            <w:pPr>
              <w:numPr>
                <w:ilvl w:val="0"/>
                <w:numId w:val="0"/>
              </w:num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1.</w:t>
            </w:r>
            <w:r>
              <w:rPr>
                <w:rFonts w:hint="eastAsia" w:ascii="宋体" w:hAnsi="宋体" w:cs="宋体"/>
                <w:sz w:val="24"/>
                <w:szCs w:val="24"/>
                <w:lang w:eastAsia="zh-CN"/>
              </w:rPr>
              <w:t>售后</w:t>
            </w:r>
            <w:r>
              <w:rPr>
                <w:rFonts w:hint="eastAsia" w:ascii="宋体" w:hAnsi="宋体"/>
                <w:bCs/>
                <w:sz w:val="24"/>
                <w:szCs w:val="24"/>
              </w:rPr>
              <w:t>服务</w:t>
            </w:r>
            <w:r>
              <w:rPr>
                <w:rFonts w:hint="eastAsia" w:ascii="宋体" w:hAnsi="宋体"/>
                <w:bCs/>
                <w:sz w:val="24"/>
                <w:szCs w:val="24"/>
                <w:lang w:val="en-US" w:eastAsia="zh-CN"/>
              </w:rPr>
              <w:t>保障体系；</w:t>
            </w:r>
          </w:p>
          <w:p w14:paraId="72AF6FE9">
            <w:pPr>
              <w:numPr>
                <w:ilvl w:val="0"/>
                <w:numId w:val="0"/>
              </w:numPr>
              <w:spacing w:line="360" w:lineRule="auto"/>
              <w:ind w:firstLine="480" w:firstLineChars="200"/>
              <w:jc w:val="left"/>
              <w:rPr>
                <w:rFonts w:hint="eastAsia" w:ascii="宋体" w:hAnsi="宋体" w:eastAsia="宋体"/>
                <w:bCs/>
                <w:sz w:val="24"/>
                <w:szCs w:val="24"/>
                <w:lang w:val="en-US" w:eastAsia="zh-CN"/>
              </w:rPr>
            </w:pPr>
            <w:r>
              <w:rPr>
                <w:rFonts w:hint="eastAsia" w:ascii="宋体" w:hAnsi="宋体"/>
                <w:bCs/>
                <w:sz w:val="24"/>
                <w:szCs w:val="24"/>
                <w:lang w:val="en-US" w:eastAsia="zh-CN"/>
              </w:rPr>
              <w:t>2.专属服务人员安排；</w:t>
            </w:r>
          </w:p>
          <w:p w14:paraId="044F837F">
            <w:pPr>
              <w:numPr>
                <w:ilvl w:val="0"/>
                <w:numId w:val="0"/>
              </w:numPr>
              <w:spacing w:line="360" w:lineRule="auto"/>
              <w:ind w:firstLine="480" w:firstLineChars="200"/>
              <w:jc w:val="left"/>
              <w:rPr>
                <w:rFonts w:hint="eastAsia" w:ascii="宋体" w:hAnsi="宋体"/>
                <w:bCs/>
                <w:sz w:val="24"/>
                <w:szCs w:val="24"/>
                <w:lang w:eastAsia="zh-CN"/>
              </w:rPr>
            </w:pPr>
            <w:r>
              <w:rPr>
                <w:rFonts w:hint="eastAsia" w:ascii="宋体" w:hAnsi="宋体"/>
                <w:bCs/>
                <w:sz w:val="24"/>
                <w:szCs w:val="24"/>
                <w:lang w:val="en-US" w:eastAsia="zh-CN"/>
              </w:rPr>
              <w:t>3.售后响应时效</w:t>
            </w:r>
            <w:r>
              <w:rPr>
                <w:rFonts w:hint="eastAsia" w:ascii="宋体" w:hAnsi="宋体"/>
                <w:bCs/>
                <w:sz w:val="24"/>
                <w:szCs w:val="24"/>
                <w:lang w:eastAsia="zh-CN"/>
              </w:rPr>
              <w:t>；</w:t>
            </w:r>
          </w:p>
          <w:p w14:paraId="256DA103">
            <w:pPr>
              <w:numPr>
                <w:ilvl w:val="0"/>
                <w:numId w:val="0"/>
              </w:numPr>
              <w:spacing w:line="360" w:lineRule="auto"/>
              <w:ind w:firstLine="480" w:firstLineChars="200"/>
              <w:jc w:val="left"/>
              <w:rPr>
                <w:rFonts w:hint="eastAsia" w:ascii="宋体" w:hAnsi="宋体"/>
                <w:bCs/>
                <w:sz w:val="24"/>
                <w:szCs w:val="24"/>
                <w:lang w:val="en-US" w:eastAsia="zh-CN"/>
              </w:rPr>
            </w:pPr>
            <w:r>
              <w:rPr>
                <w:rFonts w:hint="eastAsia" w:ascii="宋体" w:hAnsi="宋体"/>
                <w:bCs/>
                <w:sz w:val="24"/>
                <w:szCs w:val="24"/>
                <w:lang w:val="en-US" w:eastAsia="zh-CN"/>
              </w:rPr>
              <w:t>4.</w:t>
            </w:r>
            <w:r>
              <w:rPr>
                <w:rFonts w:hint="eastAsia"/>
                <w:spacing w:val="-1"/>
                <w:sz w:val="24"/>
                <w:szCs w:val="24"/>
                <w:lang w:val="en-US" w:eastAsia="zh-CN"/>
              </w:rPr>
              <w:t>定期巡检服务计划</w:t>
            </w:r>
            <w:r>
              <w:rPr>
                <w:rFonts w:hint="eastAsia" w:ascii="宋体" w:hAnsi="宋体"/>
                <w:bCs/>
                <w:sz w:val="24"/>
                <w:szCs w:val="24"/>
                <w:lang w:val="en-US" w:eastAsia="zh-CN"/>
              </w:rPr>
              <w:t>；</w:t>
            </w:r>
          </w:p>
          <w:p w14:paraId="3CBBB39B">
            <w:pPr>
              <w:numPr>
                <w:ilvl w:val="0"/>
                <w:numId w:val="0"/>
              </w:numPr>
              <w:spacing w:line="360" w:lineRule="auto"/>
              <w:ind w:firstLine="480" w:firstLineChars="200"/>
              <w:jc w:val="left"/>
              <w:rPr>
                <w:rFonts w:hint="eastAsia" w:ascii="宋体" w:hAnsi="宋体"/>
                <w:bCs/>
                <w:sz w:val="24"/>
                <w:szCs w:val="24"/>
                <w:lang w:eastAsia="zh-CN"/>
              </w:rPr>
            </w:pPr>
            <w:r>
              <w:rPr>
                <w:rFonts w:hint="eastAsia" w:ascii="宋体" w:hAnsi="宋体"/>
                <w:bCs/>
                <w:sz w:val="24"/>
                <w:szCs w:val="24"/>
                <w:lang w:val="en-US" w:eastAsia="zh-CN"/>
              </w:rPr>
              <w:t>5.产品退换货服务</w:t>
            </w:r>
            <w:r>
              <w:rPr>
                <w:rFonts w:hint="eastAsia" w:ascii="宋体" w:hAnsi="宋体"/>
                <w:bCs/>
                <w:sz w:val="24"/>
                <w:szCs w:val="24"/>
                <w:lang w:eastAsia="zh-CN"/>
              </w:rPr>
              <w:t>。</w:t>
            </w:r>
          </w:p>
          <w:p w14:paraId="7D90F47A">
            <w:pPr>
              <w:numPr>
                <w:ilvl w:val="0"/>
                <w:numId w:val="0"/>
              </w:numPr>
              <w:spacing w:line="360" w:lineRule="auto"/>
              <w:jc w:val="left"/>
              <w:rPr>
                <w:rFonts w:hint="eastAsia" w:ascii="宋体" w:hAnsi="宋体" w:eastAsia="宋体" w:cs="宋体"/>
                <w:sz w:val="24"/>
                <w:szCs w:val="24"/>
              </w:rPr>
            </w:pPr>
            <w:r>
              <w:rPr>
                <w:rFonts w:hint="eastAsia" w:ascii="宋体" w:hAnsi="宋体" w:cs="宋体"/>
                <w:sz w:val="24"/>
                <w:szCs w:val="24"/>
                <w:highlight w:val="none"/>
                <w:lang w:val="en-US" w:eastAsia="zh-CN"/>
              </w:rPr>
              <w:t>（每项最高2分，满分10分，不提供不得分。）</w:t>
            </w:r>
          </w:p>
        </w:tc>
      </w:tr>
    </w:tbl>
    <w:p w14:paraId="48A8E4A5">
      <w:pPr>
        <w:rPr>
          <w:rFonts w:hint="eastAsia" w:ascii="宋体" w:hAnsi="宋体" w:cs="宋体"/>
          <w:b/>
          <w:bCs/>
          <w:color w:val="auto"/>
          <w:sz w:val="32"/>
          <w:szCs w:val="32"/>
        </w:rPr>
      </w:pPr>
      <w:r>
        <w:rPr>
          <w:rFonts w:hint="eastAsia" w:ascii="宋体" w:hAnsi="宋体" w:cs="宋体"/>
          <w:b/>
          <w:bCs/>
          <w:color w:val="auto"/>
          <w:sz w:val="32"/>
          <w:szCs w:val="32"/>
        </w:rPr>
        <w:br w:type="page"/>
      </w:r>
    </w:p>
    <w:p w14:paraId="24909DA3">
      <w:pPr>
        <w:jc w:val="center"/>
        <w:rPr>
          <w:rFonts w:ascii="宋体" w:hAnsi="宋体" w:cs="宋体"/>
          <w:b/>
          <w:bCs/>
          <w:color w:val="auto"/>
          <w:sz w:val="32"/>
          <w:szCs w:val="32"/>
        </w:rPr>
      </w:pPr>
      <w:r>
        <w:rPr>
          <w:rFonts w:hint="eastAsia" w:ascii="宋体" w:hAnsi="宋体" w:cs="宋体"/>
          <w:b/>
          <w:bCs/>
          <w:color w:val="auto"/>
          <w:sz w:val="32"/>
          <w:szCs w:val="32"/>
        </w:rPr>
        <w:t>第四章  合同条款</w:t>
      </w:r>
      <w:bookmarkEnd w:id="52"/>
      <w:bookmarkEnd w:id="151"/>
      <w:bookmarkEnd w:id="152"/>
      <w:bookmarkEnd w:id="153"/>
      <w:bookmarkEnd w:id="154"/>
    </w:p>
    <w:p w14:paraId="307C1604">
      <w:pPr>
        <w:rPr>
          <w:rFonts w:hint="eastAsia" w:ascii="宋体" w:hAnsi="宋体" w:cs="宋体"/>
          <w:color w:val="auto"/>
          <w:sz w:val="24"/>
          <w:highlight w:val="none"/>
        </w:rPr>
      </w:pPr>
    </w:p>
    <w:p w14:paraId="4ABC3892">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71B88453">
      <w:pPr>
        <w:spacing w:line="480" w:lineRule="auto"/>
        <w:jc w:val="center"/>
        <w:rPr>
          <w:rFonts w:hint="eastAsia" w:ascii="宋体" w:hAnsi="宋体" w:cs="宋体"/>
          <w:b/>
          <w:color w:val="auto"/>
          <w:sz w:val="28"/>
          <w:szCs w:val="28"/>
          <w:highlight w:val="none"/>
        </w:rPr>
      </w:pPr>
    </w:p>
    <w:p w14:paraId="2A1452D5">
      <w:pPr>
        <w:spacing w:line="480" w:lineRule="auto"/>
        <w:jc w:val="center"/>
        <w:rPr>
          <w:rFonts w:hint="eastAsia" w:ascii="宋体" w:hAnsi="宋体" w:cs="宋体"/>
          <w:b/>
          <w:color w:val="auto"/>
          <w:sz w:val="28"/>
          <w:szCs w:val="28"/>
          <w:highlight w:val="none"/>
        </w:rPr>
      </w:pPr>
    </w:p>
    <w:p w14:paraId="76A40755">
      <w:pPr>
        <w:spacing w:line="480" w:lineRule="auto"/>
        <w:jc w:val="center"/>
        <w:rPr>
          <w:rFonts w:hint="eastAsia" w:ascii="宋体" w:hAnsi="宋体" w:cs="宋体"/>
          <w:b/>
          <w:color w:val="auto"/>
          <w:sz w:val="28"/>
          <w:szCs w:val="28"/>
          <w:highlight w:val="none"/>
        </w:rPr>
      </w:pPr>
    </w:p>
    <w:p w14:paraId="08C5A4F3">
      <w:pPr>
        <w:spacing w:line="48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政府采购合同参考范本</w:t>
      </w:r>
    </w:p>
    <w:p w14:paraId="50B85FED">
      <w:pPr>
        <w:spacing w:line="480" w:lineRule="auto"/>
        <w:jc w:val="center"/>
        <w:rPr>
          <w:rFonts w:hint="eastAsia" w:ascii="宋体" w:hAnsi="宋体" w:cs="宋体"/>
          <w:b/>
          <w:color w:val="auto"/>
          <w:sz w:val="24"/>
          <w:highlight w:val="none"/>
        </w:rPr>
      </w:pPr>
      <w:r>
        <w:rPr>
          <w:rFonts w:hint="eastAsia" w:ascii="宋体" w:hAnsi="宋体" w:cs="宋体"/>
          <w:b/>
          <w:color w:val="auto"/>
          <w:sz w:val="24"/>
          <w:highlight w:val="none"/>
        </w:rPr>
        <w:t>（货物类）</w:t>
      </w:r>
    </w:p>
    <w:p w14:paraId="18B01CAB">
      <w:pPr>
        <w:pStyle w:val="119"/>
        <w:ind w:firstLine="0"/>
        <w:rPr>
          <w:rFonts w:hint="eastAsia" w:hAnsi="宋体" w:cs="宋体"/>
          <w:color w:val="auto"/>
          <w:szCs w:val="24"/>
          <w:highlight w:val="none"/>
        </w:rPr>
      </w:pPr>
    </w:p>
    <w:p w14:paraId="7F6D3B9E">
      <w:pPr>
        <w:pStyle w:val="119"/>
        <w:ind w:firstLine="0"/>
        <w:rPr>
          <w:rFonts w:hint="eastAsia" w:hAnsi="宋体" w:cs="宋体"/>
          <w:color w:val="auto"/>
          <w:szCs w:val="24"/>
          <w:highlight w:val="none"/>
        </w:rPr>
      </w:pPr>
    </w:p>
    <w:p w14:paraId="03511BD1">
      <w:pPr>
        <w:pStyle w:val="119"/>
        <w:ind w:firstLine="0"/>
        <w:rPr>
          <w:rFonts w:hint="eastAsia" w:hAnsi="宋体" w:cs="宋体"/>
          <w:color w:val="auto"/>
          <w:szCs w:val="24"/>
          <w:highlight w:val="none"/>
        </w:rPr>
      </w:pPr>
    </w:p>
    <w:p w14:paraId="38B4320A">
      <w:pPr>
        <w:pStyle w:val="119"/>
        <w:ind w:firstLine="0"/>
        <w:jc w:val="center"/>
        <w:rPr>
          <w:rFonts w:hint="eastAsia" w:hAnsi="宋体" w:cs="宋体"/>
          <w:b/>
          <w:color w:val="auto"/>
          <w:szCs w:val="24"/>
          <w:highlight w:val="none"/>
        </w:rPr>
      </w:pPr>
      <w:r>
        <w:rPr>
          <w:rFonts w:hint="eastAsia" w:hAnsi="宋体" w:cs="宋体"/>
          <w:b/>
          <w:color w:val="auto"/>
          <w:szCs w:val="24"/>
          <w:highlight w:val="none"/>
        </w:rPr>
        <w:t>第一部分 合同书</w:t>
      </w:r>
    </w:p>
    <w:p w14:paraId="39F1D429">
      <w:pPr>
        <w:pStyle w:val="119"/>
        <w:ind w:firstLine="0"/>
        <w:rPr>
          <w:rFonts w:hint="eastAsia" w:hAnsi="宋体" w:cs="宋体"/>
          <w:color w:val="auto"/>
          <w:szCs w:val="24"/>
          <w:highlight w:val="none"/>
        </w:rPr>
      </w:pPr>
    </w:p>
    <w:p w14:paraId="3BF6ACB2">
      <w:pPr>
        <w:pStyle w:val="119"/>
        <w:ind w:firstLine="0"/>
        <w:rPr>
          <w:rFonts w:hint="eastAsia" w:hAnsi="宋体" w:cs="宋体"/>
          <w:color w:val="auto"/>
          <w:szCs w:val="24"/>
          <w:highlight w:val="none"/>
        </w:rPr>
      </w:pPr>
    </w:p>
    <w:p w14:paraId="3361EAE3">
      <w:pPr>
        <w:spacing w:before="120" w:line="22" w:lineRule="atLeast"/>
        <w:rPr>
          <w:rFonts w:hint="eastAsia" w:ascii="宋体" w:hAnsi="宋体" w:cs="宋体"/>
          <w:color w:val="auto"/>
          <w:sz w:val="24"/>
          <w:highlight w:val="none"/>
        </w:rPr>
      </w:pPr>
    </w:p>
    <w:p w14:paraId="76E4A8C9">
      <w:pPr>
        <w:spacing w:before="120" w:line="22" w:lineRule="atLeast"/>
        <w:ind w:left="960"/>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2C0F7EEA">
      <w:pPr>
        <w:rPr>
          <w:rFonts w:hint="eastAsia" w:ascii="宋体" w:hAnsi="宋体" w:cs="宋体"/>
          <w:color w:val="auto"/>
          <w:highlight w:val="none"/>
        </w:rPr>
      </w:pPr>
    </w:p>
    <w:p w14:paraId="2F21E1A6">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527304C7">
      <w:pPr>
        <w:spacing w:before="120" w:line="22" w:lineRule="atLeast"/>
        <w:rPr>
          <w:rFonts w:hint="eastAsia" w:ascii="宋体" w:hAnsi="宋体" w:cs="宋体"/>
          <w:color w:val="auto"/>
          <w:sz w:val="24"/>
          <w:highlight w:val="none"/>
        </w:rPr>
      </w:pPr>
    </w:p>
    <w:p w14:paraId="7B0496BD">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3B53F00D">
      <w:pPr>
        <w:spacing w:before="120" w:line="22" w:lineRule="atLeast"/>
        <w:rPr>
          <w:rFonts w:hint="eastAsia" w:ascii="宋体" w:hAnsi="宋体" w:cs="宋体"/>
          <w:color w:val="auto"/>
          <w:sz w:val="24"/>
          <w:highlight w:val="none"/>
        </w:rPr>
      </w:pPr>
    </w:p>
    <w:p w14:paraId="7C22A161">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39B56578">
      <w:pPr>
        <w:spacing w:before="120" w:line="22" w:lineRule="atLeast"/>
        <w:rPr>
          <w:rFonts w:hint="eastAsia" w:ascii="宋体" w:hAnsi="宋体" w:cs="宋体"/>
          <w:color w:val="auto"/>
          <w:sz w:val="24"/>
          <w:highlight w:val="none"/>
        </w:rPr>
      </w:pPr>
    </w:p>
    <w:p w14:paraId="5BE5D04B">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22054B2C">
      <w:pPr>
        <w:autoSpaceDE w:val="0"/>
        <w:autoSpaceDN w:val="0"/>
        <w:adjustRightInd w:val="0"/>
        <w:spacing w:line="600" w:lineRule="exact"/>
        <w:ind w:firstLine="640"/>
        <w:jc w:val="center"/>
        <w:rPr>
          <w:rFonts w:hint="eastAsia" w:ascii="宋体" w:hAnsi="宋体" w:cs="宋体"/>
          <w:color w:val="auto"/>
          <w:sz w:val="24"/>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080" w:bottom="1440" w:left="1080" w:header="851" w:footer="851" w:gutter="0"/>
          <w:pgNumType w:fmt="decimal" w:start="1"/>
          <w:cols w:space="720" w:num="1"/>
          <w:docGrid w:linePitch="462" w:charSpace="0"/>
        </w:sectPr>
      </w:pPr>
    </w:p>
    <w:p w14:paraId="3D593945">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（采购人名称）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（政府采购方式）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（同前页项目名称）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（相关评定主体名称）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w:t>
      </w:r>
      <w:r>
        <w:rPr>
          <w:rFonts w:hint="eastAsia" w:ascii="宋体" w:hAnsi="宋体" w:cs="宋体"/>
          <w:color w:val="auto"/>
          <w:sz w:val="24"/>
          <w:highlight w:val="none"/>
        </w:rPr>
        <w:t>为该项目中标供应商。现于中标通知书发出之日起三十日内，按照采购文件确定的事项签订本合同。</w:t>
      </w:r>
    </w:p>
    <w:p w14:paraId="5BB8F395">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（采购人名称）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10405561">
      <w:pPr>
        <w:spacing w:line="560" w:lineRule="exact"/>
        <w:ind w:firstLine="482" w:firstLineChars="200"/>
        <w:outlineLvl w:val="0"/>
        <w:rPr>
          <w:rFonts w:hint="eastAsia" w:ascii="宋体" w:hAnsi="宋体" w:cs="宋体"/>
          <w:b/>
          <w:color w:val="auto"/>
          <w:sz w:val="24"/>
          <w:highlight w:val="none"/>
        </w:rPr>
      </w:pPr>
      <w:bookmarkStart w:id="155" w:name="_Toc24059"/>
      <w:bookmarkStart w:id="156" w:name="_Toc3029"/>
      <w:bookmarkStart w:id="157" w:name="_Toc1608"/>
      <w:bookmarkStart w:id="158" w:name="_Toc2232"/>
      <w:r>
        <w:rPr>
          <w:rFonts w:hint="eastAsia" w:ascii="宋体" w:hAnsi="宋体" w:cs="宋体"/>
          <w:b/>
          <w:color w:val="auto"/>
          <w:sz w:val="24"/>
          <w:highlight w:val="none"/>
        </w:rPr>
        <w:t>1.1 合同组成部分</w:t>
      </w:r>
      <w:bookmarkEnd w:id="155"/>
      <w:bookmarkEnd w:id="156"/>
      <w:bookmarkEnd w:id="157"/>
      <w:bookmarkEnd w:id="158"/>
    </w:p>
    <w:p w14:paraId="0E2E1891">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55BCEF2">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 本合同及其补充合同、变更协议；</w:t>
      </w:r>
    </w:p>
    <w:p w14:paraId="445EC14C">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 中标通知书；</w:t>
      </w:r>
    </w:p>
    <w:p w14:paraId="782482C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 投标文件（含澄清或者说明文件）；</w:t>
      </w:r>
    </w:p>
    <w:p w14:paraId="4FF0AA4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1.1.4 </w:t>
      </w:r>
      <w:r>
        <w:rPr>
          <w:rFonts w:hint="eastAsia" w:ascii="宋体" w:hAnsi="宋体" w:cs="宋体"/>
          <w:color w:val="auto"/>
          <w:sz w:val="24"/>
          <w:highlight w:val="none"/>
          <w:lang w:eastAsia="zh-CN"/>
        </w:rPr>
        <w:t>采购文件</w:t>
      </w:r>
      <w:r>
        <w:rPr>
          <w:rFonts w:hint="eastAsia" w:ascii="宋体" w:hAnsi="宋体" w:cs="宋体"/>
          <w:color w:val="auto"/>
          <w:sz w:val="24"/>
          <w:highlight w:val="none"/>
        </w:rPr>
        <w:t>（含澄清或者修改文件）；</w:t>
      </w:r>
    </w:p>
    <w:p w14:paraId="28D8622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1.1.5 其他相关采购文件。</w:t>
      </w:r>
    </w:p>
    <w:p w14:paraId="71D3D138">
      <w:pPr>
        <w:spacing w:line="560" w:lineRule="exact"/>
        <w:ind w:firstLine="482" w:firstLineChars="200"/>
        <w:outlineLvl w:val="0"/>
        <w:rPr>
          <w:rFonts w:hint="eastAsia" w:ascii="宋体" w:hAnsi="宋体" w:cs="宋体"/>
          <w:b/>
          <w:color w:val="auto"/>
          <w:sz w:val="24"/>
          <w:highlight w:val="none"/>
        </w:rPr>
      </w:pPr>
      <w:bookmarkStart w:id="159" w:name="_Toc21295"/>
      <w:bookmarkStart w:id="160" w:name="_Toc24300"/>
      <w:bookmarkStart w:id="161" w:name="_Toc16170"/>
      <w:bookmarkStart w:id="162" w:name="_Toc27126"/>
      <w:r>
        <w:rPr>
          <w:rFonts w:hint="eastAsia" w:ascii="宋体" w:hAnsi="宋体" w:cs="宋体"/>
          <w:b/>
          <w:color w:val="auto"/>
          <w:sz w:val="24"/>
          <w:highlight w:val="none"/>
        </w:rPr>
        <w:t>1.2 货物</w:t>
      </w:r>
      <w:bookmarkEnd w:id="159"/>
      <w:bookmarkEnd w:id="160"/>
      <w:bookmarkEnd w:id="161"/>
      <w:bookmarkEnd w:id="162"/>
    </w:p>
    <w:p w14:paraId="6D633839">
      <w:pPr>
        <w:spacing w:line="5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1.2.1 货物名称：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6E51086">
      <w:pPr>
        <w:spacing w:line="5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93C9375">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55F260C">
      <w:pPr>
        <w:spacing w:line="560" w:lineRule="exact"/>
        <w:ind w:firstLine="482" w:firstLineChars="200"/>
        <w:outlineLvl w:val="0"/>
        <w:rPr>
          <w:rFonts w:hint="eastAsia" w:ascii="宋体" w:hAnsi="宋体" w:cs="宋体"/>
          <w:b/>
          <w:color w:val="auto"/>
          <w:sz w:val="24"/>
          <w:highlight w:val="none"/>
        </w:rPr>
      </w:pPr>
      <w:bookmarkStart w:id="163" w:name="_Toc23292"/>
      <w:bookmarkStart w:id="164" w:name="_Toc21631"/>
      <w:bookmarkStart w:id="165" w:name="_Toc16827"/>
      <w:bookmarkStart w:id="166" w:name="_Toc21551"/>
      <w:r>
        <w:rPr>
          <w:rFonts w:hint="eastAsia" w:ascii="宋体" w:hAnsi="宋体" w:cs="宋体"/>
          <w:b/>
          <w:color w:val="auto"/>
          <w:sz w:val="24"/>
          <w:highlight w:val="none"/>
        </w:rPr>
        <w:t>1.3 价款</w:t>
      </w:r>
      <w:bookmarkEnd w:id="163"/>
      <w:bookmarkEnd w:id="164"/>
      <w:bookmarkEnd w:id="165"/>
      <w:bookmarkEnd w:id="166"/>
    </w:p>
    <w:p w14:paraId="26DD40F2">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本合同总价为：￥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p>
    <w:p w14:paraId="7832D0EC">
      <w:pPr>
        <w:spacing w:line="5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分项价格：</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4824"/>
      </w:tblGrid>
      <w:tr w14:paraId="5055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3D72234">
            <w:pPr>
              <w:pStyle w:val="120"/>
              <w:spacing w:line="560" w:lineRule="exact"/>
              <w:jc w:val="center"/>
              <w:rPr>
                <w:rFonts w:hint="eastAsia" w:hAnsi="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序号</w:t>
            </w:r>
          </w:p>
        </w:tc>
        <w:tc>
          <w:tcPr>
            <w:tcW w:w="3402" w:type="dxa"/>
            <w:noWrap w:val="0"/>
            <w:vAlign w:val="center"/>
          </w:tcPr>
          <w:p w14:paraId="2219E8C7">
            <w:pPr>
              <w:pStyle w:val="120"/>
              <w:spacing w:line="560" w:lineRule="exact"/>
              <w:ind w:firstLine="200"/>
              <w:jc w:val="center"/>
              <w:rPr>
                <w:rFonts w:hint="eastAsia" w:hAnsi="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分项名称</w:t>
            </w:r>
          </w:p>
        </w:tc>
        <w:tc>
          <w:tcPr>
            <w:tcW w:w="4824" w:type="dxa"/>
            <w:noWrap w:val="0"/>
            <w:vAlign w:val="center"/>
          </w:tcPr>
          <w:p w14:paraId="3C74FE2E">
            <w:pPr>
              <w:pStyle w:val="120"/>
              <w:spacing w:line="560" w:lineRule="exact"/>
              <w:jc w:val="center"/>
              <w:rPr>
                <w:rFonts w:hint="eastAsia" w:hAnsi="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分项价格</w:t>
            </w:r>
          </w:p>
        </w:tc>
      </w:tr>
      <w:tr w14:paraId="3668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447297A">
            <w:pPr>
              <w:pStyle w:val="120"/>
              <w:spacing w:line="560" w:lineRule="exact"/>
              <w:ind w:firstLine="200"/>
              <w:jc w:val="center"/>
              <w:rPr>
                <w:rFonts w:hint="eastAsia" w:hAnsi="宋体" w:cs="宋体"/>
                <w:color w:val="auto"/>
                <w:kern w:val="2"/>
                <w:sz w:val="24"/>
                <w:szCs w:val="24"/>
                <w:highlight w:val="none"/>
                <w:lang w:val="en-US" w:eastAsia="zh-CN"/>
              </w:rPr>
            </w:pPr>
          </w:p>
        </w:tc>
        <w:tc>
          <w:tcPr>
            <w:tcW w:w="3402" w:type="dxa"/>
            <w:noWrap w:val="0"/>
            <w:vAlign w:val="center"/>
          </w:tcPr>
          <w:p w14:paraId="6556776B">
            <w:pPr>
              <w:pStyle w:val="120"/>
              <w:spacing w:line="560" w:lineRule="exact"/>
              <w:ind w:firstLine="200"/>
              <w:jc w:val="center"/>
              <w:rPr>
                <w:rFonts w:hint="eastAsia" w:hAnsi="宋体" w:cs="宋体"/>
                <w:color w:val="auto"/>
                <w:kern w:val="2"/>
                <w:sz w:val="24"/>
                <w:szCs w:val="24"/>
                <w:highlight w:val="none"/>
                <w:lang w:val="en-US" w:eastAsia="zh-CN"/>
              </w:rPr>
            </w:pPr>
          </w:p>
        </w:tc>
        <w:tc>
          <w:tcPr>
            <w:tcW w:w="4824" w:type="dxa"/>
            <w:noWrap w:val="0"/>
            <w:vAlign w:val="center"/>
          </w:tcPr>
          <w:p w14:paraId="4A67D6F5">
            <w:pPr>
              <w:pStyle w:val="120"/>
              <w:spacing w:line="560" w:lineRule="exact"/>
              <w:ind w:firstLine="200"/>
              <w:jc w:val="center"/>
              <w:rPr>
                <w:rFonts w:hint="eastAsia" w:hAnsi="宋体" w:cs="宋体"/>
                <w:color w:val="auto"/>
                <w:kern w:val="2"/>
                <w:sz w:val="24"/>
                <w:szCs w:val="24"/>
                <w:highlight w:val="none"/>
                <w:lang w:val="en-US" w:eastAsia="zh-CN"/>
              </w:rPr>
            </w:pPr>
          </w:p>
        </w:tc>
      </w:tr>
      <w:tr w14:paraId="3D26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57080C1">
            <w:pPr>
              <w:pStyle w:val="120"/>
              <w:spacing w:line="560" w:lineRule="exact"/>
              <w:ind w:firstLine="200"/>
              <w:jc w:val="center"/>
              <w:rPr>
                <w:rFonts w:hint="eastAsia" w:hAnsi="宋体" w:cs="宋体"/>
                <w:color w:val="auto"/>
                <w:kern w:val="2"/>
                <w:sz w:val="24"/>
                <w:szCs w:val="24"/>
                <w:highlight w:val="none"/>
                <w:lang w:val="en-US" w:eastAsia="zh-CN"/>
              </w:rPr>
            </w:pPr>
          </w:p>
        </w:tc>
        <w:tc>
          <w:tcPr>
            <w:tcW w:w="3402" w:type="dxa"/>
            <w:noWrap w:val="0"/>
            <w:vAlign w:val="center"/>
          </w:tcPr>
          <w:p w14:paraId="00AEAF02">
            <w:pPr>
              <w:pStyle w:val="120"/>
              <w:spacing w:line="560" w:lineRule="exact"/>
              <w:ind w:firstLine="200"/>
              <w:jc w:val="center"/>
              <w:rPr>
                <w:rFonts w:hint="eastAsia" w:hAnsi="宋体" w:cs="宋体"/>
                <w:color w:val="auto"/>
                <w:kern w:val="2"/>
                <w:sz w:val="24"/>
                <w:szCs w:val="24"/>
                <w:highlight w:val="none"/>
                <w:lang w:val="en-US" w:eastAsia="zh-CN"/>
              </w:rPr>
            </w:pPr>
          </w:p>
        </w:tc>
        <w:tc>
          <w:tcPr>
            <w:tcW w:w="4824" w:type="dxa"/>
            <w:noWrap w:val="0"/>
            <w:vAlign w:val="center"/>
          </w:tcPr>
          <w:p w14:paraId="43819204">
            <w:pPr>
              <w:pStyle w:val="120"/>
              <w:spacing w:line="560" w:lineRule="exact"/>
              <w:ind w:firstLine="200"/>
              <w:jc w:val="center"/>
              <w:rPr>
                <w:rFonts w:hint="eastAsia" w:hAnsi="宋体" w:cs="宋体"/>
                <w:color w:val="auto"/>
                <w:kern w:val="2"/>
                <w:sz w:val="24"/>
                <w:szCs w:val="24"/>
                <w:highlight w:val="none"/>
                <w:lang w:val="en-US" w:eastAsia="zh-CN"/>
              </w:rPr>
            </w:pPr>
          </w:p>
        </w:tc>
      </w:tr>
      <w:tr w14:paraId="1D37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F5C6B76">
            <w:pPr>
              <w:pStyle w:val="120"/>
              <w:spacing w:line="560" w:lineRule="exact"/>
              <w:ind w:firstLine="200"/>
              <w:jc w:val="center"/>
              <w:rPr>
                <w:rFonts w:hint="eastAsia" w:hAnsi="宋体" w:cs="宋体"/>
                <w:color w:val="auto"/>
                <w:kern w:val="2"/>
                <w:sz w:val="24"/>
                <w:szCs w:val="24"/>
                <w:highlight w:val="none"/>
                <w:lang w:val="en-US" w:eastAsia="zh-CN"/>
              </w:rPr>
            </w:pPr>
          </w:p>
        </w:tc>
        <w:tc>
          <w:tcPr>
            <w:tcW w:w="3402" w:type="dxa"/>
            <w:noWrap w:val="0"/>
            <w:vAlign w:val="center"/>
          </w:tcPr>
          <w:p w14:paraId="39464110">
            <w:pPr>
              <w:pStyle w:val="120"/>
              <w:spacing w:line="560" w:lineRule="exact"/>
              <w:ind w:firstLine="200"/>
              <w:jc w:val="center"/>
              <w:rPr>
                <w:rFonts w:hint="eastAsia" w:hAnsi="宋体" w:cs="宋体"/>
                <w:color w:val="auto"/>
                <w:kern w:val="2"/>
                <w:sz w:val="24"/>
                <w:szCs w:val="24"/>
                <w:highlight w:val="none"/>
                <w:lang w:val="en-US" w:eastAsia="zh-CN"/>
              </w:rPr>
            </w:pPr>
          </w:p>
        </w:tc>
        <w:tc>
          <w:tcPr>
            <w:tcW w:w="4824" w:type="dxa"/>
            <w:noWrap w:val="0"/>
            <w:vAlign w:val="center"/>
          </w:tcPr>
          <w:p w14:paraId="190530B9">
            <w:pPr>
              <w:pStyle w:val="120"/>
              <w:spacing w:line="560" w:lineRule="exact"/>
              <w:ind w:firstLine="200"/>
              <w:jc w:val="center"/>
              <w:rPr>
                <w:rFonts w:hint="eastAsia" w:hAnsi="宋体" w:cs="宋体"/>
                <w:color w:val="auto"/>
                <w:kern w:val="2"/>
                <w:sz w:val="24"/>
                <w:szCs w:val="24"/>
                <w:highlight w:val="none"/>
                <w:lang w:val="en-US" w:eastAsia="zh-CN"/>
              </w:rPr>
            </w:pPr>
          </w:p>
        </w:tc>
      </w:tr>
      <w:tr w14:paraId="2F51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DBB13B4">
            <w:pPr>
              <w:pStyle w:val="120"/>
              <w:spacing w:line="560" w:lineRule="exact"/>
              <w:ind w:firstLine="200"/>
              <w:jc w:val="center"/>
              <w:rPr>
                <w:rFonts w:hint="eastAsia" w:hAnsi="宋体" w:cs="宋体"/>
                <w:color w:val="auto"/>
                <w:kern w:val="2"/>
                <w:sz w:val="24"/>
                <w:szCs w:val="24"/>
                <w:highlight w:val="none"/>
                <w:lang w:val="en-US" w:eastAsia="zh-CN"/>
              </w:rPr>
            </w:pPr>
          </w:p>
        </w:tc>
        <w:tc>
          <w:tcPr>
            <w:tcW w:w="3402" w:type="dxa"/>
            <w:noWrap w:val="0"/>
            <w:vAlign w:val="center"/>
          </w:tcPr>
          <w:p w14:paraId="0089A9D5">
            <w:pPr>
              <w:pStyle w:val="120"/>
              <w:spacing w:line="560" w:lineRule="exact"/>
              <w:ind w:firstLine="200"/>
              <w:jc w:val="center"/>
              <w:rPr>
                <w:rFonts w:hint="eastAsia" w:hAnsi="宋体" w:cs="宋体"/>
                <w:color w:val="auto"/>
                <w:kern w:val="2"/>
                <w:sz w:val="24"/>
                <w:szCs w:val="24"/>
                <w:highlight w:val="none"/>
                <w:lang w:val="en-US" w:eastAsia="zh-CN"/>
              </w:rPr>
            </w:pPr>
          </w:p>
        </w:tc>
        <w:tc>
          <w:tcPr>
            <w:tcW w:w="4824" w:type="dxa"/>
            <w:noWrap w:val="0"/>
            <w:vAlign w:val="center"/>
          </w:tcPr>
          <w:p w14:paraId="304E2417">
            <w:pPr>
              <w:pStyle w:val="120"/>
              <w:spacing w:line="560" w:lineRule="exact"/>
              <w:ind w:firstLine="200"/>
              <w:jc w:val="center"/>
              <w:rPr>
                <w:rFonts w:hint="eastAsia" w:hAnsi="宋体" w:cs="宋体"/>
                <w:color w:val="auto"/>
                <w:kern w:val="2"/>
                <w:sz w:val="24"/>
                <w:szCs w:val="24"/>
                <w:highlight w:val="none"/>
                <w:lang w:val="en-US" w:eastAsia="zh-CN"/>
              </w:rPr>
            </w:pPr>
          </w:p>
        </w:tc>
      </w:tr>
      <w:tr w14:paraId="28BD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1FFD67C0">
            <w:pPr>
              <w:pStyle w:val="120"/>
              <w:spacing w:line="560" w:lineRule="exact"/>
              <w:ind w:firstLine="200"/>
              <w:jc w:val="center"/>
              <w:rPr>
                <w:rFonts w:hint="eastAsia" w:hAnsi="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总价</w:t>
            </w:r>
          </w:p>
        </w:tc>
        <w:tc>
          <w:tcPr>
            <w:tcW w:w="4824" w:type="dxa"/>
            <w:noWrap w:val="0"/>
            <w:vAlign w:val="center"/>
          </w:tcPr>
          <w:p w14:paraId="75E6951D">
            <w:pPr>
              <w:pStyle w:val="120"/>
              <w:spacing w:line="560" w:lineRule="exact"/>
              <w:ind w:firstLine="200"/>
              <w:jc w:val="center"/>
              <w:rPr>
                <w:rFonts w:hint="eastAsia" w:hAnsi="宋体" w:cs="宋体"/>
                <w:color w:val="auto"/>
                <w:kern w:val="2"/>
                <w:sz w:val="24"/>
                <w:szCs w:val="24"/>
                <w:highlight w:val="none"/>
                <w:lang w:val="en-US" w:eastAsia="zh-CN"/>
              </w:rPr>
            </w:pPr>
          </w:p>
        </w:tc>
      </w:tr>
    </w:tbl>
    <w:p w14:paraId="0F9D8B7B">
      <w:pPr>
        <w:spacing w:line="560" w:lineRule="exact"/>
        <w:ind w:firstLine="482" w:firstLineChars="200"/>
        <w:outlineLvl w:val="0"/>
        <w:rPr>
          <w:rFonts w:hint="eastAsia" w:ascii="宋体" w:hAnsi="宋体" w:cs="宋体"/>
          <w:b/>
          <w:color w:val="auto"/>
          <w:sz w:val="24"/>
          <w:highlight w:val="none"/>
        </w:rPr>
      </w:pPr>
      <w:bookmarkStart w:id="167" w:name="_Toc10340"/>
      <w:bookmarkStart w:id="168" w:name="_Toc22618"/>
      <w:bookmarkStart w:id="169" w:name="_Toc1814"/>
      <w:bookmarkStart w:id="170" w:name="_Toc27343"/>
      <w:r>
        <w:rPr>
          <w:rFonts w:hint="eastAsia" w:ascii="宋体" w:hAnsi="宋体" w:cs="宋体"/>
          <w:b/>
          <w:color w:val="auto"/>
          <w:sz w:val="24"/>
          <w:highlight w:val="none"/>
        </w:rPr>
        <w:t>1.4 付款方式和发票开具方式</w:t>
      </w:r>
      <w:bookmarkEnd w:id="167"/>
      <w:bookmarkEnd w:id="168"/>
      <w:bookmarkEnd w:id="169"/>
      <w:bookmarkEnd w:id="170"/>
    </w:p>
    <w:p w14:paraId="22C517E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8BFE268">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76DAD96">
      <w:pPr>
        <w:spacing w:line="560" w:lineRule="exact"/>
        <w:ind w:firstLine="482" w:firstLineChars="200"/>
        <w:outlineLvl w:val="0"/>
        <w:rPr>
          <w:rFonts w:hint="eastAsia" w:ascii="宋体" w:hAnsi="宋体" w:cs="宋体"/>
          <w:b/>
          <w:color w:val="auto"/>
          <w:sz w:val="24"/>
          <w:highlight w:val="none"/>
        </w:rPr>
      </w:pPr>
      <w:bookmarkStart w:id="171" w:name="_Toc3306"/>
      <w:r>
        <w:rPr>
          <w:rFonts w:hint="eastAsia" w:ascii="宋体" w:hAnsi="宋体" w:cs="宋体"/>
          <w:b/>
          <w:color w:val="auto"/>
          <w:sz w:val="24"/>
          <w:highlight w:val="none"/>
        </w:rPr>
        <w:t>1.5 货物交付期限、地点和方式</w:t>
      </w:r>
      <w:bookmarkEnd w:id="171"/>
    </w:p>
    <w:p w14:paraId="1661DB5E">
      <w:pPr>
        <w:spacing w:line="560" w:lineRule="exact"/>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1.5.1 交付期限：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433A09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 交付地点：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E78FF55">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8FF2B1E">
      <w:pPr>
        <w:spacing w:line="560" w:lineRule="exact"/>
        <w:ind w:firstLine="482" w:firstLineChars="200"/>
        <w:outlineLvl w:val="0"/>
        <w:rPr>
          <w:rFonts w:hint="eastAsia" w:ascii="宋体" w:hAnsi="宋体" w:cs="宋体"/>
          <w:b/>
          <w:color w:val="auto"/>
          <w:sz w:val="24"/>
          <w:highlight w:val="none"/>
        </w:rPr>
      </w:pPr>
      <w:bookmarkStart w:id="172" w:name="_Toc21423"/>
      <w:bookmarkStart w:id="173" w:name="_Toc27250"/>
      <w:bookmarkStart w:id="174" w:name="_Toc19554"/>
      <w:bookmarkStart w:id="175" w:name="_Toc32642"/>
      <w:r>
        <w:rPr>
          <w:rFonts w:hint="eastAsia" w:ascii="宋体" w:hAnsi="宋体" w:cs="宋体"/>
          <w:b/>
          <w:color w:val="auto"/>
          <w:sz w:val="24"/>
          <w:highlight w:val="none"/>
        </w:rPr>
        <w:t>1.6 违约责任</w:t>
      </w:r>
      <w:bookmarkEnd w:id="172"/>
      <w:bookmarkEnd w:id="173"/>
      <w:bookmarkEnd w:id="174"/>
      <w:bookmarkEnd w:id="175"/>
    </w:p>
    <w:p w14:paraId="21E541E7">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%；迟延交付货物的违约金计算数额达到前述最高限额之日起，甲方有权在要求乙方支付违约金的同时，书面通知乙方解除本合同；</w:t>
      </w:r>
    </w:p>
    <w:p w14:paraId="2205FDB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p>
    <w:p w14:paraId="6F983BF1">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3116001">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C82421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2D4CB3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3215FC09">
      <w:pPr>
        <w:spacing w:line="560" w:lineRule="exact"/>
        <w:ind w:firstLine="482" w:firstLineChars="200"/>
        <w:outlineLvl w:val="0"/>
        <w:rPr>
          <w:rFonts w:hint="eastAsia" w:ascii="宋体" w:hAnsi="宋体" w:cs="宋体"/>
          <w:b/>
          <w:color w:val="auto"/>
          <w:sz w:val="24"/>
          <w:highlight w:val="none"/>
        </w:rPr>
      </w:pPr>
      <w:bookmarkStart w:id="176" w:name="_Toc28375"/>
      <w:bookmarkStart w:id="177" w:name="_Toc15583"/>
      <w:bookmarkStart w:id="178" w:name="_Toc18990"/>
      <w:bookmarkStart w:id="179" w:name="_Toc16021"/>
      <w:r>
        <w:rPr>
          <w:rFonts w:hint="eastAsia" w:ascii="宋体" w:hAnsi="宋体" w:cs="宋体"/>
          <w:b/>
          <w:color w:val="auto"/>
          <w:sz w:val="24"/>
          <w:highlight w:val="none"/>
        </w:rPr>
        <w:t>1.7 合同争议的解决</w:t>
      </w:r>
      <w:bookmarkEnd w:id="176"/>
      <w:bookmarkEnd w:id="177"/>
      <w:bookmarkEnd w:id="178"/>
      <w:bookmarkEnd w:id="179"/>
    </w:p>
    <w:p w14:paraId="1BBBB01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1101140C">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仲裁委员会依申请仲裁时其现行有效的仲裁规则裁决；</w:t>
      </w:r>
    </w:p>
    <w:p w14:paraId="3D88C484">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color w:val="auto"/>
          <w:sz w:val="24"/>
          <w:highlight w:val="none"/>
        </w:rPr>
        <w:t>人民法院起诉。</w:t>
      </w:r>
    </w:p>
    <w:p w14:paraId="12A80A0A">
      <w:pPr>
        <w:spacing w:line="560" w:lineRule="exact"/>
        <w:ind w:firstLine="482" w:firstLineChars="200"/>
        <w:outlineLvl w:val="0"/>
        <w:rPr>
          <w:rFonts w:hint="eastAsia" w:ascii="宋体" w:hAnsi="宋体" w:cs="宋体"/>
          <w:b/>
          <w:color w:val="auto"/>
          <w:sz w:val="24"/>
          <w:highlight w:val="none"/>
        </w:rPr>
      </w:pPr>
      <w:bookmarkStart w:id="180" w:name="_Toc15169"/>
      <w:bookmarkStart w:id="181" w:name="_Toc11173"/>
      <w:bookmarkStart w:id="182" w:name="_Toc15322"/>
      <w:bookmarkStart w:id="183" w:name="_Toc7245"/>
      <w:r>
        <w:rPr>
          <w:rFonts w:hint="eastAsia" w:ascii="宋体" w:hAnsi="宋体" w:cs="宋体"/>
          <w:b/>
          <w:color w:val="auto"/>
          <w:sz w:val="24"/>
          <w:highlight w:val="none"/>
        </w:rPr>
        <w:t>1.8 合同生效</w:t>
      </w:r>
      <w:bookmarkEnd w:id="180"/>
      <w:bookmarkEnd w:id="181"/>
      <w:bookmarkEnd w:id="182"/>
      <w:bookmarkEnd w:id="183"/>
    </w:p>
    <w:p w14:paraId="7F35FC9D">
      <w:pPr>
        <w:spacing w:line="560" w:lineRule="exact"/>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本合同自双方当事人盖章或者签字时生效。</w:t>
      </w:r>
    </w:p>
    <w:p w14:paraId="298D9399">
      <w:pPr>
        <w:autoSpaceDE w:val="0"/>
        <w:autoSpaceDN w:val="0"/>
        <w:adjustRightInd w:val="0"/>
        <w:spacing w:line="560" w:lineRule="exact"/>
        <w:rPr>
          <w:rFonts w:hint="eastAsia" w:ascii="宋体" w:hAnsi="宋体" w:cs="宋体"/>
          <w:color w:val="auto"/>
          <w:sz w:val="24"/>
          <w:highlight w:val="none"/>
          <w:lang w:val="zh-CN"/>
        </w:rPr>
      </w:pPr>
    </w:p>
    <w:p w14:paraId="39F25DD2">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14:paraId="4DE61E68">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0C623C88">
      <w:pPr>
        <w:autoSpaceDE w:val="0"/>
        <w:autoSpaceDN w:val="0"/>
        <w:adjustRightInd w:val="0"/>
        <w:spacing w:line="560" w:lineRule="exact"/>
        <w:rPr>
          <w:rFonts w:hint="eastAsia" w:ascii="宋体" w:hAnsi="宋体" w:cs="宋体"/>
          <w:color w:val="auto"/>
          <w:sz w:val="24"/>
          <w:highlight w:val="none"/>
          <w:lang w:val="zh-CN"/>
        </w:rPr>
      </w:pPr>
    </w:p>
    <w:p w14:paraId="2DC08F62">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住所：                                   住所：</w:t>
      </w:r>
    </w:p>
    <w:p w14:paraId="436024CA">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5972462E">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336197D3">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6DD0F200">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5A88B190">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6C756308">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7B14BFB8">
      <w:pPr>
        <w:autoSpaceDE w:val="0"/>
        <w:autoSpaceDN w:val="0"/>
        <w:adjustRightInd w:val="0"/>
        <w:spacing w:line="560" w:lineRule="exact"/>
        <w:rPr>
          <w:rFonts w:hint="eastAsia" w:ascii="宋体" w:hAnsi="宋体" w:cs="宋体"/>
          <w:color w:val="auto"/>
          <w:sz w:val="24"/>
          <w:highlight w:val="none"/>
          <w:lang w:val="zh-CN"/>
        </w:rPr>
      </w:pPr>
      <w:r>
        <w:rPr>
          <w:rFonts w:hint="eastAsia" w:ascii="宋体" w:hAnsi="宋体" w:cs="宋体"/>
          <w:color w:val="auto"/>
          <w:sz w:val="24"/>
          <w:highlight w:val="none"/>
          <w:lang w:val="zh-CN"/>
        </w:rPr>
        <w:t>传真:                                    传真:</w:t>
      </w:r>
    </w:p>
    <w:p w14:paraId="2F9CF0C2">
      <w:pPr>
        <w:autoSpaceDE w:val="0"/>
        <w:autoSpaceDN w:val="0"/>
        <w:adjustRightInd w:val="0"/>
        <w:spacing w:line="560" w:lineRule="exact"/>
        <w:rPr>
          <w:rFonts w:hint="eastAsia" w:ascii="宋体" w:hAnsi="宋体" w:cs="宋体"/>
          <w:color w:val="auto"/>
          <w:sz w:val="24"/>
          <w:highlight w:val="none"/>
        </w:rPr>
      </w:pPr>
      <w:r>
        <w:rPr>
          <w:rFonts w:hint="eastAsia" w:ascii="宋体" w:hAnsi="宋体" w:cs="宋体"/>
          <w:color w:val="auto"/>
          <w:sz w:val="24"/>
          <w:highlight w:val="none"/>
          <w:lang w:val="zh-CN"/>
        </w:rPr>
        <w:t>电子邮箱：                               电子邮箱：</w:t>
      </w:r>
    </w:p>
    <w:p w14:paraId="036E23DB">
      <w:pPr>
        <w:autoSpaceDE w:val="0"/>
        <w:autoSpaceDN w:val="0"/>
        <w:adjustRightIn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开户银行：                               开户银行： </w:t>
      </w:r>
    </w:p>
    <w:p w14:paraId="7CA4E957">
      <w:pPr>
        <w:autoSpaceDE w:val="0"/>
        <w:autoSpaceDN w:val="0"/>
        <w:adjustRightIn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 xml:space="preserve">开户名称：                               开户名称： </w:t>
      </w:r>
    </w:p>
    <w:p w14:paraId="7A702D93">
      <w:pPr>
        <w:autoSpaceDE w:val="0"/>
        <w:autoSpaceDN w:val="0"/>
        <w:adjustRightInd w:val="0"/>
        <w:spacing w:line="560" w:lineRule="exact"/>
        <w:rPr>
          <w:rFonts w:hint="eastAsia"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068CD90B">
      <w:pPr>
        <w:widowControl/>
        <w:spacing w:line="560" w:lineRule="exact"/>
        <w:jc w:val="left"/>
        <w:rPr>
          <w:rFonts w:hint="eastAsia" w:ascii="宋体" w:hAnsi="宋体" w:cs="宋体"/>
          <w:b/>
          <w:color w:val="auto"/>
          <w:kern w:val="0"/>
          <w:sz w:val="24"/>
          <w:highlight w:val="none"/>
        </w:rPr>
      </w:pPr>
      <w:bookmarkStart w:id="184" w:name="_Toc331685783"/>
    </w:p>
    <w:p w14:paraId="530918A6">
      <w:pPr>
        <w:pStyle w:val="119"/>
        <w:spacing w:line="560" w:lineRule="exact"/>
        <w:ind w:firstLine="200"/>
        <w:jc w:val="center"/>
        <w:rPr>
          <w:rFonts w:hint="eastAsia" w:hAnsi="宋体" w:cs="宋体"/>
          <w:b/>
          <w:color w:val="auto"/>
          <w:szCs w:val="24"/>
          <w:highlight w:val="none"/>
        </w:rPr>
      </w:pPr>
    </w:p>
    <w:p w14:paraId="1A2CC9DD">
      <w:pPr>
        <w:pStyle w:val="119"/>
        <w:spacing w:line="560" w:lineRule="exact"/>
        <w:ind w:firstLine="200"/>
        <w:jc w:val="center"/>
        <w:rPr>
          <w:rFonts w:hint="eastAsia" w:hAnsi="宋体" w:cs="宋体"/>
          <w:b/>
          <w:color w:val="auto"/>
          <w:szCs w:val="24"/>
          <w:highlight w:val="none"/>
        </w:rPr>
        <w:sectPr>
          <w:headerReference r:id="rId9" w:type="default"/>
          <w:footerReference r:id="rId10" w:type="default"/>
          <w:pgSz w:w="11907" w:h="16840"/>
          <w:pgMar w:top="1474" w:right="1134" w:bottom="1474" w:left="1417" w:header="851" w:footer="850" w:gutter="0"/>
          <w:pgNumType w:fmt="decimal"/>
          <w:cols w:space="720" w:num="1"/>
          <w:docGrid w:linePitch="462" w:charSpace="0"/>
        </w:sectPr>
      </w:pPr>
    </w:p>
    <w:p w14:paraId="7F687519">
      <w:pPr>
        <w:pStyle w:val="119"/>
        <w:spacing w:line="560" w:lineRule="exact"/>
        <w:ind w:firstLine="200"/>
        <w:jc w:val="center"/>
        <w:rPr>
          <w:rFonts w:hint="eastAsia" w:hAnsi="宋体" w:cs="宋体"/>
          <w:b/>
          <w:color w:val="auto"/>
          <w:szCs w:val="24"/>
          <w:highlight w:val="none"/>
        </w:rPr>
      </w:pPr>
      <w:r>
        <w:rPr>
          <w:rFonts w:hint="eastAsia" w:hAnsi="宋体" w:cs="宋体"/>
          <w:b/>
          <w:color w:val="auto"/>
          <w:szCs w:val="24"/>
          <w:highlight w:val="none"/>
        </w:rPr>
        <w:t>第二部分 合同一般条款</w:t>
      </w:r>
      <w:bookmarkEnd w:id="184"/>
    </w:p>
    <w:p w14:paraId="313E3BDA">
      <w:pPr>
        <w:spacing w:line="560" w:lineRule="exact"/>
        <w:ind w:firstLine="482" w:firstLineChars="200"/>
        <w:outlineLvl w:val="0"/>
        <w:rPr>
          <w:rFonts w:hint="eastAsia" w:ascii="宋体" w:hAnsi="宋体" w:cs="宋体"/>
          <w:b/>
          <w:color w:val="auto"/>
          <w:sz w:val="24"/>
          <w:highlight w:val="none"/>
        </w:rPr>
      </w:pPr>
      <w:bookmarkStart w:id="185" w:name="_Ref467379214"/>
      <w:bookmarkStart w:id="186" w:name="_Ref467379094"/>
      <w:bookmarkStart w:id="187" w:name="_Ref467379195"/>
      <w:bookmarkStart w:id="188" w:name="_Toc279701240"/>
      <w:bookmarkStart w:id="189" w:name="_Toc19614"/>
      <w:bookmarkStart w:id="190" w:name="_Ref467379225"/>
      <w:bookmarkStart w:id="191" w:name="_Toc487900349"/>
      <w:bookmarkStart w:id="192" w:name="_Toc28763"/>
      <w:bookmarkStart w:id="193" w:name="_Toc2934"/>
      <w:bookmarkStart w:id="194" w:name="_Toc259093669"/>
      <w:bookmarkStart w:id="195" w:name="_Ref467379205"/>
      <w:bookmarkStart w:id="196" w:name="_Ref467378463"/>
      <w:bookmarkStart w:id="197" w:name="_Ref467379109"/>
      <w:bookmarkStart w:id="198" w:name="_Ref467378499"/>
      <w:bookmarkStart w:id="199" w:name="_Ref467379101"/>
      <w:bookmarkStart w:id="200" w:name="_Ref467378404"/>
      <w:bookmarkStart w:id="201" w:name="_Toc16917"/>
      <w:r>
        <w:rPr>
          <w:rFonts w:hint="eastAsia" w:ascii="宋体" w:hAnsi="宋体" w:cs="宋体"/>
          <w:b/>
          <w:color w:val="auto"/>
          <w:sz w:val="24"/>
          <w:highlight w:val="none"/>
        </w:rPr>
        <w:t>2.1 定义</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796ECED9">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5FABB988">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36D711F6">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1A3332F6">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 “货物”系指中标供应商根据合同约定应向采购人交付的一切各种形态和种类的物品，包括原材料、燃料、设备、机械、仪表、备件、计算机软件、产品等，并包括工具、手册等其他相关资料。</w:t>
      </w:r>
    </w:p>
    <w:p w14:paraId="0E1B9D7F">
      <w:pPr>
        <w:spacing w:line="560" w:lineRule="exact"/>
        <w:ind w:firstLine="480" w:firstLineChars="200"/>
        <w:rPr>
          <w:rFonts w:hint="eastAsia" w:ascii="宋体" w:hAnsi="宋体" w:cs="宋体"/>
          <w:color w:val="auto"/>
          <w:sz w:val="24"/>
          <w:highlight w:val="none"/>
        </w:rPr>
      </w:pPr>
      <w:bookmarkStart w:id="202" w:name="_Ref467378840"/>
      <w:r>
        <w:rPr>
          <w:rFonts w:hint="eastAsia" w:ascii="宋体" w:hAnsi="宋体" w:cs="宋体"/>
          <w:color w:val="auto"/>
          <w:sz w:val="24"/>
          <w:highlight w:val="none"/>
        </w:rPr>
        <w:t>2.1.4 “甲方”系指与中标供应商签署合同的采购人</w:t>
      </w:r>
      <w:bookmarkEnd w:id="202"/>
      <w:r>
        <w:rPr>
          <w:rFonts w:hint="eastAsia" w:ascii="宋体" w:hAnsi="宋体" w:cs="宋体"/>
          <w:color w:val="auto"/>
          <w:sz w:val="24"/>
          <w:highlight w:val="none"/>
        </w:rPr>
        <w:t>；采购人委托采购代理机构代表其与乙方签订合同的，采购人的授权委托书作为合同附件。</w:t>
      </w:r>
    </w:p>
    <w:p w14:paraId="307B54CF">
      <w:pPr>
        <w:spacing w:line="560" w:lineRule="exact"/>
        <w:ind w:firstLine="480" w:firstLineChars="200"/>
        <w:rPr>
          <w:rFonts w:hint="eastAsia" w:ascii="宋体" w:hAnsi="宋体" w:cs="宋体"/>
          <w:color w:val="auto"/>
          <w:sz w:val="24"/>
          <w:highlight w:val="none"/>
        </w:rPr>
      </w:pPr>
      <w:bookmarkStart w:id="203" w:name="_Ref467379400"/>
      <w:r>
        <w:rPr>
          <w:rFonts w:hint="eastAsia" w:ascii="宋体" w:hAnsi="宋体" w:cs="宋体"/>
          <w:color w:val="auto"/>
          <w:sz w:val="24"/>
          <w:highlight w:val="none"/>
        </w:rPr>
        <w:t>2.1.5 “乙方”系指根据合同约定交付货物的中标供应商</w:t>
      </w:r>
      <w:bookmarkEnd w:id="203"/>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527FD4F">
      <w:pPr>
        <w:spacing w:line="560" w:lineRule="exact"/>
        <w:ind w:firstLine="480" w:firstLineChars="200"/>
        <w:rPr>
          <w:rFonts w:hint="eastAsia" w:ascii="宋体" w:hAnsi="宋体" w:cs="宋体"/>
          <w:color w:val="auto"/>
          <w:sz w:val="24"/>
          <w:highlight w:val="none"/>
        </w:rPr>
      </w:pPr>
      <w:bookmarkStart w:id="204" w:name="_Ref467379436"/>
      <w:r>
        <w:rPr>
          <w:rFonts w:hint="eastAsia" w:ascii="宋体" w:hAnsi="宋体" w:cs="宋体"/>
          <w:color w:val="auto"/>
          <w:sz w:val="24"/>
          <w:highlight w:val="none"/>
        </w:rPr>
        <w:t>2.1.6 “现场”系指合同约定货物将要运至或者安装的地点。</w:t>
      </w:r>
      <w:bookmarkEnd w:id="204"/>
    </w:p>
    <w:p w14:paraId="3A204380">
      <w:pPr>
        <w:spacing w:line="560" w:lineRule="exact"/>
        <w:ind w:firstLine="482" w:firstLineChars="200"/>
        <w:outlineLvl w:val="0"/>
        <w:rPr>
          <w:rFonts w:hint="eastAsia" w:ascii="宋体" w:hAnsi="宋体" w:cs="宋体"/>
          <w:b/>
          <w:color w:val="auto"/>
          <w:sz w:val="24"/>
          <w:highlight w:val="none"/>
        </w:rPr>
      </w:pPr>
      <w:bookmarkStart w:id="205" w:name="_Toc11389"/>
      <w:bookmarkStart w:id="206" w:name="_Toc32504"/>
      <w:bookmarkStart w:id="207" w:name="_Toc27635"/>
      <w:bookmarkStart w:id="208" w:name="_Toc259093670"/>
      <w:bookmarkStart w:id="209" w:name="_Toc487900350"/>
      <w:bookmarkStart w:id="210" w:name="_Toc13336"/>
      <w:bookmarkStart w:id="211" w:name="_Toc279701241"/>
      <w:r>
        <w:rPr>
          <w:rFonts w:hint="eastAsia" w:ascii="宋体" w:hAnsi="宋体" w:cs="宋体"/>
          <w:b/>
          <w:color w:val="auto"/>
          <w:sz w:val="24"/>
          <w:highlight w:val="none"/>
        </w:rPr>
        <w:t>2.2 技术规范</w:t>
      </w:r>
      <w:bookmarkEnd w:id="205"/>
      <w:bookmarkEnd w:id="206"/>
      <w:bookmarkEnd w:id="207"/>
      <w:bookmarkEnd w:id="208"/>
      <w:bookmarkEnd w:id="209"/>
      <w:bookmarkEnd w:id="210"/>
      <w:bookmarkEnd w:id="211"/>
    </w:p>
    <w:p w14:paraId="5386FB2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3AC25CC">
      <w:pPr>
        <w:spacing w:line="560" w:lineRule="exact"/>
        <w:ind w:firstLine="482" w:firstLineChars="200"/>
        <w:outlineLvl w:val="0"/>
        <w:rPr>
          <w:rFonts w:hint="eastAsia" w:ascii="宋体" w:hAnsi="宋体" w:cs="宋体"/>
          <w:b/>
          <w:color w:val="auto"/>
          <w:sz w:val="24"/>
          <w:highlight w:val="none"/>
        </w:rPr>
      </w:pPr>
      <w:bookmarkStart w:id="212" w:name="_Toc24743"/>
      <w:bookmarkStart w:id="213" w:name="_Toc259093671"/>
      <w:bookmarkStart w:id="214" w:name="_Toc487900351"/>
      <w:bookmarkStart w:id="215" w:name="_Toc31634"/>
      <w:bookmarkStart w:id="216" w:name="_Toc279701242"/>
      <w:bookmarkStart w:id="217" w:name="_Toc27853"/>
      <w:bookmarkStart w:id="218" w:name="_Toc9829"/>
      <w:r>
        <w:rPr>
          <w:rFonts w:hint="eastAsia" w:ascii="宋体" w:hAnsi="宋体" w:cs="宋体"/>
          <w:b/>
          <w:color w:val="auto"/>
          <w:sz w:val="24"/>
          <w:highlight w:val="none"/>
        </w:rPr>
        <w:t>2.3 知识产权</w:t>
      </w:r>
      <w:bookmarkEnd w:id="212"/>
      <w:bookmarkEnd w:id="213"/>
      <w:bookmarkEnd w:id="214"/>
      <w:bookmarkEnd w:id="215"/>
      <w:bookmarkEnd w:id="216"/>
      <w:bookmarkEnd w:id="217"/>
      <w:bookmarkEnd w:id="218"/>
    </w:p>
    <w:p w14:paraId="4F88BB91">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如因乙方侵权导致甲方被第三方索赔，乙方应承担全部赔偿责任。甲方有权直接从合同价款或履约保证金中扣除相关费用</w:t>
      </w:r>
      <w:r>
        <w:rPr>
          <w:rFonts w:hint="eastAsia" w:ascii="宋体" w:hAnsi="宋体" w:cs="宋体"/>
          <w:color w:val="auto"/>
          <w:sz w:val="24"/>
          <w:highlight w:val="none"/>
          <w:lang w:eastAsia="zh-CN"/>
        </w:rPr>
        <w:t>。</w:t>
      </w:r>
    </w:p>
    <w:p w14:paraId="4210EB4B">
      <w:pPr>
        <w:spacing w:line="560" w:lineRule="exact"/>
        <w:ind w:firstLine="480" w:firstLineChars="200"/>
        <w:rPr>
          <w:rFonts w:hint="eastAsia" w:ascii="宋体" w:hAnsi="宋体" w:cs="宋体"/>
          <w:b w:val="0"/>
          <w:bCs/>
          <w:color w:val="auto"/>
          <w:sz w:val="24"/>
          <w:highlight w:val="none"/>
        </w:rPr>
      </w:pPr>
      <w:r>
        <w:rPr>
          <w:rFonts w:hint="eastAsia" w:ascii="宋体" w:hAnsi="宋体" w:cs="宋体"/>
          <w:color w:val="auto"/>
          <w:sz w:val="24"/>
          <w:highlight w:val="none"/>
        </w:rPr>
        <w:t>2.3.2具有知识产权的计算机软件等货物的知识产权归属，详见</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w:t>
      </w:r>
    </w:p>
    <w:p w14:paraId="3B9D49BD">
      <w:pPr>
        <w:spacing w:line="560" w:lineRule="exact"/>
        <w:ind w:firstLine="482" w:firstLineChars="200"/>
        <w:outlineLvl w:val="0"/>
        <w:rPr>
          <w:rFonts w:hint="eastAsia" w:ascii="宋体" w:hAnsi="宋体" w:cs="宋体"/>
          <w:b/>
          <w:color w:val="auto"/>
          <w:sz w:val="24"/>
          <w:highlight w:val="none"/>
        </w:rPr>
      </w:pPr>
      <w:bookmarkStart w:id="219" w:name="_Toc23000"/>
      <w:bookmarkStart w:id="220" w:name="_Toc29149"/>
      <w:bookmarkStart w:id="221" w:name="_Toc4194"/>
      <w:bookmarkStart w:id="222" w:name="_Toc11932"/>
      <w:r>
        <w:rPr>
          <w:rFonts w:hint="eastAsia" w:ascii="宋体" w:hAnsi="宋体" w:cs="宋体"/>
          <w:b/>
          <w:color w:val="auto"/>
          <w:sz w:val="24"/>
          <w:highlight w:val="none"/>
        </w:rPr>
        <w:t>2.4 包装和装运</w:t>
      </w:r>
      <w:bookmarkEnd w:id="219"/>
      <w:bookmarkEnd w:id="220"/>
      <w:bookmarkEnd w:id="221"/>
      <w:bookmarkEnd w:id="222"/>
    </w:p>
    <w:p w14:paraId="4160CA2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val="0"/>
          <w:bCs/>
          <w:i/>
          <w:color w:val="auto"/>
          <w:sz w:val="24"/>
          <w:highlight w:val="none"/>
          <w:u w:val="single"/>
        </w:rPr>
        <w:t>合同专用条款</w:t>
      </w:r>
      <w:r>
        <w:rPr>
          <w:rFonts w:hint="eastAsia" w:ascii="宋体" w:hAnsi="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包装应通过甲方现场代表签封确认，未经确认的包装视为不符合约定</w:t>
      </w:r>
      <w:r>
        <w:rPr>
          <w:rFonts w:hint="eastAsia" w:ascii="宋体" w:hAnsi="宋体" w:cs="宋体"/>
          <w:color w:val="auto"/>
          <w:sz w:val="24"/>
          <w:highlight w:val="none"/>
          <w:lang w:eastAsia="zh-CN"/>
        </w:rPr>
        <w:t>。</w:t>
      </w:r>
      <w:r>
        <w:rPr>
          <w:rFonts w:hint="eastAsia" w:ascii="宋体" w:hAnsi="宋体" w:cs="宋体"/>
          <w:color w:val="auto"/>
          <w:sz w:val="24"/>
          <w:highlight w:val="none"/>
        </w:rPr>
        <w:t>如有必要，包装应适用于远距离运输、防潮、防震、防锈和防粗暴装卸，确保货物安全无损地运抵现场。由于包装不善所引起的货物锈蚀、损坏和损失等一切风险均由乙方承担。</w:t>
      </w:r>
    </w:p>
    <w:p w14:paraId="3F47122D">
      <w:pPr>
        <w:spacing w:line="560" w:lineRule="exact"/>
        <w:ind w:firstLine="480" w:firstLineChars="200"/>
        <w:rPr>
          <w:rFonts w:hint="eastAsia" w:ascii="宋体" w:hAnsi="宋体" w:cs="宋体"/>
          <w:b w:val="0"/>
          <w:bCs/>
          <w:color w:val="auto"/>
          <w:sz w:val="24"/>
          <w:highlight w:val="none"/>
        </w:rPr>
      </w:pPr>
      <w:r>
        <w:rPr>
          <w:rFonts w:hint="eastAsia" w:ascii="宋体" w:hAnsi="宋体" w:cs="宋体"/>
          <w:color w:val="auto"/>
          <w:sz w:val="24"/>
          <w:highlight w:val="none"/>
        </w:rPr>
        <w:t>2.4.2 装运货物的要求和通知，详见</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w:t>
      </w:r>
    </w:p>
    <w:p w14:paraId="20C58D71">
      <w:pPr>
        <w:spacing w:line="560" w:lineRule="exact"/>
        <w:ind w:firstLine="482" w:firstLineChars="200"/>
        <w:outlineLvl w:val="0"/>
        <w:rPr>
          <w:rFonts w:hint="eastAsia" w:ascii="宋体" w:hAnsi="宋体" w:cs="宋体"/>
          <w:b/>
          <w:color w:val="auto"/>
          <w:sz w:val="24"/>
          <w:highlight w:val="none"/>
        </w:rPr>
      </w:pPr>
      <w:bookmarkStart w:id="223" w:name="_Ref467379542"/>
      <w:bookmarkStart w:id="224" w:name="_Ref467379527"/>
      <w:bookmarkStart w:id="225" w:name="_Ref467378591"/>
      <w:bookmarkStart w:id="226" w:name="_Toc259093674"/>
      <w:bookmarkStart w:id="227" w:name="_Ref467379536"/>
      <w:bookmarkStart w:id="228" w:name="_Toc279701245"/>
      <w:bookmarkStart w:id="229" w:name="_Toc487900354"/>
      <w:bookmarkStart w:id="230" w:name="_Ref467378541"/>
      <w:bookmarkStart w:id="231" w:name="_Toc23272"/>
      <w:bookmarkStart w:id="232" w:name="_Toc19074"/>
      <w:bookmarkStart w:id="233" w:name="_Toc30272"/>
      <w:bookmarkStart w:id="234" w:name="_Toc26182"/>
      <w:r>
        <w:rPr>
          <w:rFonts w:hint="eastAsia" w:ascii="宋体" w:hAnsi="宋体" w:cs="宋体"/>
          <w:b/>
          <w:color w:val="auto"/>
          <w:sz w:val="24"/>
          <w:highlight w:val="none"/>
        </w:rPr>
        <w:t>2.</w:t>
      </w:r>
      <w:bookmarkEnd w:id="223"/>
      <w:bookmarkEnd w:id="224"/>
      <w:bookmarkEnd w:id="225"/>
      <w:bookmarkEnd w:id="226"/>
      <w:bookmarkEnd w:id="227"/>
      <w:bookmarkEnd w:id="228"/>
      <w:bookmarkEnd w:id="229"/>
      <w:bookmarkEnd w:id="230"/>
      <w:r>
        <w:rPr>
          <w:rFonts w:hint="eastAsia" w:ascii="宋体" w:hAnsi="宋体" w:cs="宋体"/>
          <w:b/>
          <w:color w:val="auto"/>
          <w:sz w:val="24"/>
          <w:highlight w:val="none"/>
        </w:rPr>
        <w:t>5 履约检查和问题反馈</w:t>
      </w:r>
      <w:bookmarkEnd w:id="231"/>
      <w:bookmarkEnd w:id="232"/>
      <w:bookmarkEnd w:id="233"/>
      <w:bookmarkEnd w:id="234"/>
    </w:p>
    <w:p w14:paraId="70858B1E">
      <w:pPr>
        <w:spacing w:line="560" w:lineRule="exact"/>
        <w:ind w:firstLine="480" w:firstLineChars="200"/>
        <w:rPr>
          <w:rFonts w:hint="eastAsia" w:ascii="宋体" w:hAnsi="宋体" w:eastAsia="宋体" w:cs="宋体"/>
          <w:color w:val="auto"/>
          <w:sz w:val="24"/>
          <w:highlight w:val="none"/>
          <w:lang w:eastAsia="zh-CN"/>
        </w:rPr>
      </w:pPr>
      <w:bookmarkStart w:id="235" w:name="_Ref467379657"/>
      <w:r>
        <w:rPr>
          <w:rFonts w:hint="eastAsia" w:ascii="宋体" w:hAnsi="宋体" w:cs="宋体"/>
          <w:color w:val="auto"/>
          <w:sz w:val="24"/>
          <w:highlight w:val="none"/>
        </w:rPr>
        <w:t>2.5.1</w:t>
      </w:r>
      <w:bookmarkEnd w:id="235"/>
      <w:bookmarkStart w:id="236" w:name="_Toc186431854"/>
      <w:bookmarkStart w:id="237" w:name="_Ref467379793"/>
      <w:bookmarkStart w:id="238" w:name="_Toc487900357"/>
      <w:bookmarkStart w:id="239" w:name="_Toc279701247"/>
      <w:bookmarkStart w:id="240" w:name="_Toc259093676"/>
      <w:bookmarkStart w:id="241" w:name="_Ref467379807"/>
      <w:r>
        <w:rPr>
          <w:rFonts w:hint="eastAsia" w:ascii="宋体" w:hAnsi="宋体" w:cs="宋体"/>
          <w:color w:val="auto"/>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检查发现问题的，乙方应在3个工作日内提交整改方案，逾期未整改的按日承担合同价0.1%违约金</w:t>
      </w:r>
      <w:r>
        <w:rPr>
          <w:rFonts w:hint="eastAsia" w:ascii="宋体" w:hAnsi="宋体" w:cs="宋体"/>
          <w:color w:val="auto"/>
          <w:sz w:val="24"/>
          <w:highlight w:val="none"/>
          <w:lang w:eastAsia="zh-CN"/>
        </w:rPr>
        <w:t>。</w:t>
      </w:r>
    </w:p>
    <w:p w14:paraId="66621F57">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236"/>
      <w:bookmarkStart w:id="242" w:name="_Toc186431855"/>
      <w:r>
        <w:rPr>
          <w:rFonts w:hint="eastAsia" w:ascii="宋体" w:hAnsi="宋体" w:cs="宋体"/>
          <w:color w:val="auto"/>
          <w:sz w:val="24"/>
          <w:highlight w:val="none"/>
        </w:rPr>
        <w:t>。</w:t>
      </w:r>
    </w:p>
    <w:bookmarkEnd w:id="242"/>
    <w:p w14:paraId="70BA65F5">
      <w:pPr>
        <w:spacing w:line="560" w:lineRule="exact"/>
        <w:ind w:firstLine="482" w:firstLineChars="200"/>
        <w:outlineLvl w:val="0"/>
        <w:rPr>
          <w:rFonts w:hint="eastAsia" w:ascii="宋体" w:hAnsi="宋体" w:cs="宋体"/>
          <w:b/>
          <w:color w:val="auto"/>
          <w:sz w:val="24"/>
          <w:highlight w:val="none"/>
        </w:rPr>
      </w:pPr>
      <w:bookmarkStart w:id="243" w:name="_Toc19219"/>
      <w:bookmarkStart w:id="244" w:name="_Toc7836"/>
      <w:bookmarkStart w:id="245" w:name="_Toc18629"/>
      <w:bookmarkStart w:id="246" w:name="_Toc28451"/>
      <w:r>
        <w:rPr>
          <w:rFonts w:hint="eastAsia" w:ascii="宋体" w:hAnsi="宋体" w:cs="宋体"/>
          <w:b/>
          <w:color w:val="auto"/>
          <w:sz w:val="24"/>
          <w:highlight w:val="none"/>
        </w:rPr>
        <w:t>2.6 结算方式和付款条件</w:t>
      </w:r>
      <w:bookmarkEnd w:id="237"/>
      <w:bookmarkEnd w:id="238"/>
      <w:bookmarkEnd w:id="239"/>
      <w:bookmarkEnd w:id="240"/>
      <w:bookmarkEnd w:id="241"/>
      <w:bookmarkEnd w:id="243"/>
      <w:bookmarkEnd w:id="244"/>
      <w:bookmarkEnd w:id="245"/>
      <w:bookmarkEnd w:id="246"/>
    </w:p>
    <w:p w14:paraId="4A11E561">
      <w:pPr>
        <w:spacing w:line="560" w:lineRule="exact"/>
        <w:ind w:firstLine="480" w:firstLineChars="200"/>
        <w:rPr>
          <w:rFonts w:hint="eastAsia" w:ascii="宋体" w:hAnsi="宋体" w:cs="宋体"/>
          <w:b w:val="0"/>
          <w:bCs/>
          <w:color w:val="auto"/>
          <w:sz w:val="24"/>
          <w:highlight w:val="none"/>
        </w:rPr>
      </w:pPr>
      <w:r>
        <w:rPr>
          <w:rFonts w:hint="eastAsia" w:ascii="宋体" w:hAnsi="宋体" w:cs="宋体"/>
          <w:color w:val="auto"/>
          <w:sz w:val="24"/>
          <w:highlight w:val="none"/>
        </w:rPr>
        <w:t>详见</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w:t>
      </w:r>
    </w:p>
    <w:p w14:paraId="69AD3965">
      <w:pPr>
        <w:spacing w:line="560" w:lineRule="exact"/>
        <w:ind w:firstLine="482" w:firstLineChars="200"/>
        <w:outlineLvl w:val="0"/>
        <w:rPr>
          <w:rFonts w:hint="eastAsia" w:ascii="宋体" w:hAnsi="宋体" w:cs="宋体"/>
          <w:b/>
          <w:color w:val="auto"/>
          <w:sz w:val="24"/>
          <w:highlight w:val="none"/>
        </w:rPr>
      </w:pPr>
      <w:bookmarkStart w:id="247" w:name="_Ref467379863"/>
      <w:bookmarkStart w:id="248" w:name="_Toc487900358"/>
      <w:bookmarkStart w:id="249" w:name="_Toc279701248"/>
      <w:bookmarkStart w:id="250" w:name="_Ref467379923"/>
      <w:bookmarkStart w:id="251" w:name="_Toc259093677"/>
      <w:bookmarkStart w:id="252" w:name="_Ref467379852"/>
      <w:bookmarkStart w:id="253" w:name="_Toc774"/>
      <w:bookmarkStart w:id="254" w:name="_Toc3225"/>
      <w:bookmarkStart w:id="255" w:name="_Toc18230"/>
      <w:bookmarkStart w:id="256" w:name="_Toc16110"/>
      <w:r>
        <w:rPr>
          <w:rFonts w:hint="eastAsia" w:ascii="宋体" w:hAnsi="宋体" w:cs="宋体"/>
          <w:b/>
          <w:color w:val="auto"/>
          <w:sz w:val="24"/>
          <w:highlight w:val="none"/>
        </w:rPr>
        <w:t>2.7 技术资料</w:t>
      </w:r>
      <w:bookmarkEnd w:id="247"/>
      <w:bookmarkEnd w:id="248"/>
      <w:bookmarkEnd w:id="249"/>
      <w:bookmarkEnd w:id="250"/>
      <w:bookmarkEnd w:id="251"/>
      <w:bookmarkEnd w:id="252"/>
      <w:r>
        <w:rPr>
          <w:rFonts w:hint="eastAsia" w:ascii="宋体" w:hAnsi="宋体" w:cs="宋体"/>
          <w:b/>
          <w:color w:val="auto"/>
          <w:sz w:val="24"/>
          <w:highlight w:val="none"/>
        </w:rPr>
        <w:t>和保密义务</w:t>
      </w:r>
      <w:bookmarkEnd w:id="253"/>
      <w:bookmarkEnd w:id="254"/>
      <w:bookmarkEnd w:id="255"/>
      <w:bookmarkEnd w:id="256"/>
    </w:p>
    <w:p w14:paraId="1D971467">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77F37EF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033F9C9D">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9307E6B">
      <w:pPr>
        <w:spacing w:line="560" w:lineRule="exact"/>
        <w:ind w:firstLine="482" w:firstLineChars="200"/>
        <w:outlineLvl w:val="0"/>
        <w:rPr>
          <w:rFonts w:hint="eastAsia" w:ascii="宋体" w:hAnsi="宋体" w:cs="宋体"/>
          <w:b/>
          <w:color w:val="auto"/>
          <w:sz w:val="24"/>
          <w:highlight w:val="none"/>
        </w:rPr>
      </w:pPr>
      <w:bookmarkStart w:id="257" w:name="_Toc25145"/>
      <w:bookmarkStart w:id="258" w:name="_Toc7860"/>
      <w:r>
        <w:rPr>
          <w:rFonts w:hint="eastAsia" w:ascii="宋体" w:hAnsi="宋体" w:cs="宋体"/>
          <w:b/>
          <w:color w:val="auto"/>
          <w:sz w:val="24"/>
          <w:highlight w:val="none"/>
        </w:rPr>
        <w:t>2.8 质量保证</w:t>
      </w:r>
      <w:bookmarkEnd w:id="257"/>
      <w:bookmarkEnd w:id="258"/>
    </w:p>
    <w:p w14:paraId="6A733DF3">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64CC9A5F">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019D676C">
      <w:pPr>
        <w:spacing w:line="560" w:lineRule="exact"/>
        <w:ind w:firstLine="482" w:firstLineChars="200"/>
        <w:outlineLvl w:val="0"/>
        <w:rPr>
          <w:rFonts w:hint="eastAsia" w:ascii="宋体" w:hAnsi="宋体" w:cs="宋体"/>
          <w:b/>
          <w:color w:val="auto"/>
          <w:sz w:val="24"/>
          <w:highlight w:val="none"/>
        </w:rPr>
      </w:pPr>
      <w:bookmarkStart w:id="259" w:name="_Toc17120"/>
      <w:bookmarkStart w:id="260" w:name="_Toc17244"/>
      <w:bookmarkStart w:id="261" w:name="_Toc259093681"/>
      <w:bookmarkStart w:id="262" w:name="_Toc487900362"/>
      <w:bookmarkStart w:id="263" w:name="_Toc279701252"/>
      <w:r>
        <w:rPr>
          <w:rFonts w:hint="eastAsia" w:ascii="宋体" w:hAnsi="宋体" w:cs="宋体"/>
          <w:b/>
          <w:color w:val="auto"/>
          <w:sz w:val="24"/>
          <w:highlight w:val="none"/>
        </w:rPr>
        <w:t>2.9 货物的风险负担</w:t>
      </w:r>
      <w:bookmarkEnd w:id="259"/>
      <w:bookmarkEnd w:id="260"/>
    </w:p>
    <w:p w14:paraId="7B6D6E3C">
      <w:pPr>
        <w:spacing w:line="560" w:lineRule="exact"/>
        <w:ind w:firstLine="480" w:firstLineChars="200"/>
        <w:rPr>
          <w:rFonts w:hint="eastAsia" w:ascii="宋体" w:hAnsi="宋体" w:eastAsia="宋体" w:cs="宋体"/>
          <w:b/>
          <w:color w:val="auto"/>
          <w:sz w:val="24"/>
          <w:highlight w:val="none"/>
          <w:lang w:eastAsia="zh-CN"/>
        </w:rPr>
      </w:pPr>
      <w:r>
        <w:rPr>
          <w:rFonts w:hint="eastAsia" w:ascii="宋体" w:hAnsi="宋体" w:cs="宋体"/>
          <w:color w:val="auto"/>
          <w:sz w:val="24"/>
          <w:highlight w:val="none"/>
        </w:rPr>
        <w:t>货物或者在途货物或者交付给第一承运人后的货物毁损、灭失的风险负担详见</w:t>
      </w:r>
      <w:r>
        <w:rPr>
          <w:rFonts w:hint="eastAsia" w:ascii="宋体" w:hAnsi="宋体" w:cs="宋体"/>
          <w:b w:val="0"/>
          <w:bCs/>
          <w:i/>
          <w:color w:val="auto"/>
          <w:sz w:val="24"/>
          <w:highlight w:val="none"/>
          <w:u w:val="single"/>
        </w:rPr>
        <w:t>合同专用条款</w:t>
      </w:r>
      <w:r>
        <w:rPr>
          <w:rFonts w:hint="eastAsia" w:ascii="宋体" w:hAnsi="宋体" w:cs="宋体"/>
          <w:color w:val="auto"/>
          <w:sz w:val="24"/>
          <w:highlight w:val="none"/>
        </w:rPr>
        <w:t>。采用乙方运输的，风险自甲方签收时转移；采用甲方自提的，风险自装车完毕转移</w:t>
      </w:r>
      <w:r>
        <w:rPr>
          <w:rFonts w:hint="eastAsia" w:ascii="宋体" w:hAnsi="宋体" w:cs="宋体"/>
          <w:color w:val="auto"/>
          <w:sz w:val="24"/>
          <w:highlight w:val="none"/>
          <w:lang w:eastAsia="zh-CN"/>
        </w:rPr>
        <w:t>。</w:t>
      </w:r>
    </w:p>
    <w:p w14:paraId="36C90C1B">
      <w:pPr>
        <w:spacing w:line="560" w:lineRule="exact"/>
        <w:ind w:firstLine="482" w:firstLineChars="200"/>
        <w:outlineLvl w:val="0"/>
        <w:rPr>
          <w:rFonts w:hint="eastAsia" w:ascii="宋体" w:hAnsi="宋体" w:cs="宋体"/>
          <w:b/>
          <w:color w:val="auto"/>
          <w:sz w:val="24"/>
          <w:highlight w:val="none"/>
        </w:rPr>
      </w:pPr>
      <w:bookmarkStart w:id="264" w:name="_Toc28107"/>
      <w:bookmarkStart w:id="265" w:name="_Toc14055"/>
      <w:r>
        <w:rPr>
          <w:rFonts w:hint="eastAsia" w:ascii="宋体" w:hAnsi="宋体" w:cs="宋体"/>
          <w:b/>
          <w:color w:val="auto"/>
          <w:sz w:val="24"/>
          <w:highlight w:val="none"/>
        </w:rPr>
        <w:t>2.10 延迟交货</w:t>
      </w:r>
      <w:bookmarkEnd w:id="261"/>
      <w:bookmarkEnd w:id="262"/>
      <w:bookmarkEnd w:id="263"/>
      <w:bookmarkEnd w:id="264"/>
      <w:bookmarkEnd w:id="265"/>
    </w:p>
    <w:p w14:paraId="2304FB81">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迟延交货的按日承担合同价0.3%违约金，最低不少于10万元</w:t>
      </w:r>
      <w:r>
        <w:rPr>
          <w:rFonts w:hint="eastAsia" w:ascii="宋体" w:hAnsi="宋体" w:cs="宋体"/>
          <w:color w:val="auto"/>
          <w:sz w:val="24"/>
          <w:highlight w:val="none"/>
          <w:lang w:eastAsia="zh-CN"/>
        </w:rPr>
        <w:t>。</w:t>
      </w:r>
    </w:p>
    <w:p w14:paraId="6857534D">
      <w:pPr>
        <w:spacing w:line="560" w:lineRule="exact"/>
        <w:ind w:firstLine="482" w:firstLineChars="200"/>
        <w:outlineLvl w:val="0"/>
        <w:rPr>
          <w:rFonts w:hint="eastAsia" w:ascii="宋体" w:hAnsi="宋体" w:cs="宋体"/>
          <w:b/>
          <w:color w:val="auto"/>
          <w:sz w:val="24"/>
          <w:highlight w:val="none"/>
        </w:rPr>
      </w:pPr>
      <w:bookmarkStart w:id="266" w:name="_Toc7502"/>
      <w:bookmarkStart w:id="267" w:name="_Toc8344"/>
      <w:bookmarkStart w:id="268" w:name="_Ref467378121"/>
      <w:bookmarkStart w:id="269" w:name="_Toc259093683"/>
      <w:bookmarkStart w:id="270" w:name="_Toc487900364"/>
      <w:bookmarkStart w:id="271" w:name="_Toc279701254"/>
      <w:r>
        <w:rPr>
          <w:rFonts w:hint="eastAsia" w:ascii="宋体" w:hAnsi="宋体" w:cs="宋体"/>
          <w:b/>
          <w:color w:val="auto"/>
          <w:sz w:val="24"/>
          <w:highlight w:val="none"/>
        </w:rPr>
        <w:t>2.11 合同变更</w:t>
      </w:r>
      <w:bookmarkEnd w:id="266"/>
      <w:bookmarkEnd w:id="267"/>
    </w:p>
    <w:p w14:paraId="3A64E5B5">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本条款仅限甲方提出变更需求，乙方提出的变更需经甲方书面同意并签署补充协议</w:t>
      </w:r>
      <w:r>
        <w:rPr>
          <w:rFonts w:hint="eastAsia" w:ascii="宋体" w:hAnsi="宋体" w:cs="宋体"/>
          <w:color w:val="auto"/>
          <w:sz w:val="24"/>
          <w:highlight w:val="none"/>
          <w:lang w:eastAsia="zh-CN"/>
        </w:rPr>
        <w:t>。</w:t>
      </w:r>
    </w:p>
    <w:p w14:paraId="6AFC97C2">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72" w:name="_Toc279701259"/>
      <w:bookmarkStart w:id="273" w:name="_Toc487900369"/>
      <w:bookmarkStart w:id="274" w:name="_Toc259093688"/>
    </w:p>
    <w:p w14:paraId="2FA611CB">
      <w:pPr>
        <w:spacing w:line="560" w:lineRule="exact"/>
        <w:ind w:firstLine="482" w:firstLineChars="200"/>
        <w:outlineLvl w:val="0"/>
        <w:rPr>
          <w:rFonts w:hint="eastAsia" w:ascii="宋体" w:hAnsi="宋体" w:cs="宋体"/>
          <w:b/>
          <w:color w:val="auto"/>
          <w:sz w:val="24"/>
          <w:highlight w:val="none"/>
        </w:rPr>
      </w:pPr>
      <w:bookmarkStart w:id="275" w:name="_Toc24312"/>
      <w:bookmarkStart w:id="276" w:name="_Toc22955"/>
      <w:bookmarkStart w:id="277" w:name="_Toc15237"/>
      <w:bookmarkStart w:id="278" w:name="_Toc10366"/>
      <w:r>
        <w:rPr>
          <w:rFonts w:hint="eastAsia" w:ascii="宋体" w:hAnsi="宋体" w:cs="宋体"/>
          <w:b/>
          <w:color w:val="auto"/>
          <w:sz w:val="24"/>
          <w:highlight w:val="none"/>
        </w:rPr>
        <w:t>2.12 合同转让</w:t>
      </w:r>
      <w:bookmarkEnd w:id="272"/>
      <w:bookmarkEnd w:id="273"/>
      <w:bookmarkEnd w:id="274"/>
      <w:r>
        <w:rPr>
          <w:rFonts w:hint="eastAsia" w:ascii="宋体" w:hAnsi="宋体" w:cs="宋体"/>
          <w:b/>
          <w:color w:val="auto"/>
          <w:sz w:val="24"/>
          <w:highlight w:val="none"/>
        </w:rPr>
        <w:t>和分包</w:t>
      </w:r>
      <w:bookmarkEnd w:id="275"/>
      <w:bookmarkEnd w:id="276"/>
      <w:bookmarkEnd w:id="277"/>
      <w:bookmarkEnd w:id="278"/>
    </w:p>
    <w:p w14:paraId="27738955">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乙方应在分包合同签订前15日向甲方提交分包商资质文件，甲方对分包商有一票否决权</w:t>
      </w:r>
      <w:r>
        <w:rPr>
          <w:rFonts w:hint="eastAsia" w:ascii="宋体" w:hAnsi="宋体" w:cs="宋体"/>
          <w:color w:val="auto"/>
          <w:sz w:val="24"/>
          <w:highlight w:val="none"/>
          <w:lang w:eastAsia="zh-CN"/>
        </w:rPr>
        <w:t>。</w:t>
      </w:r>
    </w:p>
    <w:p w14:paraId="115A6E93">
      <w:pPr>
        <w:spacing w:line="560" w:lineRule="exact"/>
        <w:ind w:firstLine="482" w:firstLineChars="200"/>
        <w:outlineLvl w:val="0"/>
        <w:rPr>
          <w:rFonts w:hint="eastAsia" w:ascii="宋体" w:hAnsi="宋体" w:cs="宋体"/>
          <w:b/>
          <w:color w:val="auto"/>
          <w:sz w:val="24"/>
          <w:highlight w:val="none"/>
        </w:rPr>
      </w:pPr>
      <w:bookmarkStart w:id="279" w:name="_Toc2865"/>
      <w:bookmarkStart w:id="280" w:name="_Toc14066"/>
      <w:bookmarkStart w:id="281" w:name="_Toc16508"/>
      <w:bookmarkStart w:id="282" w:name="_Toc13566"/>
      <w:r>
        <w:rPr>
          <w:rFonts w:hint="eastAsia" w:ascii="宋体" w:hAnsi="宋体" w:cs="宋体"/>
          <w:b/>
          <w:color w:val="auto"/>
          <w:sz w:val="24"/>
          <w:highlight w:val="none"/>
        </w:rPr>
        <w:t>2.13 不可抗力</w:t>
      </w:r>
      <w:bookmarkEnd w:id="279"/>
      <w:bookmarkEnd w:id="280"/>
      <w:bookmarkEnd w:id="281"/>
      <w:bookmarkEnd w:id="282"/>
    </w:p>
    <w:p w14:paraId="75527A8E">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4F55ECED">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2.13.2 因不可抗力致使不能实现合同目的的，当事人可以解除合同；</w:t>
      </w:r>
    </w:p>
    <w:p w14:paraId="4DDBEAB5">
      <w:pPr>
        <w:spacing w:line="560" w:lineRule="exact"/>
        <w:ind w:firstLine="480" w:firstLineChars="200"/>
        <w:rPr>
          <w:rFonts w:hint="eastAsia" w:ascii="宋体" w:hAnsi="宋体" w:cs="宋体"/>
          <w:b w:val="0"/>
          <w:bCs/>
          <w:color w:val="auto"/>
          <w:sz w:val="24"/>
          <w:highlight w:val="none"/>
        </w:rPr>
      </w:pPr>
      <w:r>
        <w:rPr>
          <w:rFonts w:hint="eastAsia" w:ascii="宋体" w:hAnsi="宋体" w:cs="宋体"/>
          <w:color w:val="auto"/>
          <w:sz w:val="24"/>
          <w:highlight w:val="none"/>
        </w:rPr>
        <w:t>2.13.3 因不可抗力致使合同有变更必要的，双方当事人应</w:t>
      </w:r>
      <w:r>
        <w:rPr>
          <w:rFonts w:hint="eastAsia" w:ascii="宋体" w:hAnsi="宋体" w:cs="宋体"/>
          <w:b w:val="0"/>
          <w:bCs w:val="0"/>
          <w:color w:val="auto"/>
          <w:sz w:val="24"/>
          <w:highlight w:val="none"/>
        </w:rPr>
        <w:t>在</w:t>
      </w:r>
      <w:r>
        <w:rPr>
          <w:rFonts w:hint="eastAsia" w:ascii="宋体" w:hAnsi="宋体" w:cs="宋体"/>
          <w:b w:val="0"/>
          <w:bCs w:val="0"/>
          <w:i/>
          <w:color w:val="auto"/>
          <w:sz w:val="24"/>
          <w:highlight w:val="none"/>
          <w:u w:val="single"/>
        </w:rPr>
        <w:t>合</w:t>
      </w:r>
      <w:r>
        <w:rPr>
          <w:rFonts w:hint="eastAsia" w:ascii="宋体" w:hAnsi="宋体" w:cs="宋体"/>
          <w:b w:val="0"/>
          <w:bCs/>
          <w:i/>
          <w:color w:val="auto"/>
          <w:sz w:val="24"/>
          <w:highlight w:val="none"/>
          <w:u w:val="single"/>
        </w:rPr>
        <w:t>同专用条款</w:t>
      </w:r>
      <w:r>
        <w:rPr>
          <w:rFonts w:hint="eastAsia" w:ascii="宋体" w:hAnsi="宋体" w:cs="宋体"/>
          <w:b w:val="0"/>
          <w:bCs/>
          <w:color w:val="auto"/>
          <w:sz w:val="24"/>
          <w:highlight w:val="none"/>
        </w:rPr>
        <w:t>约定时间内以书面形式变更合同；</w:t>
      </w:r>
    </w:p>
    <w:p w14:paraId="30B1DCAA">
      <w:pPr>
        <w:spacing w:line="560" w:lineRule="exact"/>
        <w:ind w:firstLine="480" w:firstLineChars="200"/>
        <w:rPr>
          <w:rFonts w:hint="eastAsia" w:ascii="宋体" w:hAnsi="宋体" w:cs="宋体"/>
          <w:color w:val="auto"/>
          <w:sz w:val="24"/>
          <w:highlight w:val="none"/>
        </w:rPr>
      </w:pPr>
      <w:r>
        <w:rPr>
          <w:rFonts w:hint="eastAsia" w:ascii="宋体" w:hAnsi="宋体" w:cs="宋体"/>
          <w:b w:val="0"/>
          <w:bCs/>
          <w:color w:val="auto"/>
          <w:sz w:val="24"/>
          <w:highlight w:val="none"/>
        </w:rPr>
        <w:t>2.13.4受不可抗力影响的一方在不可抗力发生后，应在</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约定时间内以书面形式通知对方当事人，并在</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约定时间内，将有关部</w:t>
      </w:r>
      <w:r>
        <w:rPr>
          <w:rFonts w:hint="eastAsia" w:ascii="宋体" w:hAnsi="宋体" w:cs="宋体"/>
          <w:color w:val="auto"/>
          <w:sz w:val="24"/>
          <w:highlight w:val="none"/>
        </w:rPr>
        <w:t>门出具的证明文件送达对方当事人。</w:t>
      </w:r>
    </w:p>
    <w:p w14:paraId="30209B9D">
      <w:pPr>
        <w:spacing w:line="560" w:lineRule="exact"/>
        <w:ind w:firstLine="482" w:firstLineChars="200"/>
        <w:outlineLvl w:val="0"/>
        <w:rPr>
          <w:rFonts w:hint="eastAsia" w:ascii="宋体" w:hAnsi="宋体" w:cs="宋体"/>
          <w:b/>
          <w:color w:val="auto"/>
          <w:sz w:val="24"/>
          <w:highlight w:val="none"/>
        </w:rPr>
      </w:pPr>
      <w:bookmarkStart w:id="283" w:name="_Toc30676"/>
      <w:bookmarkStart w:id="284" w:name="_Toc487900365"/>
      <w:bookmarkStart w:id="285" w:name="_Toc689"/>
      <w:bookmarkStart w:id="286" w:name="_Toc19816"/>
      <w:bookmarkStart w:id="287" w:name="_Toc279701255"/>
      <w:bookmarkStart w:id="288" w:name="_Toc259093684"/>
      <w:bookmarkStart w:id="289" w:name="_Toc6969"/>
      <w:r>
        <w:rPr>
          <w:rFonts w:hint="eastAsia" w:ascii="宋体" w:hAnsi="宋体" w:cs="宋体"/>
          <w:b/>
          <w:color w:val="auto"/>
          <w:sz w:val="24"/>
          <w:highlight w:val="none"/>
        </w:rPr>
        <w:t>2.14 税费</w:t>
      </w:r>
      <w:bookmarkEnd w:id="283"/>
      <w:bookmarkEnd w:id="284"/>
      <w:bookmarkEnd w:id="285"/>
      <w:bookmarkEnd w:id="286"/>
      <w:bookmarkEnd w:id="287"/>
      <w:bookmarkEnd w:id="288"/>
      <w:bookmarkEnd w:id="289"/>
    </w:p>
    <w:p w14:paraId="5372BB59">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34E68AEC">
      <w:pPr>
        <w:spacing w:line="560" w:lineRule="exact"/>
        <w:ind w:firstLine="482" w:firstLineChars="200"/>
        <w:outlineLvl w:val="0"/>
        <w:rPr>
          <w:rFonts w:hint="eastAsia" w:ascii="宋体" w:hAnsi="宋体" w:cs="宋体"/>
          <w:b/>
          <w:color w:val="auto"/>
          <w:sz w:val="24"/>
          <w:highlight w:val="none"/>
        </w:rPr>
      </w:pPr>
      <w:bookmarkStart w:id="290" w:name="_Toc487900368"/>
      <w:bookmarkStart w:id="291" w:name="_Toc7102"/>
      <w:bookmarkStart w:id="292" w:name="_Toc31568"/>
      <w:bookmarkStart w:id="293" w:name="_Toc279701258"/>
      <w:bookmarkStart w:id="294" w:name="_Toc16959"/>
      <w:bookmarkStart w:id="295" w:name="_Toc8298"/>
      <w:bookmarkStart w:id="296" w:name="_Toc259093687"/>
      <w:r>
        <w:rPr>
          <w:rFonts w:hint="eastAsia" w:ascii="宋体" w:hAnsi="宋体" w:cs="宋体"/>
          <w:b/>
          <w:color w:val="auto"/>
          <w:sz w:val="24"/>
          <w:highlight w:val="none"/>
        </w:rPr>
        <w:t>2.15 乙方破产</w:t>
      </w:r>
      <w:bookmarkEnd w:id="290"/>
      <w:bookmarkEnd w:id="291"/>
      <w:bookmarkEnd w:id="292"/>
      <w:bookmarkEnd w:id="293"/>
      <w:bookmarkEnd w:id="294"/>
      <w:bookmarkEnd w:id="295"/>
      <w:bookmarkEnd w:id="296"/>
    </w:p>
    <w:p w14:paraId="29C9AA7B">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合同终止后7日内，乙方应返还全部预付款项。甲方对乙方资产享有优先受偿权</w:t>
      </w:r>
      <w:r>
        <w:rPr>
          <w:rFonts w:hint="eastAsia" w:ascii="宋体" w:hAnsi="宋体" w:cs="宋体"/>
          <w:color w:val="auto"/>
          <w:sz w:val="24"/>
          <w:highlight w:val="none"/>
          <w:lang w:eastAsia="zh-CN"/>
        </w:rPr>
        <w:t>。</w:t>
      </w:r>
    </w:p>
    <w:p w14:paraId="08DACF2B">
      <w:pPr>
        <w:spacing w:line="560" w:lineRule="exact"/>
        <w:ind w:firstLine="482" w:firstLineChars="200"/>
        <w:outlineLvl w:val="0"/>
        <w:rPr>
          <w:rFonts w:hint="eastAsia" w:ascii="宋体" w:hAnsi="宋体" w:cs="宋体"/>
          <w:b/>
          <w:color w:val="auto"/>
          <w:sz w:val="24"/>
          <w:highlight w:val="none"/>
        </w:rPr>
      </w:pPr>
      <w:bookmarkStart w:id="297" w:name="_Toc30815"/>
      <w:bookmarkStart w:id="298" w:name="_Toc29333"/>
      <w:bookmarkStart w:id="299" w:name="_Toc6134"/>
      <w:bookmarkStart w:id="300" w:name="_Toc15387"/>
      <w:r>
        <w:rPr>
          <w:rFonts w:hint="eastAsia" w:ascii="宋体" w:hAnsi="宋体" w:cs="宋体"/>
          <w:b/>
          <w:color w:val="auto"/>
          <w:sz w:val="24"/>
          <w:highlight w:val="none"/>
        </w:rPr>
        <w:t>2.16 合同中止、终止</w:t>
      </w:r>
      <w:bookmarkEnd w:id="297"/>
      <w:bookmarkEnd w:id="298"/>
      <w:bookmarkEnd w:id="299"/>
      <w:bookmarkEnd w:id="300"/>
    </w:p>
    <w:p w14:paraId="6AB4BB75">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2D83A5E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0DE50CF0">
      <w:pPr>
        <w:spacing w:line="560" w:lineRule="exact"/>
        <w:ind w:firstLine="482" w:firstLineChars="200"/>
        <w:outlineLvl w:val="0"/>
        <w:rPr>
          <w:rFonts w:hint="eastAsia" w:ascii="宋体" w:hAnsi="宋体" w:cs="宋体"/>
          <w:b/>
          <w:color w:val="auto"/>
          <w:sz w:val="24"/>
          <w:highlight w:val="none"/>
        </w:rPr>
      </w:pPr>
      <w:bookmarkStart w:id="301" w:name="_Toc32658"/>
      <w:bookmarkStart w:id="302" w:name="_Toc6596"/>
      <w:bookmarkStart w:id="303" w:name="_Toc14563"/>
      <w:bookmarkStart w:id="304" w:name="_Toc1125"/>
      <w:r>
        <w:rPr>
          <w:rFonts w:hint="eastAsia" w:ascii="宋体" w:hAnsi="宋体" w:cs="宋体"/>
          <w:b/>
          <w:color w:val="auto"/>
          <w:sz w:val="24"/>
          <w:highlight w:val="none"/>
        </w:rPr>
        <w:t>2.17 检验和验收</w:t>
      </w:r>
      <w:bookmarkEnd w:id="301"/>
      <w:bookmarkEnd w:id="302"/>
      <w:bookmarkEnd w:id="303"/>
      <w:bookmarkEnd w:id="304"/>
    </w:p>
    <w:p w14:paraId="00798678">
      <w:pPr>
        <w:tabs>
          <w:tab w:val="left" w:pos="360"/>
          <w:tab w:val="left" w:pos="540"/>
          <w:tab w:val="left" w:pos="1080"/>
        </w:tabs>
        <w:spacing w:line="560" w:lineRule="exact"/>
        <w:ind w:firstLine="480" w:firstLineChars="200"/>
        <w:rPr>
          <w:rFonts w:hint="eastAsia" w:ascii="宋体" w:hAnsi="宋体" w:eastAsia="宋体" w:cs="宋体"/>
          <w:b w:val="0"/>
          <w:bCs/>
          <w:color w:val="auto"/>
          <w:sz w:val="24"/>
          <w:highlight w:val="none"/>
          <w:lang w:eastAsia="zh-CN"/>
        </w:rPr>
      </w:pPr>
      <w:r>
        <w:rPr>
          <w:rFonts w:hint="eastAsia" w:ascii="宋体" w:hAnsi="宋体" w:cs="宋体"/>
          <w:color w:val="auto"/>
          <w:sz w:val="24"/>
          <w:highlight w:val="none"/>
        </w:rPr>
        <w:t>2.17.1货物交付前，乙方应对货物的质量、数量等方面进行详细、全面的检验，并向甲方出具证明货物符合合同约定的文件；货物交付时，乙方在</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约定时间内组织验收，并可依法邀请相关方参加，验收应出具验收书。甲方应在到货后15日内完成质量检验，发现瑕疵的应书面通知乙方。未通知的视为验收合格</w:t>
      </w:r>
      <w:r>
        <w:rPr>
          <w:rFonts w:hint="eastAsia" w:ascii="宋体" w:hAnsi="宋体" w:cs="宋体"/>
          <w:b w:val="0"/>
          <w:bCs/>
          <w:color w:val="auto"/>
          <w:sz w:val="24"/>
          <w:highlight w:val="none"/>
          <w:lang w:eastAsia="zh-CN"/>
        </w:rPr>
        <w:t>。</w:t>
      </w:r>
    </w:p>
    <w:p w14:paraId="6215269C">
      <w:pPr>
        <w:tabs>
          <w:tab w:val="left" w:pos="360"/>
          <w:tab w:val="left" w:pos="540"/>
          <w:tab w:val="left" w:pos="1080"/>
        </w:tabs>
        <w:spacing w:line="5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6D90C56E">
      <w:pPr>
        <w:tabs>
          <w:tab w:val="left" w:pos="360"/>
          <w:tab w:val="left" w:pos="540"/>
          <w:tab w:val="left" w:pos="1080"/>
        </w:tabs>
        <w:spacing w:line="560" w:lineRule="exact"/>
        <w:ind w:firstLine="480" w:firstLineChars="200"/>
        <w:rPr>
          <w:rFonts w:hint="eastAsia" w:ascii="宋体" w:hAnsi="宋体" w:cs="宋体"/>
          <w:b w:val="0"/>
          <w:bCs/>
          <w:color w:val="auto"/>
          <w:sz w:val="24"/>
          <w:highlight w:val="none"/>
        </w:rPr>
      </w:pPr>
      <w:r>
        <w:rPr>
          <w:rFonts w:hint="eastAsia" w:ascii="宋体" w:hAnsi="宋体" w:cs="宋体"/>
          <w:b w:val="0"/>
          <w:bCs/>
          <w:color w:val="auto"/>
          <w:sz w:val="24"/>
          <w:highlight w:val="none"/>
        </w:rPr>
        <w:t>2.17.3 检验和验收标准、程序等具体内容以及前述验收书的效力详见</w:t>
      </w:r>
      <w:r>
        <w:rPr>
          <w:rFonts w:hint="eastAsia" w:ascii="宋体" w:hAnsi="宋体" w:cs="宋体"/>
          <w:b w:val="0"/>
          <w:bCs/>
          <w:i/>
          <w:color w:val="auto"/>
          <w:sz w:val="24"/>
          <w:highlight w:val="none"/>
          <w:u w:val="single"/>
        </w:rPr>
        <w:t>合同专用条款</w:t>
      </w:r>
      <w:r>
        <w:rPr>
          <w:rFonts w:hint="eastAsia" w:ascii="宋体" w:hAnsi="宋体" w:cs="宋体"/>
          <w:b w:val="0"/>
          <w:bCs/>
          <w:i/>
          <w:color w:val="auto"/>
          <w:sz w:val="24"/>
          <w:highlight w:val="none"/>
        </w:rPr>
        <w:t>。</w:t>
      </w:r>
    </w:p>
    <w:bookmarkEnd w:id="268"/>
    <w:bookmarkEnd w:id="269"/>
    <w:bookmarkEnd w:id="270"/>
    <w:bookmarkEnd w:id="271"/>
    <w:p w14:paraId="1B692ECD">
      <w:pPr>
        <w:spacing w:line="560" w:lineRule="exact"/>
        <w:ind w:firstLine="482" w:firstLineChars="200"/>
        <w:outlineLvl w:val="0"/>
        <w:rPr>
          <w:rFonts w:hint="eastAsia" w:ascii="宋体" w:hAnsi="宋体" w:cs="宋体"/>
          <w:b/>
          <w:color w:val="auto"/>
          <w:sz w:val="24"/>
          <w:highlight w:val="none"/>
        </w:rPr>
      </w:pPr>
      <w:bookmarkStart w:id="305" w:name="_Toc259093690"/>
      <w:bookmarkStart w:id="306" w:name="_Toc279701261"/>
      <w:bookmarkStart w:id="307" w:name="_Toc487900371"/>
      <w:bookmarkStart w:id="308" w:name="_Toc30405"/>
      <w:bookmarkStart w:id="309" w:name="_Toc11284"/>
      <w:bookmarkStart w:id="310" w:name="_Toc25182"/>
      <w:bookmarkStart w:id="311" w:name="_Toc19604"/>
      <w:r>
        <w:rPr>
          <w:rFonts w:hint="eastAsia" w:ascii="宋体" w:hAnsi="宋体" w:cs="宋体"/>
          <w:b/>
          <w:color w:val="auto"/>
          <w:sz w:val="24"/>
          <w:highlight w:val="none"/>
        </w:rPr>
        <w:t>2.18 通知</w:t>
      </w:r>
      <w:bookmarkEnd w:id="305"/>
      <w:bookmarkEnd w:id="306"/>
      <w:bookmarkEnd w:id="307"/>
      <w:r>
        <w:rPr>
          <w:rFonts w:hint="eastAsia" w:ascii="宋体" w:hAnsi="宋体" w:cs="宋体"/>
          <w:b/>
          <w:color w:val="auto"/>
          <w:sz w:val="24"/>
          <w:highlight w:val="none"/>
        </w:rPr>
        <w:t>和送达</w:t>
      </w:r>
      <w:bookmarkEnd w:id="308"/>
      <w:bookmarkEnd w:id="309"/>
      <w:bookmarkEnd w:id="310"/>
      <w:bookmarkEnd w:id="311"/>
    </w:p>
    <w:p w14:paraId="2B70485E">
      <w:pPr>
        <w:spacing w:line="560" w:lineRule="exact"/>
        <w:ind w:firstLine="480" w:firstLineChars="200"/>
        <w:rPr>
          <w:rFonts w:hint="eastAsia" w:ascii="宋体" w:hAnsi="宋体" w:eastAsia="宋体" w:cs="宋体"/>
          <w:color w:val="auto"/>
          <w:sz w:val="24"/>
          <w:highlight w:val="none"/>
          <w:lang w:eastAsia="zh-CN"/>
        </w:rPr>
      </w:pPr>
      <w:bookmarkStart w:id="312" w:name="_Toc6698"/>
      <w:bookmarkStart w:id="313" w:name="_Toc3135"/>
      <w:bookmarkStart w:id="314" w:name="_Toc259093691"/>
      <w:bookmarkStart w:id="315" w:name="_Toc487900372"/>
      <w:bookmarkStart w:id="316" w:name="_Toc27970126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发出的所有通知、文件、材料，均视为已向对方当事人送达；任何一方变更上述送达方式或者地址的，应于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个工作日内书面通知对方当事人，在对方当事人收到有关变更通知之前，变更前的约定送达方式或者地址仍视为有效。</w:t>
      </w:r>
      <w:bookmarkEnd w:id="312"/>
      <w:bookmarkEnd w:id="313"/>
      <w:r>
        <w:rPr>
          <w:rFonts w:hint="eastAsia" w:ascii="宋体" w:hAnsi="宋体" w:cs="宋体"/>
          <w:color w:val="auto"/>
          <w:sz w:val="24"/>
          <w:highlight w:val="none"/>
        </w:rPr>
        <w:t>任何一方变更送达地址应提前5个工作日书面通知，未及时通知导致送达失败的视为有效送达</w:t>
      </w:r>
      <w:r>
        <w:rPr>
          <w:rFonts w:hint="eastAsia" w:ascii="宋体" w:hAnsi="宋体" w:cs="宋体"/>
          <w:color w:val="auto"/>
          <w:sz w:val="24"/>
          <w:highlight w:val="none"/>
          <w:lang w:eastAsia="zh-CN"/>
        </w:rPr>
        <w:t>。</w:t>
      </w:r>
    </w:p>
    <w:p w14:paraId="01382A3F">
      <w:pPr>
        <w:spacing w:line="560" w:lineRule="exact"/>
        <w:ind w:firstLine="480" w:firstLineChars="200"/>
        <w:rPr>
          <w:rFonts w:hint="eastAsia" w:ascii="宋体" w:hAnsi="宋体" w:cs="宋体"/>
          <w:color w:val="auto"/>
          <w:sz w:val="24"/>
          <w:highlight w:val="none"/>
        </w:rPr>
      </w:pPr>
      <w:bookmarkStart w:id="317" w:name="_Toc23128"/>
      <w:bookmarkStart w:id="318" w:name="_Toc23294"/>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17"/>
      <w:bookmarkEnd w:id="318"/>
    </w:p>
    <w:p w14:paraId="27ECFE72">
      <w:pPr>
        <w:spacing w:line="560" w:lineRule="exact"/>
        <w:ind w:firstLine="482" w:firstLineChars="200"/>
        <w:outlineLvl w:val="0"/>
        <w:rPr>
          <w:rFonts w:hint="eastAsia" w:ascii="宋体" w:hAnsi="宋体" w:cs="宋体"/>
          <w:b/>
          <w:color w:val="auto"/>
          <w:sz w:val="24"/>
          <w:highlight w:val="none"/>
        </w:rPr>
      </w:pPr>
      <w:bookmarkStart w:id="319" w:name="_Toc18540"/>
      <w:bookmarkStart w:id="320" w:name="_Toc4857"/>
      <w:bookmarkStart w:id="321" w:name="_Toc4355"/>
      <w:bookmarkStart w:id="322" w:name="_Toc30599"/>
      <w:r>
        <w:rPr>
          <w:rFonts w:hint="eastAsia" w:ascii="宋体" w:hAnsi="宋体" w:cs="宋体"/>
          <w:b/>
          <w:color w:val="auto"/>
          <w:sz w:val="24"/>
          <w:highlight w:val="none"/>
        </w:rPr>
        <w:t>2.19 计量单位</w:t>
      </w:r>
      <w:bookmarkEnd w:id="314"/>
      <w:bookmarkEnd w:id="315"/>
      <w:bookmarkEnd w:id="316"/>
      <w:bookmarkEnd w:id="319"/>
      <w:bookmarkEnd w:id="320"/>
      <w:bookmarkEnd w:id="321"/>
      <w:bookmarkEnd w:id="322"/>
    </w:p>
    <w:p w14:paraId="2BB42C56">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029D162A">
      <w:pPr>
        <w:spacing w:line="560" w:lineRule="exact"/>
        <w:ind w:firstLine="482" w:firstLineChars="200"/>
        <w:outlineLvl w:val="0"/>
        <w:rPr>
          <w:rFonts w:hint="eastAsia" w:ascii="宋体" w:hAnsi="宋体" w:cs="宋体"/>
          <w:b/>
          <w:color w:val="auto"/>
          <w:sz w:val="24"/>
          <w:highlight w:val="none"/>
        </w:rPr>
      </w:pPr>
      <w:bookmarkStart w:id="323" w:name="_Toc487900373"/>
      <w:bookmarkStart w:id="324" w:name="_Toc12773"/>
      <w:bookmarkStart w:id="325" w:name="_Toc259093692"/>
      <w:bookmarkStart w:id="326" w:name="_Toc279701263"/>
      <w:bookmarkStart w:id="327" w:name="_Toc10330"/>
      <w:bookmarkStart w:id="328" w:name="_Toc107"/>
      <w:bookmarkStart w:id="329" w:name="_Toc18567"/>
      <w:r>
        <w:rPr>
          <w:rFonts w:hint="eastAsia" w:ascii="宋体" w:hAnsi="宋体" w:cs="宋体"/>
          <w:b/>
          <w:color w:val="auto"/>
          <w:sz w:val="24"/>
          <w:highlight w:val="none"/>
        </w:rPr>
        <w:t>2.20 合同使用的文字和适用的法律</w:t>
      </w:r>
      <w:bookmarkEnd w:id="323"/>
      <w:bookmarkEnd w:id="324"/>
      <w:bookmarkEnd w:id="325"/>
      <w:bookmarkEnd w:id="326"/>
      <w:bookmarkEnd w:id="327"/>
      <w:bookmarkEnd w:id="328"/>
      <w:bookmarkEnd w:id="329"/>
    </w:p>
    <w:p w14:paraId="681ADC3B">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2.20.1 合同使用汉语书就、变更和解释；</w:t>
      </w:r>
    </w:p>
    <w:p w14:paraId="1217BBFD">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2.20.2 合同适用中华人民共和国法律。</w:t>
      </w:r>
    </w:p>
    <w:p w14:paraId="644A472B">
      <w:pPr>
        <w:spacing w:line="560" w:lineRule="exact"/>
        <w:ind w:firstLine="482" w:firstLineChars="200"/>
        <w:outlineLvl w:val="0"/>
        <w:rPr>
          <w:rFonts w:hint="eastAsia" w:ascii="宋体" w:hAnsi="宋体" w:cs="宋体"/>
          <w:b/>
          <w:color w:val="auto"/>
          <w:sz w:val="24"/>
          <w:highlight w:val="none"/>
        </w:rPr>
      </w:pPr>
      <w:bookmarkStart w:id="330" w:name="_Toc23447"/>
      <w:bookmarkStart w:id="331" w:name="_Toc279701264"/>
      <w:bookmarkStart w:id="332" w:name="_Toc16673"/>
      <w:bookmarkStart w:id="333" w:name="_Toc259093693"/>
      <w:bookmarkStart w:id="334" w:name="_Toc3148"/>
      <w:bookmarkStart w:id="335" w:name="_Toc487900374"/>
      <w:r>
        <w:rPr>
          <w:rFonts w:hint="eastAsia" w:ascii="宋体" w:hAnsi="宋体" w:cs="宋体"/>
          <w:b/>
          <w:color w:val="auto"/>
          <w:sz w:val="24"/>
          <w:highlight w:val="none"/>
        </w:rPr>
        <w:t>2.21 履约保证金</w:t>
      </w:r>
      <w:bookmarkEnd w:id="330"/>
      <w:bookmarkEnd w:id="331"/>
      <w:bookmarkEnd w:id="332"/>
      <w:bookmarkEnd w:id="333"/>
      <w:bookmarkEnd w:id="334"/>
    </w:p>
    <w:p w14:paraId="3C494D0B">
      <w:pPr>
        <w:spacing w:line="560" w:lineRule="exact"/>
        <w:ind w:firstLine="480" w:firstLineChars="200"/>
        <w:rPr>
          <w:rFonts w:hint="eastAsia" w:ascii="宋体" w:hAnsi="宋体" w:cs="宋体"/>
          <w:b w:val="0"/>
          <w:bCs/>
          <w:color w:val="auto"/>
          <w:sz w:val="24"/>
          <w:highlight w:val="none"/>
        </w:rPr>
      </w:pPr>
      <w:r>
        <w:rPr>
          <w:rFonts w:hint="eastAsia" w:ascii="宋体" w:hAnsi="宋体" w:cs="宋体"/>
          <w:color w:val="auto"/>
          <w:sz w:val="24"/>
          <w:highlight w:val="none"/>
        </w:rPr>
        <w:t>2.21.1 采购文件要求乙方提交履约保证金的，乙方应按</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约定的方式，以支票、汇票、本票或者金融机构、担保机构出具的保函等非现金形式，提交不超过合同价10%的履约保证金；</w:t>
      </w:r>
    </w:p>
    <w:p w14:paraId="27FC412B">
      <w:pPr>
        <w:spacing w:line="560" w:lineRule="exact"/>
        <w:ind w:firstLine="480" w:firstLineChars="200"/>
        <w:rPr>
          <w:rFonts w:hint="eastAsia" w:ascii="宋体" w:hAnsi="宋体" w:cs="宋体"/>
          <w:color w:val="auto"/>
          <w:sz w:val="24"/>
          <w:highlight w:val="none"/>
        </w:rPr>
      </w:pPr>
      <w:r>
        <w:rPr>
          <w:rFonts w:hint="eastAsia" w:ascii="宋体" w:hAnsi="宋体" w:cs="宋体"/>
          <w:b w:val="0"/>
          <w:bCs/>
          <w:color w:val="auto"/>
          <w:sz w:val="24"/>
          <w:highlight w:val="none"/>
        </w:rPr>
        <w:t>2.21.2 履约保证金在</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约定期间内或者货物质量保证期内不予退还或者应完全有效，前述约定期间届满或者货物质量保证期届满之日起</w:t>
      </w:r>
      <w:r>
        <w:rPr>
          <w:rFonts w:hint="eastAsia" w:ascii="宋体" w:hAnsi="宋体" w:cs="宋体"/>
          <w:b w:val="0"/>
          <w:bCs/>
          <w:color w:val="auto"/>
          <w:sz w:val="24"/>
          <w:highlight w:val="none"/>
          <w:u w:val="single"/>
        </w:rPr>
        <w:t xml:space="preserve">  </w:t>
      </w:r>
      <w:r>
        <w:rPr>
          <w:rFonts w:hint="eastAsia" w:ascii="宋体" w:hAnsi="宋体" w:cs="宋体"/>
          <w:color w:val="auto"/>
          <w:sz w:val="24"/>
          <w:highlight w:val="none"/>
        </w:rPr>
        <w:t>个工作日内，甲方应将履约保证金退还乙方；</w:t>
      </w:r>
    </w:p>
    <w:p w14:paraId="33301570">
      <w:pPr>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甲方主张履约保证金抵扣的，视为放弃对应金额的违约金请求权</w:t>
      </w:r>
      <w:r>
        <w:rPr>
          <w:rFonts w:hint="eastAsia" w:ascii="宋体" w:hAnsi="宋体" w:cs="宋体"/>
          <w:color w:val="auto"/>
          <w:sz w:val="24"/>
          <w:highlight w:val="none"/>
          <w:lang w:eastAsia="zh-CN"/>
        </w:rPr>
        <w:t>。</w:t>
      </w:r>
    </w:p>
    <w:bookmarkEnd w:id="335"/>
    <w:p w14:paraId="3E6EA4B8">
      <w:pPr>
        <w:spacing w:line="560" w:lineRule="exact"/>
        <w:ind w:firstLine="482" w:firstLineChars="200"/>
        <w:outlineLvl w:val="0"/>
        <w:rPr>
          <w:rFonts w:hint="eastAsia" w:ascii="宋体" w:hAnsi="宋体" w:cs="宋体"/>
          <w:b/>
          <w:color w:val="auto"/>
          <w:sz w:val="24"/>
          <w:highlight w:val="none"/>
        </w:rPr>
      </w:pPr>
      <w:bookmarkStart w:id="336" w:name="_Toc6885"/>
      <w:bookmarkStart w:id="337" w:name="_Toc25208"/>
      <w:bookmarkStart w:id="338" w:name="_Toc19890"/>
      <w:bookmarkStart w:id="339" w:name="_Toc14001"/>
      <w:r>
        <w:rPr>
          <w:rFonts w:hint="eastAsia" w:ascii="宋体" w:hAnsi="宋体" w:cs="宋体"/>
          <w:b/>
          <w:color w:val="auto"/>
          <w:sz w:val="24"/>
          <w:highlight w:val="none"/>
        </w:rPr>
        <w:t>2.22 合同份数</w:t>
      </w:r>
      <w:bookmarkEnd w:id="336"/>
      <w:bookmarkEnd w:id="337"/>
      <w:bookmarkEnd w:id="338"/>
      <w:bookmarkEnd w:id="339"/>
    </w:p>
    <w:p w14:paraId="5F9CC5CC">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合同份数按</w:t>
      </w:r>
      <w:r>
        <w:rPr>
          <w:rFonts w:hint="eastAsia" w:ascii="宋体" w:hAnsi="宋体" w:cs="宋体"/>
          <w:b w:val="0"/>
          <w:bCs/>
          <w:i/>
          <w:color w:val="auto"/>
          <w:sz w:val="24"/>
          <w:highlight w:val="none"/>
          <w:u w:val="single"/>
        </w:rPr>
        <w:t>合同专用条款</w:t>
      </w:r>
      <w:r>
        <w:rPr>
          <w:rFonts w:hint="eastAsia" w:ascii="宋体" w:hAnsi="宋体" w:cs="宋体"/>
          <w:b w:val="0"/>
          <w:bCs/>
          <w:color w:val="auto"/>
          <w:sz w:val="24"/>
          <w:highlight w:val="none"/>
        </w:rPr>
        <w:t>规定</w:t>
      </w:r>
      <w:r>
        <w:rPr>
          <w:rFonts w:hint="eastAsia" w:ascii="宋体" w:hAnsi="宋体" w:cs="宋体"/>
          <w:color w:val="auto"/>
          <w:sz w:val="24"/>
          <w:highlight w:val="none"/>
        </w:rPr>
        <w:t>，每份均具有同等法律效力。</w:t>
      </w:r>
    </w:p>
    <w:p w14:paraId="0520F4A4">
      <w:pPr>
        <w:pStyle w:val="119"/>
        <w:spacing w:line="560" w:lineRule="exact"/>
        <w:ind w:firstLine="0"/>
        <w:jc w:val="center"/>
        <w:rPr>
          <w:rFonts w:hint="eastAsia" w:hAnsi="宋体" w:cs="宋体"/>
          <w:b/>
          <w:color w:val="auto"/>
          <w:szCs w:val="24"/>
          <w:highlight w:val="none"/>
        </w:rPr>
      </w:pPr>
      <w:r>
        <w:rPr>
          <w:rFonts w:hint="eastAsia" w:hAnsi="宋体" w:cs="宋体"/>
          <w:color w:val="auto"/>
          <w:szCs w:val="24"/>
          <w:highlight w:val="none"/>
        </w:rPr>
        <w:br w:type="page"/>
      </w:r>
      <w:bookmarkStart w:id="340" w:name="_Toc331685784"/>
      <w:r>
        <w:rPr>
          <w:rFonts w:hint="eastAsia" w:hAnsi="宋体" w:cs="宋体"/>
          <w:b/>
          <w:color w:val="auto"/>
          <w:szCs w:val="24"/>
          <w:highlight w:val="none"/>
        </w:rPr>
        <w:t>第三部分  合同专用条款</w:t>
      </w:r>
      <w:bookmarkEnd w:id="340"/>
    </w:p>
    <w:p w14:paraId="1D71ABFA">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8572"/>
      </w:tblGrid>
      <w:tr w14:paraId="74DD7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14:paraId="0C50C4DA">
            <w:pPr>
              <w:spacing w:line="560" w:lineRule="exact"/>
              <w:jc w:val="center"/>
              <w:rPr>
                <w:rFonts w:hint="eastAsia" w:ascii="宋体" w:hAnsi="宋体" w:cs="宋体"/>
                <w:b/>
                <w:color w:val="auto"/>
                <w:sz w:val="24"/>
                <w:highlight w:val="none"/>
              </w:rPr>
            </w:pPr>
            <w:r>
              <w:rPr>
                <w:rFonts w:hint="eastAsia" w:ascii="宋体" w:hAnsi="宋体" w:cs="宋体"/>
                <w:b/>
                <w:color w:val="auto"/>
                <w:sz w:val="24"/>
                <w:highlight w:val="none"/>
              </w:rPr>
              <w:t>条款号</w:t>
            </w:r>
          </w:p>
        </w:tc>
        <w:tc>
          <w:tcPr>
            <w:tcW w:w="8572" w:type="dxa"/>
            <w:noWrap w:val="0"/>
            <w:vAlign w:val="center"/>
          </w:tcPr>
          <w:p w14:paraId="7BC445E6">
            <w:pPr>
              <w:spacing w:line="560" w:lineRule="exact"/>
              <w:jc w:val="center"/>
              <w:rPr>
                <w:rFonts w:hint="eastAsia" w:ascii="宋体" w:hAnsi="宋体" w:cs="宋体"/>
                <w:b/>
                <w:color w:val="auto"/>
                <w:sz w:val="24"/>
                <w:highlight w:val="none"/>
              </w:rPr>
            </w:pPr>
            <w:r>
              <w:rPr>
                <w:rFonts w:hint="eastAsia" w:ascii="宋体" w:hAnsi="宋体" w:cs="宋体"/>
                <w:b/>
                <w:color w:val="auto"/>
                <w:sz w:val="24"/>
                <w:highlight w:val="none"/>
              </w:rPr>
              <w:t>约定内容</w:t>
            </w:r>
          </w:p>
        </w:tc>
      </w:tr>
      <w:tr w14:paraId="5E1A7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14:paraId="7EC553BB">
            <w:pPr>
              <w:spacing w:line="560" w:lineRule="exact"/>
              <w:rPr>
                <w:rFonts w:hint="eastAsia" w:ascii="宋体" w:hAnsi="宋体" w:cs="宋体"/>
                <w:color w:val="auto"/>
                <w:sz w:val="24"/>
                <w:highlight w:val="none"/>
              </w:rPr>
            </w:pPr>
          </w:p>
        </w:tc>
        <w:tc>
          <w:tcPr>
            <w:tcW w:w="8572" w:type="dxa"/>
            <w:noWrap w:val="0"/>
            <w:vAlign w:val="center"/>
          </w:tcPr>
          <w:p w14:paraId="3CEA609D">
            <w:pPr>
              <w:spacing w:line="560" w:lineRule="exact"/>
              <w:rPr>
                <w:rFonts w:hint="eastAsia" w:ascii="宋体" w:hAnsi="宋体" w:cs="宋体"/>
                <w:color w:val="auto"/>
                <w:sz w:val="24"/>
                <w:highlight w:val="none"/>
              </w:rPr>
            </w:pPr>
          </w:p>
        </w:tc>
      </w:tr>
      <w:tr w14:paraId="72CC2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228D3BD2">
            <w:pPr>
              <w:spacing w:line="560" w:lineRule="exact"/>
              <w:rPr>
                <w:rFonts w:hint="eastAsia" w:ascii="宋体" w:hAnsi="宋体" w:cs="宋体"/>
                <w:color w:val="auto"/>
                <w:sz w:val="24"/>
                <w:highlight w:val="none"/>
              </w:rPr>
            </w:pPr>
          </w:p>
        </w:tc>
        <w:tc>
          <w:tcPr>
            <w:tcW w:w="8572" w:type="dxa"/>
            <w:noWrap w:val="0"/>
            <w:vAlign w:val="center"/>
          </w:tcPr>
          <w:p w14:paraId="6BF22A20">
            <w:pPr>
              <w:spacing w:line="560" w:lineRule="exact"/>
              <w:rPr>
                <w:rFonts w:hint="eastAsia" w:ascii="宋体" w:hAnsi="宋体" w:cs="宋体"/>
                <w:color w:val="auto"/>
                <w:sz w:val="24"/>
                <w:highlight w:val="none"/>
              </w:rPr>
            </w:pPr>
          </w:p>
        </w:tc>
      </w:tr>
      <w:tr w14:paraId="0413E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4BA1D0C0">
            <w:pPr>
              <w:spacing w:line="560" w:lineRule="exact"/>
              <w:rPr>
                <w:rFonts w:hint="eastAsia" w:ascii="宋体" w:hAnsi="宋体" w:cs="宋体"/>
                <w:color w:val="auto"/>
                <w:sz w:val="24"/>
                <w:highlight w:val="none"/>
              </w:rPr>
            </w:pPr>
          </w:p>
        </w:tc>
        <w:tc>
          <w:tcPr>
            <w:tcW w:w="8572" w:type="dxa"/>
            <w:noWrap w:val="0"/>
            <w:vAlign w:val="center"/>
          </w:tcPr>
          <w:p w14:paraId="20FEE514">
            <w:pPr>
              <w:spacing w:line="560" w:lineRule="exact"/>
              <w:rPr>
                <w:rFonts w:hint="eastAsia" w:ascii="宋体" w:hAnsi="宋体" w:cs="宋体"/>
                <w:color w:val="auto"/>
                <w:sz w:val="24"/>
                <w:highlight w:val="none"/>
              </w:rPr>
            </w:pPr>
          </w:p>
        </w:tc>
      </w:tr>
      <w:tr w14:paraId="24C2B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63C82243">
            <w:pPr>
              <w:spacing w:line="560" w:lineRule="exact"/>
              <w:rPr>
                <w:rFonts w:hint="eastAsia" w:ascii="宋体" w:hAnsi="宋体" w:cs="宋体"/>
                <w:color w:val="auto"/>
                <w:sz w:val="24"/>
                <w:highlight w:val="none"/>
              </w:rPr>
            </w:pPr>
          </w:p>
        </w:tc>
        <w:tc>
          <w:tcPr>
            <w:tcW w:w="8572" w:type="dxa"/>
            <w:noWrap w:val="0"/>
            <w:vAlign w:val="center"/>
          </w:tcPr>
          <w:p w14:paraId="61E2C48D">
            <w:pPr>
              <w:spacing w:line="560" w:lineRule="exact"/>
              <w:rPr>
                <w:rFonts w:hint="eastAsia" w:ascii="宋体" w:hAnsi="宋体" w:cs="宋体"/>
                <w:color w:val="auto"/>
                <w:sz w:val="24"/>
                <w:highlight w:val="none"/>
              </w:rPr>
            </w:pPr>
          </w:p>
        </w:tc>
      </w:tr>
      <w:tr w14:paraId="214F6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6A2B1509">
            <w:pPr>
              <w:spacing w:line="560" w:lineRule="exact"/>
              <w:rPr>
                <w:rFonts w:hint="eastAsia" w:ascii="宋体" w:hAnsi="宋体" w:cs="宋体"/>
                <w:color w:val="auto"/>
                <w:sz w:val="24"/>
                <w:highlight w:val="none"/>
              </w:rPr>
            </w:pPr>
          </w:p>
        </w:tc>
        <w:tc>
          <w:tcPr>
            <w:tcW w:w="8572" w:type="dxa"/>
            <w:noWrap w:val="0"/>
            <w:vAlign w:val="center"/>
          </w:tcPr>
          <w:p w14:paraId="7DDB66AB">
            <w:pPr>
              <w:spacing w:line="560" w:lineRule="exact"/>
              <w:rPr>
                <w:rFonts w:hint="eastAsia" w:ascii="宋体" w:hAnsi="宋体" w:cs="宋体"/>
                <w:color w:val="auto"/>
                <w:sz w:val="24"/>
                <w:highlight w:val="none"/>
                <w:u w:val="single"/>
              </w:rPr>
            </w:pPr>
          </w:p>
        </w:tc>
      </w:tr>
      <w:tr w14:paraId="4C1CB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08DEA46C">
            <w:pPr>
              <w:spacing w:line="560" w:lineRule="exact"/>
              <w:rPr>
                <w:rFonts w:hint="eastAsia" w:ascii="宋体" w:hAnsi="宋体" w:cs="宋体"/>
                <w:color w:val="auto"/>
                <w:sz w:val="24"/>
                <w:highlight w:val="none"/>
              </w:rPr>
            </w:pPr>
          </w:p>
        </w:tc>
        <w:tc>
          <w:tcPr>
            <w:tcW w:w="8572" w:type="dxa"/>
            <w:noWrap w:val="0"/>
            <w:vAlign w:val="center"/>
          </w:tcPr>
          <w:p w14:paraId="73C0DD57">
            <w:pPr>
              <w:spacing w:line="560" w:lineRule="exact"/>
              <w:rPr>
                <w:rFonts w:hint="eastAsia" w:ascii="宋体" w:hAnsi="宋体" w:cs="宋体"/>
                <w:color w:val="auto"/>
                <w:sz w:val="24"/>
                <w:highlight w:val="none"/>
              </w:rPr>
            </w:pPr>
          </w:p>
        </w:tc>
      </w:tr>
      <w:tr w14:paraId="7FDBB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1BD17428">
            <w:pPr>
              <w:spacing w:line="560" w:lineRule="exact"/>
              <w:rPr>
                <w:rFonts w:hint="eastAsia" w:ascii="宋体" w:hAnsi="宋体" w:cs="宋体"/>
                <w:color w:val="auto"/>
                <w:sz w:val="24"/>
                <w:highlight w:val="none"/>
              </w:rPr>
            </w:pPr>
          </w:p>
        </w:tc>
        <w:tc>
          <w:tcPr>
            <w:tcW w:w="8572" w:type="dxa"/>
            <w:noWrap w:val="0"/>
            <w:vAlign w:val="center"/>
          </w:tcPr>
          <w:p w14:paraId="12809F4F">
            <w:pPr>
              <w:spacing w:line="560" w:lineRule="exact"/>
              <w:rPr>
                <w:rFonts w:hint="eastAsia" w:ascii="宋体" w:hAnsi="宋体" w:cs="宋体"/>
                <w:color w:val="auto"/>
                <w:sz w:val="24"/>
                <w:highlight w:val="none"/>
                <w:u w:val="single"/>
              </w:rPr>
            </w:pPr>
          </w:p>
        </w:tc>
      </w:tr>
      <w:tr w14:paraId="1EB33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652B3674">
            <w:pPr>
              <w:spacing w:line="560" w:lineRule="exact"/>
              <w:rPr>
                <w:rFonts w:hint="eastAsia" w:ascii="宋体" w:hAnsi="宋体" w:cs="宋体"/>
                <w:color w:val="auto"/>
                <w:sz w:val="24"/>
                <w:highlight w:val="none"/>
              </w:rPr>
            </w:pPr>
          </w:p>
        </w:tc>
        <w:tc>
          <w:tcPr>
            <w:tcW w:w="8572" w:type="dxa"/>
            <w:noWrap w:val="0"/>
            <w:vAlign w:val="center"/>
          </w:tcPr>
          <w:p w14:paraId="737DE324">
            <w:pPr>
              <w:spacing w:line="560" w:lineRule="exact"/>
              <w:rPr>
                <w:rFonts w:hint="eastAsia" w:ascii="宋体" w:hAnsi="宋体" w:cs="宋体"/>
                <w:color w:val="auto"/>
                <w:sz w:val="24"/>
                <w:highlight w:val="none"/>
              </w:rPr>
            </w:pPr>
          </w:p>
        </w:tc>
      </w:tr>
      <w:tr w14:paraId="1DB64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172FE3BB">
            <w:pPr>
              <w:spacing w:line="560" w:lineRule="exact"/>
              <w:rPr>
                <w:rFonts w:hint="eastAsia" w:ascii="宋体" w:hAnsi="宋体" w:cs="宋体"/>
                <w:color w:val="auto"/>
                <w:sz w:val="24"/>
                <w:highlight w:val="none"/>
              </w:rPr>
            </w:pPr>
          </w:p>
        </w:tc>
        <w:tc>
          <w:tcPr>
            <w:tcW w:w="8572" w:type="dxa"/>
            <w:noWrap w:val="0"/>
            <w:vAlign w:val="center"/>
          </w:tcPr>
          <w:p w14:paraId="34791454">
            <w:pPr>
              <w:spacing w:line="560" w:lineRule="exact"/>
              <w:rPr>
                <w:rFonts w:hint="eastAsia" w:ascii="宋体" w:hAnsi="宋体" w:cs="宋体"/>
                <w:color w:val="auto"/>
                <w:sz w:val="24"/>
                <w:highlight w:val="none"/>
              </w:rPr>
            </w:pPr>
          </w:p>
        </w:tc>
      </w:tr>
      <w:tr w14:paraId="0416F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4B9FA557">
            <w:pPr>
              <w:spacing w:line="560" w:lineRule="exact"/>
              <w:rPr>
                <w:rFonts w:hint="eastAsia" w:ascii="宋体" w:hAnsi="宋体" w:cs="宋体"/>
                <w:color w:val="auto"/>
                <w:sz w:val="24"/>
                <w:highlight w:val="none"/>
              </w:rPr>
            </w:pPr>
          </w:p>
        </w:tc>
        <w:tc>
          <w:tcPr>
            <w:tcW w:w="8572" w:type="dxa"/>
            <w:noWrap w:val="0"/>
            <w:vAlign w:val="center"/>
          </w:tcPr>
          <w:p w14:paraId="2C176FE4">
            <w:pPr>
              <w:spacing w:line="560" w:lineRule="exact"/>
              <w:rPr>
                <w:rFonts w:hint="eastAsia" w:ascii="宋体" w:hAnsi="宋体" w:cs="宋体"/>
                <w:color w:val="auto"/>
                <w:sz w:val="24"/>
                <w:highlight w:val="none"/>
              </w:rPr>
            </w:pPr>
          </w:p>
        </w:tc>
      </w:tr>
      <w:tr w14:paraId="11B38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5C0943B7">
            <w:pPr>
              <w:spacing w:line="560" w:lineRule="exact"/>
              <w:rPr>
                <w:rFonts w:hint="eastAsia" w:ascii="宋体" w:hAnsi="宋体" w:cs="宋体"/>
                <w:color w:val="auto"/>
                <w:sz w:val="24"/>
                <w:highlight w:val="none"/>
              </w:rPr>
            </w:pPr>
          </w:p>
        </w:tc>
        <w:tc>
          <w:tcPr>
            <w:tcW w:w="8572" w:type="dxa"/>
            <w:noWrap w:val="0"/>
            <w:vAlign w:val="center"/>
          </w:tcPr>
          <w:p w14:paraId="25CE7616">
            <w:pPr>
              <w:spacing w:line="560" w:lineRule="exact"/>
              <w:rPr>
                <w:rFonts w:hint="eastAsia" w:ascii="宋体" w:hAnsi="宋体" w:cs="宋体"/>
                <w:color w:val="auto"/>
                <w:sz w:val="24"/>
                <w:highlight w:val="none"/>
              </w:rPr>
            </w:pPr>
          </w:p>
        </w:tc>
      </w:tr>
      <w:tr w14:paraId="1E90E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252836A7">
            <w:pPr>
              <w:spacing w:line="560" w:lineRule="exact"/>
              <w:rPr>
                <w:rFonts w:hint="eastAsia" w:ascii="宋体" w:hAnsi="宋体" w:cs="宋体"/>
                <w:color w:val="auto"/>
                <w:sz w:val="24"/>
                <w:highlight w:val="none"/>
              </w:rPr>
            </w:pPr>
          </w:p>
        </w:tc>
        <w:tc>
          <w:tcPr>
            <w:tcW w:w="8572" w:type="dxa"/>
            <w:noWrap w:val="0"/>
            <w:vAlign w:val="center"/>
          </w:tcPr>
          <w:p w14:paraId="3841A900">
            <w:pPr>
              <w:spacing w:line="560" w:lineRule="exact"/>
              <w:rPr>
                <w:rFonts w:hint="eastAsia" w:ascii="宋体" w:hAnsi="宋体" w:cs="宋体"/>
                <w:color w:val="auto"/>
                <w:sz w:val="24"/>
                <w:highlight w:val="none"/>
              </w:rPr>
            </w:pPr>
          </w:p>
        </w:tc>
      </w:tr>
    </w:tbl>
    <w:p w14:paraId="4098A651">
      <w:pPr>
        <w:spacing w:line="500" w:lineRule="exact"/>
        <w:ind w:left="425"/>
        <w:rPr>
          <w:rFonts w:hint="eastAsia" w:asciiTheme="minorEastAsia" w:hAnsiTheme="minorEastAsia" w:eastAsiaTheme="minorEastAsia" w:cstheme="minorEastAsia"/>
          <w:b/>
          <w:sz w:val="24"/>
          <w:szCs w:val="24"/>
          <w:u w:val="single"/>
        </w:rPr>
      </w:pPr>
    </w:p>
    <w:p w14:paraId="760462A4">
      <w:pPr>
        <w:pStyle w:val="68"/>
        <w:snapToGrid w:val="0"/>
        <w:spacing w:line="30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br w:type="page"/>
      </w:r>
    </w:p>
    <w:p w14:paraId="72BA6AFD">
      <w:pPr>
        <w:pStyle w:val="75"/>
        <w:numPr>
          <w:ilvl w:val="0"/>
          <w:numId w:val="5"/>
        </w:numPr>
        <w:snapToGrid w:val="0"/>
        <w:spacing w:line="440" w:lineRule="exact"/>
        <w:jc w:val="center"/>
        <w:outlineLvl w:val="0"/>
        <w:rPr>
          <w:rFonts w:hint="eastAsia" w:ascii="宋体" w:hAnsi="宋体" w:cs="宋体"/>
          <w:b/>
          <w:bCs/>
          <w:color w:val="auto"/>
          <w:sz w:val="32"/>
          <w:szCs w:val="32"/>
        </w:rPr>
      </w:pPr>
      <w:bookmarkStart w:id="341" w:name="_Toc31842"/>
      <w:bookmarkStart w:id="342" w:name="_Toc24687"/>
      <w:bookmarkStart w:id="343" w:name="_Toc23345"/>
      <w:bookmarkStart w:id="344" w:name="_Toc32202"/>
      <w:bookmarkStart w:id="345" w:name="_Toc9122"/>
      <w:bookmarkStart w:id="346" w:name="_Toc11710"/>
      <w:r>
        <w:rPr>
          <w:rFonts w:hint="eastAsia" w:ascii="宋体" w:hAnsi="宋体" w:cs="宋体"/>
          <w:b/>
          <w:bCs/>
          <w:color w:val="auto"/>
          <w:sz w:val="32"/>
          <w:szCs w:val="32"/>
        </w:rPr>
        <w:t>采购需求</w:t>
      </w:r>
      <w:bookmarkStart w:id="347" w:name="_Toc757"/>
      <w:r>
        <w:rPr>
          <w:rFonts w:hint="eastAsia" w:ascii="宋体" w:hAnsi="宋体" w:cs="宋体"/>
          <w:b/>
          <w:bCs/>
          <w:color w:val="auto"/>
          <w:sz w:val="32"/>
          <w:szCs w:val="32"/>
        </w:rPr>
        <w:t>及技术参数</w:t>
      </w:r>
      <w:bookmarkEnd w:id="341"/>
      <w:bookmarkEnd w:id="342"/>
      <w:bookmarkEnd w:id="343"/>
      <w:bookmarkEnd w:id="344"/>
    </w:p>
    <w:p w14:paraId="73DF6C76">
      <w:pPr>
        <w:pStyle w:val="10"/>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outlineLvl w:val="1"/>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一、项目概述：</w:t>
      </w:r>
    </w:p>
    <w:p w14:paraId="76E1C2AB">
      <w:pPr>
        <w:spacing w:line="50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lang w:eastAsia="zh-CN"/>
        </w:rPr>
        <w:t>阿瓦提县人民医院一批检验试剂采购项目</w:t>
      </w:r>
    </w:p>
    <w:p w14:paraId="45218CD1">
      <w:pPr>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预算金额（元）:</w:t>
      </w:r>
      <w:r>
        <w:rPr>
          <w:rFonts w:hint="eastAsia" w:asciiTheme="minorEastAsia" w:hAnsiTheme="minorEastAsia" w:eastAsiaTheme="minorEastAsia" w:cstheme="minorEastAsia"/>
          <w:sz w:val="24"/>
          <w:szCs w:val="24"/>
          <w:lang w:val="en-US" w:eastAsia="zh-CN"/>
        </w:rPr>
        <w:t>2063479.00元</w:t>
      </w:r>
    </w:p>
    <w:p w14:paraId="1C67904D">
      <w:pPr>
        <w:widowControl/>
        <w:spacing w:line="240" w:lineRule="auto"/>
        <w:jc w:val="both"/>
        <w:textAlignment w:val="center"/>
        <w:rPr>
          <w:rFonts w:hint="eastAsia" w:asciiTheme="minorEastAsia" w:hAnsiTheme="minorEastAsia" w:eastAsiaTheme="minorEastAsia" w:cstheme="minorEastAsia"/>
          <w:b/>
          <w:bCs w:val="0"/>
          <w:color w:val="000000"/>
          <w:sz w:val="28"/>
          <w:szCs w:val="28"/>
          <w:lang w:val="en-US" w:eastAsia="zh-CN"/>
        </w:rPr>
      </w:pPr>
      <w:r>
        <w:rPr>
          <w:rFonts w:hint="eastAsia" w:ascii="宋体" w:hAnsi="宋体" w:cs="宋体"/>
          <w:b/>
          <w:bCs/>
          <w:kern w:val="2"/>
          <w:sz w:val="28"/>
          <w:szCs w:val="28"/>
          <w:lang w:val="en-US" w:eastAsia="zh-CN" w:bidi="ar-SA"/>
        </w:rPr>
        <w:t>二、</w:t>
      </w:r>
      <w:r>
        <w:rPr>
          <w:rFonts w:hint="eastAsia" w:ascii="宋体" w:hAnsi="宋体" w:eastAsia="宋体" w:cs="宋体"/>
          <w:b/>
          <w:bCs/>
          <w:kern w:val="2"/>
          <w:sz w:val="28"/>
          <w:szCs w:val="28"/>
          <w:lang w:val="en-US" w:eastAsia="zh-CN" w:bidi="ar-SA"/>
        </w:rPr>
        <w:t>采购</w:t>
      </w:r>
      <w:r>
        <w:rPr>
          <w:rFonts w:hint="eastAsia" w:ascii="宋体" w:hAnsi="宋体" w:cs="宋体"/>
          <w:b/>
          <w:bCs/>
          <w:kern w:val="2"/>
          <w:sz w:val="28"/>
          <w:szCs w:val="28"/>
          <w:lang w:val="en-US" w:eastAsia="zh-CN" w:bidi="ar-SA"/>
        </w:rPr>
        <w:t>需求清单及技术参数规格</w:t>
      </w:r>
      <w:r>
        <w:rPr>
          <w:rFonts w:hint="eastAsia" w:ascii="宋体" w:hAnsi="宋体" w:eastAsia="宋体" w:cs="宋体"/>
          <w:b/>
          <w:bCs/>
          <w:kern w:val="2"/>
          <w:sz w:val="28"/>
          <w:szCs w:val="28"/>
          <w:lang w:val="en-US" w:eastAsia="zh-CN" w:bidi="ar-SA"/>
        </w:rPr>
        <w:t>：</w:t>
      </w:r>
    </w:p>
    <w:tbl>
      <w:tblPr>
        <w:tblStyle w:val="43"/>
        <w:tblpPr w:leftFromText="180" w:rightFromText="180" w:vertAnchor="text" w:horzAnchor="page" w:tblpXSpec="center" w:tblpY="638"/>
        <w:tblOverlap w:val="never"/>
        <w:tblW w:w="10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988"/>
        <w:gridCol w:w="2987"/>
        <w:gridCol w:w="757"/>
        <w:gridCol w:w="756"/>
        <w:gridCol w:w="1028"/>
        <w:gridCol w:w="2542"/>
      </w:tblGrid>
      <w:tr w14:paraId="0ADA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681" w:type="dxa"/>
            <w:noWrap w:val="0"/>
            <w:vAlign w:val="center"/>
          </w:tcPr>
          <w:p w14:paraId="5C30646C">
            <w:pPr>
              <w:pStyle w:val="13"/>
              <w:numPr>
                <w:ilvl w:val="0"/>
                <w:numId w:val="0"/>
              </w:numPr>
              <w:spacing w:line="360" w:lineRule="auto"/>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eastAsia="zh-CN"/>
              </w:rPr>
              <w:t>序号</w:t>
            </w:r>
          </w:p>
        </w:tc>
        <w:tc>
          <w:tcPr>
            <w:tcW w:w="1988" w:type="dxa"/>
            <w:noWrap w:val="0"/>
            <w:vAlign w:val="center"/>
          </w:tcPr>
          <w:p w14:paraId="7EBC4F93">
            <w:pPr>
              <w:pStyle w:val="13"/>
              <w:numPr>
                <w:ilvl w:val="0"/>
                <w:numId w:val="0"/>
              </w:numPr>
              <w:spacing w:line="360" w:lineRule="auto"/>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val="en-US" w:eastAsia="zh-CN"/>
              </w:rPr>
              <w:t>名称</w:t>
            </w:r>
          </w:p>
        </w:tc>
        <w:tc>
          <w:tcPr>
            <w:tcW w:w="2987" w:type="dxa"/>
            <w:noWrap w:val="0"/>
            <w:vAlign w:val="center"/>
          </w:tcPr>
          <w:p w14:paraId="5927ED2D">
            <w:pPr>
              <w:pStyle w:val="13"/>
              <w:numPr>
                <w:ilvl w:val="0"/>
                <w:numId w:val="0"/>
              </w:numPr>
              <w:spacing w:line="360" w:lineRule="auto"/>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val="en-US" w:eastAsia="zh-CN"/>
              </w:rPr>
              <w:t>规格</w:t>
            </w:r>
          </w:p>
        </w:tc>
        <w:tc>
          <w:tcPr>
            <w:tcW w:w="757" w:type="dxa"/>
            <w:noWrap w:val="0"/>
            <w:vAlign w:val="center"/>
          </w:tcPr>
          <w:p w14:paraId="7CF46FA2">
            <w:pPr>
              <w:pStyle w:val="13"/>
              <w:numPr>
                <w:ilvl w:val="0"/>
                <w:numId w:val="0"/>
              </w:numPr>
              <w:spacing w:line="360" w:lineRule="auto"/>
              <w:jc w:val="center"/>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lang w:val="en-US" w:eastAsia="zh-CN"/>
              </w:rPr>
              <w:t>数量</w:t>
            </w:r>
          </w:p>
        </w:tc>
        <w:tc>
          <w:tcPr>
            <w:tcW w:w="756" w:type="dxa"/>
            <w:noWrap w:val="0"/>
            <w:vAlign w:val="center"/>
          </w:tcPr>
          <w:p w14:paraId="673E9495">
            <w:pPr>
              <w:pStyle w:val="13"/>
              <w:numPr>
                <w:ilvl w:val="0"/>
                <w:numId w:val="0"/>
              </w:numPr>
              <w:spacing w:line="360" w:lineRule="auto"/>
              <w:ind w:left="0" w:leftChars="0" w:firstLine="0" w:firstLineChars="0"/>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单位</w:t>
            </w:r>
          </w:p>
        </w:tc>
        <w:tc>
          <w:tcPr>
            <w:tcW w:w="1028" w:type="dxa"/>
            <w:noWrap w:val="0"/>
            <w:vAlign w:val="center"/>
          </w:tcPr>
          <w:p w14:paraId="7D0B2549">
            <w:pPr>
              <w:pStyle w:val="13"/>
              <w:numPr>
                <w:ilvl w:val="0"/>
                <w:numId w:val="0"/>
              </w:numPr>
              <w:spacing w:line="360" w:lineRule="auto"/>
              <w:ind w:left="0" w:leftChars="0" w:firstLine="0" w:firstLineChars="0"/>
              <w:jc w:val="center"/>
              <w:rPr>
                <w:rFonts w:hint="default"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最高单价限价（元）</w:t>
            </w:r>
          </w:p>
        </w:tc>
        <w:tc>
          <w:tcPr>
            <w:tcW w:w="2542" w:type="dxa"/>
            <w:noWrap w:val="0"/>
            <w:vAlign w:val="center"/>
          </w:tcPr>
          <w:p w14:paraId="1FD9228E">
            <w:pPr>
              <w:pStyle w:val="13"/>
              <w:numPr>
                <w:ilvl w:val="0"/>
                <w:numId w:val="0"/>
              </w:numPr>
              <w:spacing w:line="360" w:lineRule="auto"/>
              <w:jc w:val="center"/>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eastAsiaTheme="minorEastAsia" w:cstheme="minorEastAsia"/>
                <w:b/>
                <w:bCs/>
                <w:sz w:val="24"/>
                <w:szCs w:val="24"/>
                <w:vertAlign w:val="baseline"/>
                <w:lang w:val="en-US" w:eastAsia="zh-CN"/>
              </w:rPr>
              <w:t>适配机型</w:t>
            </w:r>
          </w:p>
        </w:tc>
      </w:tr>
      <w:tr w14:paraId="6DAB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26829BD2">
            <w:pPr>
              <w:pStyle w:val="13"/>
              <w:numPr>
                <w:ilvl w:val="0"/>
                <w:numId w:val="0"/>
              </w:num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vertAlign w:val="baseline"/>
                <w:lang w:val="en-US" w:eastAsia="zh-CN"/>
              </w:rPr>
              <w:t>1</w:t>
            </w:r>
          </w:p>
        </w:tc>
        <w:tc>
          <w:tcPr>
            <w:tcW w:w="1988" w:type="dxa"/>
            <w:noWrap w:val="0"/>
            <w:vAlign w:val="center"/>
          </w:tcPr>
          <w:p w14:paraId="7608D2F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非发酵菌检测试剂盒</w:t>
            </w:r>
          </w:p>
        </w:tc>
        <w:tc>
          <w:tcPr>
            <w:tcW w:w="2987" w:type="dxa"/>
            <w:noWrap w:val="0"/>
            <w:vAlign w:val="center"/>
          </w:tcPr>
          <w:p w14:paraId="1982DB1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color w:val="auto"/>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10测试/盒</w:t>
            </w:r>
          </w:p>
        </w:tc>
        <w:tc>
          <w:tcPr>
            <w:tcW w:w="757" w:type="dxa"/>
            <w:noWrap w:val="0"/>
            <w:vAlign w:val="center"/>
          </w:tcPr>
          <w:p w14:paraId="4E465BE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756" w:type="dxa"/>
            <w:noWrap w:val="0"/>
            <w:vAlign w:val="center"/>
          </w:tcPr>
          <w:p w14:paraId="3C39E46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429ABC7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591</w:t>
            </w:r>
          </w:p>
        </w:tc>
        <w:tc>
          <w:tcPr>
            <w:tcW w:w="2542" w:type="dxa"/>
            <w:noWrap w:val="0"/>
            <w:vAlign w:val="center"/>
          </w:tcPr>
          <w:p w14:paraId="395F995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全自动微生物鉴定药敏分析仪AF-600</w:t>
            </w:r>
          </w:p>
        </w:tc>
      </w:tr>
      <w:tr w14:paraId="5940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64B6A8A">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2</w:t>
            </w:r>
          </w:p>
        </w:tc>
        <w:tc>
          <w:tcPr>
            <w:tcW w:w="1988" w:type="dxa"/>
            <w:noWrap w:val="0"/>
            <w:vAlign w:val="center"/>
          </w:tcPr>
          <w:p w14:paraId="063ADA9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肠杆菌科细菌检测试剂盒</w:t>
            </w:r>
          </w:p>
        </w:tc>
        <w:tc>
          <w:tcPr>
            <w:tcW w:w="2987" w:type="dxa"/>
            <w:noWrap w:val="0"/>
            <w:vAlign w:val="center"/>
          </w:tcPr>
          <w:p w14:paraId="015ED6A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10测试/盒</w:t>
            </w:r>
          </w:p>
        </w:tc>
        <w:tc>
          <w:tcPr>
            <w:tcW w:w="757" w:type="dxa"/>
            <w:noWrap w:val="0"/>
            <w:vAlign w:val="center"/>
          </w:tcPr>
          <w:p w14:paraId="2C82872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250</w:t>
            </w:r>
          </w:p>
        </w:tc>
        <w:tc>
          <w:tcPr>
            <w:tcW w:w="756" w:type="dxa"/>
            <w:noWrap w:val="0"/>
            <w:vAlign w:val="center"/>
          </w:tcPr>
          <w:p w14:paraId="26FF070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175F4D7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560</w:t>
            </w:r>
          </w:p>
        </w:tc>
        <w:tc>
          <w:tcPr>
            <w:tcW w:w="2542" w:type="dxa"/>
            <w:noWrap w:val="0"/>
            <w:vAlign w:val="center"/>
          </w:tcPr>
          <w:p w14:paraId="41B54F4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全自动微生物鉴定药敏分析仪AF-600</w:t>
            </w:r>
          </w:p>
        </w:tc>
      </w:tr>
      <w:tr w14:paraId="29C7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75249272">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3</w:t>
            </w:r>
          </w:p>
        </w:tc>
        <w:tc>
          <w:tcPr>
            <w:tcW w:w="1988" w:type="dxa"/>
            <w:noWrap w:val="0"/>
            <w:vAlign w:val="center"/>
          </w:tcPr>
          <w:p w14:paraId="4E54834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葡萄球菌检测试剂盒</w:t>
            </w:r>
          </w:p>
        </w:tc>
        <w:tc>
          <w:tcPr>
            <w:tcW w:w="2987" w:type="dxa"/>
            <w:noWrap w:val="0"/>
            <w:vAlign w:val="center"/>
          </w:tcPr>
          <w:p w14:paraId="55D2DC6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10测试/盒</w:t>
            </w:r>
          </w:p>
        </w:tc>
        <w:tc>
          <w:tcPr>
            <w:tcW w:w="757" w:type="dxa"/>
            <w:noWrap w:val="0"/>
            <w:vAlign w:val="center"/>
          </w:tcPr>
          <w:p w14:paraId="33D0ADE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756" w:type="dxa"/>
            <w:noWrap w:val="0"/>
            <w:vAlign w:val="center"/>
          </w:tcPr>
          <w:p w14:paraId="4BFA7A5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23E444C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560</w:t>
            </w:r>
          </w:p>
        </w:tc>
        <w:tc>
          <w:tcPr>
            <w:tcW w:w="2542" w:type="dxa"/>
            <w:noWrap w:val="0"/>
            <w:vAlign w:val="center"/>
          </w:tcPr>
          <w:p w14:paraId="64F897D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全自动微生物鉴定药敏分析仪AF-600</w:t>
            </w:r>
          </w:p>
        </w:tc>
      </w:tr>
      <w:tr w14:paraId="2FDA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087CDA3C">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4</w:t>
            </w:r>
          </w:p>
        </w:tc>
        <w:tc>
          <w:tcPr>
            <w:tcW w:w="1988" w:type="dxa"/>
            <w:noWrap w:val="0"/>
            <w:vAlign w:val="center"/>
          </w:tcPr>
          <w:p w14:paraId="4ED19E1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血细胞分析用稀释液</w:t>
            </w:r>
          </w:p>
        </w:tc>
        <w:tc>
          <w:tcPr>
            <w:tcW w:w="2987" w:type="dxa"/>
            <w:noWrap w:val="0"/>
            <w:vAlign w:val="center"/>
          </w:tcPr>
          <w:p w14:paraId="452520A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20L×1</w:t>
            </w:r>
          </w:p>
        </w:tc>
        <w:tc>
          <w:tcPr>
            <w:tcW w:w="757" w:type="dxa"/>
            <w:noWrap w:val="0"/>
            <w:vAlign w:val="center"/>
          </w:tcPr>
          <w:p w14:paraId="2FEBEDF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400</w:t>
            </w:r>
          </w:p>
        </w:tc>
        <w:tc>
          <w:tcPr>
            <w:tcW w:w="756" w:type="dxa"/>
            <w:noWrap w:val="0"/>
            <w:vAlign w:val="center"/>
          </w:tcPr>
          <w:p w14:paraId="2568A9B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38D0E46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225</w:t>
            </w:r>
          </w:p>
        </w:tc>
        <w:tc>
          <w:tcPr>
            <w:tcW w:w="2542" w:type="dxa"/>
            <w:noWrap w:val="0"/>
            <w:vAlign w:val="center"/>
          </w:tcPr>
          <w:p w14:paraId="79AC1DB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迈瑞BC-6800/BC-7500全自动血细胞分析仪、迈瑞CAL8000全自动血液分析流水线</w:t>
            </w:r>
          </w:p>
        </w:tc>
      </w:tr>
      <w:tr w14:paraId="7D8C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4B353717">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5</w:t>
            </w:r>
          </w:p>
        </w:tc>
        <w:tc>
          <w:tcPr>
            <w:tcW w:w="1988" w:type="dxa"/>
            <w:noWrap w:val="0"/>
            <w:vAlign w:val="center"/>
          </w:tcPr>
          <w:p w14:paraId="79F5E2A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促卵泡生成素校准品</w:t>
            </w:r>
          </w:p>
        </w:tc>
        <w:tc>
          <w:tcPr>
            <w:tcW w:w="2987" w:type="dxa"/>
            <w:noWrap w:val="0"/>
            <w:vAlign w:val="center"/>
          </w:tcPr>
          <w:p w14:paraId="5CFF3F7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3瓶;C0:1×2.0mL,C1:1×2.0mL,C2:1×2.0mL</w:t>
            </w:r>
          </w:p>
        </w:tc>
        <w:tc>
          <w:tcPr>
            <w:tcW w:w="757" w:type="dxa"/>
            <w:noWrap w:val="0"/>
            <w:vAlign w:val="center"/>
          </w:tcPr>
          <w:p w14:paraId="7AF290D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56" w:type="dxa"/>
            <w:noWrap w:val="0"/>
            <w:vAlign w:val="center"/>
          </w:tcPr>
          <w:p w14:paraId="31A2A3D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3A98A92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782</w:t>
            </w:r>
          </w:p>
        </w:tc>
        <w:tc>
          <w:tcPr>
            <w:tcW w:w="2542" w:type="dxa"/>
            <w:noWrap w:val="0"/>
            <w:vAlign w:val="center"/>
          </w:tcPr>
          <w:p w14:paraId="383370D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5650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6F38DE94">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6</w:t>
            </w:r>
          </w:p>
        </w:tc>
        <w:tc>
          <w:tcPr>
            <w:tcW w:w="1988" w:type="dxa"/>
            <w:noWrap w:val="0"/>
            <w:vAlign w:val="center"/>
          </w:tcPr>
          <w:p w14:paraId="0B7EF33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促黄体生成素校准品</w:t>
            </w:r>
          </w:p>
        </w:tc>
        <w:tc>
          <w:tcPr>
            <w:tcW w:w="2987" w:type="dxa"/>
            <w:noWrap w:val="0"/>
            <w:vAlign w:val="center"/>
          </w:tcPr>
          <w:p w14:paraId="581B4BD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3瓶;C0:1×2.0 mL,C1:1×2.0mL,C2:1×2.0mL</w:t>
            </w:r>
          </w:p>
        </w:tc>
        <w:tc>
          <w:tcPr>
            <w:tcW w:w="757" w:type="dxa"/>
            <w:noWrap w:val="0"/>
            <w:vAlign w:val="center"/>
          </w:tcPr>
          <w:p w14:paraId="716D757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56" w:type="dxa"/>
            <w:noWrap w:val="0"/>
            <w:vAlign w:val="center"/>
          </w:tcPr>
          <w:p w14:paraId="27ADCAA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103F899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882</w:t>
            </w:r>
          </w:p>
        </w:tc>
        <w:tc>
          <w:tcPr>
            <w:tcW w:w="2542" w:type="dxa"/>
            <w:noWrap w:val="0"/>
            <w:vAlign w:val="center"/>
          </w:tcPr>
          <w:p w14:paraId="09F31DB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78AD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24BDAD61">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val="en-US" w:eastAsia="zh-CN"/>
              </w:rPr>
              <w:t>7</w:t>
            </w:r>
          </w:p>
        </w:tc>
        <w:tc>
          <w:tcPr>
            <w:tcW w:w="1988" w:type="dxa"/>
            <w:noWrap w:val="0"/>
            <w:vAlign w:val="center"/>
          </w:tcPr>
          <w:p w14:paraId="3C54292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垂体泌乳素(PRL)校准品(化学发光免疫分析法)</w:t>
            </w:r>
          </w:p>
        </w:tc>
        <w:tc>
          <w:tcPr>
            <w:tcW w:w="2987" w:type="dxa"/>
            <w:noWrap w:val="0"/>
            <w:vAlign w:val="center"/>
          </w:tcPr>
          <w:p w14:paraId="4E53C2A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3瓶;C0:1×2.0 mL,C1:1×2.0mL,C2:1×2.0mL</w:t>
            </w:r>
          </w:p>
        </w:tc>
        <w:tc>
          <w:tcPr>
            <w:tcW w:w="757" w:type="dxa"/>
            <w:noWrap w:val="0"/>
            <w:vAlign w:val="center"/>
          </w:tcPr>
          <w:p w14:paraId="304E29C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56" w:type="dxa"/>
            <w:noWrap w:val="0"/>
            <w:vAlign w:val="center"/>
          </w:tcPr>
          <w:p w14:paraId="2E38A92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3495EFA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882</w:t>
            </w:r>
          </w:p>
        </w:tc>
        <w:tc>
          <w:tcPr>
            <w:tcW w:w="2542" w:type="dxa"/>
            <w:noWrap w:val="0"/>
            <w:vAlign w:val="center"/>
          </w:tcPr>
          <w:p w14:paraId="09CE88E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5A85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4B3E10D1">
            <w:pPr>
              <w:pStyle w:val="13"/>
              <w:widowControl w:val="0"/>
              <w:numPr>
                <w:ilvl w:val="0"/>
                <w:numId w:val="0"/>
              </w:numPr>
              <w:spacing w:before="120"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w:t>
            </w:r>
          </w:p>
        </w:tc>
        <w:tc>
          <w:tcPr>
            <w:tcW w:w="1988" w:type="dxa"/>
            <w:noWrap w:val="0"/>
            <w:vAlign w:val="center"/>
          </w:tcPr>
          <w:p w14:paraId="077B4F5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睾酮校准品</w:t>
            </w:r>
          </w:p>
        </w:tc>
        <w:tc>
          <w:tcPr>
            <w:tcW w:w="2987" w:type="dxa"/>
            <w:noWrap w:val="0"/>
            <w:vAlign w:val="center"/>
          </w:tcPr>
          <w:p w14:paraId="6C2EF1B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3瓶;C0:1×2.0 mL,C1:1×2.0mL,C2:1×2.0mL</w:t>
            </w:r>
          </w:p>
        </w:tc>
        <w:tc>
          <w:tcPr>
            <w:tcW w:w="757" w:type="dxa"/>
            <w:noWrap w:val="0"/>
            <w:vAlign w:val="center"/>
          </w:tcPr>
          <w:p w14:paraId="4DD5648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56" w:type="dxa"/>
            <w:noWrap w:val="0"/>
            <w:vAlign w:val="center"/>
          </w:tcPr>
          <w:p w14:paraId="6187352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68B659E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650</w:t>
            </w:r>
          </w:p>
        </w:tc>
        <w:tc>
          <w:tcPr>
            <w:tcW w:w="2542" w:type="dxa"/>
            <w:noWrap w:val="0"/>
            <w:vAlign w:val="center"/>
          </w:tcPr>
          <w:p w14:paraId="45918E2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5BC9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1510DDC5">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w:t>
            </w:r>
          </w:p>
        </w:tc>
        <w:tc>
          <w:tcPr>
            <w:tcW w:w="1988" w:type="dxa"/>
            <w:noWrap w:val="0"/>
            <w:vAlign w:val="center"/>
          </w:tcPr>
          <w:p w14:paraId="7DC6633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孕酮校准品</w:t>
            </w:r>
          </w:p>
        </w:tc>
        <w:tc>
          <w:tcPr>
            <w:tcW w:w="2987" w:type="dxa"/>
            <w:noWrap w:val="0"/>
            <w:vAlign w:val="center"/>
          </w:tcPr>
          <w:p w14:paraId="4E190C9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3瓶;C0:1×2.0 mL,C1:1×2.0mL,C2:1×2.0mL</w:t>
            </w:r>
          </w:p>
        </w:tc>
        <w:tc>
          <w:tcPr>
            <w:tcW w:w="757" w:type="dxa"/>
            <w:noWrap w:val="0"/>
            <w:vAlign w:val="center"/>
          </w:tcPr>
          <w:p w14:paraId="36C32F2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56" w:type="dxa"/>
            <w:noWrap w:val="0"/>
            <w:vAlign w:val="center"/>
          </w:tcPr>
          <w:p w14:paraId="39015A2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5449432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650</w:t>
            </w:r>
          </w:p>
        </w:tc>
        <w:tc>
          <w:tcPr>
            <w:tcW w:w="2542" w:type="dxa"/>
            <w:noWrap w:val="0"/>
            <w:vAlign w:val="center"/>
          </w:tcPr>
          <w:p w14:paraId="47370BC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7E19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3D78DBD">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w:t>
            </w:r>
          </w:p>
        </w:tc>
        <w:tc>
          <w:tcPr>
            <w:tcW w:w="1988" w:type="dxa"/>
            <w:noWrap w:val="0"/>
            <w:vAlign w:val="center"/>
          </w:tcPr>
          <w:p w14:paraId="23368D6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雌二醇校准品</w:t>
            </w:r>
          </w:p>
        </w:tc>
        <w:tc>
          <w:tcPr>
            <w:tcW w:w="2987" w:type="dxa"/>
            <w:noWrap w:val="0"/>
            <w:vAlign w:val="center"/>
          </w:tcPr>
          <w:p w14:paraId="334B4C9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3瓶;C0:1×2.0 mL,C1:1×2.0mL,C2:1×2.0mL</w:t>
            </w:r>
          </w:p>
        </w:tc>
        <w:tc>
          <w:tcPr>
            <w:tcW w:w="757" w:type="dxa"/>
            <w:noWrap w:val="0"/>
            <w:vAlign w:val="center"/>
          </w:tcPr>
          <w:p w14:paraId="7BBCFCF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56" w:type="dxa"/>
            <w:noWrap w:val="0"/>
            <w:vAlign w:val="center"/>
          </w:tcPr>
          <w:p w14:paraId="16C665B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1FD606A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650</w:t>
            </w:r>
          </w:p>
        </w:tc>
        <w:tc>
          <w:tcPr>
            <w:tcW w:w="2542" w:type="dxa"/>
            <w:noWrap w:val="0"/>
            <w:vAlign w:val="center"/>
          </w:tcPr>
          <w:p w14:paraId="79198A1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695E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13EFB7D9">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w:t>
            </w:r>
          </w:p>
        </w:tc>
        <w:tc>
          <w:tcPr>
            <w:tcW w:w="1988" w:type="dxa"/>
            <w:noWrap w:val="0"/>
            <w:vAlign w:val="center"/>
          </w:tcPr>
          <w:p w14:paraId="74101A0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维生素B12（VB12）测定试剂盒（化学发光免疫分析法）</w:t>
            </w:r>
          </w:p>
        </w:tc>
        <w:tc>
          <w:tcPr>
            <w:tcW w:w="2987" w:type="dxa"/>
            <w:noWrap w:val="0"/>
            <w:vAlign w:val="center"/>
          </w:tcPr>
          <w:p w14:paraId="1B5B73D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2×50人份</w:t>
            </w:r>
          </w:p>
        </w:tc>
        <w:tc>
          <w:tcPr>
            <w:tcW w:w="757" w:type="dxa"/>
            <w:noWrap w:val="0"/>
            <w:vAlign w:val="center"/>
          </w:tcPr>
          <w:p w14:paraId="0DF2FE2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756" w:type="dxa"/>
            <w:noWrap w:val="0"/>
            <w:vAlign w:val="center"/>
          </w:tcPr>
          <w:p w14:paraId="4F5AC99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745FB9E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1520</w:t>
            </w:r>
          </w:p>
        </w:tc>
        <w:tc>
          <w:tcPr>
            <w:tcW w:w="2542" w:type="dxa"/>
            <w:noWrap w:val="0"/>
            <w:vAlign w:val="center"/>
          </w:tcPr>
          <w:p w14:paraId="4903B60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407A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5794C3D2">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12</w:t>
            </w:r>
          </w:p>
        </w:tc>
        <w:tc>
          <w:tcPr>
            <w:tcW w:w="1988" w:type="dxa"/>
            <w:noWrap w:val="0"/>
            <w:vAlign w:val="center"/>
          </w:tcPr>
          <w:p w14:paraId="26F8F52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凝血质控品</w:t>
            </w:r>
          </w:p>
        </w:tc>
        <w:tc>
          <w:tcPr>
            <w:tcW w:w="2987" w:type="dxa"/>
            <w:noWrap w:val="0"/>
            <w:vAlign w:val="center"/>
          </w:tcPr>
          <w:p w14:paraId="18C6E7A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1*1mL</w:t>
            </w:r>
          </w:p>
        </w:tc>
        <w:tc>
          <w:tcPr>
            <w:tcW w:w="757" w:type="dxa"/>
            <w:noWrap w:val="0"/>
            <w:vAlign w:val="center"/>
          </w:tcPr>
          <w:p w14:paraId="5B11193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756" w:type="dxa"/>
            <w:noWrap w:val="0"/>
            <w:vAlign w:val="center"/>
          </w:tcPr>
          <w:p w14:paraId="4942902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65061B4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215</w:t>
            </w:r>
          </w:p>
        </w:tc>
        <w:tc>
          <w:tcPr>
            <w:tcW w:w="2542" w:type="dxa"/>
            <w:noWrap w:val="0"/>
            <w:vAlign w:val="center"/>
          </w:tcPr>
          <w:p w14:paraId="7F7DCAA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全自动凝血分析仪RAC-2800</w:t>
            </w:r>
          </w:p>
        </w:tc>
      </w:tr>
      <w:tr w14:paraId="3E30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2E126DA2">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13</w:t>
            </w:r>
          </w:p>
        </w:tc>
        <w:tc>
          <w:tcPr>
            <w:tcW w:w="1988" w:type="dxa"/>
            <w:noWrap w:val="0"/>
            <w:vAlign w:val="center"/>
          </w:tcPr>
          <w:p w14:paraId="798FA64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D-二聚体测定试剂（胶乳增强免疫比浊法）质控品</w:t>
            </w:r>
          </w:p>
        </w:tc>
        <w:tc>
          <w:tcPr>
            <w:tcW w:w="2987" w:type="dxa"/>
            <w:noWrap w:val="0"/>
            <w:vAlign w:val="center"/>
          </w:tcPr>
          <w:p w14:paraId="717C098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1*1mL</w:t>
            </w:r>
          </w:p>
        </w:tc>
        <w:tc>
          <w:tcPr>
            <w:tcW w:w="757" w:type="dxa"/>
            <w:noWrap w:val="0"/>
            <w:vAlign w:val="center"/>
          </w:tcPr>
          <w:p w14:paraId="1B221B0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756" w:type="dxa"/>
            <w:noWrap w:val="0"/>
            <w:vAlign w:val="center"/>
          </w:tcPr>
          <w:p w14:paraId="7ADFF06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4E1EFD9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294</w:t>
            </w:r>
          </w:p>
        </w:tc>
        <w:tc>
          <w:tcPr>
            <w:tcW w:w="2542" w:type="dxa"/>
            <w:noWrap w:val="0"/>
            <w:vAlign w:val="center"/>
          </w:tcPr>
          <w:p w14:paraId="70527C4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全自动凝血分析仪RAC-2800</w:t>
            </w:r>
          </w:p>
        </w:tc>
      </w:tr>
      <w:tr w14:paraId="43D6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4FFC0505">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14</w:t>
            </w:r>
          </w:p>
        </w:tc>
        <w:tc>
          <w:tcPr>
            <w:tcW w:w="1988" w:type="dxa"/>
            <w:noWrap w:val="0"/>
            <w:vAlign w:val="center"/>
          </w:tcPr>
          <w:p w14:paraId="398D3A3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探头清洁液</w:t>
            </w:r>
          </w:p>
        </w:tc>
        <w:tc>
          <w:tcPr>
            <w:tcW w:w="2987" w:type="dxa"/>
            <w:noWrap w:val="0"/>
            <w:vAlign w:val="center"/>
          </w:tcPr>
          <w:p w14:paraId="65C49F3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50ml/瓶</w:t>
            </w:r>
          </w:p>
        </w:tc>
        <w:tc>
          <w:tcPr>
            <w:tcW w:w="757" w:type="dxa"/>
            <w:noWrap w:val="0"/>
            <w:vAlign w:val="center"/>
          </w:tcPr>
          <w:p w14:paraId="545A14A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300</w:t>
            </w:r>
          </w:p>
        </w:tc>
        <w:tc>
          <w:tcPr>
            <w:tcW w:w="756" w:type="dxa"/>
            <w:noWrap w:val="0"/>
            <w:vAlign w:val="center"/>
          </w:tcPr>
          <w:p w14:paraId="0B52EDD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028" w:type="dxa"/>
            <w:noWrap w:val="0"/>
            <w:vAlign w:val="center"/>
          </w:tcPr>
          <w:p w14:paraId="321F3BE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75</w:t>
            </w:r>
          </w:p>
        </w:tc>
        <w:tc>
          <w:tcPr>
            <w:tcW w:w="2542" w:type="dxa"/>
            <w:noWrap w:val="0"/>
            <w:vAlign w:val="center"/>
          </w:tcPr>
          <w:p w14:paraId="1371166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迈瑞CL-8000全自动化学发光免疫分析、迈瑞BC-2800M全自动生化分析仪、迈瑞BC-6800/BC-7500全自动血细胞分析仪、迈瑞CAL8000全自动血液分析流水线,BC-6800PLUS</w:t>
            </w:r>
          </w:p>
        </w:tc>
      </w:tr>
      <w:tr w14:paraId="50E8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1E650BA1">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15</w:t>
            </w:r>
          </w:p>
        </w:tc>
        <w:tc>
          <w:tcPr>
            <w:tcW w:w="1988" w:type="dxa"/>
            <w:noWrap w:val="0"/>
            <w:vAlign w:val="center"/>
          </w:tcPr>
          <w:p w14:paraId="0B97B0D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生化分析仪用清洗液（CD80）</w:t>
            </w:r>
          </w:p>
        </w:tc>
        <w:tc>
          <w:tcPr>
            <w:tcW w:w="2987" w:type="dxa"/>
            <w:noWrap w:val="0"/>
            <w:vAlign w:val="center"/>
          </w:tcPr>
          <w:p w14:paraId="739C025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2L*6瓶/箱</w:t>
            </w:r>
          </w:p>
        </w:tc>
        <w:tc>
          <w:tcPr>
            <w:tcW w:w="757" w:type="dxa"/>
            <w:noWrap w:val="0"/>
            <w:vAlign w:val="center"/>
          </w:tcPr>
          <w:p w14:paraId="55424B5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90</w:t>
            </w:r>
          </w:p>
        </w:tc>
        <w:tc>
          <w:tcPr>
            <w:tcW w:w="756" w:type="dxa"/>
            <w:noWrap w:val="0"/>
            <w:vAlign w:val="center"/>
          </w:tcPr>
          <w:p w14:paraId="2293395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箱</w:t>
            </w:r>
          </w:p>
        </w:tc>
        <w:tc>
          <w:tcPr>
            <w:tcW w:w="1028" w:type="dxa"/>
            <w:noWrap w:val="0"/>
            <w:vAlign w:val="center"/>
          </w:tcPr>
          <w:p w14:paraId="4509972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1680</w:t>
            </w:r>
          </w:p>
        </w:tc>
        <w:tc>
          <w:tcPr>
            <w:tcW w:w="2542" w:type="dxa"/>
            <w:noWrap w:val="0"/>
            <w:vAlign w:val="center"/>
          </w:tcPr>
          <w:p w14:paraId="3961859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772B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0FA845CA">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16</w:t>
            </w:r>
          </w:p>
        </w:tc>
        <w:tc>
          <w:tcPr>
            <w:tcW w:w="1988" w:type="dxa"/>
            <w:noWrap w:val="0"/>
            <w:vAlign w:val="center"/>
          </w:tcPr>
          <w:p w14:paraId="67BA3CA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免疫反应杯</w:t>
            </w:r>
          </w:p>
        </w:tc>
        <w:tc>
          <w:tcPr>
            <w:tcW w:w="2987" w:type="dxa"/>
            <w:noWrap w:val="0"/>
            <w:vAlign w:val="center"/>
          </w:tcPr>
          <w:p w14:paraId="55865DB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126个x24盒/箱</w:t>
            </w:r>
          </w:p>
        </w:tc>
        <w:tc>
          <w:tcPr>
            <w:tcW w:w="757" w:type="dxa"/>
            <w:noWrap w:val="0"/>
            <w:vAlign w:val="center"/>
          </w:tcPr>
          <w:p w14:paraId="6B5B35E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120</w:t>
            </w:r>
          </w:p>
        </w:tc>
        <w:tc>
          <w:tcPr>
            <w:tcW w:w="756" w:type="dxa"/>
            <w:noWrap w:val="0"/>
            <w:vAlign w:val="center"/>
          </w:tcPr>
          <w:p w14:paraId="108F2A3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箱</w:t>
            </w:r>
          </w:p>
        </w:tc>
        <w:tc>
          <w:tcPr>
            <w:tcW w:w="1028" w:type="dxa"/>
            <w:noWrap w:val="0"/>
            <w:vAlign w:val="center"/>
          </w:tcPr>
          <w:p w14:paraId="4B8EAA4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1520</w:t>
            </w:r>
          </w:p>
        </w:tc>
        <w:tc>
          <w:tcPr>
            <w:tcW w:w="2542" w:type="dxa"/>
            <w:noWrap w:val="0"/>
            <w:vAlign w:val="center"/>
          </w:tcPr>
          <w:p w14:paraId="3590C2E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1D61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274586C1">
            <w:pPr>
              <w:pStyle w:val="13"/>
              <w:numPr>
                <w:ilvl w:val="0"/>
                <w:numId w:val="0"/>
              </w:num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vertAlign w:val="baseline"/>
                <w:lang w:val="en-US" w:eastAsia="zh-CN"/>
              </w:rPr>
              <w:t>17</w:t>
            </w:r>
          </w:p>
        </w:tc>
        <w:tc>
          <w:tcPr>
            <w:tcW w:w="1988" w:type="dxa"/>
            <w:noWrap w:val="0"/>
            <w:vAlign w:val="center"/>
          </w:tcPr>
          <w:p w14:paraId="5AE75ED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生化免疫分析仪用清洗液B</w:t>
            </w:r>
          </w:p>
        </w:tc>
        <w:tc>
          <w:tcPr>
            <w:tcW w:w="2987" w:type="dxa"/>
            <w:noWrap w:val="0"/>
            <w:vAlign w:val="center"/>
          </w:tcPr>
          <w:p w14:paraId="6CFAA2B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6×55ml</w:t>
            </w:r>
          </w:p>
        </w:tc>
        <w:tc>
          <w:tcPr>
            <w:tcW w:w="757" w:type="dxa"/>
            <w:noWrap w:val="0"/>
            <w:vAlign w:val="center"/>
          </w:tcPr>
          <w:p w14:paraId="7510AED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756" w:type="dxa"/>
            <w:noWrap w:val="0"/>
            <w:vAlign w:val="center"/>
          </w:tcPr>
          <w:p w14:paraId="7C595E6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07CC728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165</w:t>
            </w:r>
          </w:p>
        </w:tc>
        <w:tc>
          <w:tcPr>
            <w:tcW w:w="2542" w:type="dxa"/>
            <w:noWrap w:val="0"/>
            <w:vAlign w:val="center"/>
          </w:tcPr>
          <w:p w14:paraId="17B9F45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4CCB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0C9B182F">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18</w:t>
            </w:r>
          </w:p>
        </w:tc>
        <w:tc>
          <w:tcPr>
            <w:tcW w:w="1988" w:type="dxa"/>
            <w:noWrap w:val="0"/>
            <w:vAlign w:val="center"/>
          </w:tcPr>
          <w:p w14:paraId="15A0BEF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生化免疫分析仪用清洗液A</w:t>
            </w:r>
          </w:p>
        </w:tc>
        <w:tc>
          <w:tcPr>
            <w:tcW w:w="2987" w:type="dxa"/>
            <w:noWrap w:val="0"/>
            <w:vAlign w:val="center"/>
          </w:tcPr>
          <w:p w14:paraId="5D974E6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6×55ml</w:t>
            </w:r>
          </w:p>
        </w:tc>
        <w:tc>
          <w:tcPr>
            <w:tcW w:w="757" w:type="dxa"/>
            <w:noWrap w:val="0"/>
            <w:vAlign w:val="center"/>
          </w:tcPr>
          <w:p w14:paraId="700F32B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756" w:type="dxa"/>
            <w:noWrap w:val="0"/>
            <w:vAlign w:val="center"/>
          </w:tcPr>
          <w:p w14:paraId="2C5D6D6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7851A76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165</w:t>
            </w:r>
          </w:p>
        </w:tc>
        <w:tc>
          <w:tcPr>
            <w:tcW w:w="2542" w:type="dxa"/>
            <w:noWrap w:val="0"/>
            <w:vAlign w:val="center"/>
          </w:tcPr>
          <w:p w14:paraId="082C6B1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4D39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21B32C28">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19</w:t>
            </w:r>
          </w:p>
        </w:tc>
        <w:tc>
          <w:tcPr>
            <w:tcW w:w="1988" w:type="dxa"/>
            <w:noWrap w:val="0"/>
            <w:vAlign w:val="center"/>
          </w:tcPr>
          <w:p w14:paraId="58814D1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丙型肝炎病毒基因分型检测试剂盒（PCR-反向点杂交法）</w:t>
            </w:r>
          </w:p>
        </w:tc>
        <w:tc>
          <w:tcPr>
            <w:tcW w:w="2987" w:type="dxa"/>
            <w:noWrap w:val="0"/>
            <w:vAlign w:val="center"/>
          </w:tcPr>
          <w:p w14:paraId="1B52C6D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10人份/盒</w:t>
            </w:r>
          </w:p>
        </w:tc>
        <w:tc>
          <w:tcPr>
            <w:tcW w:w="757" w:type="dxa"/>
            <w:noWrap w:val="0"/>
            <w:vAlign w:val="center"/>
          </w:tcPr>
          <w:p w14:paraId="2305058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56" w:type="dxa"/>
            <w:noWrap w:val="0"/>
            <w:vAlign w:val="center"/>
          </w:tcPr>
          <w:p w14:paraId="78E4DC6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28B483F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1020</w:t>
            </w:r>
          </w:p>
        </w:tc>
        <w:tc>
          <w:tcPr>
            <w:tcW w:w="2542" w:type="dxa"/>
            <w:noWrap w:val="0"/>
            <w:vAlign w:val="center"/>
          </w:tcPr>
          <w:p w14:paraId="0C83820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全自动医用PCR分析系统Slan-96p</w:t>
            </w:r>
          </w:p>
        </w:tc>
      </w:tr>
      <w:tr w14:paraId="457B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43A43358">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20</w:t>
            </w:r>
          </w:p>
        </w:tc>
        <w:tc>
          <w:tcPr>
            <w:tcW w:w="1988" w:type="dxa"/>
            <w:noWrap w:val="0"/>
            <w:vAlign w:val="center"/>
          </w:tcPr>
          <w:p w14:paraId="7D85283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M-60LD溶血剂</w:t>
            </w:r>
          </w:p>
        </w:tc>
        <w:tc>
          <w:tcPr>
            <w:tcW w:w="2987" w:type="dxa"/>
            <w:noWrap w:val="0"/>
            <w:vAlign w:val="center"/>
          </w:tcPr>
          <w:p w14:paraId="59081A0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4L*1</w:t>
            </w:r>
          </w:p>
        </w:tc>
        <w:tc>
          <w:tcPr>
            <w:tcW w:w="757" w:type="dxa"/>
            <w:noWrap w:val="0"/>
            <w:vAlign w:val="center"/>
          </w:tcPr>
          <w:p w14:paraId="5962A94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756" w:type="dxa"/>
            <w:noWrap w:val="0"/>
            <w:vAlign w:val="center"/>
          </w:tcPr>
          <w:p w14:paraId="4695211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0B4BED4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1429</w:t>
            </w:r>
          </w:p>
        </w:tc>
        <w:tc>
          <w:tcPr>
            <w:tcW w:w="2542" w:type="dxa"/>
            <w:noWrap w:val="0"/>
            <w:vAlign w:val="center"/>
          </w:tcPr>
          <w:p w14:paraId="21B4012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BC-7500全自动血细胞分析仪</w:t>
            </w:r>
          </w:p>
        </w:tc>
      </w:tr>
      <w:tr w14:paraId="3135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7AB6A45F">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21</w:t>
            </w:r>
          </w:p>
        </w:tc>
        <w:tc>
          <w:tcPr>
            <w:tcW w:w="1988" w:type="dxa"/>
            <w:noWrap w:val="0"/>
            <w:vAlign w:val="center"/>
          </w:tcPr>
          <w:p w14:paraId="534291B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糖化血红蛋白分析用洗脱液A</w:t>
            </w:r>
          </w:p>
        </w:tc>
        <w:tc>
          <w:tcPr>
            <w:tcW w:w="2987" w:type="dxa"/>
            <w:noWrap w:val="0"/>
            <w:vAlign w:val="center"/>
          </w:tcPr>
          <w:p w14:paraId="61E8D70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900ml*4</w:t>
            </w:r>
          </w:p>
        </w:tc>
        <w:tc>
          <w:tcPr>
            <w:tcW w:w="757" w:type="dxa"/>
            <w:noWrap w:val="0"/>
            <w:vAlign w:val="center"/>
          </w:tcPr>
          <w:p w14:paraId="41D9404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756" w:type="dxa"/>
            <w:noWrap w:val="0"/>
            <w:vAlign w:val="center"/>
          </w:tcPr>
          <w:p w14:paraId="3C055E3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7BEE427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2830</w:t>
            </w:r>
          </w:p>
        </w:tc>
        <w:tc>
          <w:tcPr>
            <w:tcW w:w="2542" w:type="dxa"/>
            <w:noWrap w:val="0"/>
            <w:vAlign w:val="center"/>
          </w:tcPr>
          <w:p w14:paraId="6B73244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迈瑞BS-6800P全自动血细胞分析流水线---H50</w:t>
            </w:r>
          </w:p>
        </w:tc>
      </w:tr>
      <w:tr w14:paraId="310C4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7429E846">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22</w:t>
            </w:r>
          </w:p>
        </w:tc>
        <w:tc>
          <w:tcPr>
            <w:tcW w:w="1988" w:type="dxa"/>
            <w:noWrap w:val="0"/>
            <w:vAlign w:val="center"/>
          </w:tcPr>
          <w:p w14:paraId="30220B0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糖化血红蛋白分析用洗脱液B</w:t>
            </w:r>
          </w:p>
        </w:tc>
        <w:tc>
          <w:tcPr>
            <w:tcW w:w="2987" w:type="dxa"/>
            <w:noWrap w:val="0"/>
            <w:vAlign w:val="center"/>
          </w:tcPr>
          <w:p w14:paraId="5751E7A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100mL*2瓶/箱</w:t>
            </w:r>
          </w:p>
        </w:tc>
        <w:tc>
          <w:tcPr>
            <w:tcW w:w="757" w:type="dxa"/>
            <w:noWrap w:val="0"/>
            <w:vAlign w:val="center"/>
          </w:tcPr>
          <w:p w14:paraId="1EDEDD4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756" w:type="dxa"/>
            <w:noWrap w:val="0"/>
            <w:vAlign w:val="center"/>
          </w:tcPr>
          <w:p w14:paraId="0A02CE5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箱</w:t>
            </w:r>
          </w:p>
        </w:tc>
        <w:tc>
          <w:tcPr>
            <w:tcW w:w="1028" w:type="dxa"/>
            <w:noWrap w:val="0"/>
            <w:vAlign w:val="center"/>
          </w:tcPr>
          <w:p w14:paraId="52C04B7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473</w:t>
            </w:r>
          </w:p>
        </w:tc>
        <w:tc>
          <w:tcPr>
            <w:tcW w:w="2542" w:type="dxa"/>
            <w:noWrap w:val="0"/>
            <w:vAlign w:val="center"/>
          </w:tcPr>
          <w:p w14:paraId="3B29ED4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迈瑞BS-6800P全自动血细胞分析流水线---H50</w:t>
            </w:r>
          </w:p>
        </w:tc>
      </w:tr>
      <w:tr w14:paraId="27EC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4277520E">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23</w:t>
            </w:r>
          </w:p>
        </w:tc>
        <w:tc>
          <w:tcPr>
            <w:tcW w:w="1988" w:type="dxa"/>
            <w:noWrap w:val="0"/>
            <w:vAlign w:val="center"/>
          </w:tcPr>
          <w:p w14:paraId="5D62C84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糖化血红蛋白质控品</w:t>
            </w:r>
          </w:p>
        </w:tc>
        <w:tc>
          <w:tcPr>
            <w:tcW w:w="2987" w:type="dxa"/>
            <w:noWrap w:val="0"/>
            <w:vAlign w:val="center"/>
          </w:tcPr>
          <w:p w14:paraId="14B161B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CAL-1:2ml*1,      CAL-2:2ml*1</w:t>
            </w:r>
          </w:p>
        </w:tc>
        <w:tc>
          <w:tcPr>
            <w:tcW w:w="757" w:type="dxa"/>
            <w:noWrap w:val="0"/>
            <w:vAlign w:val="center"/>
          </w:tcPr>
          <w:p w14:paraId="66DEC37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756" w:type="dxa"/>
            <w:noWrap w:val="0"/>
            <w:vAlign w:val="center"/>
          </w:tcPr>
          <w:p w14:paraId="23D5EE5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4FCE939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300</w:t>
            </w:r>
          </w:p>
        </w:tc>
        <w:tc>
          <w:tcPr>
            <w:tcW w:w="2542" w:type="dxa"/>
            <w:noWrap w:val="0"/>
            <w:vAlign w:val="center"/>
          </w:tcPr>
          <w:p w14:paraId="604EC00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迈瑞BS-6800P全自动血细胞分析流水线---H50</w:t>
            </w:r>
          </w:p>
        </w:tc>
      </w:tr>
      <w:tr w14:paraId="0EBF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24219724">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24</w:t>
            </w:r>
          </w:p>
        </w:tc>
        <w:tc>
          <w:tcPr>
            <w:tcW w:w="1988" w:type="dxa"/>
            <w:noWrap w:val="0"/>
            <w:vAlign w:val="center"/>
          </w:tcPr>
          <w:p w14:paraId="62332C8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糖化血红蛋白校准品</w:t>
            </w:r>
          </w:p>
        </w:tc>
        <w:tc>
          <w:tcPr>
            <w:tcW w:w="2987" w:type="dxa"/>
            <w:noWrap w:val="0"/>
            <w:vAlign w:val="center"/>
          </w:tcPr>
          <w:p w14:paraId="55605B6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CAL-1:2ml*1  CAL-2:2ml*1</w:t>
            </w:r>
          </w:p>
        </w:tc>
        <w:tc>
          <w:tcPr>
            <w:tcW w:w="757" w:type="dxa"/>
            <w:noWrap w:val="0"/>
            <w:vAlign w:val="center"/>
          </w:tcPr>
          <w:p w14:paraId="5F8859D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56" w:type="dxa"/>
            <w:noWrap w:val="0"/>
            <w:vAlign w:val="center"/>
          </w:tcPr>
          <w:p w14:paraId="5DD3B6D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436C1B2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532</w:t>
            </w:r>
          </w:p>
        </w:tc>
        <w:tc>
          <w:tcPr>
            <w:tcW w:w="2542" w:type="dxa"/>
            <w:noWrap w:val="0"/>
            <w:vAlign w:val="center"/>
          </w:tcPr>
          <w:p w14:paraId="27F0B73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迈瑞BS-6800P全自动血细胞分析流水线---H50</w:t>
            </w:r>
          </w:p>
        </w:tc>
      </w:tr>
      <w:tr w14:paraId="53DF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0B580683">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25</w:t>
            </w:r>
          </w:p>
        </w:tc>
        <w:tc>
          <w:tcPr>
            <w:tcW w:w="1988" w:type="dxa"/>
            <w:noWrap w:val="0"/>
            <w:vAlign w:val="center"/>
          </w:tcPr>
          <w:p w14:paraId="19FF7E0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层析柱(国内3000次)</w:t>
            </w:r>
          </w:p>
        </w:tc>
        <w:tc>
          <w:tcPr>
            <w:tcW w:w="2987" w:type="dxa"/>
            <w:noWrap w:val="0"/>
            <w:vAlign w:val="center"/>
          </w:tcPr>
          <w:p w14:paraId="04CEBF7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1根/盒</w:t>
            </w:r>
          </w:p>
        </w:tc>
        <w:tc>
          <w:tcPr>
            <w:tcW w:w="757" w:type="dxa"/>
            <w:noWrap w:val="0"/>
            <w:vAlign w:val="center"/>
          </w:tcPr>
          <w:p w14:paraId="065F4A2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756" w:type="dxa"/>
            <w:noWrap w:val="0"/>
            <w:vAlign w:val="center"/>
          </w:tcPr>
          <w:p w14:paraId="62E6A46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6D913E0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11543</w:t>
            </w:r>
          </w:p>
        </w:tc>
        <w:tc>
          <w:tcPr>
            <w:tcW w:w="2542" w:type="dxa"/>
            <w:noWrap w:val="0"/>
            <w:vAlign w:val="center"/>
          </w:tcPr>
          <w:p w14:paraId="56CC3C9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迈瑞BS-6800P全自动血细胞分析流水线---H50</w:t>
            </w:r>
          </w:p>
        </w:tc>
      </w:tr>
      <w:tr w14:paraId="4B14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0AF2E25">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26</w:t>
            </w:r>
          </w:p>
        </w:tc>
        <w:tc>
          <w:tcPr>
            <w:tcW w:w="1988" w:type="dxa"/>
            <w:noWrap w:val="0"/>
            <w:vAlign w:val="center"/>
          </w:tcPr>
          <w:p w14:paraId="00828FF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LC血细胞分析用溶血剂</w:t>
            </w:r>
          </w:p>
        </w:tc>
        <w:tc>
          <w:tcPr>
            <w:tcW w:w="2987" w:type="dxa"/>
            <w:noWrap w:val="0"/>
            <w:vAlign w:val="center"/>
          </w:tcPr>
          <w:p w14:paraId="625D57E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200mL*1</w:t>
            </w:r>
          </w:p>
        </w:tc>
        <w:tc>
          <w:tcPr>
            <w:tcW w:w="757" w:type="dxa"/>
            <w:noWrap w:val="0"/>
            <w:vAlign w:val="center"/>
          </w:tcPr>
          <w:p w14:paraId="19F43DC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756" w:type="dxa"/>
            <w:noWrap w:val="0"/>
            <w:vAlign w:val="center"/>
          </w:tcPr>
          <w:p w14:paraId="3E09C91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507F80E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378</w:t>
            </w:r>
          </w:p>
        </w:tc>
        <w:tc>
          <w:tcPr>
            <w:tcW w:w="2542" w:type="dxa"/>
            <w:noWrap w:val="0"/>
            <w:vAlign w:val="center"/>
          </w:tcPr>
          <w:p w14:paraId="14C2E07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迈瑞BS-6800P全自动血细胞分析流水线-BP200n</w:t>
            </w:r>
          </w:p>
        </w:tc>
      </w:tr>
      <w:tr w14:paraId="5127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6F7DB606">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27</w:t>
            </w:r>
          </w:p>
        </w:tc>
        <w:tc>
          <w:tcPr>
            <w:tcW w:w="1988" w:type="dxa"/>
            <w:noWrap w:val="0"/>
            <w:vAlign w:val="center"/>
          </w:tcPr>
          <w:p w14:paraId="3FB889C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CRP清洗液</w:t>
            </w:r>
          </w:p>
        </w:tc>
        <w:tc>
          <w:tcPr>
            <w:tcW w:w="2987" w:type="dxa"/>
            <w:noWrap w:val="0"/>
            <w:vAlign w:val="center"/>
          </w:tcPr>
          <w:p w14:paraId="3C767A4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500ml*4</w:t>
            </w:r>
          </w:p>
        </w:tc>
        <w:tc>
          <w:tcPr>
            <w:tcW w:w="757" w:type="dxa"/>
            <w:noWrap w:val="0"/>
            <w:vAlign w:val="center"/>
          </w:tcPr>
          <w:p w14:paraId="16A4D41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70</w:t>
            </w:r>
          </w:p>
        </w:tc>
        <w:tc>
          <w:tcPr>
            <w:tcW w:w="756" w:type="dxa"/>
            <w:noWrap w:val="0"/>
            <w:vAlign w:val="center"/>
          </w:tcPr>
          <w:p w14:paraId="18F2893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箱</w:t>
            </w:r>
          </w:p>
        </w:tc>
        <w:tc>
          <w:tcPr>
            <w:tcW w:w="1028" w:type="dxa"/>
            <w:noWrap w:val="0"/>
            <w:vAlign w:val="center"/>
          </w:tcPr>
          <w:p w14:paraId="5D04C81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570</w:t>
            </w:r>
          </w:p>
        </w:tc>
        <w:tc>
          <w:tcPr>
            <w:tcW w:w="2542" w:type="dxa"/>
            <w:noWrap w:val="0"/>
            <w:vAlign w:val="center"/>
          </w:tcPr>
          <w:p w14:paraId="078D8DD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迈瑞BS-6800P全自动血细胞分析流水线-BP200n</w:t>
            </w:r>
          </w:p>
        </w:tc>
      </w:tr>
      <w:tr w14:paraId="4EF6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0514625B">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28</w:t>
            </w:r>
          </w:p>
        </w:tc>
        <w:tc>
          <w:tcPr>
            <w:tcW w:w="1988" w:type="dxa"/>
            <w:noWrap w:val="0"/>
            <w:vAlign w:val="center"/>
          </w:tcPr>
          <w:p w14:paraId="7B7DC32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ESR清洗液</w:t>
            </w:r>
          </w:p>
        </w:tc>
        <w:tc>
          <w:tcPr>
            <w:tcW w:w="2987" w:type="dxa"/>
            <w:noWrap w:val="0"/>
            <w:vAlign w:val="center"/>
          </w:tcPr>
          <w:p w14:paraId="4E4346D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1LX1</w:t>
            </w:r>
          </w:p>
        </w:tc>
        <w:tc>
          <w:tcPr>
            <w:tcW w:w="757" w:type="dxa"/>
            <w:noWrap w:val="0"/>
            <w:vAlign w:val="center"/>
          </w:tcPr>
          <w:p w14:paraId="0D35955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756" w:type="dxa"/>
            <w:noWrap w:val="0"/>
            <w:vAlign w:val="center"/>
          </w:tcPr>
          <w:p w14:paraId="3D6BE3A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箱</w:t>
            </w:r>
          </w:p>
        </w:tc>
        <w:tc>
          <w:tcPr>
            <w:tcW w:w="1028" w:type="dxa"/>
            <w:noWrap w:val="0"/>
            <w:vAlign w:val="center"/>
          </w:tcPr>
          <w:p w14:paraId="20BD51A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570</w:t>
            </w:r>
          </w:p>
        </w:tc>
        <w:tc>
          <w:tcPr>
            <w:tcW w:w="2542" w:type="dxa"/>
            <w:noWrap w:val="0"/>
            <w:vAlign w:val="center"/>
          </w:tcPr>
          <w:p w14:paraId="587D7DF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迈瑞BS-6800P全自动血细胞分析流水线-BP200n</w:t>
            </w:r>
          </w:p>
        </w:tc>
      </w:tr>
      <w:tr w14:paraId="02AA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CF70A51">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29</w:t>
            </w:r>
          </w:p>
        </w:tc>
        <w:tc>
          <w:tcPr>
            <w:tcW w:w="1988" w:type="dxa"/>
            <w:noWrap w:val="0"/>
            <w:vAlign w:val="center"/>
          </w:tcPr>
          <w:p w14:paraId="415F145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C反应蛋白（CRP）测定试剂盒（乳胶增强免疫散射比浊法）</w:t>
            </w:r>
          </w:p>
        </w:tc>
        <w:tc>
          <w:tcPr>
            <w:tcW w:w="2987" w:type="dxa"/>
            <w:noWrap w:val="0"/>
            <w:vAlign w:val="center"/>
          </w:tcPr>
          <w:p w14:paraId="4871731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2*100人份</w:t>
            </w:r>
          </w:p>
        </w:tc>
        <w:tc>
          <w:tcPr>
            <w:tcW w:w="757" w:type="dxa"/>
            <w:noWrap w:val="0"/>
            <w:vAlign w:val="center"/>
          </w:tcPr>
          <w:p w14:paraId="6C4E374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300</w:t>
            </w:r>
          </w:p>
        </w:tc>
        <w:tc>
          <w:tcPr>
            <w:tcW w:w="756" w:type="dxa"/>
            <w:noWrap w:val="0"/>
            <w:vAlign w:val="center"/>
          </w:tcPr>
          <w:p w14:paraId="66F5B59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65C0C04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1834</w:t>
            </w:r>
          </w:p>
        </w:tc>
        <w:tc>
          <w:tcPr>
            <w:tcW w:w="2542" w:type="dxa"/>
            <w:noWrap w:val="0"/>
            <w:vAlign w:val="center"/>
          </w:tcPr>
          <w:p w14:paraId="0844F89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迈瑞BS-6800P全自动血细胞分析流水线-BP200n</w:t>
            </w:r>
          </w:p>
        </w:tc>
      </w:tr>
      <w:tr w14:paraId="2605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0E22084E">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30</w:t>
            </w:r>
          </w:p>
        </w:tc>
        <w:tc>
          <w:tcPr>
            <w:tcW w:w="1988" w:type="dxa"/>
            <w:noWrap w:val="0"/>
            <w:vAlign w:val="center"/>
          </w:tcPr>
          <w:p w14:paraId="5BFB1D9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C反应蛋白（CRP）校准品</w:t>
            </w:r>
          </w:p>
        </w:tc>
        <w:tc>
          <w:tcPr>
            <w:tcW w:w="2987" w:type="dxa"/>
            <w:noWrap w:val="0"/>
            <w:vAlign w:val="center"/>
          </w:tcPr>
          <w:p w14:paraId="58822E8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5*0.5ml</w:t>
            </w:r>
          </w:p>
        </w:tc>
        <w:tc>
          <w:tcPr>
            <w:tcW w:w="757" w:type="dxa"/>
            <w:noWrap w:val="0"/>
            <w:vAlign w:val="center"/>
          </w:tcPr>
          <w:p w14:paraId="3203DC0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756" w:type="dxa"/>
            <w:noWrap w:val="0"/>
            <w:vAlign w:val="center"/>
          </w:tcPr>
          <w:p w14:paraId="4C8E49C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38A266D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415</w:t>
            </w:r>
          </w:p>
        </w:tc>
        <w:tc>
          <w:tcPr>
            <w:tcW w:w="2542" w:type="dxa"/>
            <w:noWrap w:val="0"/>
            <w:vAlign w:val="center"/>
          </w:tcPr>
          <w:p w14:paraId="09BA697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迈瑞BS-6800P全自动血细胞分析流水线-BP200n</w:t>
            </w:r>
          </w:p>
        </w:tc>
      </w:tr>
      <w:tr w14:paraId="42DA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1A7D400B">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31</w:t>
            </w:r>
          </w:p>
        </w:tc>
        <w:tc>
          <w:tcPr>
            <w:tcW w:w="1988" w:type="dxa"/>
            <w:noWrap w:val="0"/>
            <w:vAlign w:val="center"/>
          </w:tcPr>
          <w:p w14:paraId="1D49AC1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血清淀粉样蛋白A(SAA)检测试剂盒(乳胶增强免疫散射比浊法）（S-Ⅰ）</w:t>
            </w:r>
          </w:p>
        </w:tc>
        <w:tc>
          <w:tcPr>
            <w:tcW w:w="2987" w:type="dxa"/>
            <w:noWrap w:val="0"/>
            <w:vAlign w:val="center"/>
          </w:tcPr>
          <w:p w14:paraId="7367857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100人份*2</w:t>
            </w:r>
          </w:p>
        </w:tc>
        <w:tc>
          <w:tcPr>
            <w:tcW w:w="757" w:type="dxa"/>
            <w:noWrap w:val="0"/>
            <w:vAlign w:val="center"/>
          </w:tcPr>
          <w:p w14:paraId="3265AE5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56" w:type="dxa"/>
            <w:noWrap w:val="0"/>
            <w:vAlign w:val="center"/>
          </w:tcPr>
          <w:p w14:paraId="35ED960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116D83B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1834</w:t>
            </w:r>
          </w:p>
        </w:tc>
        <w:tc>
          <w:tcPr>
            <w:tcW w:w="2542" w:type="dxa"/>
            <w:noWrap w:val="0"/>
            <w:vAlign w:val="center"/>
          </w:tcPr>
          <w:p w14:paraId="705631F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迈瑞BS-6800P全自动血细胞分析流水线-BP200n</w:t>
            </w:r>
          </w:p>
        </w:tc>
      </w:tr>
      <w:tr w14:paraId="1489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9091260">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32</w:t>
            </w:r>
          </w:p>
        </w:tc>
        <w:tc>
          <w:tcPr>
            <w:tcW w:w="1988" w:type="dxa"/>
            <w:noWrap w:val="0"/>
            <w:vAlign w:val="center"/>
          </w:tcPr>
          <w:p w14:paraId="3BE3D96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血清淀粉样蛋白A校准品</w:t>
            </w:r>
          </w:p>
        </w:tc>
        <w:tc>
          <w:tcPr>
            <w:tcW w:w="2987" w:type="dxa"/>
            <w:noWrap w:val="0"/>
            <w:vAlign w:val="center"/>
          </w:tcPr>
          <w:p w14:paraId="59B1249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5*0.5ml</w:t>
            </w:r>
          </w:p>
        </w:tc>
        <w:tc>
          <w:tcPr>
            <w:tcW w:w="757" w:type="dxa"/>
            <w:noWrap w:val="0"/>
            <w:vAlign w:val="center"/>
          </w:tcPr>
          <w:p w14:paraId="6820639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56" w:type="dxa"/>
            <w:noWrap w:val="0"/>
            <w:vAlign w:val="center"/>
          </w:tcPr>
          <w:p w14:paraId="263C81B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26A057B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374</w:t>
            </w:r>
          </w:p>
        </w:tc>
        <w:tc>
          <w:tcPr>
            <w:tcW w:w="2542" w:type="dxa"/>
            <w:noWrap w:val="0"/>
            <w:vAlign w:val="center"/>
          </w:tcPr>
          <w:p w14:paraId="17E4ECC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迈瑞BS-6800P全自动血细胞分析流水线-BP200n</w:t>
            </w:r>
          </w:p>
        </w:tc>
      </w:tr>
      <w:tr w14:paraId="18F9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6D112601">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33</w:t>
            </w:r>
          </w:p>
        </w:tc>
        <w:tc>
          <w:tcPr>
            <w:tcW w:w="1988" w:type="dxa"/>
            <w:noWrap w:val="0"/>
            <w:vAlign w:val="center"/>
          </w:tcPr>
          <w:p w14:paraId="604F990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血清淀粉样蛋白A质控品</w:t>
            </w:r>
          </w:p>
        </w:tc>
        <w:tc>
          <w:tcPr>
            <w:tcW w:w="2987" w:type="dxa"/>
            <w:noWrap w:val="0"/>
            <w:vAlign w:val="center"/>
          </w:tcPr>
          <w:p w14:paraId="3EBD443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1.5ml*6</w:t>
            </w:r>
          </w:p>
        </w:tc>
        <w:tc>
          <w:tcPr>
            <w:tcW w:w="757" w:type="dxa"/>
            <w:noWrap w:val="0"/>
            <w:vAlign w:val="center"/>
          </w:tcPr>
          <w:p w14:paraId="057211C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56" w:type="dxa"/>
            <w:noWrap w:val="0"/>
            <w:vAlign w:val="center"/>
          </w:tcPr>
          <w:p w14:paraId="6B07276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6AE3EA1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375</w:t>
            </w:r>
          </w:p>
        </w:tc>
        <w:tc>
          <w:tcPr>
            <w:tcW w:w="2542" w:type="dxa"/>
            <w:noWrap w:val="0"/>
            <w:vAlign w:val="center"/>
          </w:tcPr>
          <w:p w14:paraId="1323B43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迈瑞BS-6800P全自动血细胞分析流水线-BP200n</w:t>
            </w:r>
          </w:p>
        </w:tc>
      </w:tr>
      <w:tr w14:paraId="248B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1C3A9959">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34</w:t>
            </w:r>
          </w:p>
        </w:tc>
        <w:tc>
          <w:tcPr>
            <w:tcW w:w="1988" w:type="dxa"/>
            <w:noWrap w:val="0"/>
            <w:vAlign w:val="center"/>
          </w:tcPr>
          <w:p w14:paraId="6D91A1A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瑞士姬姆萨染色液A液</w:t>
            </w:r>
          </w:p>
        </w:tc>
        <w:tc>
          <w:tcPr>
            <w:tcW w:w="2987" w:type="dxa"/>
            <w:noWrap w:val="0"/>
            <w:vAlign w:val="center"/>
          </w:tcPr>
          <w:p w14:paraId="6D6F38A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4x250ml</w:t>
            </w:r>
          </w:p>
        </w:tc>
        <w:tc>
          <w:tcPr>
            <w:tcW w:w="757" w:type="dxa"/>
            <w:noWrap w:val="0"/>
            <w:vAlign w:val="center"/>
          </w:tcPr>
          <w:p w14:paraId="0EA589D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56" w:type="dxa"/>
            <w:noWrap w:val="0"/>
            <w:vAlign w:val="center"/>
          </w:tcPr>
          <w:p w14:paraId="1850D62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1B4024F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283</w:t>
            </w:r>
          </w:p>
        </w:tc>
        <w:tc>
          <w:tcPr>
            <w:tcW w:w="2542" w:type="dxa"/>
            <w:noWrap w:val="0"/>
            <w:vAlign w:val="center"/>
          </w:tcPr>
          <w:p w14:paraId="0BD3387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迈瑞BS-6800P全自动血细胞分析流水线-sc120</w:t>
            </w:r>
          </w:p>
        </w:tc>
      </w:tr>
      <w:tr w14:paraId="7C80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05FCA366">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35</w:t>
            </w:r>
          </w:p>
        </w:tc>
        <w:tc>
          <w:tcPr>
            <w:tcW w:w="1988" w:type="dxa"/>
            <w:noWrap w:val="0"/>
            <w:vAlign w:val="center"/>
          </w:tcPr>
          <w:p w14:paraId="3F6DF8C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瑞士姬姆萨染色液B液</w:t>
            </w:r>
          </w:p>
        </w:tc>
        <w:tc>
          <w:tcPr>
            <w:tcW w:w="2987" w:type="dxa"/>
            <w:noWrap w:val="0"/>
            <w:vAlign w:val="center"/>
          </w:tcPr>
          <w:p w14:paraId="280AA59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4x250ml</w:t>
            </w:r>
          </w:p>
        </w:tc>
        <w:tc>
          <w:tcPr>
            <w:tcW w:w="757" w:type="dxa"/>
            <w:noWrap w:val="0"/>
            <w:vAlign w:val="center"/>
          </w:tcPr>
          <w:p w14:paraId="62CB3E3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56" w:type="dxa"/>
            <w:noWrap w:val="0"/>
            <w:vAlign w:val="center"/>
          </w:tcPr>
          <w:p w14:paraId="4CE6D00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1AB878B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153</w:t>
            </w:r>
          </w:p>
        </w:tc>
        <w:tc>
          <w:tcPr>
            <w:tcW w:w="2542" w:type="dxa"/>
            <w:noWrap w:val="0"/>
            <w:vAlign w:val="center"/>
          </w:tcPr>
          <w:p w14:paraId="72B26BD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迈瑞BS-6800P全自动血细胞分析流水线-sc120</w:t>
            </w:r>
          </w:p>
        </w:tc>
      </w:tr>
      <w:tr w14:paraId="4A4E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44460EED">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36</w:t>
            </w:r>
          </w:p>
        </w:tc>
        <w:tc>
          <w:tcPr>
            <w:tcW w:w="1988" w:type="dxa"/>
            <w:noWrap w:val="0"/>
            <w:vAlign w:val="center"/>
          </w:tcPr>
          <w:p w14:paraId="6E8E30A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载玻片</w:t>
            </w:r>
          </w:p>
        </w:tc>
        <w:tc>
          <w:tcPr>
            <w:tcW w:w="2987" w:type="dxa"/>
            <w:noWrap w:val="0"/>
            <w:vAlign w:val="center"/>
          </w:tcPr>
          <w:p w14:paraId="2B177E5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长75.5mm 宽25.5mm 厚1.1mm 50片/盒</w:t>
            </w:r>
          </w:p>
        </w:tc>
        <w:tc>
          <w:tcPr>
            <w:tcW w:w="757" w:type="dxa"/>
            <w:noWrap w:val="0"/>
            <w:vAlign w:val="center"/>
          </w:tcPr>
          <w:p w14:paraId="34C1D40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756" w:type="dxa"/>
            <w:noWrap w:val="0"/>
            <w:vAlign w:val="center"/>
          </w:tcPr>
          <w:p w14:paraId="6BF8300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3A9B89E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39.5</w:t>
            </w:r>
          </w:p>
        </w:tc>
        <w:tc>
          <w:tcPr>
            <w:tcW w:w="2542" w:type="dxa"/>
            <w:noWrap w:val="0"/>
            <w:vAlign w:val="center"/>
          </w:tcPr>
          <w:p w14:paraId="2028234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迈瑞BS-6800P全自动血细胞分析流水线-sc120</w:t>
            </w:r>
          </w:p>
        </w:tc>
      </w:tr>
      <w:tr w14:paraId="683F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2CCA1991">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37</w:t>
            </w:r>
          </w:p>
        </w:tc>
        <w:tc>
          <w:tcPr>
            <w:tcW w:w="1988" w:type="dxa"/>
            <w:noWrap w:val="0"/>
            <w:vAlign w:val="center"/>
          </w:tcPr>
          <w:p w14:paraId="1CE9FF7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阅片机镜油</w:t>
            </w:r>
          </w:p>
        </w:tc>
        <w:tc>
          <w:tcPr>
            <w:tcW w:w="2987" w:type="dxa"/>
            <w:noWrap w:val="0"/>
            <w:vAlign w:val="center"/>
          </w:tcPr>
          <w:p w14:paraId="7D2C605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5ml/支</w:t>
            </w:r>
          </w:p>
        </w:tc>
        <w:tc>
          <w:tcPr>
            <w:tcW w:w="757" w:type="dxa"/>
            <w:noWrap w:val="0"/>
            <w:vAlign w:val="center"/>
          </w:tcPr>
          <w:p w14:paraId="640B129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56" w:type="dxa"/>
            <w:noWrap w:val="0"/>
            <w:vAlign w:val="center"/>
          </w:tcPr>
          <w:p w14:paraId="786251F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3E832C1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275</w:t>
            </w:r>
          </w:p>
        </w:tc>
        <w:tc>
          <w:tcPr>
            <w:tcW w:w="2542" w:type="dxa"/>
            <w:noWrap w:val="0"/>
            <w:vAlign w:val="center"/>
          </w:tcPr>
          <w:p w14:paraId="4A7E393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迈瑞BS-6800P全自动血细胞分析流水线-sc120</w:t>
            </w:r>
          </w:p>
        </w:tc>
      </w:tr>
      <w:tr w14:paraId="1F4D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60A2D619">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38</w:t>
            </w:r>
          </w:p>
        </w:tc>
        <w:tc>
          <w:tcPr>
            <w:tcW w:w="1988" w:type="dxa"/>
            <w:noWrap w:val="0"/>
            <w:vAlign w:val="center"/>
          </w:tcPr>
          <w:p w14:paraId="556BA66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针清洗液</w:t>
            </w:r>
          </w:p>
        </w:tc>
        <w:tc>
          <w:tcPr>
            <w:tcW w:w="2987" w:type="dxa"/>
            <w:noWrap w:val="0"/>
            <w:vAlign w:val="center"/>
          </w:tcPr>
          <w:p w14:paraId="63C1E91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17ml/瓶、12瓶/盒</w:t>
            </w:r>
          </w:p>
        </w:tc>
        <w:tc>
          <w:tcPr>
            <w:tcW w:w="757" w:type="dxa"/>
            <w:noWrap w:val="0"/>
            <w:vAlign w:val="center"/>
          </w:tcPr>
          <w:p w14:paraId="30F401A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756" w:type="dxa"/>
            <w:noWrap w:val="0"/>
            <w:vAlign w:val="center"/>
          </w:tcPr>
          <w:p w14:paraId="4BF7503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4613FB0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155</w:t>
            </w:r>
          </w:p>
        </w:tc>
        <w:tc>
          <w:tcPr>
            <w:tcW w:w="2542" w:type="dxa"/>
            <w:noWrap w:val="0"/>
            <w:vAlign w:val="center"/>
          </w:tcPr>
          <w:p w14:paraId="48B79B2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58711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5C6002E2">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39</w:t>
            </w:r>
          </w:p>
        </w:tc>
        <w:tc>
          <w:tcPr>
            <w:tcW w:w="1988" w:type="dxa"/>
            <w:noWrap w:val="0"/>
            <w:vAlign w:val="center"/>
          </w:tcPr>
          <w:p w14:paraId="47DAF72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甲胎蛋白校准品</w:t>
            </w:r>
          </w:p>
        </w:tc>
        <w:tc>
          <w:tcPr>
            <w:tcW w:w="2987" w:type="dxa"/>
            <w:noWrap w:val="0"/>
            <w:vAlign w:val="center"/>
          </w:tcPr>
          <w:p w14:paraId="5EE19AC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3瓶;C0:1×2.0 mL,C1:1×2.0mL,C2:1×2.0mL</w:t>
            </w:r>
          </w:p>
        </w:tc>
        <w:tc>
          <w:tcPr>
            <w:tcW w:w="757" w:type="dxa"/>
            <w:noWrap w:val="0"/>
            <w:vAlign w:val="center"/>
          </w:tcPr>
          <w:p w14:paraId="60BD898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756" w:type="dxa"/>
            <w:noWrap w:val="0"/>
            <w:vAlign w:val="center"/>
          </w:tcPr>
          <w:p w14:paraId="528D834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679DEE1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552</w:t>
            </w:r>
          </w:p>
        </w:tc>
        <w:tc>
          <w:tcPr>
            <w:tcW w:w="2542" w:type="dxa"/>
            <w:noWrap w:val="0"/>
            <w:vAlign w:val="center"/>
          </w:tcPr>
          <w:p w14:paraId="2C6522C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3AD6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DF88C2E">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40</w:t>
            </w:r>
          </w:p>
        </w:tc>
        <w:tc>
          <w:tcPr>
            <w:tcW w:w="1988" w:type="dxa"/>
            <w:noWrap w:val="0"/>
            <w:vAlign w:val="center"/>
          </w:tcPr>
          <w:p w14:paraId="7C11587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肿瘤相关抗原125校准品</w:t>
            </w:r>
          </w:p>
        </w:tc>
        <w:tc>
          <w:tcPr>
            <w:tcW w:w="2987" w:type="dxa"/>
            <w:noWrap w:val="0"/>
            <w:vAlign w:val="center"/>
          </w:tcPr>
          <w:p w14:paraId="7B890F1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3瓶;C0:1×2.0 mL,C1:1×2.0mL,C2:1×2.0mL</w:t>
            </w:r>
          </w:p>
        </w:tc>
        <w:tc>
          <w:tcPr>
            <w:tcW w:w="757" w:type="dxa"/>
            <w:noWrap w:val="0"/>
            <w:vAlign w:val="center"/>
          </w:tcPr>
          <w:p w14:paraId="6CD082D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756" w:type="dxa"/>
            <w:noWrap w:val="0"/>
            <w:vAlign w:val="center"/>
          </w:tcPr>
          <w:p w14:paraId="5DE3425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39F3647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756</w:t>
            </w:r>
          </w:p>
        </w:tc>
        <w:tc>
          <w:tcPr>
            <w:tcW w:w="2542" w:type="dxa"/>
            <w:noWrap w:val="0"/>
            <w:vAlign w:val="center"/>
          </w:tcPr>
          <w:p w14:paraId="426F451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1611A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6171345C">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41</w:t>
            </w:r>
          </w:p>
        </w:tc>
        <w:tc>
          <w:tcPr>
            <w:tcW w:w="1988" w:type="dxa"/>
            <w:noWrap w:val="0"/>
            <w:vAlign w:val="center"/>
          </w:tcPr>
          <w:p w14:paraId="69672D6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癌抗原15-3校准品</w:t>
            </w:r>
          </w:p>
        </w:tc>
        <w:tc>
          <w:tcPr>
            <w:tcW w:w="2987" w:type="dxa"/>
            <w:noWrap w:val="0"/>
            <w:vAlign w:val="center"/>
          </w:tcPr>
          <w:p w14:paraId="3F401A1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3瓶;C0:1×2.0 mL,C1:1×2.0mL,C2:1×2.0mL</w:t>
            </w:r>
          </w:p>
        </w:tc>
        <w:tc>
          <w:tcPr>
            <w:tcW w:w="757" w:type="dxa"/>
            <w:noWrap w:val="0"/>
            <w:vAlign w:val="center"/>
          </w:tcPr>
          <w:p w14:paraId="4FC12C9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756" w:type="dxa"/>
            <w:noWrap w:val="0"/>
            <w:vAlign w:val="center"/>
          </w:tcPr>
          <w:p w14:paraId="382BC46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2C7E6C8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756</w:t>
            </w:r>
          </w:p>
        </w:tc>
        <w:tc>
          <w:tcPr>
            <w:tcW w:w="2542" w:type="dxa"/>
            <w:noWrap w:val="0"/>
            <w:vAlign w:val="center"/>
          </w:tcPr>
          <w:p w14:paraId="2C045CD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5CEB5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1505AEC6">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42</w:t>
            </w:r>
          </w:p>
        </w:tc>
        <w:tc>
          <w:tcPr>
            <w:tcW w:w="1988" w:type="dxa"/>
            <w:noWrap w:val="0"/>
            <w:vAlign w:val="center"/>
          </w:tcPr>
          <w:p w14:paraId="20A113D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游离三碘甲状腺原氨酸校准品</w:t>
            </w:r>
          </w:p>
        </w:tc>
        <w:tc>
          <w:tcPr>
            <w:tcW w:w="2987" w:type="dxa"/>
            <w:noWrap w:val="0"/>
            <w:vAlign w:val="center"/>
          </w:tcPr>
          <w:p w14:paraId="70342D8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3瓶;C0:1×2.0 mL,C1:1×2.0mL,C2:1×2.0mL</w:t>
            </w:r>
          </w:p>
        </w:tc>
        <w:tc>
          <w:tcPr>
            <w:tcW w:w="757" w:type="dxa"/>
            <w:noWrap w:val="0"/>
            <w:vAlign w:val="center"/>
          </w:tcPr>
          <w:p w14:paraId="5BDE3DA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756" w:type="dxa"/>
            <w:noWrap w:val="0"/>
            <w:vAlign w:val="center"/>
          </w:tcPr>
          <w:p w14:paraId="40A8BB3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3ABF60D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552</w:t>
            </w:r>
          </w:p>
        </w:tc>
        <w:tc>
          <w:tcPr>
            <w:tcW w:w="2542" w:type="dxa"/>
            <w:noWrap w:val="0"/>
            <w:vAlign w:val="center"/>
          </w:tcPr>
          <w:p w14:paraId="70CC86E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6C42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1F53DF70">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43</w:t>
            </w:r>
          </w:p>
        </w:tc>
        <w:tc>
          <w:tcPr>
            <w:tcW w:w="1988" w:type="dxa"/>
            <w:noWrap w:val="0"/>
            <w:vAlign w:val="center"/>
          </w:tcPr>
          <w:p w14:paraId="7F95259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酵母样真菌检测试剂盒</w:t>
            </w:r>
          </w:p>
        </w:tc>
        <w:tc>
          <w:tcPr>
            <w:tcW w:w="2987" w:type="dxa"/>
            <w:noWrap w:val="0"/>
            <w:vAlign w:val="center"/>
          </w:tcPr>
          <w:p w14:paraId="01EC460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10测试/盒</w:t>
            </w:r>
          </w:p>
        </w:tc>
        <w:tc>
          <w:tcPr>
            <w:tcW w:w="757" w:type="dxa"/>
            <w:noWrap w:val="0"/>
            <w:vAlign w:val="center"/>
          </w:tcPr>
          <w:p w14:paraId="3A3D2BA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756" w:type="dxa"/>
            <w:noWrap w:val="0"/>
            <w:vAlign w:val="center"/>
          </w:tcPr>
          <w:p w14:paraId="48D5B53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4CA0BCE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2542" w:type="dxa"/>
            <w:noWrap w:val="0"/>
            <w:vAlign w:val="center"/>
          </w:tcPr>
          <w:p w14:paraId="059198C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全自动微生物鉴定药敏分析仪AF-600</w:t>
            </w:r>
          </w:p>
        </w:tc>
      </w:tr>
      <w:tr w14:paraId="449D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0A2A704D">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44</w:t>
            </w:r>
          </w:p>
        </w:tc>
        <w:tc>
          <w:tcPr>
            <w:tcW w:w="1988" w:type="dxa"/>
            <w:noWrap w:val="0"/>
            <w:vAlign w:val="center"/>
          </w:tcPr>
          <w:p w14:paraId="3B3CE48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氧化酶检测试剂</w:t>
            </w:r>
          </w:p>
        </w:tc>
        <w:tc>
          <w:tcPr>
            <w:tcW w:w="2987" w:type="dxa"/>
            <w:noWrap w:val="0"/>
            <w:vAlign w:val="center"/>
          </w:tcPr>
          <w:p w14:paraId="29784E5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20片/瓶</w:t>
            </w:r>
          </w:p>
        </w:tc>
        <w:tc>
          <w:tcPr>
            <w:tcW w:w="757" w:type="dxa"/>
            <w:noWrap w:val="0"/>
            <w:vAlign w:val="center"/>
          </w:tcPr>
          <w:p w14:paraId="75E01FC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756" w:type="dxa"/>
            <w:noWrap w:val="0"/>
            <w:vAlign w:val="center"/>
          </w:tcPr>
          <w:p w14:paraId="1B70734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028" w:type="dxa"/>
            <w:noWrap w:val="0"/>
            <w:vAlign w:val="center"/>
          </w:tcPr>
          <w:p w14:paraId="76E56BD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110</w:t>
            </w:r>
          </w:p>
        </w:tc>
        <w:tc>
          <w:tcPr>
            <w:tcW w:w="2542" w:type="dxa"/>
            <w:noWrap w:val="0"/>
            <w:vAlign w:val="center"/>
          </w:tcPr>
          <w:p w14:paraId="0B0E957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手工</w:t>
            </w:r>
          </w:p>
        </w:tc>
      </w:tr>
      <w:tr w14:paraId="1B10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66604F61">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45</w:t>
            </w:r>
          </w:p>
        </w:tc>
        <w:tc>
          <w:tcPr>
            <w:tcW w:w="1988" w:type="dxa"/>
            <w:noWrap w:val="0"/>
            <w:vAlign w:val="center"/>
          </w:tcPr>
          <w:p w14:paraId="2F7B318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氢氧化钠</w:t>
            </w:r>
          </w:p>
        </w:tc>
        <w:tc>
          <w:tcPr>
            <w:tcW w:w="2987" w:type="dxa"/>
            <w:noWrap w:val="0"/>
            <w:vAlign w:val="center"/>
          </w:tcPr>
          <w:p w14:paraId="70A5D7D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500g/瓶</w:t>
            </w:r>
          </w:p>
        </w:tc>
        <w:tc>
          <w:tcPr>
            <w:tcW w:w="757" w:type="dxa"/>
            <w:noWrap w:val="0"/>
            <w:vAlign w:val="center"/>
          </w:tcPr>
          <w:p w14:paraId="50F0534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756" w:type="dxa"/>
            <w:noWrap w:val="0"/>
            <w:vAlign w:val="center"/>
          </w:tcPr>
          <w:p w14:paraId="711B05F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028" w:type="dxa"/>
            <w:noWrap w:val="0"/>
            <w:vAlign w:val="center"/>
          </w:tcPr>
          <w:p w14:paraId="4DEF849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52</w:t>
            </w:r>
          </w:p>
        </w:tc>
        <w:tc>
          <w:tcPr>
            <w:tcW w:w="2542" w:type="dxa"/>
            <w:noWrap w:val="0"/>
            <w:vAlign w:val="center"/>
          </w:tcPr>
          <w:p w14:paraId="38FF412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手工</w:t>
            </w:r>
          </w:p>
        </w:tc>
      </w:tr>
      <w:tr w14:paraId="3B56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195BBD3C">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46</w:t>
            </w:r>
          </w:p>
        </w:tc>
        <w:tc>
          <w:tcPr>
            <w:tcW w:w="1988" w:type="dxa"/>
            <w:noWrap w:val="0"/>
            <w:vAlign w:val="center"/>
          </w:tcPr>
          <w:p w14:paraId="39E0CE2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分化液</w:t>
            </w:r>
          </w:p>
        </w:tc>
        <w:tc>
          <w:tcPr>
            <w:tcW w:w="2987" w:type="dxa"/>
            <w:noWrap w:val="0"/>
            <w:vAlign w:val="center"/>
          </w:tcPr>
          <w:p w14:paraId="297748C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500ml</w:t>
            </w:r>
          </w:p>
        </w:tc>
        <w:tc>
          <w:tcPr>
            <w:tcW w:w="757" w:type="dxa"/>
            <w:noWrap w:val="0"/>
            <w:vAlign w:val="center"/>
          </w:tcPr>
          <w:p w14:paraId="4B0809B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756" w:type="dxa"/>
            <w:noWrap w:val="0"/>
            <w:vAlign w:val="center"/>
          </w:tcPr>
          <w:p w14:paraId="3EDC47E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028" w:type="dxa"/>
            <w:noWrap w:val="0"/>
            <w:vAlign w:val="center"/>
          </w:tcPr>
          <w:p w14:paraId="075A878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58</w:t>
            </w:r>
          </w:p>
        </w:tc>
        <w:tc>
          <w:tcPr>
            <w:tcW w:w="2542" w:type="dxa"/>
            <w:noWrap w:val="0"/>
            <w:vAlign w:val="center"/>
          </w:tcPr>
          <w:p w14:paraId="4FE2105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手工</w:t>
            </w:r>
          </w:p>
        </w:tc>
      </w:tr>
      <w:tr w14:paraId="76C2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084A7705">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47</w:t>
            </w:r>
          </w:p>
        </w:tc>
        <w:tc>
          <w:tcPr>
            <w:tcW w:w="1988" w:type="dxa"/>
            <w:noWrap w:val="0"/>
            <w:vAlign w:val="center"/>
          </w:tcPr>
          <w:p w14:paraId="0BF594E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固体石蜡</w:t>
            </w:r>
          </w:p>
        </w:tc>
        <w:tc>
          <w:tcPr>
            <w:tcW w:w="2987" w:type="dxa"/>
            <w:noWrap w:val="0"/>
            <w:vAlign w:val="center"/>
          </w:tcPr>
          <w:p w14:paraId="1090896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10kg/箱</w:t>
            </w:r>
          </w:p>
        </w:tc>
        <w:tc>
          <w:tcPr>
            <w:tcW w:w="757" w:type="dxa"/>
            <w:noWrap w:val="0"/>
            <w:vAlign w:val="center"/>
          </w:tcPr>
          <w:p w14:paraId="1B670BB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756" w:type="dxa"/>
            <w:noWrap w:val="0"/>
            <w:vAlign w:val="center"/>
          </w:tcPr>
          <w:p w14:paraId="474A611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箱</w:t>
            </w:r>
          </w:p>
        </w:tc>
        <w:tc>
          <w:tcPr>
            <w:tcW w:w="1028" w:type="dxa"/>
            <w:noWrap w:val="0"/>
            <w:vAlign w:val="center"/>
          </w:tcPr>
          <w:p w14:paraId="10E8FEF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380</w:t>
            </w:r>
          </w:p>
        </w:tc>
        <w:tc>
          <w:tcPr>
            <w:tcW w:w="2542" w:type="dxa"/>
            <w:noWrap w:val="0"/>
            <w:vAlign w:val="center"/>
          </w:tcPr>
          <w:p w14:paraId="7AE841E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手工</w:t>
            </w:r>
          </w:p>
        </w:tc>
      </w:tr>
      <w:tr w14:paraId="476C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6300C7B4">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48</w:t>
            </w:r>
          </w:p>
        </w:tc>
        <w:tc>
          <w:tcPr>
            <w:tcW w:w="1988" w:type="dxa"/>
            <w:noWrap w:val="0"/>
            <w:vAlign w:val="center"/>
          </w:tcPr>
          <w:p w14:paraId="4ED83B1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组织包埋盒</w:t>
            </w:r>
          </w:p>
        </w:tc>
        <w:tc>
          <w:tcPr>
            <w:tcW w:w="2987" w:type="dxa"/>
            <w:noWrap w:val="0"/>
            <w:vAlign w:val="center"/>
          </w:tcPr>
          <w:p w14:paraId="10F2052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250只/中箱</w:t>
            </w:r>
          </w:p>
        </w:tc>
        <w:tc>
          <w:tcPr>
            <w:tcW w:w="757" w:type="dxa"/>
            <w:noWrap w:val="0"/>
            <w:vAlign w:val="center"/>
          </w:tcPr>
          <w:p w14:paraId="68D83F8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50000</w:t>
            </w:r>
          </w:p>
        </w:tc>
        <w:tc>
          <w:tcPr>
            <w:tcW w:w="756" w:type="dxa"/>
            <w:noWrap w:val="0"/>
            <w:vAlign w:val="center"/>
          </w:tcPr>
          <w:p w14:paraId="0A00F2A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只</w:t>
            </w:r>
          </w:p>
        </w:tc>
        <w:tc>
          <w:tcPr>
            <w:tcW w:w="1028" w:type="dxa"/>
            <w:noWrap w:val="0"/>
            <w:vAlign w:val="center"/>
          </w:tcPr>
          <w:p w14:paraId="04B87D0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0.44</w:t>
            </w:r>
          </w:p>
        </w:tc>
        <w:tc>
          <w:tcPr>
            <w:tcW w:w="2542" w:type="dxa"/>
            <w:noWrap w:val="0"/>
            <w:vAlign w:val="center"/>
          </w:tcPr>
          <w:p w14:paraId="2E1852C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手工</w:t>
            </w:r>
          </w:p>
        </w:tc>
      </w:tr>
      <w:tr w14:paraId="243FE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146F4539">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49</w:t>
            </w:r>
          </w:p>
        </w:tc>
        <w:tc>
          <w:tcPr>
            <w:tcW w:w="1988" w:type="dxa"/>
            <w:noWrap w:val="0"/>
            <w:vAlign w:val="center"/>
          </w:tcPr>
          <w:p w14:paraId="56AE983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次甲基兰</w:t>
            </w:r>
          </w:p>
        </w:tc>
        <w:tc>
          <w:tcPr>
            <w:tcW w:w="2987" w:type="dxa"/>
            <w:noWrap w:val="0"/>
            <w:vAlign w:val="center"/>
          </w:tcPr>
          <w:p w14:paraId="14DE325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250ml</w:t>
            </w:r>
          </w:p>
        </w:tc>
        <w:tc>
          <w:tcPr>
            <w:tcW w:w="757" w:type="dxa"/>
            <w:noWrap w:val="0"/>
            <w:vAlign w:val="center"/>
          </w:tcPr>
          <w:p w14:paraId="421EC69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56" w:type="dxa"/>
            <w:noWrap w:val="0"/>
            <w:vAlign w:val="center"/>
          </w:tcPr>
          <w:p w14:paraId="22876B4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028" w:type="dxa"/>
            <w:noWrap w:val="0"/>
            <w:vAlign w:val="center"/>
          </w:tcPr>
          <w:p w14:paraId="14ACC17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65</w:t>
            </w:r>
          </w:p>
        </w:tc>
        <w:tc>
          <w:tcPr>
            <w:tcW w:w="2542" w:type="dxa"/>
            <w:noWrap w:val="0"/>
            <w:vAlign w:val="center"/>
          </w:tcPr>
          <w:p w14:paraId="27A42EA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手工</w:t>
            </w:r>
          </w:p>
        </w:tc>
      </w:tr>
      <w:tr w14:paraId="5641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1B4B8CE1">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50</w:t>
            </w:r>
          </w:p>
        </w:tc>
        <w:tc>
          <w:tcPr>
            <w:tcW w:w="1988" w:type="dxa"/>
            <w:noWrap w:val="0"/>
            <w:vAlign w:val="center"/>
          </w:tcPr>
          <w:p w14:paraId="3301A08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参比液（离子选择电极法）</w:t>
            </w:r>
          </w:p>
        </w:tc>
        <w:tc>
          <w:tcPr>
            <w:tcW w:w="2987" w:type="dxa"/>
            <w:noWrap w:val="0"/>
            <w:vAlign w:val="center"/>
          </w:tcPr>
          <w:p w14:paraId="2164428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10ml/瓶</w:t>
            </w:r>
          </w:p>
        </w:tc>
        <w:tc>
          <w:tcPr>
            <w:tcW w:w="757" w:type="dxa"/>
            <w:noWrap w:val="0"/>
            <w:vAlign w:val="center"/>
          </w:tcPr>
          <w:p w14:paraId="7B13146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56" w:type="dxa"/>
            <w:noWrap w:val="0"/>
            <w:vAlign w:val="center"/>
          </w:tcPr>
          <w:p w14:paraId="6A28D86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028" w:type="dxa"/>
            <w:noWrap w:val="0"/>
            <w:vAlign w:val="center"/>
          </w:tcPr>
          <w:p w14:paraId="30BAF7C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220</w:t>
            </w:r>
          </w:p>
        </w:tc>
        <w:tc>
          <w:tcPr>
            <w:tcW w:w="2542" w:type="dxa"/>
            <w:noWrap w:val="0"/>
            <w:vAlign w:val="center"/>
          </w:tcPr>
          <w:p w14:paraId="0722F7C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深圳市希莱恒医用电子有限公司H-900</w:t>
            </w:r>
          </w:p>
        </w:tc>
      </w:tr>
      <w:tr w14:paraId="216C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184C7C4F">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51</w:t>
            </w:r>
          </w:p>
        </w:tc>
        <w:tc>
          <w:tcPr>
            <w:tcW w:w="1988" w:type="dxa"/>
            <w:noWrap w:val="0"/>
            <w:vAlign w:val="center"/>
          </w:tcPr>
          <w:p w14:paraId="0D4F8F2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电极清洁液（蛋白酶）</w:t>
            </w:r>
          </w:p>
        </w:tc>
        <w:tc>
          <w:tcPr>
            <w:tcW w:w="2987" w:type="dxa"/>
            <w:noWrap w:val="0"/>
            <w:vAlign w:val="center"/>
          </w:tcPr>
          <w:p w14:paraId="7BB7BCF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25mg/支×5、、5ml/瓶×1、塑料滴管×1支</w:t>
            </w:r>
          </w:p>
        </w:tc>
        <w:tc>
          <w:tcPr>
            <w:tcW w:w="757" w:type="dxa"/>
            <w:noWrap w:val="0"/>
            <w:vAlign w:val="center"/>
          </w:tcPr>
          <w:p w14:paraId="37FCB09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56" w:type="dxa"/>
            <w:noWrap w:val="0"/>
            <w:vAlign w:val="center"/>
          </w:tcPr>
          <w:p w14:paraId="233B720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028" w:type="dxa"/>
            <w:noWrap w:val="0"/>
            <w:vAlign w:val="center"/>
          </w:tcPr>
          <w:p w14:paraId="2437C87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180</w:t>
            </w:r>
          </w:p>
        </w:tc>
        <w:tc>
          <w:tcPr>
            <w:tcW w:w="2542" w:type="dxa"/>
            <w:noWrap w:val="0"/>
            <w:vAlign w:val="center"/>
          </w:tcPr>
          <w:p w14:paraId="715A215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深圳市希莱恒医用电子有限公司H-900</w:t>
            </w:r>
          </w:p>
        </w:tc>
      </w:tr>
      <w:tr w14:paraId="048D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74583585">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52</w:t>
            </w:r>
          </w:p>
        </w:tc>
        <w:tc>
          <w:tcPr>
            <w:tcW w:w="1988" w:type="dxa"/>
            <w:noWrap w:val="0"/>
            <w:vAlign w:val="center"/>
          </w:tcPr>
          <w:p w14:paraId="5B0A8E6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活化液</w:t>
            </w:r>
          </w:p>
        </w:tc>
        <w:tc>
          <w:tcPr>
            <w:tcW w:w="2987" w:type="dxa"/>
            <w:noWrap w:val="0"/>
            <w:vAlign w:val="center"/>
          </w:tcPr>
          <w:p w14:paraId="78A1104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110ml/瓶</w:t>
            </w:r>
          </w:p>
        </w:tc>
        <w:tc>
          <w:tcPr>
            <w:tcW w:w="757" w:type="dxa"/>
            <w:noWrap w:val="0"/>
            <w:vAlign w:val="center"/>
          </w:tcPr>
          <w:p w14:paraId="69FC434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56" w:type="dxa"/>
            <w:noWrap w:val="0"/>
            <w:vAlign w:val="center"/>
          </w:tcPr>
          <w:p w14:paraId="4023870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028" w:type="dxa"/>
            <w:noWrap w:val="0"/>
            <w:vAlign w:val="center"/>
          </w:tcPr>
          <w:p w14:paraId="1E026D6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180</w:t>
            </w:r>
          </w:p>
        </w:tc>
        <w:tc>
          <w:tcPr>
            <w:tcW w:w="2542" w:type="dxa"/>
            <w:noWrap w:val="0"/>
            <w:vAlign w:val="center"/>
          </w:tcPr>
          <w:p w14:paraId="5189831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深圳市希莱恒医用电子有限公司H-900</w:t>
            </w:r>
          </w:p>
        </w:tc>
      </w:tr>
      <w:tr w14:paraId="1ED39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39B8114">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53</w:t>
            </w:r>
          </w:p>
        </w:tc>
        <w:tc>
          <w:tcPr>
            <w:tcW w:w="1988" w:type="dxa"/>
            <w:noWrap w:val="0"/>
            <w:vAlign w:val="center"/>
          </w:tcPr>
          <w:p w14:paraId="1D4ECFD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离子检测电极</w:t>
            </w:r>
          </w:p>
        </w:tc>
        <w:tc>
          <w:tcPr>
            <w:tcW w:w="2987" w:type="dxa"/>
            <w:noWrap w:val="0"/>
            <w:vAlign w:val="center"/>
          </w:tcPr>
          <w:p w14:paraId="6D288FF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电极K</w:t>
            </w:r>
          </w:p>
        </w:tc>
        <w:tc>
          <w:tcPr>
            <w:tcW w:w="757" w:type="dxa"/>
            <w:noWrap w:val="0"/>
            <w:vAlign w:val="center"/>
          </w:tcPr>
          <w:p w14:paraId="38ED3FF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56" w:type="dxa"/>
            <w:noWrap w:val="0"/>
            <w:vAlign w:val="center"/>
          </w:tcPr>
          <w:p w14:paraId="67E0800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28" w:type="dxa"/>
            <w:noWrap w:val="0"/>
            <w:vAlign w:val="center"/>
          </w:tcPr>
          <w:p w14:paraId="28766C2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1200</w:t>
            </w:r>
          </w:p>
        </w:tc>
        <w:tc>
          <w:tcPr>
            <w:tcW w:w="2542" w:type="dxa"/>
            <w:noWrap w:val="0"/>
            <w:vAlign w:val="center"/>
          </w:tcPr>
          <w:p w14:paraId="2F7E060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深圳市希莱恒医用电子有限公司H-900</w:t>
            </w:r>
          </w:p>
        </w:tc>
      </w:tr>
      <w:tr w14:paraId="4A23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6219B7E3">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54</w:t>
            </w:r>
          </w:p>
        </w:tc>
        <w:tc>
          <w:tcPr>
            <w:tcW w:w="1988" w:type="dxa"/>
            <w:noWrap w:val="0"/>
            <w:vAlign w:val="center"/>
          </w:tcPr>
          <w:p w14:paraId="4864CF4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离子检测电极</w:t>
            </w:r>
          </w:p>
        </w:tc>
        <w:tc>
          <w:tcPr>
            <w:tcW w:w="2987" w:type="dxa"/>
            <w:noWrap w:val="0"/>
            <w:vAlign w:val="center"/>
          </w:tcPr>
          <w:p w14:paraId="41E0FA8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电极CL</w:t>
            </w:r>
          </w:p>
        </w:tc>
        <w:tc>
          <w:tcPr>
            <w:tcW w:w="757" w:type="dxa"/>
            <w:noWrap w:val="0"/>
            <w:vAlign w:val="center"/>
          </w:tcPr>
          <w:p w14:paraId="75988D8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56" w:type="dxa"/>
            <w:noWrap w:val="0"/>
            <w:vAlign w:val="center"/>
          </w:tcPr>
          <w:p w14:paraId="2658340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28" w:type="dxa"/>
            <w:noWrap w:val="0"/>
            <w:vAlign w:val="center"/>
          </w:tcPr>
          <w:p w14:paraId="51665AE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1200</w:t>
            </w:r>
          </w:p>
        </w:tc>
        <w:tc>
          <w:tcPr>
            <w:tcW w:w="2542" w:type="dxa"/>
            <w:noWrap w:val="0"/>
            <w:vAlign w:val="center"/>
          </w:tcPr>
          <w:p w14:paraId="32457D4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深圳市希莱恒医用电子有限公司H-900</w:t>
            </w:r>
          </w:p>
        </w:tc>
      </w:tr>
      <w:tr w14:paraId="3DD8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1AE51C76">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55</w:t>
            </w:r>
          </w:p>
        </w:tc>
        <w:tc>
          <w:tcPr>
            <w:tcW w:w="1988" w:type="dxa"/>
            <w:noWrap w:val="0"/>
            <w:vAlign w:val="center"/>
          </w:tcPr>
          <w:p w14:paraId="0AF29DB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奈瑟菌/嗜血杆菌检测试剂盒</w:t>
            </w:r>
          </w:p>
        </w:tc>
        <w:tc>
          <w:tcPr>
            <w:tcW w:w="2987" w:type="dxa"/>
            <w:noWrap w:val="0"/>
            <w:vAlign w:val="center"/>
          </w:tcPr>
          <w:p w14:paraId="51652F2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电极Na</w:t>
            </w:r>
          </w:p>
        </w:tc>
        <w:tc>
          <w:tcPr>
            <w:tcW w:w="757" w:type="dxa"/>
            <w:noWrap w:val="0"/>
            <w:vAlign w:val="center"/>
          </w:tcPr>
          <w:p w14:paraId="19091F4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56" w:type="dxa"/>
            <w:noWrap w:val="0"/>
            <w:vAlign w:val="center"/>
          </w:tcPr>
          <w:p w14:paraId="67F643C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10ACFE9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2542" w:type="dxa"/>
            <w:noWrap w:val="0"/>
            <w:vAlign w:val="center"/>
          </w:tcPr>
          <w:p w14:paraId="3F4E47F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全自动微生物鉴定药敏分析仪AF-600</w:t>
            </w:r>
          </w:p>
        </w:tc>
      </w:tr>
      <w:tr w14:paraId="3470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6ECAD5D4">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56</w:t>
            </w:r>
          </w:p>
        </w:tc>
        <w:tc>
          <w:tcPr>
            <w:tcW w:w="1988" w:type="dxa"/>
            <w:noWrap w:val="0"/>
            <w:vAlign w:val="center"/>
          </w:tcPr>
          <w:p w14:paraId="479C533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革兰氏阴性杆菌药敏试剂盒（扩散法）</w:t>
            </w:r>
          </w:p>
        </w:tc>
        <w:tc>
          <w:tcPr>
            <w:tcW w:w="2987" w:type="dxa"/>
            <w:noWrap w:val="0"/>
            <w:vAlign w:val="center"/>
          </w:tcPr>
          <w:p w14:paraId="342EC3F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17瓶/盒</w:t>
            </w:r>
          </w:p>
        </w:tc>
        <w:tc>
          <w:tcPr>
            <w:tcW w:w="757" w:type="dxa"/>
            <w:noWrap w:val="0"/>
            <w:vAlign w:val="center"/>
          </w:tcPr>
          <w:p w14:paraId="511FE47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756" w:type="dxa"/>
            <w:noWrap w:val="0"/>
            <w:vAlign w:val="center"/>
          </w:tcPr>
          <w:p w14:paraId="69B22B0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3C3E005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580</w:t>
            </w:r>
          </w:p>
        </w:tc>
        <w:tc>
          <w:tcPr>
            <w:tcW w:w="2542" w:type="dxa"/>
            <w:noWrap w:val="0"/>
            <w:vAlign w:val="center"/>
          </w:tcPr>
          <w:p w14:paraId="17BB634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手工</w:t>
            </w:r>
          </w:p>
        </w:tc>
      </w:tr>
      <w:tr w14:paraId="1198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046E2C92">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57</w:t>
            </w:r>
          </w:p>
        </w:tc>
        <w:tc>
          <w:tcPr>
            <w:tcW w:w="1988" w:type="dxa"/>
            <w:noWrap w:val="0"/>
            <w:vAlign w:val="center"/>
          </w:tcPr>
          <w:p w14:paraId="37FF4E1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革兰氏阳性球菌药敏试剂盒（扩散法）</w:t>
            </w:r>
          </w:p>
        </w:tc>
        <w:tc>
          <w:tcPr>
            <w:tcW w:w="2987" w:type="dxa"/>
            <w:noWrap w:val="0"/>
            <w:vAlign w:val="center"/>
          </w:tcPr>
          <w:p w14:paraId="0E75CDB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16瓶/盒</w:t>
            </w:r>
          </w:p>
        </w:tc>
        <w:tc>
          <w:tcPr>
            <w:tcW w:w="757" w:type="dxa"/>
            <w:noWrap w:val="0"/>
            <w:vAlign w:val="center"/>
          </w:tcPr>
          <w:p w14:paraId="1A93EA6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756" w:type="dxa"/>
            <w:noWrap w:val="0"/>
            <w:vAlign w:val="center"/>
          </w:tcPr>
          <w:p w14:paraId="41AD29A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77C818C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567</w:t>
            </w:r>
          </w:p>
        </w:tc>
        <w:tc>
          <w:tcPr>
            <w:tcW w:w="2542" w:type="dxa"/>
            <w:noWrap w:val="0"/>
            <w:vAlign w:val="center"/>
          </w:tcPr>
          <w:p w14:paraId="53DB0ED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手工</w:t>
            </w:r>
          </w:p>
        </w:tc>
      </w:tr>
      <w:tr w14:paraId="1233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6E57ECD8">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58</w:t>
            </w:r>
          </w:p>
        </w:tc>
        <w:tc>
          <w:tcPr>
            <w:tcW w:w="1988" w:type="dxa"/>
            <w:noWrap w:val="0"/>
            <w:vAlign w:val="center"/>
          </w:tcPr>
          <w:p w14:paraId="2464FF6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细菌干粉培养基系列（胰酪胨大豆肉汤）</w:t>
            </w:r>
          </w:p>
        </w:tc>
        <w:tc>
          <w:tcPr>
            <w:tcW w:w="2987" w:type="dxa"/>
            <w:noWrap w:val="0"/>
            <w:vAlign w:val="center"/>
          </w:tcPr>
          <w:p w14:paraId="5173D7D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细菌干粉培养基系列（胰酪胨大豆肉汤）</w:t>
            </w:r>
          </w:p>
        </w:tc>
        <w:tc>
          <w:tcPr>
            <w:tcW w:w="757" w:type="dxa"/>
            <w:noWrap w:val="0"/>
            <w:vAlign w:val="center"/>
          </w:tcPr>
          <w:p w14:paraId="34826FB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756" w:type="dxa"/>
            <w:noWrap w:val="0"/>
            <w:vAlign w:val="center"/>
          </w:tcPr>
          <w:p w14:paraId="1E0CB67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028" w:type="dxa"/>
            <w:noWrap w:val="0"/>
            <w:vAlign w:val="center"/>
          </w:tcPr>
          <w:p w14:paraId="24AC3B2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164</w:t>
            </w:r>
          </w:p>
        </w:tc>
        <w:tc>
          <w:tcPr>
            <w:tcW w:w="2542" w:type="dxa"/>
            <w:noWrap w:val="0"/>
            <w:vAlign w:val="center"/>
          </w:tcPr>
          <w:p w14:paraId="7C16829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手工</w:t>
            </w:r>
          </w:p>
        </w:tc>
      </w:tr>
      <w:tr w14:paraId="0B64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9A38FFC">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59</w:t>
            </w:r>
          </w:p>
        </w:tc>
        <w:tc>
          <w:tcPr>
            <w:tcW w:w="1988" w:type="dxa"/>
            <w:noWrap w:val="0"/>
            <w:vAlign w:val="center"/>
          </w:tcPr>
          <w:p w14:paraId="4779AE7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日清洗液</w:t>
            </w:r>
          </w:p>
        </w:tc>
        <w:tc>
          <w:tcPr>
            <w:tcW w:w="2987" w:type="dxa"/>
            <w:noWrap w:val="0"/>
            <w:vAlign w:val="center"/>
          </w:tcPr>
          <w:p w14:paraId="3F86823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100ml</w:t>
            </w:r>
          </w:p>
        </w:tc>
        <w:tc>
          <w:tcPr>
            <w:tcW w:w="757" w:type="dxa"/>
            <w:noWrap w:val="0"/>
            <w:vAlign w:val="center"/>
          </w:tcPr>
          <w:p w14:paraId="6D242EE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756" w:type="dxa"/>
            <w:noWrap w:val="0"/>
            <w:vAlign w:val="center"/>
          </w:tcPr>
          <w:p w14:paraId="7A77F82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028" w:type="dxa"/>
            <w:noWrap w:val="0"/>
            <w:vAlign w:val="center"/>
          </w:tcPr>
          <w:p w14:paraId="370291D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280</w:t>
            </w:r>
          </w:p>
        </w:tc>
        <w:tc>
          <w:tcPr>
            <w:tcW w:w="2542" w:type="dxa"/>
            <w:noWrap w:val="0"/>
            <w:vAlign w:val="center"/>
          </w:tcPr>
          <w:p w14:paraId="7FF5A09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凯特电解质XI-1021F</w:t>
            </w:r>
          </w:p>
        </w:tc>
      </w:tr>
      <w:tr w14:paraId="1DEE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63FE766A">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60</w:t>
            </w:r>
          </w:p>
        </w:tc>
        <w:tc>
          <w:tcPr>
            <w:tcW w:w="1988" w:type="dxa"/>
            <w:noWrap w:val="0"/>
            <w:vAlign w:val="center"/>
          </w:tcPr>
          <w:p w14:paraId="5149FE2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周清洗液</w:t>
            </w:r>
          </w:p>
        </w:tc>
        <w:tc>
          <w:tcPr>
            <w:tcW w:w="2987" w:type="dxa"/>
            <w:noWrap w:val="0"/>
            <w:vAlign w:val="center"/>
          </w:tcPr>
          <w:p w14:paraId="0CD5B3E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100ml</w:t>
            </w:r>
          </w:p>
        </w:tc>
        <w:tc>
          <w:tcPr>
            <w:tcW w:w="757" w:type="dxa"/>
            <w:noWrap w:val="0"/>
            <w:vAlign w:val="center"/>
          </w:tcPr>
          <w:p w14:paraId="12858EA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56" w:type="dxa"/>
            <w:noWrap w:val="0"/>
            <w:vAlign w:val="center"/>
          </w:tcPr>
          <w:p w14:paraId="3129A07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028" w:type="dxa"/>
            <w:noWrap w:val="0"/>
            <w:vAlign w:val="center"/>
          </w:tcPr>
          <w:p w14:paraId="3F20D40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280</w:t>
            </w:r>
          </w:p>
        </w:tc>
        <w:tc>
          <w:tcPr>
            <w:tcW w:w="2542" w:type="dxa"/>
            <w:noWrap w:val="0"/>
            <w:vAlign w:val="center"/>
          </w:tcPr>
          <w:p w14:paraId="40612CC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凯特电解质XI-1021F</w:t>
            </w:r>
          </w:p>
        </w:tc>
      </w:tr>
      <w:tr w14:paraId="4F86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1AE69547">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61</w:t>
            </w:r>
          </w:p>
        </w:tc>
        <w:tc>
          <w:tcPr>
            <w:tcW w:w="1988" w:type="dxa"/>
            <w:noWrap w:val="0"/>
            <w:vAlign w:val="center"/>
          </w:tcPr>
          <w:p w14:paraId="1D5CAE2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钠调整液</w:t>
            </w:r>
          </w:p>
        </w:tc>
        <w:tc>
          <w:tcPr>
            <w:tcW w:w="2987" w:type="dxa"/>
            <w:noWrap w:val="0"/>
            <w:vAlign w:val="center"/>
          </w:tcPr>
          <w:p w14:paraId="532B3DF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100ml</w:t>
            </w:r>
          </w:p>
        </w:tc>
        <w:tc>
          <w:tcPr>
            <w:tcW w:w="757" w:type="dxa"/>
            <w:noWrap w:val="0"/>
            <w:vAlign w:val="center"/>
          </w:tcPr>
          <w:p w14:paraId="74CAF5A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56" w:type="dxa"/>
            <w:noWrap w:val="0"/>
            <w:vAlign w:val="center"/>
          </w:tcPr>
          <w:p w14:paraId="7426908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028" w:type="dxa"/>
            <w:noWrap w:val="0"/>
            <w:vAlign w:val="center"/>
          </w:tcPr>
          <w:p w14:paraId="32A5474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280</w:t>
            </w:r>
          </w:p>
        </w:tc>
        <w:tc>
          <w:tcPr>
            <w:tcW w:w="2542" w:type="dxa"/>
            <w:noWrap w:val="0"/>
            <w:vAlign w:val="center"/>
          </w:tcPr>
          <w:p w14:paraId="43C444C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凯特电解质XI-1021F</w:t>
            </w:r>
          </w:p>
        </w:tc>
      </w:tr>
      <w:tr w14:paraId="69129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5CF49E62">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62</w:t>
            </w:r>
          </w:p>
        </w:tc>
        <w:tc>
          <w:tcPr>
            <w:tcW w:w="1988" w:type="dxa"/>
            <w:noWrap w:val="0"/>
            <w:vAlign w:val="center"/>
          </w:tcPr>
          <w:p w14:paraId="5F83277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离子电极参比液</w:t>
            </w:r>
          </w:p>
        </w:tc>
        <w:tc>
          <w:tcPr>
            <w:tcW w:w="2987" w:type="dxa"/>
            <w:noWrap w:val="0"/>
            <w:vAlign w:val="center"/>
          </w:tcPr>
          <w:p w14:paraId="21E3A63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15ml</w:t>
            </w:r>
          </w:p>
        </w:tc>
        <w:tc>
          <w:tcPr>
            <w:tcW w:w="757" w:type="dxa"/>
            <w:noWrap w:val="0"/>
            <w:vAlign w:val="center"/>
          </w:tcPr>
          <w:p w14:paraId="4384A4C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56" w:type="dxa"/>
            <w:noWrap w:val="0"/>
            <w:vAlign w:val="center"/>
          </w:tcPr>
          <w:p w14:paraId="74B7437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028" w:type="dxa"/>
            <w:noWrap w:val="0"/>
            <w:vAlign w:val="center"/>
          </w:tcPr>
          <w:p w14:paraId="2654DEB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255</w:t>
            </w:r>
          </w:p>
        </w:tc>
        <w:tc>
          <w:tcPr>
            <w:tcW w:w="2542" w:type="dxa"/>
            <w:noWrap w:val="0"/>
            <w:vAlign w:val="center"/>
          </w:tcPr>
          <w:p w14:paraId="7570A0B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凯特电解质XI-1021F</w:t>
            </w:r>
          </w:p>
        </w:tc>
      </w:tr>
      <w:tr w14:paraId="3605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A35FA29">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63</w:t>
            </w:r>
          </w:p>
        </w:tc>
        <w:tc>
          <w:tcPr>
            <w:tcW w:w="1988" w:type="dxa"/>
            <w:noWrap w:val="0"/>
            <w:vAlign w:val="center"/>
          </w:tcPr>
          <w:p w14:paraId="32CFEE0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参比电极参比液</w:t>
            </w:r>
          </w:p>
        </w:tc>
        <w:tc>
          <w:tcPr>
            <w:tcW w:w="2987" w:type="dxa"/>
            <w:noWrap w:val="0"/>
            <w:vAlign w:val="center"/>
          </w:tcPr>
          <w:p w14:paraId="32C340E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15ml</w:t>
            </w:r>
          </w:p>
        </w:tc>
        <w:tc>
          <w:tcPr>
            <w:tcW w:w="757" w:type="dxa"/>
            <w:noWrap w:val="0"/>
            <w:vAlign w:val="center"/>
          </w:tcPr>
          <w:p w14:paraId="3E0A568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56" w:type="dxa"/>
            <w:noWrap w:val="0"/>
            <w:vAlign w:val="center"/>
          </w:tcPr>
          <w:p w14:paraId="0277088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028" w:type="dxa"/>
            <w:noWrap w:val="0"/>
            <w:vAlign w:val="center"/>
          </w:tcPr>
          <w:p w14:paraId="2E8695B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255</w:t>
            </w:r>
          </w:p>
        </w:tc>
        <w:tc>
          <w:tcPr>
            <w:tcW w:w="2542" w:type="dxa"/>
            <w:noWrap w:val="0"/>
            <w:vAlign w:val="center"/>
          </w:tcPr>
          <w:p w14:paraId="3486E2C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凯特电解质XI-1021F</w:t>
            </w:r>
          </w:p>
        </w:tc>
      </w:tr>
      <w:tr w14:paraId="67EE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6A5EE650">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64</w:t>
            </w:r>
          </w:p>
        </w:tc>
        <w:tc>
          <w:tcPr>
            <w:tcW w:w="1988" w:type="dxa"/>
            <w:noWrap w:val="0"/>
            <w:vAlign w:val="center"/>
          </w:tcPr>
          <w:p w14:paraId="64285A4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QC质控</w:t>
            </w:r>
          </w:p>
        </w:tc>
        <w:tc>
          <w:tcPr>
            <w:tcW w:w="2987" w:type="dxa"/>
            <w:noWrap w:val="0"/>
            <w:vAlign w:val="center"/>
          </w:tcPr>
          <w:p w14:paraId="4464291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2ml*50支</w:t>
            </w:r>
          </w:p>
        </w:tc>
        <w:tc>
          <w:tcPr>
            <w:tcW w:w="757" w:type="dxa"/>
            <w:noWrap w:val="0"/>
            <w:vAlign w:val="center"/>
          </w:tcPr>
          <w:p w14:paraId="3C90B9D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756" w:type="dxa"/>
            <w:noWrap w:val="0"/>
            <w:vAlign w:val="center"/>
          </w:tcPr>
          <w:p w14:paraId="2AABAD2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0483259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2542" w:type="dxa"/>
            <w:noWrap w:val="0"/>
            <w:vAlign w:val="center"/>
          </w:tcPr>
          <w:p w14:paraId="2291D69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凯特电解质XI-1021F</w:t>
            </w:r>
          </w:p>
        </w:tc>
      </w:tr>
      <w:tr w14:paraId="0043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00BC6A2C">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65</w:t>
            </w:r>
          </w:p>
        </w:tc>
        <w:tc>
          <w:tcPr>
            <w:tcW w:w="1988" w:type="dxa"/>
            <w:noWrap w:val="0"/>
            <w:vAlign w:val="center"/>
          </w:tcPr>
          <w:p w14:paraId="4CA48A8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钾电极</w:t>
            </w:r>
          </w:p>
        </w:tc>
        <w:tc>
          <w:tcPr>
            <w:tcW w:w="2987" w:type="dxa"/>
            <w:noWrap w:val="0"/>
            <w:vAlign w:val="center"/>
          </w:tcPr>
          <w:p w14:paraId="576FDD0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1只/盒</w:t>
            </w:r>
          </w:p>
        </w:tc>
        <w:tc>
          <w:tcPr>
            <w:tcW w:w="757" w:type="dxa"/>
            <w:noWrap w:val="0"/>
            <w:vAlign w:val="center"/>
          </w:tcPr>
          <w:p w14:paraId="32CF5FD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56" w:type="dxa"/>
            <w:noWrap w:val="0"/>
            <w:vAlign w:val="center"/>
          </w:tcPr>
          <w:p w14:paraId="2BE4521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0E94522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1680</w:t>
            </w:r>
          </w:p>
        </w:tc>
        <w:tc>
          <w:tcPr>
            <w:tcW w:w="2542" w:type="dxa"/>
            <w:noWrap w:val="0"/>
            <w:vAlign w:val="center"/>
          </w:tcPr>
          <w:p w14:paraId="3D84EC8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凯特电解质XI-1021F</w:t>
            </w:r>
          </w:p>
        </w:tc>
      </w:tr>
      <w:tr w14:paraId="5A4F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584470CB">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66</w:t>
            </w:r>
          </w:p>
        </w:tc>
        <w:tc>
          <w:tcPr>
            <w:tcW w:w="1988" w:type="dxa"/>
            <w:noWrap w:val="0"/>
            <w:vAlign w:val="center"/>
          </w:tcPr>
          <w:p w14:paraId="67712B4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氯电极</w:t>
            </w:r>
          </w:p>
        </w:tc>
        <w:tc>
          <w:tcPr>
            <w:tcW w:w="2987" w:type="dxa"/>
            <w:noWrap w:val="0"/>
            <w:vAlign w:val="center"/>
          </w:tcPr>
          <w:p w14:paraId="2FE13C3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1只/盒</w:t>
            </w:r>
          </w:p>
        </w:tc>
        <w:tc>
          <w:tcPr>
            <w:tcW w:w="757" w:type="dxa"/>
            <w:noWrap w:val="0"/>
            <w:vAlign w:val="center"/>
          </w:tcPr>
          <w:p w14:paraId="75B643D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56" w:type="dxa"/>
            <w:noWrap w:val="0"/>
            <w:vAlign w:val="center"/>
          </w:tcPr>
          <w:p w14:paraId="055A3EB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1887193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1680</w:t>
            </w:r>
          </w:p>
        </w:tc>
        <w:tc>
          <w:tcPr>
            <w:tcW w:w="2542" w:type="dxa"/>
            <w:noWrap w:val="0"/>
            <w:vAlign w:val="center"/>
          </w:tcPr>
          <w:p w14:paraId="168BBAC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凯特电解质XI-1021F</w:t>
            </w:r>
          </w:p>
        </w:tc>
      </w:tr>
      <w:tr w14:paraId="0425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756D9F4B">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67</w:t>
            </w:r>
          </w:p>
        </w:tc>
        <w:tc>
          <w:tcPr>
            <w:tcW w:w="1988" w:type="dxa"/>
            <w:noWrap w:val="0"/>
            <w:vAlign w:val="center"/>
          </w:tcPr>
          <w:p w14:paraId="7951F2B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参比电极</w:t>
            </w:r>
          </w:p>
        </w:tc>
        <w:tc>
          <w:tcPr>
            <w:tcW w:w="2987" w:type="dxa"/>
            <w:noWrap w:val="0"/>
            <w:vAlign w:val="center"/>
          </w:tcPr>
          <w:p w14:paraId="0951800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1只/盒</w:t>
            </w:r>
          </w:p>
        </w:tc>
        <w:tc>
          <w:tcPr>
            <w:tcW w:w="757" w:type="dxa"/>
            <w:noWrap w:val="0"/>
            <w:vAlign w:val="center"/>
          </w:tcPr>
          <w:p w14:paraId="23A98FB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56" w:type="dxa"/>
            <w:noWrap w:val="0"/>
            <w:vAlign w:val="center"/>
          </w:tcPr>
          <w:p w14:paraId="4EE5BD9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6E3C6BA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1680</w:t>
            </w:r>
          </w:p>
        </w:tc>
        <w:tc>
          <w:tcPr>
            <w:tcW w:w="2542" w:type="dxa"/>
            <w:noWrap w:val="0"/>
            <w:vAlign w:val="center"/>
          </w:tcPr>
          <w:p w14:paraId="43C99F7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凯特电解质XI-1021F</w:t>
            </w:r>
          </w:p>
        </w:tc>
      </w:tr>
      <w:tr w14:paraId="5FEC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1D0B6D31">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68</w:t>
            </w:r>
          </w:p>
        </w:tc>
        <w:tc>
          <w:tcPr>
            <w:tcW w:w="1988" w:type="dxa"/>
            <w:noWrap w:val="0"/>
            <w:vAlign w:val="center"/>
          </w:tcPr>
          <w:p w14:paraId="0AC77CC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离子检测电极</w:t>
            </w:r>
          </w:p>
        </w:tc>
        <w:tc>
          <w:tcPr>
            <w:tcW w:w="2987" w:type="dxa"/>
            <w:noWrap w:val="0"/>
            <w:vAlign w:val="center"/>
          </w:tcPr>
          <w:p w14:paraId="538324C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电极Na</w:t>
            </w:r>
          </w:p>
        </w:tc>
        <w:tc>
          <w:tcPr>
            <w:tcW w:w="757" w:type="dxa"/>
            <w:noWrap w:val="0"/>
            <w:vAlign w:val="center"/>
          </w:tcPr>
          <w:p w14:paraId="4416825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56" w:type="dxa"/>
            <w:noWrap w:val="0"/>
            <w:vAlign w:val="center"/>
          </w:tcPr>
          <w:p w14:paraId="68BDEB0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28" w:type="dxa"/>
            <w:noWrap w:val="0"/>
            <w:vAlign w:val="center"/>
          </w:tcPr>
          <w:p w14:paraId="59BDB3D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1200</w:t>
            </w:r>
          </w:p>
        </w:tc>
        <w:tc>
          <w:tcPr>
            <w:tcW w:w="2542" w:type="dxa"/>
            <w:noWrap w:val="0"/>
            <w:vAlign w:val="center"/>
          </w:tcPr>
          <w:p w14:paraId="7289FC6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深圳市希莱恒医用电子有限公司H-900</w:t>
            </w:r>
          </w:p>
        </w:tc>
      </w:tr>
      <w:tr w14:paraId="57BE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EACD8C7">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69</w:t>
            </w:r>
          </w:p>
        </w:tc>
        <w:tc>
          <w:tcPr>
            <w:tcW w:w="1988" w:type="dxa"/>
            <w:noWrap w:val="0"/>
            <w:vAlign w:val="center"/>
          </w:tcPr>
          <w:p w14:paraId="7A8095D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电极内冲液（参比电极用）</w:t>
            </w:r>
          </w:p>
        </w:tc>
        <w:tc>
          <w:tcPr>
            <w:tcW w:w="2987" w:type="dxa"/>
            <w:noWrap w:val="0"/>
            <w:vAlign w:val="center"/>
          </w:tcPr>
          <w:p w14:paraId="7948F47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10ml/瓶</w:t>
            </w:r>
          </w:p>
        </w:tc>
        <w:tc>
          <w:tcPr>
            <w:tcW w:w="757" w:type="dxa"/>
            <w:noWrap w:val="0"/>
            <w:vAlign w:val="center"/>
          </w:tcPr>
          <w:p w14:paraId="3B5D115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56" w:type="dxa"/>
            <w:noWrap w:val="0"/>
            <w:vAlign w:val="center"/>
          </w:tcPr>
          <w:p w14:paraId="03A56A6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028" w:type="dxa"/>
            <w:noWrap w:val="0"/>
            <w:vAlign w:val="center"/>
          </w:tcPr>
          <w:p w14:paraId="575EBEB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220</w:t>
            </w:r>
          </w:p>
        </w:tc>
        <w:tc>
          <w:tcPr>
            <w:tcW w:w="2542" w:type="dxa"/>
            <w:noWrap w:val="0"/>
            <w:vAlign w:val="center"/>
          </w:tcPr>
          <w:p w14:paraId="4E04D15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深圳市希莱恒医用电子有限公司H-900</w:t>
            </w:r>
          </w:p>
        </w:tc>
      </w:tr>
      <w:tr w14:paraId="21DD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2572DFBA">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70</w:t>
            </w:r>
          </w:p>
        </w:tc>
        <w:tc>
          <w:tcPr>
            <w:tcW w:w="1988" w:type="dxa"/>
            <w:noWrap w:val="0"/>
            <w:vAlign w:val="center"/>
          </w:tcPr>
          <w:p w14:paraId="4E84DBA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一次性使用样品杯（贝克曼）</w:t>
            </w:r>
          </w:p>
        </w:tc>
        <w:tc>
          <w:tcPr>
            <w:tcW w:w="2987" w:type="dxa"/>
            <w:noWrap w:val="0"/>
            <w:vAlign w:val="center"/>
          </w:tcPr>
          <w:p w14:paraId="7D10589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1000只/袋</w:t>
            </w:r>
          </w:p>
        </w:tc>
        <w:tc>
          <w:tcPr>
            <w:tcW w:w="757" w:type="dxa"/>
            <w:noWrap w:val="0"/>
            <w:vAlign w:val="center"/>
          </w:tcPr>
          <w:p w14:paraId="3F1760F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c>
          <w:tcPr>
            <w:tcW w:w="756" w:type="dxa"/>
            <w:noWrap w:val="0"/>
            <w:vAlign w:val="center"/>
          </w:tcPr>
          <w:p w14:paraId="4FF7AE5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袋</w:t>
            </w:r>
          </w:p>
        </w:tc>
        <w:tc>
          <w:tcPr>
            <w:tcW w:w="1028" w:type="dxa"/>
            <w:noWrap w:val="0"/>
            <w:vAlign w:val="center"/>
          </w:tcPr>
          <w:p w14:paraId="3A5382E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115</w:t>
            </w:r>
          </w:p>
        </w:tc>
        <w:tc>
          <w:tcPr>
            <w:tcW w:w="2542" w:type="dxa"/>
            <w:noWrap w:val="0"/>
            <w:vAlign w:val="center"/>
          </w:tcPr>
          <w:p w14:paraId="191C941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手工</w:t>
            </w:r>
          </w:p>
        </w:tc>
      </w:tr>
      <w:tr w14:paraId="672D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7738A3C3">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71</w:t>
            </w:r>
          </w:p>
        </w:tc>
        <w:tc>
          <w:tcPr>
            <w:tcW w:w="1988" w:type="dxa"/>
            <w:noWrap w:val="0"/>
            <w:vAlign w:val="center"/>
          </w:tcPr>
          <w:p w14:paraId="7ED9B6A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INR质控品（水平1）</w:t>
            </w:r>
          </w:p>
        </w:tc>
        <w:tc>
          <w:tcPr>
            <w:tcW w:w="2987" w:type="dxa"/>
            <w:noWrap w:val="0"/>
            <w:vAlign w:val="center"/>
          </w:tcPr>
          <w:p w14:paraId="13A28F8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1ml/支*10支/盒</w:t>
            </w:r>
          </w:p>
        </w:tc>
        <w:tc>
          <w:tcPr>
            <w:tcW w:w="757" w:type="dxa"/>
            <w:noWrap w:val="0"/>
            <w:vAlign w:val="center"/>
          </w:tcPr>
          <w:p w14:paraId="2F49A36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756" w:type="dxa"/>
            <w:noWrap w:val="0"/>
            <w:vAlign w:val="center"/>
          </w:tcPr>
          <w:p w14:paraId="178BC10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67767DF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215</w:t>
            </w:r>
          </w:p>
        </w:tc>
        <w:tc>
          <w:tcPr>
            <w:tcW w:w="2542" w:type="dxa"/>
            <w:noWrap w:val="0"/>
            <w:vAlign w:val="center"/>
          </w:tcPr>
          <w:p w14:paraId="2D1986F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全自动凝血分析仪RAC-2800</w:t>
            </w:r>
          </w:p>
        </w:tc>
      </w:tr>
      <w:tr w14:paraId="0C6A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01206A88">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72</w:t>
            </w:r>
          </w:p>
        </w:tc>
        <w:tc>
          <w:tcPr>
            <w:tcW w:w="1988" w:type="dxa"/>
            <w:noWrap w:val="0"/>
            <w:vAlign w:val="center"/>
          </w:tcPr>
          <w:p w14:paraId="708A341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INR质控品（水平2）</w:t>
            </w:r>
          </w:p>
        </w:tc>
        <w:tc>
          <w:tcPr>
            <w:tcW w:w="2987" w:type="dxa"/>
            <w:noWrap w:val="0"/>
            <w:vAlign w:val="center"/>
          </w:tcPr>
          <w:p w14:paraId="629F540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1ml/支*10支/盒</w:t>
            </w:r>
          </w:p>
        </w:tc>
        <w:tc>
          <w:tcPr>
            <w:tcW w:w="757" w:type="dxa"/>
            <w:noWrap w:val="0"/>
            <w:vAlign w:val="center"/>
          </w:tcPr>
          <w:p w14:paraId="4D5BDAE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756" w:type="dxa"/>
            <w:noWrap w:val="0"/>
            <w:vAlign w:val="center"/>
          </w:tcPr>
          <w:p w14:paraId="5C34FCA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01E36C9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215</w:t>
            </w:r>
          </w:p>
        </w:tc>
        <w:tc>
          <w:tcPr>
            <w:tcW w:w="2542" w:type="dxa"/>
            <w:noWrap w:val="0"/>
            <w:vAlign w:val="center"/>
          </w:tcPr>
          <w:p w14:paraId="35E439A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全自动凝血分析仪RAC-2800</w:t>
            </w:r>
          </w:p>
        </w:tc>
      </w:tr>
      <w:tr w14:paraId="1C13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6563104A">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73</w:t>
            </w:r>
          </w:p>
        </w:tc>
        <w:tc>
          <w:tcPr>
            <w:tcW w:w="1988" w:type="dxa"/>
            <w:noWrap w:val="0"/>
            <w:vAlign w:val="center"/>
          </w:tcPr>
          <w:p w14:paraId="720A6AC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糖类抗原19-9校准品</w:t>
            </w:r>
          </w:p>
        </w:tc>
        <w:tc>
          <w:tcPr>
            <w:tcW w:w="2987" w:type="dxa"/>
            <w:noWrap w:val="0"/>
            <w:vAlign w:val="center"/>
          </w:tcPr>
          <w:p w14:paraId="4CA9B2B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3瓶;C0:1×2.0 mL,C1:1×2.0mL,C2:1×2.0mL</w:t>
            </w:r>
          </w:p>
        </w:tc>
        <w:tc>
          <w:tcPr>
            <w:tcW w:w="757" w:type="dxa"/>
            <w:noWrap w:val="0"/>
            <w:vAlign w:val="center"/>
          </w:tcPr>
          <w:p w14:paraId="5B89431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56" w:type="dxa"/>
            <w:noWrap w:val="0"/>
            <w:vAlign w:val="center"/>
          </w:tcPr>
          <w:p w14:paraId="1F4A859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26D3AAD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756</w:t>
            </w:r>
          </w:p>
        </w:tc>
        <w:tc>
          <w:tcPr>
            <w:tcW w:w="2542" w:type="dxa"/>
            <w:noWrap w:val="0"/>
            <w:vAlign w:val="center"/>
          </w:tcPr>
          <w:p w14:paraId="33CBAB1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4ED4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F6FBA0A">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74</w:t>
            </w:r>
          </w:p>
        </w:tc>
        <w:tc>
          <w:tcPr>
            <w:tcW w:w="1988" w:type="dxa"/>
            <w:noWrap w:val="0"/>
            <w:vAlign w:val="center"/>
          </w:tcPr>
          <w:p w14:paraId="4582E78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癌抗原CA72-4校准品</w:t>
            </w:r>
          </w:p>
        </w:tc>
        <w:tc>
          <w:tcPr>
            <w:tcW w:w="2987" w:type="dxa"/>
            <w:noWrap w:val="0"/>
            <w:vAlign w:val="center"/>
          </w:tcPr>
          <w:p w14:paraId="269A204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3瓶;C0:1×2.0 mL,C1:1×2.0mL,C2:1×2.0mL</w:t>
            </w:r>
          </w:p>
        </w:tc>
        <w:tc>
          <w:tcPr>
            <w:tcW w:w="757" w:type="dxa"/>
            <w:noWrap w:val="0"/>
            <w:vAlign w:val="center"/>
          </w:tcPr>
          <w:p w14:paraId="3A0BF3F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56" w:type="dxa"/>
            <w:noWrap w:val="0"/>
            <w:vAlign w:val="center"/>
          </w:tcPr>
          <w:p w14:paraId="1F9E084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0D97DCE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441</w:t>
            </w:r>
          </w:p>
        </w:tc>
        <w:tc>
          <w:tcPr>
            <w:tcW w:w="2542" w:type="dxa"/>
            <w:noWrap w:val="0"/>
            <w:vAlign w:val="center"/>
          </w:tcPr>
          <w:p w14:paraId="371939F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3A38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24F72D62">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75</w:t>
            </w:r>
          </w:p>
        </w:tc>
        <w:tc>
          <w:tcPr>
            <w:tcW w:w="1988" w:type="dxa"/>
            <w:noWrap w:val="0"/>
            <w:vAlign w:val="center"/>
          </w:tcPr>
          <w:p w14:paraId="4A4B0BD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促甲状腺素受体抗体校准品-次抛</w:t>
            </w:r>
          </w:p>
        </w:tc>
        <w:tc>
          <w:tcPr>
            <w:tcW w:w="2987" w:type="dxa"/>
            <w:noWrap w:val="0"/>
            <w:vAlign w:val="center"/>
          </w:tcPr>
          <w:p w14:paraId="45D41C0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3瓶;C0:1×2.0 mL,C1:1×2.0mL,C2:1×2.0mL</w:t>
            </w:r>
          </w:p>
        </w:tc>
        <w:tc>
          <w:tcPr>
            <w:tcW w:w="757" w:type="dxa"/>
            <w:noWrap w:val="0"/>
            <w:vAlign w:val="center"/>
          </w:tcPr>
          <w:p w14:paraId="1982481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56" w:type="dxa"/>
            <w:noWrap w:val="0"/>
            <w:vAlign w:val="center"/>
          </w:tcPr>
          <w:p w14:paraId="5FED014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4A57346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423</w:t>
            </w:r>
          </w:p>
        </w:tc>
        <w:tc>
          <w:tcPr>
            <w:tcW w:w="2542" w:type="dxa"/>
            <w:noWrap w:val="0"/>
            <w:vAlign w:val="center"/>
          </w:tcPr>
          <w:p w14:paraId="2822CD2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23C4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2C5294AC">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76</w:t>
            </w:r>
          </w:p>
        </w:tc>
        <w:tc>
          <w:tcPr>
            <w:tcW w:w="1988" w:type="dxa"/>
            <w:noWrap w:val="0"/>
            <w:vAlign w:val="center"/>
          </w:tcPr>
          <w:p w14:paraId="7F2C84B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糖化血红蛋白溶血剂</w:t>
            </w:r>
          </w:p>
        </w:tc>
        <w:tc>
          <w:tcPr>
            <w:tcW w:w="2987" w:type="dxa"/>
            <w:noWrap w:val="0"/>
            <w:vAlign w:val="center"/>
          </w:tcPr>
          <w:p w14:paraId="4072F80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2L×3瓶/箱</w:t>
            </w:r>
          </w:p>
        </w:tc>
        <w:tc>
          <w:tcPr>
            <w:tcW w:w="757" w:type="dxa"/>
            <w:noWrap w:val="0"/>
            <w:vAlign w:val="center"/>
          </w:tcPr>
          <w:p w14:paraId="6F91DC8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756" w:type="dxa"/>
            <w:noWrap w:val="0"/>
            <w:vAlign w:val="center"/>
          </w:tcPr>
          <w:p w14:paraId="7FF9815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箱</w:t>
            </w:r>
          </w:p>
        </w:tc>
        <w:tc>
          <w:tcPr>
            <w:tcW w:w="1028" w:type="dxa"/>
            <w:noWrap w:val="0"/>
            <w:vAlign w:val="center"/>
          </w:tcPr>
          <w:p w14:paraId="2C69A19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2030</w:t>
            </w:r>
          </w:p>
        </w:tc>
        <w:tc>
          <w:tcPr>
            <w:tcW w:w="2542" w:type="dxa"/>
            <w:noWrap w:val="0"/>
            <w:vAlign w:val="center"/>
          </w:tcPr>
          <w:p w14:paraId="50BB465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迈瑞BS-6800P全自动血细胞分析流水线---H50</w:t>
            </w:r>
          </w:p>
        </w:tc>
      </w:tr>
      <w:tr w14:paraId="07A1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76FD6727">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77</w:t>
            </w:r>
          </w:p>
        </w:tc>
        <w:tc>
          <w:tcPr>
            <w:tcW w:w="1988" w:type="dxa"/>
            <w:noWrap w:val="0"/>
            <w:vAlign w:val="center"/>
          </w:tcPr>
          <w:p w14:paraId="06C9830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全自动凝血仪测试杯</w:t>
            </w:r>
          </w:p>
        </w:tc>
        <w:tc>
          <w:tcPr>
            <w:tcW w:w="2987" w:type="dxa"/>
            <w:noWrap w:val="0"/>
            <w:vAlign w:val="center"/>
          </w:tcPr>
          <w:p w14:paraId="22F450B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2000个/盒</w:t>
            </w:r>
          </w:p>
        </w:tc>
        <w:tc>
          <w:tcPr>
            <w:tcW w:w="757" w:type="dxa"/>
            <w:noWrap w:val="0"/>
            <w:vAlign w:val="center"/>
          </w:tcPr>
          <w:p w14:paraId="2C77C2E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756" w:type="dxa"/>
            <w:noWrap w:val="0"/>
            <w:vAlign w:val="center"/>
          </w:tcPr>
          <w:p w14:paraId="74EBAFC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01F5CF7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1680</w:t>
            </w:r>
          </w:p>
        </w:tc>
        <w:tc>
          <w:tcPr>
            <w:tcW w:w="2542" w:type="dxa"/>
            <w:noWrap w:val="0"/>
            <w:vAlign w:val="center"/>
          </w:tcPr>
          <w:p w14:paraId="069202F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全自动凝血分析仪RAC-2800</w:t>
            </w:r>
          </w:p>
        </w:tc>
      </w:tr>
      <w:tr w14:paraId="6BE9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200DD640">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78</w:t>
            </w:r>
          </w:p>
        </w:tc>
        <w:tc>
          <w:tcPr>
            <w:tcW w:w="1988" w:type="dxa"/>
            <w:noWrap w:val="0"/>
            <w:vAlign w:val="center"/>
          </w:tcPr>
          <w:p w14:paraId="1C5E4FC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催乳素（PRL）校准品（化学发光法）</w:t>
            </w:r>
          </w:p>
        </w:tc>
        <w:tc>
          <w:tcPr>
            <w:tcW w:w="2987" w:type="dxa"/>
            <w:noWrap w:val="0"/>
            <w:vAlign w:val="center"/>
          </w:tcPr>
          <w:p w14:paraId="5DC2147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3×2.0mL</w:t>
            </w:r>
          </w:p>
        </w:tc>
        <w:tc>
          <w:tcPr>
            <w:tcW w:w="757" w:type="dxa"/>
            <w:noWrap w:val="0"/>
            <w:vAlign w:val="center"/>
          </w:tcPr>
          <w:p w14:paraId="5ECA6C9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56" w:type="dxa"/>
            <w:noWrap w:val="0"/>
            <w:vAlign w:val="center"/>
          </w:tcPr>
          <w:p w14:paraId="5D726D5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7FDBE41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630</w:t>
            </w:r>
          </w:p>
        </w:tc>
        <w:tc>
          <w:tcPr>
            <w:tcW w:w="2542" w:type="dxa"/>
            <w:noWrap w:val="0"/>
            <w:vAlign w:val="center"/>
          </w:tcPr>
          <w:p w14:paraId="7F8BBE5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6B0D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2504726B">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79</w:t>
            </w:r>
          </w:p>
        </w:tc>
        <w:tc>
          <w:tcPr>
            <w:tcW w:w="1988" w:type="dxa"/>
            <w:noWrap w:val="0"/>
            <w:vAlign w:val="center"/>
          </w:tcPr>
          <w:p w14:paraId="7DC598F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无菌矿物油</w:t>
            </w:r>
          </w:p>
        </w:tc>
        <w:tc>
          <w:tcPr>
            <w:tcW w:w="2987" w:type="dxa"/>
            <w:noWrap w:val="0"/>
            <w:vAlign w:val="center"/>
          </w:tcPr>
          <w:p w14:paraId="50DE947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10支/盒</w:t>
            </w:r>
          </w:p>
        </w:tc>
        <w:tc>
          <w:tcPr>
            <w:tcW w:w="757" w:type="dxa"/>
            <w:noWrap w:val="0"/>
            <w:vAlign w:val="center"/>
          </w:tcPr>
          <w:p w14:paraId="75564E4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56" w:type="dxa"/>
            <w:noWrap w:val="0"/>
            <w:vAlign w:val="center"/>
          </w:tcPr>
          <w:p w14:paraId="09B5D8E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2B578E9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2542" w:type="dxa"/>
            <w:noWrap w:val="0"/>
            <w:vAlign w:val="center"/>
          </w:tcPr>
          <w:p w14:paraId="03C8D6E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全自动微生物鉴定药敏分析仪AF-600</w:t>
            </w:r>
          </w:p>
        </w:tc>
      </w:tr>
      <w:tr w14:paraId="031B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D7C201B">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80</w:t>
            </w:r>
          </w:p>
        </w:tc>
        <w:tc>
          <w:tcPr>
            <w:tcW w:w="1988" w:type="dxa"/>
            <w:noWrap w:val="0"/>
            <w:vAlign w:val="center"/>
          </w:tcPr>
          <w:p w14:paraId="4BF64AF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ABO血型定型红细胞试剂（人红细胞）</w:t>
            </w:r>
          </w:p>
        </w:tc>
        <w:tc>
          <w:tcPr>
            <w:tcW w:w="2987" w:type="dxa"/>
            <w:noWrap w:val="0"/>
            <w:vAlign w:val="center"/>
          </w:tcPr>
          <w:p w14:paraId="2F5119A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A1，B，O各1支/盒，10ml/支</w:t>
            </w:r>
          </w:p>
        </w:tc>
        <w:tc>
          <w:tcPr>
            <w:tcW w:w="757" w:type="dxa"/>
            <w:noWrap w:val="0"/>
            <w:vAlign w:val="center"/>
          </w:tcPr>
          <w:p w14:paraId="5619115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756" w:type="dxa"/>
            <w:noWrap w:val="0"/>
            <w:vAlign w:val="center"/>
          </w:tcPr>
          <w:p w14:paraId="7EA3F8B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50C8545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165</w:t>
            </w:r>
          </w:p>
        </w:tc>
        <w:tc>
          <w:tcPr>
            <w:tcW w:w="2542" w:type="dxa"/>
            <w:noWrap w:val="0"/>
            <w:vAlign w:val="center"/>
          </w:tcPr>
          <w:p w14:paraId="378C0B1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手工</w:t>
            </w:r>
          </w:p>
        </w:tc>
      </w:tr>
      <w:tr w14:paraId="6E16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667A019">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81</w:t>
            </w:r>
          </w:p>
        </w:tc>
        <w:tc>
          <w:tcPr>
            <w:tcW w:w="1988" w:type="dxa"/>
            <w:noWrap w:val="0"/>
            <w:vAlign w:val="center"/>
          </w:tcPr>
          <w:p w14:paraId="01C0110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加样仪耗材（TIP头）</w:t>
            </w:r>
          </w:p>
        </w:tc>
        <w:tc>
          <w:tcPr>
            <w:tcW w:w="2987" w:type="dxa"/>
            <w:noWrap w:val="0"/>
            <w:vAlign w:val="center"/>
          </w:tcPr>
          <w:p w14:paraId="534C1F4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100支/包</w:t>
            </w:r>
          </w:p>
        </w:tc>
        <w:tc>
          <w:tcPr>
            <w:tcW w:w="757" w:type="dxa"/>
            <w:noWrap w:val="0"/>
            <w:vAlign w:val="center"/>
          </w:tcPr>
          <w:p w14:paraId="05B1130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756" w:type="dxa"/>
            <w:noWrap w:val="0"/>
            <w:vAlign w:val="center"/>
          </w:tcPr>
          <w:p w14:paraId="0CFD78B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包</w:t>
            </w:r>
          </w:p>
        </w:tc>
        <w:tc>
          <w:tcPr>
            <w:tcW w:w="1028" w:type="dxa"/>
            <w:noWrap w:val="0"/>
            <w:vAlign w:val="center"/>
          </w:tcPr>
          <w:p w14:paraId="2D6B49E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350</w:t>
            </w:r>
          </w:p>
        </w:tc>
        <w:tc>
          <w:tcPr>
            <w:tcW w:w="2542" w:type="dxa"/>
            <w:noWrap w:val="0"/>
            <w:vAlign w:val="center"/>
          </w:tcPr>
          <w:p w14:paraId="3FEE56D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全自动微生物鉴定药敏分析仪AF-600</w:t>
            </w:r>
          </w:p>
        </w:tc>
      </w:tr>
      <w:tr w14:paraId="2B14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7BD440D8">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82</w:t>
            </w:r>
          </w:p>
        </w:tc>
        <w:tc>
          <w:tcPr>
            <w:tcW w:w="1988" w:type="dxa"/>
            <w:noWrap w:val="0"/>
            <w:vAlign w:val="center"/>
          </w:tcPr>
          <w:p w14:paraId="60A93C1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八联管</w:t>
            </w:r>
          </w:p>
        </w:tc>
        <w:tc>
          <w:tcPr>
            <w:tcW w:w="2987" w:type="dxa"/>
            <w:noWrap w:val="0"/>
            <w:vAlign w:val="center"/>
          </w:tcPr>
          <w:p w14:paraId="3F94F88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0，2ml/支 200/袋</w:t>
            </w:r>
          </w:p>
        </w:tc>
        <w:tc>
          <w:tcPr>
            <w:tcW w:w="757" w:type="dxa"/>
            <w:noWrap w:val="0"/>
            <w:vAlign w:val="center"/>
          </w:tcPr>
          <w:p w14:paraId="0A36046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56" w:type="dxa"/>
            <w:noWrap w:val="0"/>
            <w:vAlign w:val="center"/>
          </w:tcPr>
          <w:p w14:paraId="57093CD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袋</w:t>
            </w:r>
          </w:p>
        </w:tc>
        <w:tc>
          <w:tcPr>
            <w:tcW w:w="1028" w:type="dxa"/>
            <w:noWrap w:val="0"/>
            <w:vAlign w:val="center"/>
          </w:tcPr>
          <w:p w14:paraId="3C7C90D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70</w:t>
            </w:r>
          </w:p>
        </w:tc>
        <w:tc>
          <w:tcPr>
            <w:tcW w:w="2542" w:type="dxa"/>
            <w:noWrap w:val="0"/>
            <w:vAlign w:val="center"/>
          </w:tcPr>
          <w:p w14:paraId="5A59A82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手工</w:t>
            </w:r>
          </w:p>
        </w:tc>
      </w:tr>
      <w:tr w14:paraId="461C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7B57A2D">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83</w:t>
            </w:r>
          </w:p>
        </w:tc>
        <w:tc>
          <w:tcPr>
            <w:tcW w:w="1988" w:type="dxa"/>
            <w:noWrap w:val="0"/>
            <w:vAlign w:val="center"/>
          </w:tcPr>
          <w:p w14:paraId="2090969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高级镜油</w:t>
            </w:r>
          </w:p>
        </w:tc>
        <w:tc>
          <w:tcPr>
            <w:tcW w:w="2987" w:type="dxa"/>
            <w:noWrap w:val="0"/>
            <w:vAlign w:val="center"/>
          </w:tcPr>
          <w:p w14:paraId="7202AB2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5ml/支</w:t>
            </w:r>
          </w:p>
        </w:tc>
        <w:tc>
          <w:tcPr>
            <w:tcW w:w="757" w:type="dxa"/>
            <w:noWrap w:val="0"/>
            <w:vAlign w:val="center"/>
          </w:tcPr>
          <w:p w14:paraId="4B24FF2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756" w:type="dxa"/>
            <w:noWrap w:val="0"/>
            <w:vAlign w:val="center"/>
          </w:tcPr>
          <w:p w14:paraId="383F435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支</w:t>
            </w:r>
          </w:p>
        </w:tc>
        <w:tc>
          <w:tcPr>
            <w:tcW w:w="1028" w:type="dxa"/>
            <w:noWrap w:val="0"/>
            <w:vAlign w:val="center"/>
          </w:tcPr>
          <w:p w14:paraId="03D0F84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2542" w:type="dxa"/>
            <w:noWrap w:val="0"/>
            <w:vAlign w:val="center"/>
          </w:tcPr>
          <w:p w14:paraId="435F421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手工</w:t>
            </w:r>
          </w:p>
        </w:tc>
      </w:tr>
      <w:tr w14:paraId="7325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7C597B43">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84</w:t>
            </w:r>
          </w:p>
        </w:tc>
        <w:tc>
          <w:tcPr>
            <w:tcW w:w="1988" w:type="dxa"/>
            <w:noWrap w:val="0"/>
            <w:vAlign w:val="center"/>
          </w:tcPr>
          <w:p w14:paraId="23E16EC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擦镜纸</w:t>
            </w:r>
          </w:p>
        </w:tc>
        <w:tc>
          <w:tcPr>
            <w:tcW w:w="2987" w:type="dxa"/>
            <w:noWrap w:val="0"/>
            <w:vAlign w:val="center"/>
          </w:tcPr>
          <w:p w14:paraId="2A9F7B7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10cm*7.5cm</w:t>
            </w:r>
          </w:p>
        </w:tc>
        <w:tc>
          <w:tcPr>
            <w:tcW w:w="757" w:type="dxa"/>
            <w:noWrap w:val="0"/>
            <w:vAlign w:val="center"/>
          </w:tcPr>
          <w:p w14:paraId="0F640AD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56" w:type="dxa"/>
            <w:noWrap w:val="0"/>
            <w:vAlign w:val="center"/>
          </w:tcPr>
          <w:p w14:paraId="51A7AE3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本</w:t>
            </w:r>
          </w:p>
        </w:tc>
        <w:tc>
          <w:tcPr>
            <w:tcW w:w="1028" w:type="dxa"/>
            <w:noWrap w:val="0"/>
            <w:vAlign w:val="center"/>
          </w:tcPr>
          <w:p w14:paraId="1484F9B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542" w:type="dxa"/>
            <w:noWrap w:val="0"/>
            <w:vAlign w:val="center"/>
          </w:tcPr>
          <w:p w14:paraId="4C0BCD5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手工</w:t>
            </w:r>
          </w:p>
        </w:tc>
      </w:tr>
      <w:tr w14:paraId="2A60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5242D30E">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85</w:t>
            </w:r>
          </w:p>
        </w:tc>
        <w:tc>
          <w:tcPr>
            <w:tcW w:w="1988" w:type="dxa"/>
            <w:noWrap w:val="0"/>
            <w:vAlign w:val="center"/>
          </w:tcPr>
          <w:p w14:paraId="1A43B96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ABO血型正反定型及Rh血型检测卡（微柱凝胶)（ABDX1）</w:t>
            </w:r>
          </w:p>
        </w:tc>
        <w:tc>
          <w:tcPr>
            <w:tcW w:w="2987" w:type="dxa"/>
            <w:noWrap w:val="0"/>
            <w:vAlign w:val="center"/>
          </w:tcPr>
          <w:p w14:paraId="34847A2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8孔/卡，5*12卡/盒</w:t>
            </w:r>
          </w:p>
        </w:tc>
        <w:tc>
          <w:tcPr>
            <w:tcW w:w="757" w:type="dxa"/>
            <w:noWrap w:val="0"/>
            <w:vAlign w:val="center"/>
          </w:tcPr>
          <w:p w14:paraId="08B3A0D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756" w:type="dxa"/>
            <w:noWrap w:val="0"/>
            <w:vAlign w:val="center"/>
          </w:tcPr>
          <w:p w14:paraId="1D5CA13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0D5256B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1100</w:t>
            </w:r>
          </w:p>
        </w:tc>
        <w:tc>
          <w:tcPr>
            <w:tcW w:w="2542" w:type="dxa"/>
            <w:noWrap w:val="0"/>
            <w:vAlign w:val="center"/>
          </w:tcPr>
          <w:p w14:paraId="228F27A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麦科田全自动血型分析仪BT-70</w:t>
            </w:r>
          </w:p>
        </w:tc>
      </w:tr>
      <w:tr w14:paraId="1C84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095E99F">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86</w:t>
            </w:r>
          </w:p>
        </w:tc>
        <w:tc>
          <w:tcPr>
            <w:tcW w:w="1988" w:type="dxa"/>
            <w:noWrap w:val="0"/>
            <w:vAlign w:val="center"/>
          </w:tcPr>
          <w:p w14:paraId="06B54FE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T1000透明吸头盒装</w:t>
            </w:r>
          </w:p>
        </w:tc>
        <w:tc>
          <w:tcPr>
            <w:tcW w:w="2987" w:type="dxa"/>
            <w:noWrap w:val="0"/>
            <w:vAlign w:val="center"/>
          </w:tcPr>
          <w:p w14:paraId="5982558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2304个/箱、1000ul/个</w:t>
            </w:r>
          </w:p>
        </w:tc>
        <w:tc>
          <w:tcPr>
            <w:tcW w:w="757" w:type="dxa"/>
            <w:noWrap w:val="0"/>
            <w:vAlign w:val="center"/>
          </w:tcPr>
          <w:p w14:paraId="7346000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56" w:type="dxa"/>
            <w:noWrap w:val="0"/>
            <w:vAlign w:val="center"/>
          </w:tcPr>
          <w:p w14:paraId="252A277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箱</w:t>
            </w:r>
          </w:p>
        </w:tc>
        <w:tc>
          <w:tcPr>
            <w:tcW w:w="1028" w:type="dxa"/>
            <w:noWrap w:val="0"/>
            <w:vAlign w:val="center"/>
          </w:tcPr>
          <w:p w14:paraId="535534C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775</w:t>
            </w:r>
          </w:p>
        </w:tc>
        <w:tc>
          <w:tcPr>
            <w:tcW w:w="2542" w:type="dxa"/>
            <w:noWrap w:val="0"/>
            <w:vAlign w:val="center"/>
          </w:tcPr>
          <w:p w14:paraId="533E475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麦科田全自动血型分析仪BT-70</w:t>
            </w:r>
          </w:p>
        </w:tc>
      </w:tr>
      <w:tr w14:paraId="5240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4A39BE4">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87</w:t>
            </w:r>
          </w:p>
        </w:tc>
        <w:tc>
          <w:tcPr>
            <w:tcW w:w="1988" w:type="dxa"/>
            <w:noWrap w:val="0"/>
            <w:vAlign w:val="center"/>
          </w:tcPr>
          <w:p w14:paraId="0B34AC2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清洗液</w:t>
            </w:r>
          </w:p>
        </w:tc>
        <w:tc>
          <w:tcPr>
            <w:tcW w:w="2987" w:type="dxa"/>
            <w:noWrap w:val="0"/>
            <w:vAlign w:val="center"/>
          </w:tcPr>
          <w:p w14:paraId="15CF5AF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10L</w:t>
            </w:r>
          </w:p>
        </w:tc>
        <w:tc>
          <w:tcPr>
            <w:tcW w:w="757" w:type="dxa"/>
            <w:noWrap w:val="0"/>
            <w:vAlign w:val="center"/>
          </w:tcPr>
          <w:p w14:paraId="1FD3369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756" w:type="dxa"/>
            <w:noWrap w:val="0"/>
            <w:vAlign w:val="center"/>
          </w:tcPr>
          <w:p w14:paraId="789BFAD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箱</w:t>
            </w:r>
          </w:p>
        </w:tc>
        <w:tc>
          <w:tcPr>
            <w:tcW w:w="1028" w:type="dxa"/>
            <w:noWrap w:val="0"/>
            <w:vAlign w:val="center"/>
          </w:tcPr>
          <w:p w14:paraId="6E90145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213</w:t>
            </w:r>
          </w:p>
        </w:tc>
        <w:tc>
          <w:tcPr>
            <w:tcW w:w="2542" w:type="dxa"/>
            <w:noWrap w:val="0"/>
            <w:vAlign w:val="center"/>
          </w:tcPr>
          <w:p w14:paraId="047C1D9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297B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5788A0B1">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88</w:t>
            </w:r>
          </w:p>
        </w:tc>
        <w:tc>
          <w:tcPr>
            <w:tcW w:w="1988" w:type="dxa"/>
            <w:noWrap w:val="0"/>
            <w:vAlign w:val="center"/>
          </w:tcPr>
          <w:p w14:paraId="6AE1009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芽孢杆菌检测试剂盒</w:t>
            </w:r>
          </w:p>
        </w:tc>
        <w:tc>
          <w:tcPr>
            <w:tcW w:w="2987" w:type="dxa"/>
            <w:noWrap w:val="0"/>
            <w:vAlign w:val="center"/>
          </w:tcPr>
          <w:p w14:paraId="48C7A78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10测试/盒</w:t>
            </w:r>
          </w:p>
        </w:tc>
        <w:tc>
          <w:tcPr>
            <w:tcW w:w="757" w:type="dxa"/>
            <w:noWrap w:val="0"/>
            <w:vAlign w:val="center"/>
          </w:tcPr>
          <w:p w14:paraId="37F1447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56" w:type="dxa"/>
            <w:noWrap w:val="0"/>
            <w:vAlign w:val="center"/>
          </w:tcPr>
          <w:p w14:paraId="2E215B6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5E4D49C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2542" w:type="dxa"/>
            <w:noWrap w:val="0"/>
            <w:vAlign w:val="center"/>
          </w:tcPr>
          <w:p w14:paraId="2056B7B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全自动微生物鉴定药敏分析仪AF-600</w:t>
            </w:r>
          </w:p>
        </w:tc>
      </w:tr>
      <w:tr w14:paraId="6651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9E67878">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89</w:t>
            </w:r>
          </w:p>
        </w:tc>
        <w:tc>
          <w:tcPr>
            <w:tcW w:w="1988" w:type="dxa"/>
            <w:noWrap w:val="0"/>
            <w:vAlign w:val="center"/>
          </w:tcPr>
          <w:p w14:paraId="5EED59C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弧菌科细菌检测试剂盒</w:t>
            </w:r>
          </w:p>
        </w:tc>
        <w:tc>
          <w:tcPr>
            <w:tcW w:w="2987" w:type="dxa"/>
            <w:noWrap w:val="0"/>
            <w:vAlign w:val="center"/>
          </w:tcPr>
          <w:p w14:paraId="06DDC5B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10测试/盒</w:t>
            </w:r>
          </w:p>
        </w:tc>
        <w:tc>
          <w:tcPr>
            <w:tcW w:w="757" w:type="dxa"/>
            <w:noWrap w:val="0"/>
            <w:vAlign w:val="center"/>
          </w:tcPr>
          <w:p w14:paraId="62C2E27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56" w:type="dxa"/>
            <w:noWrap w:val="0"/>
            <w:vAlign w:val="center"/>
          </w:tcPr>
          <w:p w14:paraId="4836936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2673DC8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2542" w:type="dxa"/>
            <w:noWrap w:val="0"/>
            <w:vAlign w:val="center"/>
          </w:tcPr>
          <w:p w14:paraId="5DCB7D0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全自动微生物鉴定药敏分析仪AF-600</w:t>
            </w:r>
          </w:p>
        </w:tc>
      </w:tr>
      <w:tr w14:paraId="75B3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262B64E">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90</w:t>
            </w:r>
          </w:p>
        </w:tc>
        <w:tc>
          <w:tcPr>
            <w:tcW w:w="1988" w:type="dxa"/>
            <w:noWrap w:val="0"/>
            <w:vAlign w:val="center"/>
          </w:tcPr>
          <w:p w14:paraId="1CF3D28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棒状杆菌检测试剂盒</w:t>
            </w:r>
          </w:p>
        </w:tc>
        <w:tc>
          <w:tcPr>
            <w:tcW w:w="2987" w:type="dxa"/>
            <w:noWrap w:val="0"/>
            <w:vAlign w:val="center"/>
          </w:tcPr>
          <w:p w14:paraId="38207BA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10测试/盒</w:t>
            </w:r>
          </w:p>
        </w:tc>
        <w:tc>
          <w:tcPr>
            <w:tcW w:w="757" w:type="dxa"/>
            <w:noWrap w:val="0"/>
            <w:vAlign w:val="center"/>
          </w:tcPr>
          <w:p w14:paraId="683AB40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756" w:type="dxa"/>
            <w:noWrap w:val="0"/>
            <w:vAlign w:val="center"/>
          </w:tcPr>
          <w:p w14:paraId="1FDE4A2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11B597A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2542" w:type="dxa"/>
            <w:noWrap w:val="0"/>
            <w:vAlign w:val="center"/>
          </w:tcPr>
          <w:p w14:paraId="1BFD7B5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全自动微生物鉴定药敏分析仪AF-600</w:t>
            </w:r>
          </w:p>
        </w:tc>
      </w:tr>
      <w:tr w14:paraId="3050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2608435B">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91</w:t>
            </w:r>
          </w:p>
        </w:tc>
        <w:tc>
          <w:tcPr>
            <w:tcW w:w="1988" w:type="dxa"/>
            <w:noWrap w:val="0"/>
            <w:vAlign w:val="center"/>
          </w:tcPr>
          <w:p w14:paraId="741DA92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一次性滴管</w:t>
            </w:r>
          </w:p>
        </w:tc>
        <w:tc>
          <w:tcPr>
            <w:tcW w:w="2987" w:type="dxa"/>
            <w:noWrap w:val="0"/>
            <w:vAlign w:val="center"/>
          </w:tcPr>
          <w:p w14:paraId="1EE1887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5支/包</w:t>
            </w:r>
          </w:p>
        </w:tc>
        <w:tc>
          <w:tcPr>
            <w:tcW w:w="757" w:type="dxa"/>
            <w:noWrap w:val="0"/>
            <w:vAlign w:val="center"/>
          </w:tcPr>
          <w:p w14:paraId="3F23916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756" w:type="dxa"/>
            <w:noWrap w:val="0"/>
            <w:vAlign w:val="center"/>
          </w:tcPr>
          <w:p w14:paraId="5D5796E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包</w:t>
            </w:r>
          </w:p>
        </w:tc>
        <w:tc>
          <w:tcPr>
            <w:tcW w:w="1028" w:type="dxa"/>
            <w:noWrap w:val="0"/>
            <w:vAlign w:val="center"/>
          </w:tcPr>
          <w:p w14:paraId="6B48A8F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2542" w:type="dxa"/>
            <w:noWrap w:val="0"/>
            <w:vAlign w:val="center"/>
          </w:tcPr>
          <w:p w14:paraId="778B196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全自动微生物鉴定药敏分析仪AF-600</w:t>
            </w:r>
          </w:p>
        </w:tc>
      </w:tr>
      <w:tr w14:paraId="1490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1B62E8FE">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92</w:t>
            </w:r>
          </w:p>
        </w:tc>
        <w:tc>
          <w:tcPr>
            <w:tcW w:w="1988" w:type="dxa"/>
            <w:noWrap w:val="0"/>
            <w:vAlign w:val="center"/>
          </w:tcPr>
          <w:p w14:paraId="298BA73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TDR-Z1（麦氏比浊管）</w:t>
            </w:r>
          </w:p>
        </w:tc>
        <w:tc>
          <w:tcPr>
            <w:tcW w:w="2987" w:type="dxa"/>
            <w:noWrap w:val="0"/>
            <w:vAlign w:val="center"/>
          </w:tcPr>
          <w:p w14:paraId="5F41FEC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7支/盒</w:t>
            </w:r>
          </w:p>
        </w:tc>
        <w:tc>
          <w:tcPr>
            <w:tcW w:w="757" w:type="dxa"/>
            <w:noWrap w:val="0"/>
            <w:vAlign w:val="center"/>
          </w:tcPr>
          <w:p w14:paraId="7076977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756" w:type="dxa"/>
            <w:noWrap w:val="0"/>
            <w:vAlign w:val="center"/>
          </w:tcPr>
          <w:p w14:paraId="0CAF7B2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6B27B75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125</w:t>
            </w:r>
          </w:p>
        </w:tc>
        <w:tc>
          <w:tcPr>
            <w:tcW w:w="2542" w:type="dxa"/>
            <w:noWrap w:val="0"/>
            <w:vAlign w:val="center"/>
          </w:tcPr>
          <w:p w14:paraId="12F09F4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全自动微生物鉴定药敏分析仪AF-600</w:t>
            </w:r>
          </w:p>
        </w:tc>
      </w:tr>
      <w:tr w14:paraId="5AD5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54CAADD">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93</w:t>
            </w:r>
          </w:p>
        </w:tc>
        <w:tc>
          <w:tcPr>
            <w:tcW w:w="1988" w:type="dxa"/>
            <w:noWrap w:val="0"/>
            <w:vAlign w:val="center"/>
          </w:tcPr>
          <w:p w14:paraId="431B2F0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TDR-Z2（校准管）</w:t>
            </w:r>
          </w:p>
        </w:tc>
        <w:tc>
          <w:tcPr>
            <w:tcW w:w="2987" w:type="dxa"/>
            <w:noWrap w:val="0"/>
            <w:vAlign w:val="center"/>
          </w:tcPr>
          <w:p w14:paraId="5DCDE40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7支/盒</w:t>
            </w:r>
          </w:p>
        </w:tc>
        <w:tc>
          <w:tcPr>
            <w:tcW w:w="757" w:type="dxa"/>
            <w:noWrap w:val="0"/>
            <w:vAlign w:val="center"/>
          </w:tcPr>
          <w:p w14:paraId="66B9862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756" w:type="dxa"/>
            <w:noWrap w:val="0"/>
            <w:vAlign w:val="center"/>
          </w:tcPr>
          <w:p w14:paraId="4360A51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72435FE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125</w:t>
            </w:r>
          </w:p>
        </w:tc>
        <w:tc>
          <w:tcPr>
            <w:tcW w:w="2542" w:type="dxa"/>
            <w:noWrap w:val="0"/>
            <w:vAlign w:val="center"/>
          </w:tcPr>
          <w:p w14:paraId="7FCB1BC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全自动微生物鉴定药敏分析仪AF-600</w:t>
            </w:r>
          </w:p>
        </w:tc>
      </w:tr>
      <w:tr w14:paraId="45DA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570A6360">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94</w:t>
            </w:r>
          </w:p>
        </w:tc>
        <w:tc>
          <w:tcPr>
            <w:tcW w:w="1988" w:type="dxa"/>
            <w:noWrap w:val="0"/>
            <w:vAlign w:val="center"/>
          </w:tcPr>
          <w:p w14:paraId="337DC41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癌胚抗原校准品</w:t>
            </w:r>
          </w:p>
        </w:tc>
        <w:tc>
          <w:tcPr>
            <w:tcW w:w="2987" w:type="dxa"/>
            <w:noWrap w:val="0"/>
            <w:vAlign w:val="center"/>
          </w:tcPr>
          <w:p w14:paraId="087E4EA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3瓶;C0:1×2.0 mL,C1:1×2.0mL,C2:1×2.0mL</w:t>
            </w:r>
          </w:p>
        </w:tc>
        <w:tc>
          <w:tcPr>
            <w:tcW w:w="757" w:type="dxa"/>
            <w:noWrap w:val="0"/>
            <w:vAlign w:val="center"/>
          </w:tcPr>
          <w:p w14:paraId="51A3790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56" w:type="dxa"/>
            <w:noWrap w:val="0"/>
            <w:vAlign w:val="center"/>
          </w:tcPr>
          <w:p w14:paraId="580FB7E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5470DF3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580</w:t>
            </w:r>
          </w:p>
        </w:tc>
        <w:tc>
          <w:tcPr>
            <w:tcW w:w="2542" w:type="dxa"/>
            <w:noWrap w:val="0"/>
            <w:vAlign w:val="center"/>
          </w:tcPr>
          <w:p w14:paraId="010FF62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3FFC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688211B9">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95</w:t>
            </w:r>
          </w:p>
        </w:tc>
        <w:tc>
          <w:tcPr>
            <w:tcW w:w="1988" w:type="dxa"/>
            <w:noWrap w:val="0"/>
            <w:vAlign w:val="center"/>
          </w:tcPr>
          <w:p w14:paraId="2BFA5CB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叶酸校准品</w:t>
            </w:r>
          </w:p>
        </w:tc>
        <w:tc>
          <w:tcPr>
            <w:tcW w:w="2987" w:type="dxa"/>
            <w:noWrap w:val="0"/>
            <w:vAlign w:val="center"/>
          </w:tcPr>
          <w:p w14:paraId="41FDC5A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3瓶;C0:1×2.0 mL,C1:1×2.0mL,C2:1×2.0mL</w:t>
            </w:r>
          </w:p>
        </w:tc>
        <w:tc>
          <w:tcPr>
            <w:tcW w:w="757" w:type="dxa"/>
            <w:noWrap w:val="0"/>
            <w:vAlign w:val="center"/>
          </w:tcPr>
          <w:p w14:paraId="3B177B9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56" w:type="dxa"/>
            <w:noWrap w:val="0"/>
            <w:vAlign w:val="center"/>
          </w:tcPr>
          <w:p w14:paraId="628C397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351B5CD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252</w:t>
            </w:r>
          </w:p>
        </w:tc>
        <w:tc>
          <w:tcPr>
            <w:tcW w:w="2542" w:type="dxa"/>
            <w:noWrap w:val="0"/>
            <w:vAlign w:val="center"/>
          </w:tcPr>
          <w:p w14:paraId="3B6BDA9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1650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6BA6E220">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96</w:t>
            </w:r>
          </w:p>
        </w:tc>
        <w:tc>
          <w:tcPr>
            <w:tcW w:w="1988" w:type="dxa"/>
            <w:noWrap w:val="0"/>
            <w:vAlign w:val="center"/>
          </w:tcPr>
          <w:p w14:paraId="123AE1C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维生素B12校准品</w:t>
            </w:r>
          </w:p>
        </w:tc>
        <w:tc>
          <w:tcPr>
            <w:tcW w:w="2987" w:type="dxa"/>
            <w:noWrap w:val="0"/>
            <w:vAlign w:val="center"/>
          </w:tcPr>
          <w:p w14:paraId="00A9F0A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3瓶;C0:1×2.0 mL,C1:1×2.0mL,C2:1×2.0mL</w:t>
            </w:r>
          </w:p>
        </w:tc>
        <w:tc>
          <w:tcPr>
            <w:tcW w:w="757" w:type="dxa"/>
            <w:noWrap w:val="0"/>
            <w:vAlign w:val="center"/>
          </w:tcPr>
          <w:p w14:paraId="5271735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56" w:type="dxa"/>
            <w:noWrap w:val="0"/>
            <w:vAlign w:val="center"/>
          </w:tcPr>
          <w:p w14:paraId="3AD29EE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3AF273D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210</w:t>
            </w:r>
          </w:p>
        </w:tc>
        <w:tc>
          <w:tcPr>
            <w:tcW w:w="2542" w:type="dxa"/>
            <w:noWrap w:val="0"/>
            <w:vAlign w:val="center"/>
          </w:tcPr>
          <w:p w14:paraId="4C913F0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6377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53478A2">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97</w:t>
            </w:r>
          </w:p>
        </w:tc>
        <w:tc>
          <w:tcPr>
            <w:tcW w:w="1988" w:type="dxa"/>
            <w:noWrap w:val="0"/>
            <w:vAlign w:val="center"/>
          </w:tcPr>
          <w:p w14:paraId="7356D3A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铁蛋白校准品</w:t>
            </w:r>
          </w:p>
        </w:tc>
        <w:tc>
          <w:tcPr>
            <w:tcW w:w="2987" w:type="dxa"/>
            <w:noWrap w:val="0"/>
            <w:vAlign w:val="center"/>
          </w:tcPr>
          <w:p w14:paraId="40F9E28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3瓶;C0:1×2.0 mL,C1:1×2.0mL,C2:1×2.0mL</w:t>
            </w:r>
          </w:p>
        </w:tc>
        <w:tc>
          <w:tcPr>
            <w:tcW w:w="757" w:type="dxa"/>
            <w:noWrap w:val="0"/>
            <w:vAlign w:val="center"/>
          </w:tcPr>
          <w:p w14:paraId="482B605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756" w:type="dxa"/>
            <w:noWrap w:val="0"/>
            <w:vAlign w:val="center"/>
          </w:tcPr>
          <w:p w14:paraId="5391324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334D6D2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650</w:t>
            </w:r>
          </w:p>
        </w:tc>
        <w:tc>
          <w:tcPr>
            <w:tcW w:w="2542" w:type="dxa"/>
            <w:noWrap w:val="0"/>
            <w:vAlign w:val="center"/>
          </w:tcPr>
          <w:p w14:paraId="69FB82B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16BB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2BA36C74">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98</w:t>
            </w:r>
          </w:p>
        </w:tc>
        <w:tc>
          <w:tcPr>
            <w:tcW w:w="1988" w:type="dxa"/>
            <w:noWrap w:val="0"/>
            <w:vAlign w:val="center"/>
          </w:tcPr>
          <w:p w14:paraId="0E391A3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C肽校准品</w:t>
            </w:r>
          </w:p>
        </w:tc>
        <w:tc>
          <w:tcPr>
            <w:tcW w:w="2987" w:type="dxa"/>
            <w:noWrap w:val="0"/>
            <w:vAlign w:val="center"/>
          </w:tcPr>
          <w:p w14:paraId="212AC42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3瓶;C0:1×2.0 mL,C1:1×2.0mL,C2:1×2.0mL</w:t>
            </w:r>
          </w:p>
        </w:tc>
        <w:tc>
          <w:tcPr>
            <w:tcW w:w="757" w:type="dxa"/>
            <w:noWrap w:val="0"/>
            <w:vAlign w:val="center"/>
          </w:tcPr>
          <w:p w14:paraId="1E1565E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56" w:type="dxa"/>
            <w:noWrap w:val="0"/>
            <w:vAlign w:val="center"/>
          </w:tcPr>
          <w:p w14:paraId="5FAF347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6A88626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480</w:t>
            </w:r>
          </w:p>
        </w:tc>
        <w:tc>
          <w:tcPr>
            <w:tcW w:w="2542" w:type="dxa"/>
            <w:noWrap w:val="0"/>
            <w:vAlign w:val="center"/>
          </w:tcPr>
          <w:p w14:paraId="4704B9C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04BA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7866FF92">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99</w:t>
            </w:r>
          </w:p>
        </w:tc>
        <w:tc>
          <w:tcPr>
            <w:tcW w:w="1988" w:type="dxa"/>
            <w:noWrap w:val="0"/>
            <w:vAlign w:val="center"/>
          </w:tcPr>
          <w:p w14:paraId="568F2DA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胰岛素校准品</w:t>
            </w:r>
          </w:p>
        </w:tc>
        <w:tc>
          <w:tcPr>
            <w:tcW w:w="2987" w:type="dxa"/>
            <w:noWrap w:val="0"/>
            <w:vAlign w:val="center"/>
          </w:tcPr>
          <w:p w14:paraId="17AC40F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3瓶;C0:1×2.0 mL,C1:1×2.0mL,C2:1×2.0mL</w:t>
            </w:r>
          </w:p>
        </w:tc>
        <w:tc>
          <w:tcPr>
            <w:tcW w:w="757" w:type="dxa"/>
            <w:noWrap w:val="0"/>
            <w:vAlign w:val="center"/>
          </w:tcPr>
          <w:p w14:paraId="0F5EB7A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56" w:type="dxa"/>
            <w:noWrap w:val="0"/>
            <w:vAlign w:val="center"/>
          </w:tcPr>
          <w:p w14:paraId="1D08928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116E7A9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480</w:t>
            </w:r>
          </w:p>
        </w:tc>
        <w:tc>
          <w:tcPr>
            <w:tcW w:w="2542" w:type="dxa"/>
            <w:noWrap w:val="0"/>
            <w:vAlign w:val="center"/>
          </w:tcPr>
          <w:p w14:paraId="3930A79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1B78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5B48794E">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100</w:t>
            </w:r>
          </w:p>
        </w:tc>
        <w:tc>
          <w:tcPr>
            <w:tcW w:w="1988" w:type="dxa"/>
            <w:noWrap w:val="0"/>
            <w:vAlign w:val="center"/>
          </w:tcPr>
          <w:p w14:paraId="4769E37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代谢类复合质控品(低值)3瓶</w:t>
            </w:r>
          </w:p>
        </w:tc>
        <w:tc>
          <w:tcPr>
            <w:tcW w:w="2987" w:type="dxa"/>
            <w:noWrap w:val="0"/>
            <w:vAlign w:val="center"/>
          </w:tcPr>
          <w:p w14:paraId="68285A3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低值:3×2.0mL</w:t>
            </w:r>
          </w:p>
        </w:tc>
        <w:tc>
          <w:tcPr>
            <w:tcW w:w="757" w:type="dxa"/>
            <w:noWrap w:val="0"/>
            <w:vAlign w:val="center"/>
          </w:tcPr>
          <w:p w14:paraId="58D2977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56" w:type="dxa"/>
            <w:noWrap w:val="0"/>
            <w:vAlign w:val="center"/>
          </w:tcPr>
          <w:p w14:paraId="7ECD413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5C2B9EE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350</w:t>
            </w:r>
          </w:p>
        </w:tc>
        <w:tc>
          <w:tcPr>
            <w:tcW w:w="2542" w:type="dxa"/>
            <w:noWrap w:val="0"/>
            <w:vAlign w:val="center"/>
          </w:tcPr>
          <w:p w14:paraId="32384A9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4249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B074B3C">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101</w:t>
            </w:r>
          </w:p>
        </w:tc>
        <w:tc>
          <w:tcPr>
            <w:tcW w:w="1988" w:type="dxa"/>
            <w:noWrap w:val="0"/>
            <w:vAlign w:val="center"/>
          </w:tcPr>
          <w:p w14:paraId="5A8DFA6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代谢类复合质控品(高值)3瓶</w:t>
            </w:r>
          </w:p>
        </w:tc>
        <w:tc>
          <w:tcPr>
            <w:tcW w:w="2987" w:type="dxa"/>
            <w:noWrap w:val="0"/>
            <w:vAlign w:val="center"/>
          </w:tcPr>
          <w:p w14:paraId="672988E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高值:3×2.0 mL</w:t>
            </w:r>
          </w:p>
        </w:tc>
        <w:tc>
          <w:tcPr>
            <w:tcW w:w="757" w:type="dxa"/>
            <w:noWrap w:val="0"/>
            <w:vAlign w:val="center"/>
          </w:tcPr>
          <w:p w14:paraId="385EF68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56" w:type="dxa"/>
            <w:noWrap w:val="0"/>
            <w:vAlign w:val="center"/>
          </w:tcPr>
          <w:p w14:paraId="735B7FB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6E02553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350</w:t>
            </w:r>
          </w:p>
        </w:tc>
        <w:tc>
          <w:tcPr>
            <w:tcW w:w="2542" w:type="dxa"/>
            <w:noWrap w:val="0"/>
            <w:vAlign w:val="center"/>
          </w:tcPr>
          <w:p w14:paraId="7483A05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1D73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71549314">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102</w:t>
            </w:r>
          </w:p>
        </w:tc>
        <w:tc>
          <w:tcPr>
            <w:tcW w:w="1988" w:type="dxa"/>
            <w:noWrap w:val="0"/>
            <w:vAlign w:val="center"/>
          </w:tcPr>
          <w:p w14:paraId="3F9C0CF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发光底物</w:t>
            </w:r>
          </w:p>
        </w:tc>
        <w:tc>
          <w:tcPr>
            <w:tcW w:w="2987" w:type="dxa"/>
            <w:noWrap w:val="0"/>
            <w:vAlign w:val="center"/>
          </w:tcPr>
          <w:p w14:paraId="6C4E7A7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4x75mL</w:t>
            </w:r>
          </w:p>
        </w:tc>
        <w:tc>
          <w:tcPr>
            <w:tcW w:w="757" w:type="dxa"/>
            <w:noWrap w:val="0"/>
            <w:vAlign w:val="center"/>
          </w:tcPr>
          <w:p w14:paraId="5E38F98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756" w:type="dxa"/>
            <w:noWrap w:val="0"/>
            <w:vAlign w:val="center"/>
          </w:tcPr>
          <w:p w14:paraId="4C9BD86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1D5BDC7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980</w:t>
            </w:r>
          </w:p>
        </w:tc>
        <w:tc>
          <w:tcPr>
            <w:tcW w:w="2542" w:type="dxa"/>
            <w:noWrap w:val="0"/>
            <w:vAlign w:val="center"/>
          </w:tcPr>
          <w:p w14:paraId="1138F9F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迈瑞CL-8000全自动化学发光免疫分析</w:t>
            </w:r>
          </w:p>
        </w:tc>
      </w:tr>
      <w:tr w14:paraId="467F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57A4656E">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103</w:t>
            </w:r>
          </w:p>
        </w:tc>
        <w:tc>
          <w:tcPr>
            <w:tcW w:w="1988" w:type="dxa"/>
            <w:noWrap w:val="0"/>
            <w:vAlign w:val="center"/>
          </w:tcPr>
          <w:p w14:paraId="3D71ADE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电解质分析仪专用配套试剂（离子选择电极法）A漂移校正液</w:t>
            </w:r>
          </w:p>
        </w:tc>
        <w:tc>
          <w:tcPr>
            <w:tcW w:w="2987" w:type="dxa"/>
            <w:noWrap w:val="0"/>
            <w:vAlign w:val="center"/>
          </w:tcPr>
          <w:p w14:paraId="0D69617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350ml</w:t>
            </w:r>
          </w:p>
        </w:tc>
        <w:tc>
          <w:tcPr>
            <w:tcW w:w="757" w:type="dxa"/>
            <w:noWrap w:val="0"/>
            <w:vAlign w:val="center"/>
          </w:tcPr>
          <w:p w14:paraId="3A9FF9F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250</w:t>
            </w:r>
          </w:p>
        </w:tc>
        <w:tc>
          <w:tcPr>
            <w:tcW w:w="756" w:type="dxa"/>
            <w:noWrap w:val="0"/>
            <w:vAlign w:val="center"/>
          </w:tcPr>
          <w:p w14:paraId="652DF70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6C8B7A2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160</w:t>
            </w:r>
          </w:p>
        </w:tc>
        <w:tc>
          <w:tcPr>
            <w:tcW w:w="2542" w:type="dxa"/>
            <w:noWrap w:val="0"/>
            <w:vAlign w:val="center"/>
          </w:tcPr>
          <w:p w14:paraId="1215616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深圳市希莱恒医用电子有限公司H-900</w:t>
            </w:r>
          </w:p>
        </w:tc>
      </w:tr>
      <w:tr w14:paraId="5F55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74AB96AB">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104</w:t>
            </w:r>
          </w:p>
        </w:tc>
        <w:tc>
          <w:tcPr>
            <w:tcW w:w="1988" w:type="dxa"/>
            <w:noWrap w:val="0"/>
            <w:vAlign w:val="center"/>
          </w:tcPr>
          <w:p w14:paraId="393959A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电解质分析仪专用配套试剂（离子选择电极法）B斜率校正液</w:t>
            </w:r>
          </w:p>
        </w:tc>
        <w:tc>
          <w:tcPr>
            <w:tcW w:w="2987" w:type="dxa"/>
            <w:noWrap w:val="0"/>
            <w:vAlign w:val="center"/>
          </w:tcPr>
          <w:p w14:paraId="3F1E37D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350ml</w:t>
            </w:r>
          </w:p>
        </w:tc>
        <w:tc>
          <w:tcPr>
            <w:tcW w:w="757" w:type="dxa"/>
            <w:noWrap w:val="0"/>
            <w:vAlign w:val="center"/>
          </w:tcPr>
          <w:p w14:paraId="321C870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756" w:type="dxa"/>
            <w:noWrap w:val="0"/>
            <w:vAlign w:val="center"/>
          </w:tcPr>
          <w:p w14:paraId="054A829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盒</w:t>
            </w:r>
          </w:p>
        </w:tc>
        <w:tc>
          <w:tcPr>
            <w:tcW w:w="1028" w:type="dxa"/>
            <w:noWrap w:val="0"/>
            <w:vAlign w:val="center"/>
          </w:tcPr>
          <w:p w14:paraId="14EB18A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160</w:t>
            </w:r>
          </w:p>
        </w:tc>
        <w:tc>
          <w:tcPr>
            <w:tcW w:w="2542" w:type="dxa"/>
            <w:noWrap w:val="0"/>
            <w:vAlign w:val="center"/>
          </w:tcPr>
          <w:p w14:paraId="40D8AA9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深圳市希莱恒医用电子有限公司H-900</w:t>
            </w:r>
          </w:p>
        </w:tc>
      </w:tr>
      <w:tr w14:paraId="72A8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7DB5C0D0">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105</w:t>
            </w:r>
          </w:p>
        </w:tc>
        <w:tc>
          <w:tcPr>
            <w:tcW w:w="1988" w:type="dxa"/>
            <w:noWrap w:val="0"/>
            <w:vAlign w:val="center"/>
          </w:tcPr>
          <w:p w14:paraId="14C66A0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光源灯</w:t>
            </w:r>
          </w:p>
        </w:tc>
        <w:tc>
          <w:tcPr>
            <w:tcW w:w="2987" w:type="dxa"/>
            <w:noWrap w:val="0"/>
            <w:vAlign w:val="center"/>
          </w:tcPr>
          <w:p w14:paraId="5F47B21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12V-20W</w:t>
            </w:r>
          </w:p>
        </w:tc>
        <w:tc>
          <w:tcPr>
            <w:tcW w:w="757" w:type="dxa"/>
            <w:noWrap w:val="0"/>
            <w:vAlign w:val="center"/>
          </w:tcPr>
          <w:p w14:paraId="55699E9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56" w:type="dxa"/>
            <w:noWrap w:val="0"/>
            <w:vAlign w:val="center"/>
          </w:tcPr>
          <w:p w14:paraId="0D42C00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28" w:type="dxa"/>
            <w:noWrap w:val="0"/>
            <w:vAlign w:val="center"/>
          </w:tcPr>
          <w:p w14:paraId="658AEB0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1300</w:t>
            </w:r>
          </w:p>
        </w:tc>
        <w:tc>
          <w:tcPr>
            <w:tcW w:w="2542" w:type="dxa"/>
            <w:noWrap w:val="0"/>
            <w:vAlign w:val="center"/>
          </w:tcPr>
          <w:p w14:paraId="5100505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迈瑞全自动生化分析仪BC-800M</w:t>
            </w:r>
          </w:p>
        </w:tc>
      </w:tr>
      <w:tr w14:paraId="18CF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0A67C2BC">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106</w:t>
            </w:r>
          </w:p>
        </w:tc>
        <w:tc>
          <w:tcPr>
            <w:tcW w:w="1988" w:type="dxa"/>
            <w:noWrap w:val="0"/>
            <w:vAlign w:val="center"/>
          </w:tcPr>
          <w:p w14:paraId="172126C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光源灯</w:t>
            </w:r>
          </w:p>
        </w:tc>
        <w:tc>
          <w:tcPr>
            <w:tcW w:w="2987" w:type="dxa"/>
            <w:noWrap w:val="0"/>
            <w:vAlign w:val="center"/>
          </w:tcPr>
          <w:p w14:paraId="22CF23B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12v-50W</w:t>
            </w:r>
          </w:p>
        </w:tc>
        <w:tc>
          <w:tcPr>
            <w:tcW w:w="757" w:type="dxa"/>
            <w:noWrap w:val="0"/>
            <w:vAlign w:val="center"/>
          </w:tcPr>
          <w:p w14:paraId="2D39635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56" w:type="dxa"/>
            <w:noWrap w:val="0"/>
            <w:vAlign w:val="center"/>
          </w:tcPr>
          <w:p w14:paraId="48C140A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28" w:type="dxa"/>
            <w:noWrap w:val="0"/>
            <w:vAlign w:val="center"/>
          </w:tcPr>
          <w:p w14:paraId="51551D5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1600</w:t>
            </w:r>
          </w:p>
        </w:tc>
        <w:tc>
          <w:tcPr>
            <w:tcW w:w="2542" w:type="dxa"/>
            <w:noWrap w:val="0"/>
            <w:vAlign w:val="center"/>
          </w:tcPr>
          <w:p w14:paraId="259C02D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BS-2800M全自动生化分析仪</w:t>
            </w:r>
          </w:p>
        </w:tc>
      </w:tr>
      <w:tr w14:paraId="5D1D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025B89F7">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107</w:t>
            </w:r>
          </w:p>
        </w:tc>
        <w:tc>
          <w:tcPr>
            <w:tcW w:w="1988" w:type="dxa"/>
            <w:noWrap w:val="0"/>
            <w:vAlign w:val="center"/>
          </w:tcPr>
          <w:p w14:paraId="62F40F1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穿刺针组件</w:t>
            </w:r>
          </w:p>
        </w:tc>
        <w:tc>
          <w:tcPr>
            <w:tcW w:w="2987" w:type="dxa"/>
            <w:noWrap w:val="0"/>
            <w:vAlign w:val="center"/>
          </w:tcPr>
          <w:p w14:paraId="7277C59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115-069029-00</w:t>
            </w:r>
          </w:p>
        </w:tc>
        <w:tc>
          <w:tcPr>
            <w:tcW w:w="757" w:type="dxa"/>
            <w:noWrap w:val="0"/>
            <w:vAlign w:val="center"/>
          </w:tcPr>
          <w:p w14:paraId="456FC45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56" w:type="dxa"/>
            <w:noWrap w:val="0"/>
            <w:vAlign w:val="center"/>
          </w:tcPr>
          <w:p w14:paraId="3E61EB7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1028" w:type="dxa"/>
            <w:noWrap w:val="0"/>
            <w:vAlign w:val="center"/>
          </w:tcPr>
          <w:p w14:paraId="28CC443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6000</w:t>
            </w:r>
          </w:p>
        </w:tc>
        <w:tc>
          <w:tcPr>
            <w:tcW w:w="2542" w:type="dxa"/>
            <w:noWrap w:val="0"/>
            <w:vAlign w:val="center"/>
          </w:tcPr>
          <w:p w14:paraId="30DF991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迈瑞全自动血细胞分析仪BC-7500</w:t>
            </w:r>
          </w:p>
        </w:tc>
      </w:tr>
      <w:tr w14:paraId="293A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37131559">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108</w:t>
            </w:r>
          </w:p>
        </w:tc>
        <w:tc>
          <w:tcPr>
            <w:tcW w:w="1988" w:type="dxa"/>
            <w:noWrap w:val="0"/>
            <w:vAlign w:val="center"/>
          </w:tcPr>
          <w:p w14:paraId="6BFC28CF">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一次性使用吸头</w:t>
            </w:r>
          </w:p>
        </w:tc>
        <w:tc>
          <w:tcPr>
            <w:tcW w:w="2987" w:type="dxa"/>
            <w:noWrap w:val="0"/>
            <w:vAlign w:val="center"/>
          </w:tcPr>
          <w:p w14:paraId="534C053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96个/盒，40盒/箱</w:t>
            </w:r>
          </w:p>
        </w:tc>
        <w:tc>
          <w:tcPr>
            <w:tcW w:w="757" w:type="dxa"/>
            <w:noWrap w:val="0"/>
            <w:vAlign w:val="center"/>
          </w:tcPr>
          <w:p w14:paraId="141A29C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756" w:type="dxa"/>
            <w:noWrap w:val="0"/>
            <w:vAlign w:val="center"/>
          </w:tcPr>
          <w:p w14:paraId="29532DE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箱</w:t>
            </w:r>
          </w:p>
        </w:tc>
        <w:tc>
          <w:tcPr>
            <w:tcW w:w="1028" w:type="dxa"/>
            <w:noWrap w:val="0"/>
            <w:vAlign w:val="center"/>
          </w:tcPr>
          <w:p w14:paraId="0BA85D2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2500</w:t>
            </w:r>
          </w:p>
        </w:tc>
        <w:tc>
          <w:tcPr>
            <w:tcW w:w="2542" w:type="dxa"/>
            <w:noWrap w:val="0"/>
            <w:vAlign w:val="center"/>
          </w:tcPr>
          <w:p w14:paraId="2E57E9A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新产业全自动发光检测仪MaglumiX8</w:t>
            </w:r>
          </w:p>
        </w:tc>
      </w:tr>
      <w:tr w14:paraId="17A3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0909A87A">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109</w:t>
            </w:r>
          </w:p>
        </w:tc>
        <w:tc>
          <w:tcPr>
            <w:tcW w:w="1988" w:type="dxa"/>
            <w:noWrap w:val="0"/>
            <w:vAlign w:val="center"/>
          </w:tcPr>
          <w:p w14:paraId="385E963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强力清洗液</w:t>
            </w:r>
          </w:p>
        </w:tc>
        <w:tc>
          <w:tcPr>
            <w:tcW w:w="2987" w:type="dxa"/>
            <w:noWrap w:val="0"/>
            <w:vAlign w:val="center"/>
          </w:tcPr>
          <w:p w14:paraId="579B222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30ml/瓶</w:t>
            </w:r>
          </w:p>
        </w:tc>
        <w:tc>
          <w:tcPr>
            <w:tcW w:w="757" w:type="dxa"/>
            <w:noWrap w:val="0"/>
            <w:vAlign w:val="center"/>
          </w:tcPr>
          <w:p w14:paraId="1C4A503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56" w:type="dxa"/>
            <w:noWrap w:val="0"/>
            <w:vAlign w:val="center"/>
          </w:tcPr>
          <w:p w14:paraId="58C1B52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028" w:type="dxa"/>
            <w:noWrap w:val="0"/>
            <w:vAlign w:val="center"/>
          </w:tcPr>
          <w:p w14:paraId="0C491D6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110</w:t>
            </w:r>
          </w:p>
        </w:tc>
        <w:tc>
          <w:tcPr>
            <w:tcW w:w="2542" w:type="dxa"/>
            <w:noWrap w:val="0"/>
            <w:vAlign w:val="center"/>
          </w:tcPr>
          <w:p w14:paraId="6AEFAEB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麦科田全自动血栓弹力图仪Haema TA</w:t>
            </w:r>
          </w:p>
        </w:tc>
      </w:tr>
      <w:tr w14:paraId="28E1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1EB55460">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110</w:t>
            </w:r>
          </w:p>
        </w:tc>
        <w:tc>
          <w:tcPr>
            <w:tcW w:w="1988" w:type="dxa"/>
            <w:noWrap w:val="0"/>
            <w:vAlign w:val="center"/>
          </w:tcPr>
          <w:p w14:paraId="3B925EB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浓缩酶清洗液</w:t>
            </w:r>
          </w:p>
        </w:tc>
        <w:tc>
          <w:tcPr>
            <w:tcW w:w="2987" w:type="dxa"/>
            <w:noWrap w:val="0"/>
            <w:vAlign w:val="center"/>
          </w:tcPr>
          <w:p w14:paraId="1F0D8C3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150ml/瓶</w:t>
            </w:r>
          </w:p>
        </w:tc>
        <w:tc>
          <w:tcPr>
            <w:tcW w:w="757" w:type="dxa"/>
            <w:noWrap w:val="0"/>
            <w:vAlign w:val="center"/>
          </w:tcPr>
          <w:p w14:paraId="0F9C33D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756" w:type="dxa"/>
            <w:noWrap w:val="0"/>
            <w:vAlign w:val="center"/>
          </w:tcPr>
          <w:p w14:paraId="241B169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028" w:type="dxa"/>
            <w:noWrap w:val="0"/>
            <w:vAlign w:val="center"/>
          </w:tcPr>
          <w:p w14:paraId="0468478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2542" w:type="dxa"/>
            <w:noWrap w:val="0"/>
            <w:vAlign w:val="center"/>
          </w:tcPr>
          <w:p w14:paraId="189498E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麦科田全自动血栓弹力图仪Haema TA</w:t>
            </w:r>
          </w:p>
        </w:tc>
      </w:tr>
      <w:tr w14:paraId="7238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noWrap w:val="0"/>
            <w:vAlign w:val="center"/>
          </w:tcPr>
          <w:p w14:paraId="5A4FFE50">
            <w:pPr>
              <w:pStyle w:val="13"/>
              <w:numPr>
                <w:ilvl w:val="0"/>
                <w:numId w:val="0"/>
              </w:numPr>
              <w:spacing w:line="360" w:lineRule="auto"/>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111</w:t>
            </w:r>
          </w:p>
        </w:tc>
        <w:tc>
          <w:tcPr>
            <w:tcW w:w="1988" w:type="dxa"/>
            <w:noWrap w:val="0"/>
            <w:vAlign w:val="center"/>
          </w:tcPr>
          <w:p w14:paraId="0309383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穿刺针组件</w:t>
            </w:r>
          </w:p>
        </w:tc>
        <w:tc>
          <w:tcPr>
            <w:tcW w:w="2987" w:type="dxa"/>
            <w:noWrap w:val="0"/>
            <w:vAlign w:val="center"/>
          </w:tcPr>
          <w:p w14:paraId="6936B9C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115-050760-00</w:t>
            </w:r>
          </w:p>
        </w:tc>
        <w:tc>
          <w:tcPr>
            <w:tcW w:w="757" w:type="dxa"/>
            <w:noWrap w:val="0"/>
            <w:vAlign w:val="center"/>
          </w:tcPr>
          <w:p w14:paraId="239E8C94">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756" w:type="dxa"/>
            <w:noWrap w:val="0"/>
            <w:vAlign w:val="center"/>
          </w:tcPr>
          <w:p w14:paraId="5C4E6B7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根</w:t>
            </w:r>
          </w:p>
        </w:tc>
        <w:tc>
          <w:tcPr>
            <w:tcW w:w="1028" w:type="dxa"/>
            <w:noWrap w:val="0"/>
            <w:vAlign w:val="center"/>
          </w:tcPr>
          <w:p w14:paraId="6D9CEDA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5500</w:t>
            </w:r>
          </w:p>
        </w:tc>
        <w:tc>
          <w:tcPr>
            <w:tcW w:w="2542" w:type="dxa"/>
            <w:noWrap w:val="0"/>
            <w:vAlign w:val="center"/>
          </w:tcPr>
          <w:p w14:paraId="304B527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迈瑞全自动血细胞分析流水线BC-6800P</w:t>
            </w:r>
          </w:p>
        </w:tc>
      </w:tr>
      <w:bookmarkEnd w:id="347"/>
    </w:tbl>
    <w:p w14:paraId="57E93A72">
      <w:pPr>
        <w:rPr>
          <w:rFonts w:hint="eastAsia" w:asciiTheme="minorEastAsia" w:hAnsiTheme="minorEastAsia" w:eastAsiaTheme="minorEastAsia" w:cstheme="minorEastAsia"/>
          <w:b/>
          <w:bCs w:val="0"/>
          <w:color w:val="000000"/>
          <w:sz w:val="28"/>
          <w:szCs w:val="28"/>
          <w:lang w:val="en-US" w:eastAsia="zh-CN"/>
        </w:rPr>
      </w:pPr>
      <w:r>
        <w:rPr>
          <w:rFonts w:hint="eastAsia" w:asciiTheme="minorEastAsia" w:hAnsiTheme="minorEastAsia" w:eastAsiaTheme="minorEastAsia" w:cstheme="minorEastAsia"/>
          <w:b/>
          <w:bCs w:val="0"/>
          <w:color w:val="000000"/>
          <w:sz w:val="28"/>
          <w:szCs w:val="28"/>
          <w:lang w:val="en-US" w:eastAsia="zh-CN"/>
        </w:rPr>
        <w:br w:type="page"/>
      </w:r>
    </w:p>
    <w:p w14:paraId="259A2289">
      <w:pPr>
        <w:widowControl/>
        <w:numPr>
          <w:ilvl w:val="0"/>
          <w:numId w:val="6"/>
        </w:numPr>
        <w:spacing w:line="360" w:lineRule="auto"/>
        <w:jc w:val="left"/>
        <w:textAlignment w:val="center"/>
        <w:rPr>
          <w:rFonts w:hint="eastAsia" w:ascii="宋体" w:hAnsi="宋体" w:cs="宋体"/>
          <w:b/>
          <w:bCs/>
          <w:kern w:val="2"/>
          <w:sz w:val="28"/>
          <w:szCs w:val="28"/>
          <w:lang w:val="en-US" w:eastAsia="zh-CN" w:bidi="ar-SA"/>
        </w:rPr>
      </w:pPr>
      <w:r>
        <w:rPr>
          <w:rFonts w:hint="eastAsia" w:ascii="宋体" w:hAnsi="宋体" w:cs="宋体"/>
          <w:b/>
          <w:bCs/>
          <w:kern w:val="2"/>
          <w:sz w:val="28"/>
          <w:szCs w:val="28"/>
          <w:lang w:val="en-US" w:eastAsia="zh-CN" w:bidi="ar-SA"/>
        </w:rPr>
        <w:t>服务要求</w:t>
      </w:r>
    </w:p>
    <w:p w14:paraId="12B5A713">
      <w:pPr>
        <w:spacing w:before="86"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1．试剂进货应做到来源渠道正规，</w:t>
      </w:r>
      <w:r>
        <w:rPr>
          <w:rFonts w:hint="eastAsia" w:asciiTheme="minorEastAsia" w:hAnsiTheme="minorEastAsia" w:eastAsiaTheme="minorEastAsia" w:cstheme="minorEastAsia"/>
          <w:b w:val="0"/>
          <w:bCs/>
          <w:kern w:val="2"/>
          <w:sz w:val="24"/>
          <w:szCs w:val="24"/>
          <w:lang w:val="en-US" w:eastAsia="zh-CN" w:bidi="ar-SA"/>
        </w:rPr>
        <w:t>为全新原厂正品、在有效期内，符合国家医疗器械、及相关行业标准，无过期、无临期、无破损、无变质产品，完全适配院内检验设备正常使用。</w:t>
      </w:r>
    </w:p>
    <w:p w14:paraId="62231D0C">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2.试剂外包装应完好、无破损、无漏液、无污染，包装标识清晰、品名规格、批号、有效期、生产厂家信息齐全。</w:t>
      </w:r>
    </w:p>
    <w:p w14:paraId="78D89D1C">
      <w:pPr>
        <w:spacing w:line="360" w:lineRule="auto"/>
        <w:ind w:firstLine="480" w:firstLineChars="200"/>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3.到货试剂剩余有效期不得少于总有效期的2/3，杜绝临期、过期产品。</w:t>
      </w:r>
    </w:p>
    <w:p w14:paraId="038E766B">
      <w:pPr>
        <w:spacing w:before="93" w:line="360" w:lineRule="auto"/>
        <w:ind w:right="251" w:firstLine="472" w:firstLineChars="200"/>
        <w:rPr>
          <w:rFonts w:hint="default"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4.</w:t>
      </w:r>
      <w:r>
        <w:rPr>
          <w:rFonts w:hint="eastAsia" w:asciiTheme="minorEastAsia" w:hAnsiTheme="minorEastAsia" w:eastAsiaTheme="minorEastAsia" w:cstheme="minorEastAsia"/>
          <w:color w:val="auto"/>
          <w:spacing w:val="1"/>
          <w:sz w:val="24"/>
          <w:szCs w:val="24"/>
        </w:rPr>
        <w:t>提供所投试剂及相关设备的彩页、说明书</w:t>
      </w:r>
      <w:r>
        <w:rPr>
          <w:rFonts w:hint="eastAsia" w:asciiTheme="minorEastAsia" w:hAnsiTheme="minorEastAsia" w:eastAsiaTheme="minorEastAsia" w:cstheme="minorEastAsia"/>
          <w:color w:val="auto"/>
          <w:sz w:val="24"/>
          <w:szCs w:val="24"/>
        </w:rPr>
        <w:t>作为技术评分佐证依据。</w:t>
      </w:r>
    </w:p>
    <w:p w14:paraId="6E04B626">
      <w:pPr>
        <w:spacing w:before="93" w:line="360" w:lineRule="auto"/>
        <w:ind w:right="251" w:firstLine="472"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lang w:val="en-US" w:eastAsia="zh-CN"/>
        </w:rPr>
        <w:t>5</w:t>
      </w:r>
      <w:r>
        <w:rPr>
          <w:rFonts w:hint="eastAsia" w:asciiTheme="minorEastAsia" w:hAnsiTheme="minorEastAsia" w:eastAsiaTheme="minorEastAsia" w:cstheme="minorEastAsia"/>
          <w:color w:val="auto"/>
          <w:spacing w:val="-2"/>
          <w:sz w:val="24"/>
          <w:szCs w:val="24"/>
        </w:rPr>
        <w:t>．库存及运输要求：需要冷冻、冷藏保管的试剂应保存在相关低温环境内，并经</w:t>
      </w:r>
      <w:r>
        <w:rPr>
          <w:rFonts w:hint="eastAsia" w:asciiTheme="minorEastAsia" w:hAnsiTheme="minorEastAsia" w:eastAsiaTheme="minorEastAsia" w:cstheme="minorEastAsia"/>
          <w:color w:val="auto"/>
          <w:spacing w:val="1"/>
          <w:sz w:val="24"/>
          <w:szCs w:val="24"/>
        </w:rPr>
        <w:t>常检查温度。提供运输设备清单（含运输车</w:t>
      </w:r>
      <w:r>
        <w:rPr>
          <w:rFonts w:hint="eastAsia" w:asciiTheme="minorEastAsia" w:hAnsiTheme="minorEastAsia" w:eastAsiaTheme="minorEastAsia" w:cstheme="minorEastAsia"/>
          <w:color w:val="auto"/>
          <w:sz w:val="24"/>
          <w:szCs w:val="24"/>
        </w:rPr>
        <w:t>辆、冷藏设备等）。</w:t>
      </w:r>
    </w:p>
    <w:p w14:paraId="0A052C8D">
      <w:pPr>
        <w:spacing w:before="100" w:line="360" w:lineRule="auto"/>
        <w:ind w:right="251" w:firstLine="484"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lang w:val="en-US" w:eastAsia="zh-CN"/>
        </w:rPr>
        <w:t>6</w:t>
      </w:r>
      <w:r>
        <w:rPr>
          <w:rFonts w:hint="eastAsia" w:asciiTheme="minorEastAsia" w:hAnsiTheme="minorEastAsia" w:eastAsiaTheme="minorEastAsia" w:cstheme="minorEastAsia"/>
          <w:color w:val="auto"/>
          <w:spacing w:val="-1"/>
          <w:sz w:val="24"/>
          <w:szCs w:val="24"/>
        </w:rPr>
        <w:t>．本次所采购的试剂需匹配医院现有</w:t>
      </w:r>
      <w:r>
        <w:rPr>
          <w:rFonts w:hint="eastAsia" w:asciiTheme="minorEastAsia" w:hAnsiTheme="minorEastAsia" w:eastAsiaTheme="minorEastAsia" w:cstheme="minorEastAsia"/>
          <w:color w:val="auto"/>
          <w:spacing w:val="-2"/>
          <w:sz w:val="24"/>
          <w:szCs w:val="24"/>
        </w:rPr>
        <w:t>设备使用，</w:t>
      </w:r>
      <w:r>
        <w:rPr>
          <w:rFonts w:hint="eastAsia" w:asciiTheme="minorEastAsia" w:hAnsiTheme="minorEastAsia" w:eastAsiaTheme="minorEastAsia" w:cstheme="minorEastAsia"/>
          <w:b w:val="0"/>
          <w:bCs/>
          <w:color w:val="auto"/>
          <w:kern w:val="2"/>
          <w:sz w:val="24"/>
          <w:szCs w:val="24"/>
          <w:lang w:val="en-US" w:eastAsia="zh-CN" w:bidi="ar-SA"/>
        </w:rPr>
        <w:t>试剂上机使用性能稳定，检测结果精准、重复性好，无异常报错、无质控超标情况，满足日常临床检验工作需求。</w:t>
      </w:r>
      <w:r>
        <w:rPr>
          <w:rFonts w:hint="eastAsia" w:asciiTheme="minorEastAsia" w:hAnsiTheme="minorEastAsia" w:eastAsiaTheme="minorEastAsia" w:cstheme="minorEastAsia"/>
          <w:color w:val="auto"/>
          <w:spacing w:val="-2"/>
          <w:sz w:val="24"/>
          <w:szCs w:val="24"/>
        </w:rPr>
        <w:t>若投标供应商成交后因供应</w:t>
      </w:r>
      <w:r>
        <w:rPr>
          <w:rFonts w:hint="eastAsia" w:asciiTheme="minorEastAsia" w:hAnsiTheme="minorEastAsia" w:eastAsiaTheme="minorEastAsia" w:cstheme="minorEastAsia"/>
          <w:color w:val="auto"/>
          <w:sz w:val="24"/>
          <w:szCs w:val="24"/>
        </w:rPr>
        <w:t>商所投产品不能完全匹配采购单位设备机型使用，</w:t>
      </w:r>
      <w:r>
        <w:rPr>
          <w:rFonts w:hint="eastAsia" w:asciiTheme="minorEastAsia" w:hAnsiTheme="minorEastAsia" w:eastAsiaTheme="minorEastAsia" w:cstheme="minorEastAsia"/>
          <w:color w:val="auto"/>
          <w:spacing w:val="-1"/>
          <w:sz w:val="24"/>
          <w:szCs w:val="24"/>
        </w:rPr>
        <w:t>导致采购单位设备无法正常运转，</w:t>
      </w:r>
      <w:r>
        <w:rPr>
          <w:rFonts w:hint="eastAsia" w:asciiTheme="minorEastAsia" w:hAnsiTheme="minorEastAsia" w:eastAsiaTheme="minorEastAsia" w:cstheme="minorEastAsia"/>
          <w:color w:val="auto"/>
          <w:sz w:val="24"/>
          <w:szCs w:val="24"/>
        </w:rPr>
        <w:t>采购单位有权进行退货并取消其中标资格，所</w:t>
      </w:r>
      <w:r>
        <w:rPr>
          <w:rFonts w:hint="eastAsia" w:asciiTheme="minorEastAsia" w:hAnsiTheme="minorEastAsia" w:eastAsiaTheme="minorEastAsia" w:cstheme="minorEastAsia"/>
          <w:color w:val="auto"/>
          <w:spacing w:val="-1"/>
          <w:sz w:val="24"/>
          <w:szCs w:val="24"/>
        </w:rPr>
        <w:t>产生的一切后果有投标供应商自行承担（需提供承诺函）。</w:t>
      </w:r>
    </w:p>
    <w:p w14:paraId="558B9DC3">
      <w:pPr>
        <w:spacing w:line="360" w:lineRule="auto"/>
        <w:ind w:firstLine="480" w:firstLineChars="200"/>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7．配送时间：急需用品4个小时内送到，一般用品24小时内送到，最长不要超过48小时，节假日照常配送。</w:t>
      </w:r>
    </w:p>
    <w:p w14:paraId="4F453E40">
      <w:pPr>
        <w:spacing w:line="360" w:lineRule="auto"/>
        <w:ind w:firstLine="480" w:firstLineChars="200"/>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8．技术支持：供应商需提供相应人员进行技术支持,接到电话2小时内响应。</w:t>
      </w:r>
    </w:p>
    <w:p w14:paraId="371EB790">
      <w:pPr>
        <w:spacing w:line="360" w:lineRule="auto"/>
        <w:ind w:firstLine="480" w:firstLineChars="200"/>
        <w:rPr>
          <w:rFonts w:hint="eastAsia" w:asciiTheme="minorEastAsia" w:hAnsiTheme="minorEastAsia" w:eastAsiaTheme="minorEastAsia" w:cstheme="minorEastAsia"/>
          <w:b w:val="0"/>
          <w:bCs/>
          <w:color w:val="FF0000"/>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9.货款对账与结算:甲、乙双方于每月31日之前(遇节假日顺延)对每一周期内的供货进行核对，并确认无异议以后双方签字确认，货款按照甲方审批流程予以支付。货款支付之前，乙方应提供符合甲方财务要求的税务发票。</w:t>
      </w:r>
    </w:p>
    <w:p w14:paraId="55912A8C">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10.质保及售后服务要求：所有试剂全程质保，在产品正常有效期内，如出现质量问题、试剂变质、上机检测异常、批次质量缺陷等情况，供应商免费无条件更换、补货。</w:t>
      </w:r>
    </w:p>
    <w:p w14:paraId="0500B85D">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供货方需保障试剂供货稳定性，出现断货、缺货情况需提前告知并及时补货，保障科室检验工作正常运转。</w:t>
      </w:r>
    </w:p>
    <w:p w14:paraId="0B6A5CCA">
      <w:pPr>
        <w:spacing w:line="360" w:lineRule="auto"/>
        <w:ind w:firstLine="480" w:firstLineChars="200"/>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接到质量问题反馈后，应及时响应处理并完成退换货及售后对接工作。</w:t>
      </w:r>
    </w:p>
    <w:p w14:paraId="5903B73F">
      <w:pPr>
        <w:spacing w:line="360" w:lineRule="auto"/>
        <w:ind w:firstLine="480" w:firstLineChars="200"/>
        <w:rPr>
          <w:rFonts w:hint="eastAsia" w:asciiTheme="minorEastAsia" w:hAnsiTheme="minorEastAsia" w:eastAsiaTheme="minorEastAsia" w:cstheme="minorEastAsia"/>
          <w:b w:val="0"/>
          <w:bCs/>
          <w:color w:val="FF0000"/>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免费提供试剂配套技术指导、上机适配咨询、质控问题协助处理等售后服务。</w:t>
      </w:r>
    </w:p>
    <w:p w14:paraId="6B25B559">
      <w:pPr>
        <w:pStyle w:val="13"/>
        <w:spacing w:line="360" w:lineRule="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四、商务要求</w:t>
      </w:r>
    </w:p>
    <w:p w14:paraId="1DA0F167">
      <w:pPr>
        <w:spacing w:line="360" w:lineRule="auto"/>
        <w:ind w:firstLine="480" w:firstLineChars="200"/>
        <w:rPr>
          <w:rFonts w:hint="default"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1.合同履行期限：一年。</w:t>
      </w:r>
    </w:p>
    <w:p w14:paraId="4AB42A2F">
      <w:pPr>
        <w:spacing w:line="360" w:lineRule="auto"/>
        <w:ind w:firstLine="480" w:firstLineChars="200"/>
        <w:rPr>
          <w:rFonts w:hint="default"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b w:val="0"/>
          <w:bCs/>
          <w:kern w:val="2"/>
          <w:sz w:val="24"/>
          <w:szCs w:val="24"/>
          <w:lang w:val="en-US" w:eastAsia="zh-CN" w:bidi="ar-SA"/>
        </w:rPr>
        <w:t>2.地点：阿瓦提县人民医院指定地点。</w:t>
      </w:r>
    </w:p>
    <w:p w14:paraId="205B8FAE">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lang w:val="en-US" w:eastAsia="zh-CN"/>
        </w:rPr>
      </w:pPr>
    </w:p>
    <w:p w14:paraId="2F45106C">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lang w:val="en-US" w:eastAsia="zh-CN"/>
        </w:rPr>
      </w:pPr>
    </w:p>
    <w:p w14:paraId="66765C58">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sz w:val="24"/>
          <w:szCs w:val="24"/>
          <w:lang w:val="en-US" w:eastAsia="zh-CN"/>
        </w:rPr>
      </w:pPr>
    </w:p>
    <w:p w14:paraId="069C4FE3">
      <w:pPr>
        <w:rPr>
          <w:rFonts w:hint="eastAsia" w:ascii="宋体" w:hAnsi="宋体" w:cs="宋体"/>
          <w:b/>
          <w:bCs/>
          <w:color w:val="auto"/>
          <w:sz w:val="32"/>
          <w:szCs w:val="32"/>
        </w:rPr>
      </w:pPr>
      <w:bookmarkStart w:id="348" w:name="_Toc8614"/>
      <w:bookmarkStart w:id="349" w:name="_Toc12083"/>
      <w:bookmarkStart w:id="350" w:name="_Toc876"/>
      <w:r>
        <w:rPr>
          <w:rFonts w:hint="eastAsia" w:ascii="宋体" w:hAnsi="宋体" w:cs="宋体"/>
          <w:b/>
          <w:bCs/>
          <w:color w:val="auto"/>
          <w:sz w:val="32"/>
          <w:szCs w:val="32"/>
        </w:rPr>
        <w:br w:type="page"/>
      </w:r>
    </w:p>
    <w:p w14:paraId="12EE8634">
      <w:pPr>
        <w:pStyle w:val="75"/>
        <w:snapToGrid w:val="0"/>
        <w:spacing w:line="440" w:lineRule="exact"/>
        <w:jc w:val="center"/>
        <w:outlineLvl w:val="0"/>
        <w:rPr>
          <w:rFonts w:ascii="宋体" w:hAnsi="宋体" w:cs="宋体"/>
          <w:b/>
          <w:bCs/>
          <w:color w:val="auto"/>
          <w:sz w:val="32"/>
          <w:szCs w:val="32"/>
        </w:rPr>
      </w:pPr>
      <w:r>
        <w:rPr>
          <w:rFonts w:hint="eastAsia" w:ascii="宋体" w:hAnsi="宋体" w:cs="宋体"/>
          <w:b/>
          <w:bCs/>
          <w:color w:val="auto"/>
          <w:sz w:val="32"/>
          <w:szCs w:val="32"/>
        </w:rPr>
        <w:t>第六章 投标文件格式</w:t>
      </w:r>
      <w:bookmarkEnd w:id="345"/>
      <w:bookmarkEnd w:id="346"/>
      <w:bookmarkEnd w:id="348"/>
      <w:bookmarkEnd w:id="349"/>
      <w:bookmarkEnd w:id="350"/>
    </w:p>
    <w:p w14:paraId="46486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sz w:val="28"/>
          <w:szCs w:val="28"/>
          <w:u w:val="single"/>
        </w:rPr>
      </w:pPr>
    </w:p>
    <w:p w14:paraId="4F384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sz w:val="28"/>
          <w:szCs w:val="28"/>
        </w:rPr>
      </w:pPr>
    </w:p>
    <w:p w14:paraId="3C736CAC">
      <w:pPr>
        <w:widowControl/>
        <w:spacing w:line="440" w:lineRule="exact"/>
        <w:jc w:val="center"/>
        <w:rPr>
          <w:rFonts w:ascii="宋体" w:hAnsi="宋体" w:cs="宋体"/>
          <w:b/>
          <w:kern w:val="0"/>
          <w:sz w:val="32"/>
          <w:szCs w:val="32"/>
        </w:rPr>
      </w:pPr>
      <w:r>
        <w:rPr>
          <w:rFonts w:hint="eastAsia" w:ascii="宋体"/>
          <w:sz w:val="28"/>
          <w:szCs w:val="28"/>
          <w:u w:val="single"/>
        </w:rPr>
        <w:t xml:space="preserve">         （项目名称）             </w:t>
      </w:r>
      <w:r>
        <w:rPr>
          <w:rFonts w:hint="eastAsia" w:ascii="宋体" w:hAnsi="宋体" w:cs="宋体"/>
          <w:b/>
          <w:kern w:val="0"/>
          <w:sz w:val="32"/>
          <w:szCs w:val="32"/>
        </w:rPr>
        <w:t>项目</w:t>
      </w:r>
    </w:p>
    <w:p w14:paraId="450B7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sz w:val="28"/>
          <w:szCs w:val="28"/>
        </w:rPr>
      </w:pPr>
    </w:p>
    <w:p w14:paraId="5D5F5D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sz w:val="28"/>
          <w:szCs w:val="28"/>
        </w:rPr>
      </w:pPr>
    </w:p>
    <w:p w14:paraId="29D3B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sz w:val="28"/>
          <w:szCs w:val="28"/>
        </w:rPr>
      </w:pPr>
    </w:p>
    <w:p w14:paraId="0A7FD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sz w:val="20"/>
          <w:szCs w:val="20"/>
        </w:rPr>
      </w:pPr>
    </w:p>
    <w:p w14:paraId="525EF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sz w:val="20"/>
          <w:szCs w:val="20"/>
        </w:rPr>
      </w:pPr>
    </w:p>
    <w:p w14:paraId="0448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sz w:val="20"/>
          <w:szCs w:val="20"/>
        </w:rPr>
      </w:pPr>
    </w:p>
    <w:p w14:paraId="5F018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sz w:val="20"/>
          <w:szCs w:val="20"/>
        </w:rPr>
      </w:pPr>
    </w:p>
    <w:p w14:paraId="2FF2F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sz w:val="20"/>
          <w:szCs w:val="20"/>
        </w:rPr>
      </w:pPr>
    </w:p>
    <w:p w14:paraId="736C4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宋体"/>
          <w:b/>
          <w:bCs/>
          <w:sz w:val="44"/>
          <w:szCs w:val="44"/>
        </w:rPr>
      </w:pPr>
      <w:bookmarkStart w:id="351" w:name="_Toc24390"/>
      <w:bookmarkStart w:id="352" w:name="_Toc18600"/>
      <w:bookmarkStart w:id="353" w:name="_Toc2236"/>
      <w:bookmarkStart w:id="354" w:name="_Toc4985"/>
      <w:bookmarkStart w:id="355" w:name="_Toc20445"/>
      <w:bookmarkStart w:id="356" w:name="_Toc17512"/>
      <w:bookmarkStart w:id="357" w:name="_Toc17105"/>
      <w:r>
        <w:rPr>
          <w:rFonts w:hint="eastAsia" w:ascii="宋体"/>
          <w:b/>
          <w:bCs/>
          <w:sz w:val="44"/>
          <w:szCs w:val="44"/>
        </w:rPr>
        <w:t>投  标  文  件</w:t>
      </w:r>
      <w:bookmarkEnd w:id="351"/>
      <w:bookmarkEnd w:id="352"/>
      <w:bookmarkEnd w:id="353"/>
      <w:bookmarkEnd w:id="354"/>
      <w:bookmarkEnd w:id="355"/>
      <w:bookmarkEnd w:id="356"/>
      <w:bookmarkEnd w:id="357"/>
    </w:p>
    <w:p w14:paraId="323BF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b/>
          <w:bCs/>
          <w:sz w:val="28"/>
          <w:szCs w:val="28"/>
        </w:rPr>
      </w:pPr>
    </w:p>
    <w:p w14:paraId="3055CC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宋体"/>
        </w:rPr>
      </w:pPr>
    </w:p>
    <w:p w14:paraId="15319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31BB8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4717E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1DD3F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11ED6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45E35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17B99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45DD8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sz w:val="30"/>
          <w:szCs w:val="30"/>
        </w:rPr>
      </w:pPr>
    </w:p>
    <w:p w14:paraId="71271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宋体"/>
          <w:sz w:val="28"/>
          <w:szCs w:val="28"/>
          <w:u w:val="single"/>
        </w:rPr>
      </w:pPr>
      <w:bookmarkStart w:id="358" w:name="_Toc30788"/>
      <w:bookmarkStart w:id="359" w:name="_Toc30923"/>
      <w:bookmarkStart w:id="360" w:name="_Toc147"/>
      <w:bookmarkStart w:id="361" w:name="_Toc12817"/>
      <w:bookmarkStart w:id="362" w:name="_Toc7067"/>
      <w:bookmarkStart w:id="363" w:name="_Toc27851"/>
      <w:bookmarkStart w:id="364" w:name="_Toc30292"/>
      <w:r>
        <w:rPr>
          <w:rFonts w:hint="eastAsia" w:ascii="宋体"/>
          <w:sz w:val="28"/>
          <w:szCs w:val="28"/>
        </w:rPr>
        <w:t>投标人：</w:t>
      </w:r>
      <w:r>
        <w:rPr>
          <w:rFonts w:hint="eastAsia" w:ascii="宋体"/>
          <w:sz w:val="28"/>
          <w:szCs w:val="28"/>
          <w:u w:val="single"/>
        </w:rPr>
        <w:t xml:space="preserve">                              </w:t>
      </w:r>
      <w:r>
        <w:rPr>
          <w:rFonts w:hint="eastAsia" w:ascii="宋体"/>
          <w:sz w:val="28"/>
          <w:szCs w:val="28"/>
        </w:rPr>
        <w:t>（盖单位章）</w:t>
      </w:r>
      <w:bookmarkEnd w:id="358"/>
      <w:bookmarkEnd w:id="359"/>
      <w:bookmarkEnd w:id="360"/>
      <w:bookmarkEnd w:id="361"/>
      <w:bookmarkEnd w:id="362"/>
      <w:bookmarkEnd w:id="363"/>
      <w:bookmarkEnd w:id="364"/>
    </w:p>
    <w:p w14:paraId="6002A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rFonts w:ascii="宋体"/>
          <w:sz w:val="28"/>
          <w:szCs w:val="28"/>
        </w:rPr>
      </w:pPr>
      <w:bookmarkStart w:id="365" w:name="_Toc24690"/>
      <w:bookmarkStart w:id="366" w:name="_Toc5338"/>
      <w:bookmarkStart w:id="367" w:name="_Toc25889"/>
      <w:bookmarkStart w:id="368" w:name="_Toc1096"/>
      <w:bookmarkStart w:id="369" w:name="_Toc10420"/>
      <w:bookmarkStart w:id="370" w:name="_Toc32511"/>
      <w:bookmarkStart w:id="371" w:name="_Toc13042"/>
      <w:r>
        <w:rPr>
          <w:rFonts w:hint="eastAsia" w:ascii="宋体"/>
          <w:sz w:val="28"/>
          <w:szCs w:val="28"/>
        </w:rPr>
        <w:t>法定代表人或其委托代理人：</w:t>
      </w:r>
      <w:r>
        <w:rPr>
          <w:rFonts w:hint="eastAsia" w:ascii="宋体"/>
          <w:sz w:val="28"/>
          <w:szCs w:val="28"/>
          <w:u w:val="single"/>
        </w:rPr>
        <w:t xml:space="preserve">                </w:t>
      </w:r>
      <w:r>
        <w:rPr>
          <w:rFonts w:hint="eastAsia" w:ascii="宋体"/>
          <w:sz w:val="28"/>
          <w:szCs w:val="28"/>
        </w:rPr>
        <w:t>（签字）</w:t>
      </w:r>
      <w:bookmarkEnd w:id="365"/>
      <w:bookmarkEnd w:id="366"/>
      <w:bookmarkEnd w:id="367"/>
      <w:bookmarkEnd w:id="368"/>
      <w:bookmarkEnd w:id="369"/>
      <w:bookmarkEnd w:id="370"/>
      <w:bookmarkEnd w:id="371"/>
    </w:p>
    <w:p w14:paraId="03D0B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Cs w:val="21"/>
        </w:rPr>
      </w:pPr>
      <w:r>
        <w:rPr>
          <w:rFonts w:hint="eastAsia"/>
          <w:sz w:val="28"/>
          <w:szCs w:val="28"/>
        </w:rPr>
        <w:t xml:space="preserve">       </w:t>
      </w:r>
      <w:bookmarkStart w:id="372" w:name="_Toc14472"/>
      <w:bookmarkStart w:id="373" w:name="_Toc1600"/>
      <w:bookmarkStart w:id="374" w:name="_Toc633"/>
      <w:bookmarkStart w:id="375" w:name="_Toc28537"/>
      <w:bookmarkStart w:id="376" w:name="_Toc3571"/>
      <w:bookmarkStart w:id="377" w:name="_Toc31890"/>
      <w:bookmarkStart w:id="378" w:name="_Toc19518"/>
      <w:r>
        <w:rPr>
          <w:rFonts w:hint="eastAsia"/>
          <w:sz w:val="28"/>
          <w:szCs w:val="28"/>
        </w:rPr>
        <w:t>年        月        日</w:t>
      </w:r>
      <w:bookmarkEnd w:id="372"/>
      <w:bookmarkEnd w:id="373"/>
      <w:bookmarkEnd w:id="374"/>
      <w:bookmarkEnd w:id="375"/>
      <w:bookmarkEnd w:id="376"/>
      <w:bookmarkEnd w:id="377"/>
      <w:bookmarkEnd w:id="378"/>
    </w:p>
    <w:p w14:paraId="61C3C948">
      <w:pPr>
        <w:pStyle w:val="68"/>
        <w:snapToGrid w:val="0"/>
        <w:spacing w:line="400" w:lineRule="exact"/>
        <w:jc w:val="center"/>
        <w:outlineLvl w:val="1"/>
        <w:rPr>
          <w:b/>
          <w:bCs/>
          <w:color w:val="auto"/>
          <w:sz w:val="21"/>
          <w:szCs w:val="21"/>
        </w:rPr>
      </w:pPr>
      <w:bookmarkStart w:id="379" w:name="_Toc14922"/>
      <w:bookmarkStart w:id="380" w:name="_Toc9965"/>
      <w:bookmarkStart w:id="381" w:name="_Toc22763"/>
      <w:bookmarkStart w:id="382" w:name="_Toc1716"/>
    </w:p>
    <w:p w14:paraId="42799CBF">
      <w:pPr>
        <w:pStyle w:val="68"/>
        <w:snapToGrid w:val="0"/>
        <w:spacing w:line="400" w:lineRule="exact"/>
        <w:jc w:val="center"/>
        <w:outlineLvl w:val="1"/>
        <w:rPr>
          <w:b/>
          <w:bCs/>
          <w:color w:val="auto"/>
          <w:sz w:val="21"/>
          <w:szCs w:val="21"/>
        </w:rPr>
      </w:pPr>
    </w:p>
    <w:p w14:paraId="3E05BD40">
      <w:pPr>
        <w:pStyle w:val="68"/>
        <w:snapToGrid w:val="0"/>
        <w:spacing w:line="360" w:lineRule="auto"/>
        <w:jc w:val="center"/>
        <w:outlineLvl w:val="1"/>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目录</w:t>
      </w:r>
      <w:bookmarkEnd w:id="379"/>
      <w:bookmarkEnd w:id="380"/>
      <w:bookmarkEnd w:id="381"/>
      <w:bookmarkEnd w:id="382"/>
    </w:p>
    <w:p w14:paraId="35C2F0AE">
      <w:pPr>
        <w:pStyle w:val="68"/>
        <w:snapToGrid w:val="0"/>
        <w:spacing w:line="360" w:lineRule="auto"/>
        <w:ind w:firstLine="480" w:firstLineChars="200"/>
        <w:jc w:val="both"/>
        <w:rPr>
          <w:rFonts w:hint="eastAsia" w:asciiTheme="minorEastAsia" w:hAnsiTheme="minorEastAsia" w:eastAsiaTheme="minorEastAsia" w:cstheme="minorEastAsia"/>
          <w:bCs/>
          <w:color w:val="auto"/>
          <w:sz w:val="24"/>
          <w:szCs w:val="24"/>
        </w:rPr>
      </w:pPr>
    </w:p>
    <w:p w14:paraId="7005C447">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383" w:name="_Toc3609"/>
      <w:bookmarkStart w:id="384" w:name="_Toc27302"/>
      <w:bookmarkStart w:id="385" w:name="_Toc25011"/>
      <w:bookmarkStart w:id="386" w:name="_Toc31783"/>
      <w:bookmarkStart w:id="387" w:name="_Toc16407"/>
      <w:bookmarkStart w:id="388" w:name="_Toc20819"/>
      <w:bookmarkStart w:id="389" w:name="_Toc28016"/>
      <w:r>
        <w:rPr>
          <w:rFonts w:hint="eastAsia" w:asciiTheme="minorEastAsia" w:hAnsiTheme="minorEastAsia" w:eastAsiaTheme="minorEastAsia" w:cstheme="minorEastAsia"/>
          <w:b/>
          <w:color w:val="auto"/>
          <w:sz w:val="24"/>
          <w:szCs w:val="24"/>
        </w:rPr>
        <w:t>1.投标函</w:t>
      </w:r>
      <w:bookmarkEnd w:id="383"/>
      <w:bookmarkEnd w:id="384"/>
      <w:bookmarkEnd w:id="385"/>
      <w:bookmarkEnd w:id="386"/>
      <w:bookmarkEnd w:id="387"/>
      <w:bookmarkEnd w:id="388"/>
      <w:bookmarkEnd w:id="389"/>
    </w:p>
    <w:p w14:paraId="4A905D2B">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390" w:name="_Toc10191"/>
      <w:bookmarkStart w:id="391" w:name="_Toc808"/>
      <w:bookmarkStart w:id="392" w:name="_Toc25230"/>
      <w:bookmarkStart w:id="393" w:name="_Toc12014"/>
      <w:bookmarkStart w:id="394" w:name="_Toc14354"/>
      <w:bookmarkStart w:id="395" w:name="_Toc6482"/>
      <w:bookmarkStart w:id="396" w:name="_Toc7088"/>
      <w:r>
        <w:rPr>
          <w:rFonts w:hint="eastAsia" w:asciiTheme="minorEastAsia" w:hAnsiTheme="minorEastAsia" w:eastAsiaTheme="minorEastAsia" w:cstheme="minorEastAsia"/>
          <w:b/>
          <w:color w:val="auto"/>
          <w:sz w:val="24"/>
          <w:szCs w:val="24"/>
        </w:rPr>
        <w:t>2.投标报价一览表</w:t>
      </w:r>
      <w:bookmarkEnd w:id="390"/>
      <w:bookmarkEnd w:id="391"/>
      <w:bookmarkEnd w:id="392"/>
      <w:bookmarkEnd w:id="393"/>
      <w:bookmarkEnd w:id="394"/>
      <w:bookmarkEnd w:id="395"/>
      <w:bookmarkEnd w:id="396"/>
    </w:p>
    <w:p w14:paraId="2745C0C4">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397" w:name="_Toc3921"/>
      <w:bookmarkStart w:id="398" w:name="_Toc21070"/>
      <w:bookmarkStart w:id="399" w:name="_Toc20779"/>
      <w:bookmarkStart w:id="400" w:name="_Toc19143"/>
      <w:bookmarkStart w:id="401" w:name="_Toc30913"/>
      <w:bookmarkStart w:id="402" w:name="_Toc14435"/>
      <w:bookmarkStart w:id="403" w:name="_Toc12482"/>
      <w:r>
        <w:rPr>
          <w:rFonts w:hint="eastAsia" w:asciiTheme="minorEastAsia" w:hAnsiTheme="minorEastAsia" w:eastAsiaTheme="minorEastAsia" w:cstheme="minorEastAsia"/>
          <w:b/>
          <w:color w:val="auto"/>
          <w:sz w:val="24"/>
          <w:szCs w:val="24"/>
        </w:rPr>
        <w:t>3.报价明细表</w:t>
      </w:r>
      <w:bookmarkEnd w:id="397"/>
      <w:bookmarkEnd w:id="398"/>
      <w:bookmarkEnd w:id="399"/>
      <w:bookmarkEnd w:id="400"/>
    </w:p>
    <w:p w14:paraId="578AE069">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404" w:name="_Toc7814"/>
      <w:bookmarkStart w:id="405" w:name="_Toc32244"/>
      <w:bookmarkStart w:id="406" w:name="_Toc29746"/>
      <w:bookmarkStart w:id="407" w:name="_Toc7149"/>
      <w:r>
        <w:rPr>
          <w:rFonts w:hint="eastAsia" w:asciiTheme="minorEastAsia" w:hAnsiTheme="minorEastAsia" w:eastAsiaTheme="minorEastAsia" w:cstheme="minorEastAsia"/>
          <w:b/>
          <w:color w:val="auto"/>
          <w:sz w:val="24"/>
          <w:szCs w:val="24"/>
        </w:rPr>
        <w:t>4.法定代表人身份证明</w:t>
      </w:r>
      <w:bookmarkEnd w:id="401"/>
      <w:bookmarkEnd w:id="402"/>
      <w:bookmarkEnd w:id="403"/>
      <w:bookmarkEnd w:id="404"/>
      <w:bookmarkEnd w:id="405"/>
      <w:bookmarkEnd w:id="406"/>
      <w:bookmarkEnd w:id="407"/>
    </w:p>
    <w:p w14:paraId="2F16FD55">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408" w:name="_Toc18748"/>
      <w:bookmarkStart w:id="409" w:name="_Toc17147"/>
      <w:bookmarkStart w:id="410" w:name="_Toc7918"/>
      <w:bookmarkStart w:id="411" w:name="_Toc4068"/>
      <w:bookmarkStart w:id="412" w:name="_Toc16358"/>
      <w:bookmarkStart w:id="413" w:name="_Toc24089"/>
      <w:bookmarkStart w:id="414" w:name="_Toc11224"/>
      <w:r>
        <w:rPr>
          <w:rFonts w:hint="eastAsia" w:asciiTheme="minorEastAsia" w:hAnsiTheme="minorEastAsia" w:eastAsiaTheme="minorEastAsia" w:cstheme="minorEastAsia"/>
          <w:b/>
          <w:color w:val="auto"/>
          <w:sz w:val="24"/>
          <w:szCs w:val="24"/>
        </w:rPr>
        <w:t>5.法定代表人授权委托书</w:t>
      </w:r>
      <w:bookmarkEnd w:id="408"/>
      <w:bookmarkEnd w:id="409"/>
      <w:bookmarkEnd w:id="410"/>
      <w:bookmarkEnd w:id="411"/>
      <w:bookmarkEnd w:id="412"/>
      <w:bookmarkEnd w:id="413"/>
      <w:bookmarkEnd w:id="414"/>
    </w:p>
    <w:p w14:paraId="1640BF37">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415" w:name="_Toc17856"/>
      <w:bookmarkStart w:id="416" w:name="_Toc2786"/>
      <w:bookmarkStart w:id="417" w:name="_Toc8208"/>
      <w:bookmarkStart w:id="418" w:name="_Toc24200"/>
      <w:bookmarkStart w:id="419" w:name="_Toc31066"/>
      <w:bookmarkStart w:id="420" w:name="_Toc17002"/>
      <w:bookmarkStart w:id="421" w:name="_Toc22767"/>
      <w:r>
        <w:rPr>
          <w:rFonts w:hint="eastAsia" w:asciiTheme="minorEastAsia" w:hAnsiTheme="minorEastAsia" w:eastAsiaTheme="minorEastAsia" w:cstheme="minorEastAsia"/>
          <w:b/>
          <w:color w:val="auto"/>
          <w:sz w:val="24"/>
          <w:szCs w:val="24"/>
        </w:rPr>
        <w:t>6.投标人基本情况</w:t>
      </w:r>
      <w:bookmarkEnd w:id="415"/>
      <w:bookmarkEnd w:id="416"/>
      <w:bookmarkEnd w:id="417"/>
      <w:bookmarkEnd w:id="418"/>
      <w:bookmarkEnd w:id="419"/>
      <w:bookmarkEnd w:id="420"/>
      <w:bookmarkEnd w:id="421"/>
    </w:p>
    <w:p w14:paraId="39686481">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422" w:name="_Toc25746"/>
      <w:bookmarkStart w:id="423" w:name="_Toc25411"/>
      <w:bookmarkStart w:id="424" w:name="_Toc29168"/>
      <w:bookmarkStart w:id="425" w:name="_Toc31243"/>
      <w:bookmarkStart w:id="426" w:name="_Toc7046"/>
      <w:bookmarkStart w:id="427" w:name="_Toc32002"/>
      <w:bookmarkStart w:id="428" w:name="_Toc5789"/>
      <w:r>
        <w:rPr>
          <w:rFonts w:hint="eastAsia" w:asciiTheme="minorEastAsia" w:hAnsiTheme="minorEastAsia" w:eastAsiaTheme="minorEastAsia" w:cstheme="minorEastAsia"/>
          <w:b/>
          <w:color w:val="auto"/>
          <w:sz w:val="24"/>
          <w:szCs w:val="24"/>
        </w:rPr>
        <w:t>7.</w:t>
      </w:r>
      <w:r>
        <w:rPr>
          <w:rFonts w:hint="eastAsia" w:asciiTheme="minorEastAsia" w:hAnsiTheme="minorEastAsia" w:eastAsiaTheme="minorEastAsia" w:cstheme="minorEastAsia"/>
          <w:b/>
          <w:color w:val="auto"/>
          <w:sz w:val="24"/>
          <w:szCs w:val="24"/>
          <w:lang w:eastAsia="zh-CN"/>
        </w:rPr>
        <w:t>近三年</w:t>
      </w:r>
      <w:r>
        <w:rPr>
          <w:rFonts w:hint="eastAsia" w:asciiTheme="minorEastAsia" w:hAnsiTheme="minorEastAsia" w:eastAsiaTheme="minorEastAsia" w:cstheme="minorEastAsia"/>
          <w:b/>
          <w:color w:val="auto"/>
          <w:sz w:val="24"/>
          <w:szCs w:val="24"/>
        </w:rPr>
        <w:t>已完成或在执行类似项目一览表</w:t>
      </w:r>
      <w:bookmarkEnd w:id="422"/>
      <w:bookmarkEnd w:id="423"/>
      <w:bookmarkEnd w:id="424"/>
      <w:bookmarkEnd w:id="425"/>
    </w:p>
    <w:p w14:paraId="7F87D042">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429" w:name="_Toc30500"/>
      <w:bookmarkStart w:id="430" w:name="_Toc30606"/>
      <w:bookmarkStart w:id="431" w:name="_Toc9045"/>
      <w:bookmarkStart w:id="432" w:name="_Toc9121"/>
      <w:r>
        <w:rPr>
          <w:rFonts w:hint="eastAsia" w:asciiTheme="minorEastAsia" w:hAnsiTheme="minorEastAsia" w:eastAsiaTheme="minorEastAsia" w:cstheme="minorEastAsia"/>
          <w:b/>
          <w:color w:val="auto"/>
          <w:sz w:val="24"/>
          <w:szCs w:val="24"/>
        </w:rPr>
        <w:t>8.商务条款偏离表</w:t>
      </w:r>
      <w:bookmarkEnd w:id="429"/>
      <w:bookmarkEnd w:id="430"/>
      <w:bookmarkEnd w:id="431"/>
      <w:bookmarkEnd w:id="432"/>
    </w:p>
    <w:bookmarkEnd w:id="426"/>
    <w:bookmarkEnd w:id="427"/>
    <w:bookmarkEnd w:id="428"/>
    <w:p w14:paraId="631A921C">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433" w:name="_Toc12784"/>
      <w:bookmarkStart w:id="434" w:name="_Toc19057"/>
      <w:bookmarkStart w:id="435" w:name="_Toc28837"/>
      <w:bookmarkStart w:id="436" w:name="_Toc32189"/>
      <w:bookmarkStart w:id="437" w:name="_Toc20526"/>
      <w:bookmarkStart w:id="438" w:name="_Toc9165"/>
      <w:bookmarkStart w:id="439" w:name="_Toc30753"/>
      <w:r>
        <w:rPr>
          <w:rFonts w:hint="eastAsia" w:asciiTheme="minorEastAsia" w:hAnsiTheme="minorEastAsia" w:eastAsiaTheme="minorEastAsia" w:cstheme="minorEastAsia"/>
          <w:b/>
          <w:color w:val="auto"/>
          <w:sz w:val="24"/>
          <w:szCs w:val="24"/>
        </w:rPr>
        <w:t>9.技术参数、规格偏离表</w:t>
      </w:r>
      <w:bookmarkEnd w:id="433"/>
      <w:bookmarkEnd w:id="434"/>
      <w:bookmarkEnd w:id="435"/>
      <w:bookmarkEnd w:id="436"/>
    </w:p>
    <w:p w14:paraId="56AF4DA0">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440" w:name="_Toc10679"/>
      <w:bookmarkStart w:id="441" w:name="_Toc5714"/>
      <w:bookmarkStart w:id="442" w:name="_Toc23418"/>
      <w:bookmarkStart w:id="443" w:name="_Toc7485"/>
      <w:r>
        <w:rPr>
          <w:rFonts w:hint="eastAsia" w:asciiTheme="minorEastAsia" w:hAnsiTheme="minorEastAsia" w:eastAsiaTheme="minorEastAsia" w:cstheme="minorEastAsia"/>
          <w:b/>
          <w:color w:val="auto"/>
          <w:sz w:val="24"/>
          <w:szCs w:val="24"/>
        </w:rPr>
        <w:t>10.供货组织情况及实施方案</w:t>
      </w:r>
      <w:bookmarkEnd w:id="440"/>
      <w:bookmarkEnd w:id="441"/>
      <w:bookmarkEnd w:id="442"/>
      <w:bookmarkEnd w:id="443"/>
    </w:p>
    <w:p w14:paraId="585F579B">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444" w:name="_Toc6703"/>
      <w:bookmarkStart w:id="445" w:name="_Toc20111"/>
      <w:bookmarkStart w:id="446" w:name="_Toc18819"/>
      <w:bookmarkStart w:id="447" w:name="_Toc31966"/>
      <w:r>
        <w:rPr>
          <w:rFonts w:hint="eastAsia" w:asciiTheme="minorEastAsia" w:hAnsiTheme="minorEastAsia" w:eastAsiaTheme="minorEastAsia" w:cstheme="minorEastAsia"/>
          <w:b/>
          <w:color w:val="auto"/>
          <w:sz w:val="24"/>
          <w:szCs w:val="24"/>
        </w:rPr>
        <w:t>11.</w:t>
      </w:r>
      <w:bookmarkEnd w:id="444"/>
      <w:r>
        <w:rPr>
          <w:rFonts w:hint="eastAsia" w:asciiTheme="minorEastAsia" w:hAnsiTheme="minorEastAsia" w:eastAsiaTheme="minorEastAsia" w:cstheme="minorEastAsia"/>
          <w:b/>
          <w:color w:val="auto"/>
          <w:sz w:val="24"/>
          <w:szCs w:val="24"/>
        </w:rPr>
        <w:t>售后服务方案及承诺书</w:t>
      </w:r>
      <w:bookmarkEnd w:id="445"/>
      <w:bookmarkEnd w:id="446"/>
      <w:bookmarkEnd w:id="447"/>
    </w:p>
    <w:p w14:paraId="0EB15F48">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448" w:name="_Toc8754"/>
      <w:bookmarkStart w:id="449" w:name="_Toc30895"/>
      <w:bookmarkStart w:id="450" w:name="_Toc31543"/>
      <w:bookmarkStart w:id="451" w:name="_Toc7201"/>
      <w:r>
        <w:rPr>
          <w:rFonts w:hint="eastAsia" w:asciiTheme="minorEastAsia" w:hAnsiTheme="minorEastAsia" w:eastAsiaTheme="minorEastAsia" w:cstheme="minorEastAsia"/>
          <w:b/>
          <w:color w:val="auto"/>
          <w:sz w:val="24"/>
          <w:szCs w:val="24"/>
        </w:rPr>
        <w:t>12.其它证明材料</w:t>
      </w:r>
      <w:bookmarkEnd w:id="437"/>
      <w:bookmarkEnd w:id="438"/>
      <w:bookmarkEnd w:id="439"/>
      <w:bookmarkEnd w:id="448"/>
      <w:bookmarkEnd w:id="449"/>
      <w:bookmarkEnd w:id="450"/>
      <w:bookmarkEnd w:id="451"/>
    </w:p>
    <w:p w14:paraId="604B4ABF">
      <w:pPr>
        <w:pStyle w:val="68"/>
        <w:snapToGrid w:val="0"/>
        <w:spacing w:line="360" w:lineRule="auto"/>
        <w:ind w:firstLine="482" w:firstLineChars="200"/>
        <w:jc w:val="both"/>
        <w:outlineLvl w:val="0"/>
        <w:rPr>
          <w:rFonts w:hint="eastAsia" w:asciiTheme="minorEastAsia" w:hAnsiTheme="minorEastAsia" w:eastAsiaTheme="minorEastAsia" w:cstheme="minorEastAsia"/>
          <w:b/>
          <w:color w:val="auto"/>
          <w:sz w:val="24"/>
          <w:szCs w:val="24"/>
        </w:rPr>
      </w:pPr>
      <w:bookmarkStart w:id="452" w:name="_Toc17"/>
      <w:bookmarkStart w:id="453" w:name="_Toc982"/>
      <w:bookmarkStart w:id="454" w:name="_Toc6672"/>
      <w:bookmarkStart w:id="455" w:name="_Toc14538"/>
      <w:bookmarkStart w:id="456" w:name="_Toc7081"/>
      <w:bookmarkStart w:id="457" w:name="_Toc3487"/>
      <w:bookmarkStart w:id="458" w:name="_Toc29222"/>
      <w:r>
        <w:rPr>
          <w:rFonts w:hint="eastAsia" w:asciiTheme="minorEastAsia" w:hAnsiTheme="minorEastAsia" w:eastAsiaTheme="minorEastAsia" w:cstheme="minorEastAsia"/>
          <w:b/>
          <w:color w:val="auto"/>
          <w:sz w:val="24"/>
          <w:szCs w:val="24"/>
        </w:rPr>
        <w:t>13.声明函</w:t>
      </w:r>
      <w:bookmarkEnd w:id="452"/>
      <w:bookmarkEnd w:id="453"/>
      <w:bookmarkEnd w:id="454"/>
      <w:bookmarkEnd w:id="455"/>
      <w:bookmarkEnd w:id="456"/>
      <w:bookmarkEnd w:id="457"/>
      <w:bookmarkEnd w:id="458"/>
    </w:p>
    <w:p w14:paraId="08E98000">
      <w:pPr>
        <w:pStyle w:val="68"/>
        <w:snapToGrid w:val="0"/>
        <w:spacing w:line="360" w:lineRule="auto"/>
        <w:jc w:val="center"/>
        <w:outlineLvl w:val="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bCs/>
          <w:color w:val="auto"/>
          <w:sz w:val="28"/>
          <w:szCs w:val="28"/>
        </w:rPr>
        <w:br w:type="page"/>
      </w:r>
      <w:bookmarkStart w:id="459" w:name="_Toc32224"/>
      <w:bookmarkStart w:id="460" w:name="_Toc25531"/>
      <w:bookmarkStart w:id="461" w:name="_Toc15231"/>
      <w:bookmarkStart w:id="462" w:name="_Toc7538"/>
      <w:bookmarkStart w:id="463" w:name="_Toc13134"/>
      <w:r>
        <w:rPr>
          <w:rFonts w:hint="eastAsia" w:asciiTheme="minorEastAsia" w:hAnsiTheme="minorEastAsia" w:eastAsiaTheme="minorEastAsia" w:cstheme="minorEastAsia"/>
          <w:b/>
          <w:bCs/>
          <w:color w:val="auto"/>
          <w:sz w:val="24"/>
          <w:szCs w:val="24"/>
        </w:rPr>
        <w:t>1. 投标</w:t>
      </w:r>
      <w:bookmarkEnd w:id="459"/>
      <w:r>
        <w:rPr>
          <w:rFonts w:hint="eastAsia" w:asciiTheme="minorEastAsia" w:hAnsiTheme="minorEastAsia" w:eastAsiaTheme="minorEastAsia" w:cstheme="minorEastAsia"/>
          <w:b/>
          <w:bCs/>
          <w:color w:val="auto"/>
          <w:sz w:val="24"/>
          <w:szCs w:val="24"/>
        </w:rPr>
        <w:t>函</w:t>
      </w:r>
      <w:bookmarkEnd w:id="460"/>
      <w:bookmarkEnd w:id="461"/>
      <w:bookmarkEnd w:id="462"/>
      <w:bookmarkEnd w:id="463"/>
    </w:p>
    <w:p w14:paraId="44B98E60">
      <w:pPr>
        <w:adjustRightInd w:val="0"/>
        <w:snapToGrid w:val="0"/>
        <w:spacing w:before="159" w:beforeLines="50"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采购人</w:t>
      </w:r>
      <w:r>
        <w:rPr>
          <w:rFonts w:hint="eastAsia" w:asciiTheme="minorEastAsia" w:hAnsiTheme="minorEastAsia" w:eastAsiaTheme="minorEastAsia" w:cstheme="minorEastAsia"/>
          <w:sz w:val="24"/>
          <w:szCs w:val="24"/>
        </w:rPr>
        <w:t>)：</w:t>
      </w:r>
    </w:p>
    <w:p w14:paraId="146BF675">
      <w:pPr>
        <w:adjustRightInd w:val="0"/>
        <w:snapToGrid w:val="0"/>
        <w:spacing w:before="159" w:beforeLines="50" w:line="336" w:lineRule="auto"/>
        <w:ind w:firstLine="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根据贵方为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（项目名称、项目编号）的要求，签字代表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（姓名、职务）经正式授权并代表投标人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（投标人名称、地址）提交下述文件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份并在此声明，所递交的投标文件内容完整、真实。</w:t>
      </w:r>
    </w:p>
    <w:p w14:paraId="6BC588F3">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在此，签字代表承诺如下：</w:t>
      </w:r>
    </w:p>
    <w:p w14:paraId="47A78A2F">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1、我方在详细阅读招标文件各项要求，根据对应采购内容及采购要求规定愿以投标总价：￥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)完成本项目全部货物、运输、安装、检验及相关服务。</w:t>
      </w:r>
    </w:p>
    <w:p w14:paraId="73AF1DDC">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2、我方将按招标文件的规定履行合同责任和义务。</w:t>
      </w:r>
    </w:p>
    <w:p w14:paraId="4A47BC07">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3、我方已详细审查全部招标文件，我们完全理解并同意放弃对这方面有不明及误解的权力。</w:t>
      </w:r>
    </w:p>
    <w:p w14:paraId="44F371E7">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4、本投标有效期为自招标文件规定的提交投标文件截止之日起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个日历天。在投标有效期内我方同意遵守本投标文件中的承诺且在此期限期满之前投标文件对我方具有法律约束力。</w:t>
      </w:r>
    </w:p>
    <w:p w14:paraId="5AE8AD1C">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5、若我方取得中标资格，愿以本项目招标文件规定，向招标代理机构缴纳招标代理服务费。</w:t>
      </w:r>
    </w:p>
    <w:p w14:paraId="6B31F46C">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6、我方同意提供贵方可能要求的与其投标有关的一切数据或资料。</w:t>
      </w:r>
    </w:p>
    <w:p w14:paraId="404B59DB">
      <w:pPr>
        <w:adjustRightInd w:val="0"/>
        <w:snapToGrid w:val="0"/>
        <w:spacing w:before="159" w:beforeLines="50" w:line="336"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7、与本投标有关的一切正式往来信函请寄：</w:t>
      </w:r>
    </w:p>
    <w:p w14:paraId="64E4F60E">
      <w:pPr>
        <w:adjustRightInd w:val="0"/>
        <w:snapToGrid w:val="0"/>
        <w:spacing w:before="159" w:beforeLines="50" w:line="33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邮编：</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传真：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063F8810">
      <w:pPr>
        <w:pStyle w:val="22"/>
        <w:adjustRightInd w:val="0"/>
        <w:snapToGrid w:val="0"/>
        <w:spacing w:before="159" w:beforeLines="50" w:line="336" w:lineRule="auto"/>
        <w:ind w:left="2108" w:leftChars="1004"/>
        <w:rPr>
          <w:rFonts w:hint="eastAsia" w:asciiTheme="minorEastAsia" w:hAnsiTheme="minorEastAsia" w:eastAsiaTheme="minorEastAsia" w:cstheme="minorEastAsia"/>
          <w:sz w:val="24"/>
          <w:szCs w:val="24"/>
        </w:rPr>
      </w:pPr>
    </w:p>
    <w:p w14:paraId="56573001">
      <w:pPr>
        <w:pStyle w:val="22"/>
        <w:adjustRightInd w:val="0"/>
        <w:snapToGrid w:val="0"/>
        <w:spacing w:before="159" w:beforeLines="50" w:line="336" w:lineRule="auto"/>
        <w:ind w:left="2108" w:leftChars="1004"/>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p>
    <w:p w14:paraId="001A1482">
      <w:pPr>
        <w:adjustRightInd w:val="0"/>
        <w:snapToGrid w:val="0"/>
        <w:spacing w:before="159" w:beforeLines="50" w:line="336" w:lineRule="auto"/>
        <w:ind w:left="2108" w:leftChars="1004"/>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法定代表人或其授权的代理人(签字)：</w:t>
      </w:r>
      <w:r>
        <w:rPr>
          <w:rFonts w:hint="eastAsia" w:asciiTheme="minorEastAsia" w:hAnsiTheme="minorEastAsia" w:eastAsiaTheme="minorEastAsia" w:cstheme="minorEastAsia"/>
          <w:sz w:val="24"/>
          <w:szCs w:val="24"/>
          <w:u w:val="single"/>
        </w:rPr>
        <w:t xml:space="preserve">               </w:t>
      </w:r>
    </w:p>
    <w:p w14:paraId="631F618F">
      <w:pPr>
        <w:adjustRightInd w:val="0"/>
        <w:snapToGrid w:val="0"/>
        <w:spacing w:before="159" w:beforeLines="50" w:line="336" w:lineRule="auto"/>
        <w:ind w:left="2108" w:leftChars="10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1711A8E0">
      <w:pPr>
        <w:pStyle w:val="68"/>
        <w:snapToGrid w:val="0"/>
        <w:spacing w:line="360" w:lineRule="auto"/>
        <w:jc w:val="both"/>
        <w:rPr>
          <w:rFonts w:ascii="宋体" w:hAnsi="宋体"/>
          <w:color w:val="auto"/>
          <w:sz w:val="21"/>
          <w:szCs w:val="21"/>
        </w:rPr>
      </w:pPr>
    </w:p>
    <w:p w14:paraId="381A3908">
      <w:pPr>
        <w:rPr>
          <w:rFonts w:hint="eastAsia" w:asciiTheme="minorEastAsia" w:hAnsiTheme="minorEastAsia" w:eastAsiaTheme="minorEastAsia" w:cstheme="minorEastAsia"/>
          <w:kern w:val="0"/>
          <w:sz w:val="24"/>
          <w:szCs w:val="24"/>
        </w:rPr>
      </w:pPr>
      <w:bookmarkStart w:id="464" w:name="_Toc16970"/>
      <w:bookmarkStart w:id="465" w:name="_Toc515525231"/>
      <w:bookmarkStart w:id="466" w:name="_Toc515570483"/>
      <w:bookmarkStart w:id="467" w:name="_Toc17204498"/>
      <w:bookmarkStart w:id="468" w:name="_Toc23220"/>
      <w:r>
        <w:rPr>
          <w:rFonts w:hint="eastAsia" w:asciiTheme="minorEastAsia" w:hAnsiTheme="minorEastAsia" w:eastAsiaTheme="minorEastAsia" w:cstheme="minorEastAsia"/>
          <w:kern w:val="0"/>
          <w:sz w:val="24"/>
          <w:szCs w:val="24"/>
        </w:rPr>
        <w:br w:type="page"/>
      </w:r>
    </w:p>
    <w:p w14:paraId="107E67A1">
      <w:pPr>
        <w:pStyle w:val="3"/>
        <w:spacing w:before="0" w:after="4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2.投标报价一览表</w:t>
      </w:r>
      <w:bookmarkEnd w:id="464"/>
      <w:bookmarkEnd w:id="465"/>
      <w:bookmarkEnd w:id="466"/>
      <w:bookmarkEnd w:id="467"/>
    </w:p>
    <w:p w14:paraId="11489412">
      <w:pPr>
        <w:adjustRightInd w:val="0"/>
        <w:snapToGrid w:val="0"/>
        <w:ind w:left="-88" w:leftChars="-42"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bl>
      <w:tblPr>
        <w:tblStyle w:val="42"/>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074"/>
        <w:gridCol w:w="2477"/>
        <w:gridCol w:w="1996"/>
        <w:gridCol w:w="1408"/>
      </w:tblGrid>
      <w:tr w14:paraId="729C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jc w:val="center"/>
        </w:trPr>
        <w:tc>
          <w:tcPr>
            <w:tcW w:w="3074" w:type="dxa"/>
            <w:vAlign w:val="center"/>
          </w:tcPr>
          <w:p w14:paraId="794DDE8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2477" w:type="dxa"/>
            <w:vAlign w:val="center"/>
          </w:tcPr>
          <w:p w14:paraId="199E30F6">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投标报价（元）</w:t>
            </w:r>
          </w:p>
        </w:tc>
        <w:tc>
          <w:tcPr>
            <w:tcW w:w="1996" w:type="dxa"/>
            <w:vAlign w:val="center"/>
          </w:tcPr>
          <w:p w14:paraId="75243AF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合同履行期限</w:t>
            </w:r>
            <w:r>
              <w:rPr>
                <w:rFonts w:hint="eastAsia" w:asciiTheme="minorEastAsia" w:hAnsiTheme="minorEastAsia" w:eastAsiaTheme="minorEastAsia" w:cstheme="minorEastAsia"/>
                <w:sz w:val="24"/>
                <w:szCs w:val="24"/>
                <w:lang w:val="en-US" w:eastAsia="zh-CN"/>
              </w:rPr>
              <w:t xml:space="preserve">     </w:t>
            </w:r>
          </w:p>
        </w:tc>
        <w:tc>
          <w:tcPr>
            <w:tcW w:w="1408" w:type="dxa"/>
            <w:vAlign w:val="center"/>
          </w:tcPr>
          <w:p w14:paraId="6B1BF21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14:paraId="26CC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74" w:hRule="atLeast"/>
          <w:jc w:val="center"/>
        </w:trPr>
        <w:tc>
          <w:tcPr>
            <w:tcW w:w="3074" w:type="dxa"/>
            <w:vAlign w:val="center"/>
          </w:tcPr>
          <w:p w14:paraId="4B3699A1">
            <w:pPr>
              <w:spacing w:line="360" w:lineRule="auto"/>
              <w:jc w:val="center"/>
              <w:rPr>
                <w:rFonts w:hint="eastAsia" w:asciiTheme="minorEastAsia" w:hAnsiTheme="minorEastAsia" w:eastAsiaTheme="minorEastAsia" w:cstheme="minorEastAsia"/>
                <w:sz w:val="24"/>
                <w:szCs w:val="24"/>
              </w:rPr>
            </w:pPr>
          </w:p>
        </w:tc>
        <w:tc>
          <w:tcPr>
            <w:tcW w:w="2477" w:type="dxa"/>
            <w:vAlign w:val="center"/>
          </w:tcPr>
          <w:p w14:paraId="30E37C4F">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小写：</w:t>
            </w:r>
          </w:p>
          <w:p w14:paraId="537AFA74">
            <w:pPr>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大写：</w:t>
            </w:r>
          </w:p>
        </w:tc>
        <w:tc>
          <w:tcPr>
            <w:tcW w:w="1996" w:type="dxa"/>
            <w:vAlign w:val="center"/>
          </w:tcPr>
          <w:p w14:paraId="32823252">
            <w:pPr>
              <w:spacing w:line="360" w:lineRule="auto"/>
              <w:jc w:val="center"/>
              <w:rPr>
                <w:rFonts w:hint="eastAsia" w:asciiTheme="minorEastAsia" w:hAnsiTheme="minorEastAsia" w:eastAsiaTheme="minorEastAsia" w:cstheme="minorEastAsia"/>
                <w:sz w:val="24"/>
                <w:szCs w:val="24"/>
              </w:rPr>
            </w:pPr>
          </w:p>
        </w:tc>
        <w:tc>
          <w:tcPr>
            <w:tcW w:w="1408" w:type="dxa"/>
            <w:vAlign w:val="center"/>
          </w:tcPr>
          <w:p w14:paraId="5D797468">
            <w:pPr>
              <w:spacing w:line="360" w:lineRule="auto"/>
              <w:jc w:val="center"/>
              <w:rPr>
                <w:rFonts w:hint="eastAsia" w:asciiTheme="minorEastAsia" w:hAnsiTheme="minorEastAsia" w:eastAsiaTheme="minorEastAsia" w:cstheme="minorEastAsia"/>
                <w:sz w:val="24"/>
                <w:szCs w:val="24"/>
              </w:rPr>
            </w:pPr>
          </w:p>
        </w:tc>
      </w:tr>
    </w:tbl>
    <w:p w14:paraId="2A52D6AF">
      <w:pPr>
        <w:adjustRightInd w:val="0"/>
        <w:snapToGrid w:val="0"/>
        <w:ind w:left="2480" w:leftChars="1181"/>
        <w:rPr>
          <w:rFonts w:hint="eastAsia" w:asciiTheme="minorEastAsia" w:hAnsiTheme="minorEastAsia" w:eastAsiaTheme="minorEastAsia" w:cstheme="minorEastAsia"/>
          <w:sz w:val="24"/>
          <w:szCs w:val="24"/>
        </w:rPr>
      </w:pPr>
    </w:p>
    <w:p w14:paraId="46B61DCB">
      <w:pPr>
        <w:adjustRightInd w:val="0"/>
        <w:snapToGrid w:val="0"/>
        <w:ind w:left="1611" w:leftChars="767"/>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03EF067C">
      <w:pPr>
        <w:adjustRightInd w:val="0"/>
        <w:snapToGrid w:val="0"/>
        <w:ind w:left="1611" w:leftChars="767"/>
        <w:rPr>
          <w:rFonts w:hint="eastAsia" w:asciiTheme="minorEastAsia" w:hAnsiTheme="minorEastAsia" w:eastAsiaTheme="minorEastAsia" w:cstheme="minorEastAsia"/>
          <w:sz w:val="24"/>
          <w:szCs w:val="24"/>
        </w:rPr>
      </w:pPr>
    </w:p>
    <w:p w14:paraId="2707FC3F">
      <w:pPr>
        <w:adjustRightInd w:val="0"/>
        <w:snapToGrid w:val="0"/>
        <w:ind w:left="1611" w:leftChars="767"/>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480263A0">
      <w:pPr>
        <w:adjustRightInd w:val="0"/>
        <w:snapToGrid w:val="0"/>
        <w:ind w:left="1611" w:leftChars="767"/>
        <w:rPr>
          <w:rFonts w:hint="eastAsia" w:asciiTheme="minorEastAsia" w:hAnsiTheme="minorEastAsia" w:eastAsiaTheme="minorEastAsia" w:cstheme="minorEastAsia"/>
          <w:sz w:val="24"/>
          <w:szCs w:val="24"/>
        </w:rPr>
      </w:pPr>
    </w:p>
    <w:p w14:paraId="130AB515">
      <w:pPr>
        <w:adjustRightInd w:val="0"/>
        <w:snapToGrid w:val="0"/>
        <w:ind w:left="1611" w:leftChars="7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793BA56E">
      <w:pPr>
        <w:pStyle w:val="9"/>
        <w:rPr>
          <w:rFonts w:hint="eastAsia" w:asciiTheme="minorEastAsia" w:hAnsiTheme="minorEastAsia" w:eastAsiaTheme="minorEastAsia" w:cstheme="minorEastAsia"/>
          <w:sz w:val="24"/>
          <w:szCs w:val="24"/>
        </w:rPr>
      </w:pPr>
    </w:p>
    <w:p w14:paraId="3635718B">
      <w:pPr>
        <w:rPr>
          <w:rFonts w:hint="eastAsia"/>
          <w:sz w:val="24"/>
          <w:szCs w:val="24"/>
        </w:rPr>
      </w:pPr>
    </w:p>
    <w:p w14:paraId="68BAB4DE">
      <w:pPr>
        <w:adjustRightInd w:val="0"/>
        <w:snapToGrid w:val="0"/>
        <w:spacing w:line="360" w:lineRule="auto"/>
        <w:ind w:left="425"/>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说明：</w:t>
      </w:r>
    </w:p>
    <w:p w14:paraId="65E7308F">
      <w:pPr>
        <w:adjustRightInd w:val="0"/>
        <w:snapToGrid w:val="0"/>
        <w:spacing w:line="360" w:lineRule="auto"/>
        <w:ind w:left="425"/>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1、请严格按此“投标报价一览表”格式填写，投标人报价时应详细阅读招标文件报价要求并自行考虑市场风险以及价格合理性。</w:t>
      </w:r>
    </w:p>
    <w:p w14:paraId="5E9AE525">
      <w:pPr>
        <w:adjustRightInd w:val="0"/>
        <w:snapToGrid w:val="0"/>
        <w:spacing w:line="360" w:lineRule="auto"/>
        <w:ind w:left="425"/>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2、合价之和即为投标总报价，合价依据为分项价格表计算得出。</w:t>
      </w:r>
    </w:p>
    <w:p w14:paraId="4C249BE4">
      <w:pPr>
        <w:adjustRightInd w:val="0"/>
        <w:snapToGrid w:val="0"/>
        <w:spacing w:line="360" w:lineRule="auto"/>
        <w:ind w:left="425"/>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3、投标报价一览表中投标总报价应与投标函一致。</w:t>
      </w:r>
    </w:p>
    <w:p w14:paraId="5286EE0D">
      <w:pPr>
        <w:spacing w:line="400" w:lineRule="exact"/>
        <w:jc w:val="center"/>
        <w:rPr>
          <w:rFonts w:hint="eastAsia" w:asciiTheme="minorEastAsia" w:hAnsiTheme="minorEastAsia" w:eastAsiaTheme="minorEastAsia" w:cstheme="minorEastAsia"/>
          <w:b/>
          <w:bCs/>
          <w:sz w:val="24"/>
          <w:szCs w:val="24"/>
        </w:rPr>
      </w:pPr>
    </w:p>
    <w:p w14:paraId="3EBEFC30">
      <w:pPr>
        <w:spacing w:line="400" w:lineRule="exact"/>
        <w:jc w:val="center"/>
        <w:rPr>
          <w:rFonts w:ascii="宋体" w:hAnsi="宋体"/>
          <w:b/>
          <w:bCs/>
          <w:szCs w:val="21"/>
        </w:rPr>
      </w:pPr>
    </w:p>
    <w:p w14:paraId="0C09F042">
      <w:pPr>
        <w:spacing w:line="400" w:lineRule="exact"/>
        <w:jc w:val="center"/>
        <w:rPr>
          <w:rFonts w:ascii="宋体" w:hAnsi="宋体"/>
          <w:b/>
          <w:bCs/>
          <w:szCs w:val="21"/>
        </w:rPr>
      </w:pPr>
    </w:p>
    <w:p w14:paraId="179F0A1E">
      <w:pPr>
        <w:spacing w:line="400" w:lineRule="exact"/>
        <w:jc w:val="center"/>
        <w:rPr>
          <w:rFonts w:ascii="宋体" w:hAnsi="宋体"/>
          <w:b/>
          <w:bCs/>
          <w:szCs w:val="21"/>
        </w:rPr>
      </w:pPr>
    </w:p>
    <w:p w14:paraId="6E575971">
      <w:pPr>
        <w:spacing w:line="400" w:lineRule="exact"/>
        <w:jc w:val="center"/>
        <w:rPr>
          <w:rFonts w:ascii="宋体" w:hAnsi="宋体"/>
          <w:b/>
          <w:bCs/>
          <w:szCs w:val="21"/>
        </w:rPr>
      </w:pPr>
    </w:p>
    <w:p w14:paraId="47390576">
      <w:pPr>
        <w:pStyle w:val="3"/>
      </w:pPr>
    </w:p>
    <w:p w14:paraId="6F038362"/>
    <w:p w14:paraId="21776212">
      <w:pPr>
        <w:pStyle w:val="16"/>
      </w:pPr>
    </w:p>
    <w:p w14:paraId="21486EAD"/>
    <w:p w14:paraId="586728C6">
      <w:pPr>
        <w:pStyle w:val="16"/>
      </w:pPr>
    </w:p>
    <w:p w14:paraId="215B3F3F"/>
    <w:p w14:paraId="7AAD3248">
      <w:pPr>
        <w:pStyle w:val="16"/>
      </w:pPr>
    </w:p>
    <w:p w14:paraId="01720C08"/>
    <w:p w14:paraId="1F2CEAF3">
      <w:pPr>
        <w:pStyle w:val="16"/>
      </w:pPr>
    </w:p>
    <w:p w14:paraId="1794383C">
      <w:pPr>
        <w:pStyle w:val="3"/>
        <w:spacing w:before="0" w:after="40"/>
        <w:jc w:val="center"/>
        <w:rPr>
          <w:rFonts w:hint="eastAsia" w:asciiTheme="minorEastAsia" w:hAnsiTheme="minorEastAsia" w:eastAsiaTheme="minorEastAsia" w:cstheme="minorEastAsia"/>
          <w:kern w:val="0"/>
          <w:sz w:val="24"/>
          <w:szCs w:val="24"/>
        </w:rPr>
      </w:pPr>
      <w:bookmarkStart w:id="469" w:name="_Toc14072"/>
      <w:bookmarkStart w:id="470" w:name="_Toc12961"/>
      <w:bookmarkStart w:id="471" w:name="_Toc515525232"/>
      <w:bookmarkStart w:id="472" w:name="_Toc515570484"/>
      <w:bookmarkStart w:id="473" w:name="_Toc17204499"/>
      <w:bookmarkStart w:id="474" w:name="_Toc385671125"/>
      <w:r>
        <w:rPr>
          <w:rFonts w:hint="eastAsia" w:asciiTheme="minorEastAsia" w:hAnsiTheme="minorEastAsia" w:eastAsiaTheme="minorEastAsia" w:cstheme="minorEastAsia"/>
          <w:kern w:val="0"/>
          <w:sz w:val="24"/>
          <w:szCs w:val="24"/>
        </w:rPr>
        <w:t>3.报价明细表</w:t>
      </w:r>
      <w:bookmarkEnd w:id="469"/>
      <w:bookmarkEnd w:id="470"/>
    </w:p>
    <w:p w14:paraId="059BE29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bl>
      <w:tblPr>
        <w:tblStyle w:val="42"/>
        <w:tblW w:w="91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9"/>
        <w:gridCol w:w="1442"/>
        <w:gridCol w:w="1181"/>
        <w:gridCol w:w="1181"/>
        <w:gridCol w:w="1181"/>
        <w:gridCol w:w="1181"/>
        <w:gridCol w:w="1182"/>
        <w:gridCol w:w="879"/>
      </w:tblGrid>
      <w:tr w14:paraId="33B12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19" w:type="dxa"/>
            <w:vAlign w:val="center"/>
          </w:tcPr>
          <w:p w14:paraId="59BC7D9D">
            <w:pPr>
              <w:tabs>
                <w:tab w:val="left" w:pos="0"/>
              </w:tabs>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442" w:type="dxa"/>
            <w:vAlign w:val="center"/>
          </w:tcPr>
          <w:p w14:paraId="1D5621DF">
            <w:pPr>
              <w:tabs>
                <w:tab w:val="left" w:pos="0"/>
              </w:tabs>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产品名称</w:t>
            </w:r>
          </w:p>
        </w:tc>
        <w:tc>
          <w:tcPr>
            <w:tcW w:w="1181" w:type="dxa"/>
            <w:vAlign w:val="center"/>
          </w:tcPr>
          <w:p w14:paraId="7EE38C9A">
            <w:pPr>
              <w:tabs>
                <w:tab w:val="left" w:pos="0"/>
              </w:tabs>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品牌、规格型号</w:t>
            </w:r>
          </w:p>
        </w:tc>
        <w:tc>
          <w:tcPr>
            <w:tcW w:w="1181" w:type="dxa"/>
            <w:vAlign w:val="center"/>
          </w:tcPr>
          <w:p w14:paraId="650E3380">
            <w:pPr>
              <w:tabs>
                <w:tab w:val="left" w:pos="0"/>
              </w:tabs>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单价（元）</w:t>
            </w:r>
          </w:p>
        </w:tc>
        <w:tc>
          <w:tcPr>
            <w:tcW w:w="1181" w:type="dxa"/>
            <w:vAlign w:val="center"/>
          </w:tcPr>
          <w:p w14:paraId="49858D97">
            <w:pPr>
              <w:tabs>
                <w:tab w:val="left" w:pos="0"/>
              </w:tabs>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数量</w:t>
            </w:r>
          </w:p>
        </w:tc>
        <w:tc>
          <w:tcPr>
            <w:tcW w:w="1181" w:type="dxa"/>
            <w:vAlign w:val="center"/>
          </w:tcPr>
          <w:p w14:paraId="52241060">
            <w:pPr>
              <w:tabs>
                <w:tab w:val="left" w:pos="0"/>
              </w:tabs>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总价（元）</w:t>
            </w:r>
          </w:p>
        </w:tc>
        <w:tc>
          <w:tcPr>
            <w:tcW w:w="1182" w:type="dxa"/>
            <w:vAlign w:val="center"/>
          </w:tcPr>
          <w:p w14:paraId="107BC8B6">
            <w:pPr>
              <w:tabs>
                <w:tab w:val="left" w:pos="0"/>
              </w:tabs>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14:paraId="5A26F957">
            <w:pPr>
              <w:tabs>
                <w:tab w:val="left" w:pos="0"/>
              </w:tabs>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（产地）</w:t>
            </w:r>
          </w:p>
        </w:tc>
        <w:tc>
          <w:tcPr>
            <w:tcW w:w="879" w:type="dxa"/>
            <w:vAlign w:val="center"/>
          </w:tcPr>
          <w:p w14:paraId="69F0EBA7">
            <w:pPr>
              <w:tabs>
                <w:tab w:val="left" w:pos="0"/>
              </w:tabs>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可附图片</w:t>
            </w:r>
          </w:p>
        </w:tc>
      </w:tr>
      <w:tr w14:paraId="1C495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19" w:type="dxa"/>
          </w:tcPr>
          <w:p w14:paraId="31964329">
            <w:pPr>
              <w:spacing w:line="360" w:lineRule="auto"/>
              <w:rPr>
                <w:rFonts w:hint="eastAsia" w:asciiTheme="minorEastAsia" w:hAnsiTheme="minorEastAsia" w:eastAsiaTheme="minorEastAsia" w:cstheme="minorEastAsia"/>
                <w:sz w:val="24"/>
                <w:szCs w:val="24"/>
              </w:rPr>
            </w:pPr>
          </w:p>
        </w:tc>
        <w:tc>
          <w:tcPr>
            <w:tcW w:w="1442" w:type="dxa"/>
          </w:tcPr>
          <w:p w14:paraId="76316D68">
            <w:pPr>
              <w:spacing w:line="360" w:lineRule="auto"/>
              <w:rPr>
                <w:rFonts w:hint="eastAsia" w:asciiTheme="minorEastAsia" w:hAnsiTheme="minorEastAsia" w:eastAsiaTheme="minorEastAsia" w:cstheme="minorEastAsia"/>
                <w:sz w:val="24"/>
                <w:szCs w:val="24"/>
              </w:rPr>
            </w:pPr>
          </w:p>
        </w:tc>
        <w:tc>
          <w:tcPr>
            <w:tcW w:w="1181" w:type="dxa"/>
          </w:tcPr>
          <w:p w14:paraId="25FE45B5">
            <w:pPr>
              <w:spacing w:line="360" w:lineRule="auto"/>
              <w:rPr>
                <w:rFonts w:hint="eastAsia" w:asciiTheme="minorEastAsia" w:hAnsiTheme="minorEastAsia" w:eastAsiaTheme="minorEastAsia" w:cstheme="minorEastAsia"/>
                <w:sz w:val="24"/>
                <w:szCs w:val="24"/>
              </w:rPr>
            </w:pPr>
          </w:p>
        </w:tc>
        <w:tc>
          <w:tcPr>
            <w:tcW w:w="1181" w:type="dxa"/>
          </w:tcPr>
          <w:p w14:paraId="041C5BD1">
            <w:pPr>
              <w:spacing w:line="360" w:lineRule="auto"/>
              <w:rPr>
                <w:rFonts w:hint="eastAsia" w:asciiTheme="minorEastAsia" w:hAnsiTheme="minorEastAsia" w:eastAsiaTheme="minorEastAsia" w:cstheme="minorEastAsia"/>
                <w:sz w:val="24"/>
                <w:szCs w:val="24"/>
              </w:rPr>
            </w:pPr>
          </w:p>
        </w:tc>
        <w:tc>
          <w:tcPr>
            <w:tcW w:w="1181" w:type="dxa"/>
          </w:tcPr>
          <w:p w14:paraId="65EC1D43">
            <w:pPr>
              <w:spacing w:line="360" w:lineRule="auto"/>
              <w:rPr>
                <w:rFonts w:hint="eastAsia" w:asciiTheme="minorEastAsia" w:hAnsiTheme="minorEastAsia" w:eastAsiaTheme="minorEastAsia" w:cstheme="minorEastAsia"/>
                <w:sz w:val="24"/>
                <w:szCs w:val="24"/>
              </w:rPr>
            </w:pPr>
          </w:p>
        </w:tc>
        <w:tc>
          <w:tcPr>
            <w:tcW w:w="1181" w:type="dxa"/>
          </w:tcPr>
          <w:p w14:paraId="7BAFE57D">
            <w:pPr>
              <w:spacing w:line="360" w:lineRule="auto"/>
              <w:rPr>
                <w:rFonts w:hint="eastAsia" w:asciiTheme="minorEastAsia" w:hAnsiTheme="minorEastAsia" w:eastAsiaTheme="minorEastAsia" w:cstheme="minorEastAsia"/>
                <w:sz w:val="24"/>
                <w:szCs w:val="24"/>
              </w:rPr>
            </w:pPr>
          </w:p>
        </w:tc>
        <w:tc>
          <w:tcPr>
            <w:tcW w:w="1182" w:type="dxa"/>
          </w:tcPr>
          <w:p w14:paraId="2E0D0DBF">
            <w:pPr>
              <w:spacing w:line="360" w:lineRule="auto"/>
              <w:rPr>
                <w:rFonts w:hint="eastAsia" w:asciiTheme="minorEastAsia" w:hAnsiTheme="minorEastAsia" w:eastAsiaTheme="minorEastAsia" w:cstheme="minorEastAsia"/>
                <w:sz w:val="24"/>
                <w:szCs w:val="24"/>
              </w:rPr>
            </w:pPr>
          </w:p>
        </w:tc>
        <w:tc>
          <w:tcPr>
            <w:tcW w:w="879" w:type="dxa"/>
          </w:tcPr>
          <w:p w14:paraId="356B3350">
            <w:pPr>
              <w:spacing w:line="360" w:lineRule="auto"/>
              <w:rPr>
                <w:rFonts w:hint="eastAsia" w:asciiTheme="minorEastAsia" w:hAnsiTheme="minorEastAsia" w:eastAsiaTheme="minorEastAsia" w:cstheme="minorEastAsia"/>
                <w:sz w:val="24"/>
                <w:szCs w:val="24"/>
              </w:rPr>
            </w:pPr>
          </w:p>
        </w:tc>
      </w:tr>
      <w:tr w14:paraId="242E0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19" w:type="dxa"/>
          </w:tcPr>
          <w:p w14:paraId="2BAB537C">
            <w:pPr>
              <w:spacing w:line="360" w:lineRule="auto"/>
              <w:rPr>
                <w:rFonts w:hint="eastAsia" w:asciiTheme="minorEastAsia" w:hAnsiTheme="minorEastAsia" w:eastAsiaTheme="minorEastAsia" w:cstheme="minorEastAsia"/>
                <w:sz w:val="24"/>
                <w:szCs w:val="24"/>
              </w:rPr>
            </w:pPr>
          </w:p>
        </w:tc>
        <w:tc>
          <w:tcPr>
            <w:tcW w:w="1442" w:type="dxa"/>
          </w:tcPr>
          <w:p w14:paraId="6DF1BD4B">
            <w:pPr>
              <w:spacing w:line="360" w:lineRule="auto"/>
              <w:rPr>
                <w:rFonts w:hint="eastAsia" w:asciiTheme="minorEastAsia" w:hAnsiTheme="minorEastAsia" w:eastAsiaTheme="minorEastAsia" w:cstheme="minorEastAsia"/>
                <w:sz w:val="24"/>
                <w:szCs w:val="24"/>
              </w:rPr>
            </w:pPr>
          </w:p>
        </w:tc>
        <w:tc>
          <w:tcPr>
            <w:tcW w:w="1181" w:type="dxa"/>
          </w:tcPr>
          <w:p w14:paraId="06656470">
            <w:pPr>
              <w:spacing w:line="360" w:lineRule="auto"/>
              <w:rPr>
                <w:rFonts w:hint="eastAsia" w:asciiTheme="minorEastAsia" w:hAnsiTheme="minorEastAsia" w:eastAsiaTheme="minorEastAsia" w:cstheme="minorEastAsia"/>
                <w:sz w:val="24"/>
                <w:szCs w:val="24"/>
              </w:rPr>
            </w:pPr>
          </w:p>
        </w:tc>
        <w:tc>
          <w:tcPr>
            <w:tcW w:w="1181" w:type="dxa"/>
          </w:tcPr>
          <w:p w14:paraId="2CDBC40A">
            <w:pPr>
              <w:spacing w:line="360" w:lineRule="auto"/>
              <w:rPr>
                <w:rFonts w:hint="eastAsia" w:asciiTheme="minorEastAsia" w:hAnsiTheme="minorEastAsia" w:eastAsiaTheme="minorEastAsia" w:cstheme="minorEastAsia"/>
                <w:sz w:val="24"/>
                <w:szCs w:val="24"/>
              </w:rPr>
            </w:pPr>
          </w:p>
        </w:tc>
        <w:tc>
          <w:tcPr>
            <w:tcW w:w="1181" w:type="dxa"/>
          </w:tcPr>
          <w:p w14:paraId="008339B8">
            <w:pPr>
              <w:spacing w:line="360" w:lineRule="auto"/>
              <w:rPr>
                <w:rFonts w:hint="eastAsia" w:asciiTheme="minorEastAsia" w:hAnsiTheme="minorEastAsia" w:eastAsiaTheme="minorEastAsia" w:cstheme="minorEastAsia"/>
                <w:sz w:val="24"/>
                <w:szCs w:val="24"/>
              </w:rPr>
            </w:pPr>
          </w:p>
        </w:tc>
        <w:tc>
          <w:tcPr>
            <w:tcW w:w="1181" w:type="dxa"/>
          </w:tcPr>
          <w:p w14:paraId="2A4DBF67">
            <w:pPr>
              <w:spacing w:line="360" w:lineRule="auto"/>
              <w:rPr>
                <w:rFonts w:hint="eastAsia" w:asciiTheme="minorEastAsia" w:hAnsiTheme="minorEastAsia" w:eastAsiaTheme="minorEastAsia" w:cstheme="minorEastAsia"/>
                <w:sz w:val="24"/>
                <w:szCs w:val="24"/>
              </w:rPr>
            </w:pPr>
          </w:p>
        </w:tc>
        <w:tc>
          <w:tcPr>
            <w:tcW w:w="1182" w:type="dxa"/>
          </w:tcPr>
          <w:p w14:paraId="2B851CEE">
            <w:pPr>
              <w:spacing w:line="360" w:lineRule="auto"/>
              <w:rPr>
                <w:rFonts w:hint="eastAsia" w:asciiTheme="minorEastAsia" w:hAnsiTheme="minorEastAsia" w:eastAsiaTheme="minorEastAsia" w:cstheme="minorEastAsia"/>
                <w:sz w:val="24"/>
                <w:szCs w:val="24"/>
              </w:rPr>
            </w:pPr>
          </w:p>
        </w:tc>
        <w:tc>
          <w:tcPr>
            <w:tcW w:w="879" w:type="dxa"/>
          </w:tcPr>
          <w:p w14:paraId="53FDFC55">
            <w:pPr>
              <w:spacing w:line="360" w:lineRule="auto"/>
              <w:rPr>
                <w:rFonts w:hint="eastAsia" w:asciiTheme="minorEastAsia" w:hAnsiTheme="minorEastAsia" w:eastAsiaTheme="minorEastAsia" w:cstheme="minorEastAsia"/>
                <w:sz w:val="24"/>
                <w:szCs w:val="24"/>
              </w:rPr>
            </w:pPr>
          </w:p>
        </w:tc>
      </w:tr>
      <w:tr w14:paraId="672A9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19" w:type="dxa"/>
          </w:tcPr>
          <w:p w14:paraId="72743EE8">
            <w:pPr>
              <w:spacing w:line="360" w:lineRule="auto"/>
              <w:rPr>
                <w:rFonts w:hint="eastAsia" w:asciiTheme="minorEastAsia" w:hAnsiTheme="minorEastAsia" w:eastAsiaTheme="minorEastAsia" w:cstheme="minorEastAsia"/>
                <w:sz w:val="24"/>
                <w:szCs w:val="24"/>
              </w:rPr>
            </w:pPr>
          </w:p>
        </w:tc>
        <w:tc>
          <w:tcPr>
            <w:tcW w:w="1442" w:type="dxa"/>
          </w:tcPr>
          <w:p w14:paraId="6CF3D4FC">
            <w:pPr>
              <w:spacing w:line="360" w:lineRule="auto"/>
              <w:rPr>
                <w:rFonts w:hint="eastAsia" w:asciiTheme="minorEastAsia" w:hAnsiTheme="minorEastAsia" w:eastAsiaTheme="minorEastAsia" w:cstheme="minorEastAsia"/>
                <w:sz w:val="24"/>
                <w:szCs w:val="24"/>
              </w:rPr>
            </w:pPr>
          </w:p>
        </w:tc>
        <w:tc>
          <w:tcPr>
            <w:tcW w:w="1181" w:type="dxa"/>
          </w:tcPr>
          <w:p w14:paraId="2363BD15">
            <w:pPr>
              <w:spacing w:line="360" w:lineRule="auto"/>
              <w:rPr>
                <w:rFonts w:hint="eastAsia" w:asciiTheme="minorEastAsia" w:hAnsiTheme="minorEastAsia" w:eastAsiaTheme="minorEastAsia" w:cstheme="minorEastAsia"/>
                <w:sz w:val="24"/>
                <w:szCs w:val="24"/>
              </w:rPr>
            </w:pPr>
          </w:p>
        </w:tc>
        <w:tc>
          <w:tcPr>
            <w:tcW w:w="1181" w:type="dxa"/>
          </w:tcPr>
          <w:p w14:paraId="2470E731">
            <w:pPr>
              <w:spacing w:line="360" w:lineRule="auto"/>
              <w:rPr>
                <w:rFonts w:hint="eastAsia" w:asciiTheme="minorEastAsia" w:hAnsiTheme="minorEastAsia" w:eastAsiaTheme="minorEastAsia" w:cstheme="minorEastAsia"/>
                <w:sz w:val="24"/>
                <w:szCs w:val="24"/>
              </w:rPr>
            </w:pPr>
          </w:p>
        </w:tc>
        <w:tc>
          <w:tcPr>
            <w:tcW w:w="1181" w:type="dxa"/>
          </w:tcPr>
          <w:p w14:paraId="1FD2BA9D">
            <w:pPr>
              <w:spacing w:line="360" w:lineRule="auto"/>
              <w:rPr>
                <w:rFonts w:hint="eastAsia" w:asciiTheme="minorEastAsia" w:hAnsiTheme="minorEastAsia" w:eastAsiaTheme="minorEastAsia" w:cstheme="minorEastAsia"/>
                <w:sz w:val="24"/>
                <w:szCs w:val="24"/>
              </w:rPr>
            </w:pPr>
          </w:p>
        </w:tc>
        <w:tc>
          <w:tcPr>
            <w:tcW w:w="1181" w:type="dxa"/>
          </w:tcPr>
          <w:p w14:paraId="5ED03150">
            <w:pPr>
              <w:spacing w:line="360" w:lineRule="auto"/>
              <w:rPr>
                <w:rFonts w:hint="eastAsia" w:asciiTheme="minorEastAsia" w:hAnsiTheme="minorEastAsia" w:eastAsiaTheme="minorEastAsia" w:cstheme="minorEastAsia"/>
                <w:sz w:val="24"/>
                <w:szCs w:val="24"/>
              </w:rPr>
            </w:pPr>
          </w:p>
        </w:tc>
        <w:tc>
          <w:tcPr>
            <w:tcW w:w="1182" w:type="dxa"/>
          </w:tcPr>
          <w:p w14:paraId="02EE2CAC">
            <w:pPr>
              <w:spacing w:line="360" w:lineRule="auto"/>
              <w:rPr>
                <w:rFonts w:hint="eastAsia" w:asciiTheme="minorEastAsia" w:hAnsiTheme="minorEastAsia" w:eastAsiaTheme="minorEastAsia" w:cstheme="minorEastAsia"/>
                <w:sz w:val="24"/>
                <w:szCs w:val="24"/>
              </w:rPr>
            </w:pPr>
          </w:p>
        </w:tc>
        <w:tc>
          <w:tcPr>
            <w:tcW w:w="879" w:type="dxa"/>
          </w:tcPr>
          <w:p w14:paraId="5A30D0A9">
            <w:pPr>
              <w:spacing w:line="360" w:lineRule="auto"/>
              <w:rPr>
                <w:rFonts w:hint="eastAsia" w:asciiTheme="minorEastAsia" w:hAnsiTheme="minorEastAsia" w:eastAsiaTheme="minorEastAsia" w:cstheme="minorEastAsia"/>
                <w:sz w:val="24"/>
                <w:szCs w:val="24"/>
              </w:rPr>
            </w:pPr>
          </w:p>
        </w:tc>
      </w:tr>
      <w:tr w14:paraId="79655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19" w:type="dxa"/>
          </w:tcPr>
          <w:p w14:paraId="3E1F1E48">
            <w:pPr>
              <w:spacing w:line="360" w:lineRule="auto"/>
              <w:rPr>
                <w:rFonts w:hint="eastAsia" w:asciiTheme="minorEastAsia" w:hAnsiTheme="minorEastAsia" w:eastAsiaTheme="minorEastAsia" w:cstheme="minorEastAsia"/>
                <w:sz w:val="24"/>
                <w:szCs w:val="24"/>
              </w:rPr>
            </w:pPr>
          </w:p>
        </w:tc>
        <w:tc>
          <w:tcPr>
            <w:tcW w:w="1442" w:type="dxa"/>
          </w:tcPr>
          <w:p w14:paraId="17BBE327">
            <w:pPr>
              <w:spacing w:line="360" w:lineRule="auto"/>
              <w:rPr>
                <w:rFonts w:hint="eastAsia" w:asciiTheme="minorEastAsia" w:hAnsiTheme="minorEastAsia" w:eastAsiaTheme="minorEastAsia" w:cstheme="minorEastAsia"/>
                <w:sz w:val="24"/>
                <w:szCs w:val="24"/>
              </w:rPr>
            </w:pPr>
          </w:p>
        </w:tc>
        <w:tc>
          <w:tcPr>
            <w:tcW w:w="1181" w:type="dxa"/>
          </w:tcPr>
          <w:p w14:paraId="7280C219">
            <w:pPr>
              <w:spacing w:line="360" w:lineRule="auto"/>
              <w:rPr>
                <w:rFonts w:hint="eastAsia" w:asciiTheme="minorEastAsia" w:hAnsiTheme="minorEastAsia" w:eastAsiaTheme="minorEastAsia" w:cstheme="minorEastAsia"/>
                <w:sz w:val="24"/>
                <w:szCs w:val="24"/>
              </w:rPr>
            </w:pPr>
          </w:p>
        </w:tc>
        <w:tc>
          <w:tcPr>
            <w:tcW w:w="1181" w:type="dxa"/>
          </w:tcPr>
          <w:p w14:paraId="182B154D">
            <w:pPr>
              <w:spacing w:line="360" w:lineRule="auto"/>
              <w:rPr>
                <w:rFonts w:hint="eastAsia" w:asciiTheme="minorEastAsia" w:hAnsiTheme="minorEastAsia" w:eastAsiaTheme="minorEastAsia" w:cstheme="minorEastAsia"/>
                <w:sz w:val="24"/>
                <w:szCs w:val="24"/>
              </w:rPr>
            </w:pPr>
          </w:p>
        </w:tc>
        <w:tc>
          <w:tcPr>
            <w:tcW w:w="1181" w:type="dxa"/>
          </w:tcPr>
          <w:p w14:paraId="65917F19">
            <w:pPr>
              <w:spacing w:line="360" w:lineRule="auto"/>
              <w:rPr>
                <w:rFonts w:hint="eastAsia" w:asciiTheme="minorEastAsia" w:hAnsiTheme="minorEastAsia" w:eastAsiaTheme="minorEastAsia" w:cstheme="minorEastAsia"/>
                <w:sz w:val="24"/>
                <w:szCs w:val="24"/>
              </w:rPr>
            </w:pPr>
          </w:p>
        </w:tc>
        <w:tc>
          <w:tcPr>
            <w:tcW w:w="1181" w:type="dxa"/>
          </w:tcPr>
          <w:p w14:paraId="04720F0F">
            <w:pPr>
              <w:spacing w:line="360" w:lineRule="auto"/>
              <w:rPr>
                <w:rFonts w:hint="eastAsia" w:asciiTheme="minorEastAsia" w:hAnsiTheme="minorEastAsia" w:eastAsiaTheme="minorEastAsia" w:cstheme="minorEastAsia"/>
                <w:sz w:val="24"/>
                <w:szCs w:val="24"/>
              </w:rPr>
            </w:pPr>
          </w:p>
        </w:tc>
        <w:tc>
          <w:tcPr>
            <w:tcW w:w="1182" w:type="dxa"/>
          </w:tcPr>
          <w:p w14:paraId="5A1D020F">
            <w:pPr>
              <w:spacing w:line="360" w:lineRule="auto"/>
              <w:rPr>
                <w:rFonts w:hint="eastAsia" w:asciiTheme="minorEastAsia" w:hAnsiTheme="minorEastAsia" w:eastAsiaTheme="minorEastAsia" w:cstheme="minorEastAsia"/>
                <w:sz w:val="24"/>
                <w:szCs w:val="24"/>
              </w:rPr>
            </w:pPr>
          </w:p>
        </w:tc>
        <w:tc>
          <w:tcPr>
            <w:tcW w:w="879" w:type="dxa"/>
          </w:tcPr>
          <w:p w14:paraId="3EFDC32B">
            <w:pPr>
              <w:spacing w:line="360" w:lineRule="auto"/>
              <w:rPr>
                <w:rFonts w:hint="eastAsia" w:asciiTheme="minorEastAsia" w:hAnsiTheme="minorEastAsia" w:eastAsiaTheme="minorEastAsia" w:cstheme="minorEastAsia"/>
                <w:sz w:val="24"/>
                <w:szCs w:val="24"/>
              </w:rPr>
            </w:pPr>
          </w:p>
        </w:tc>
      </w:tr>
      <w:tr w14:paraId="51E92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19" w:type="dxa"/>
          </w:tcPr>
          <w:p w14:paraId="3EC6C975">
            <w:pPr>
              <w:spacing w:line="360" w:lineRule="auto"/>
              <w:rPr>
                <w:rFonts w:hint="eastAsia" w:asciiTheme="minorEastAsia" w:hAnsiTheme="minorEastAsia" w:eastAsiaTheme="minorEastAsia" w:cstheme="minorEastAsia"/>
                <w:sz w:val="24"/>
                <w:szCs w:val="24"/>
              </w:rPr>
            </w:pPr>
          </w:p>
        </w:tc>
        <w:tc>
          <w:tcPr>
            <w:tcW w:w="1442" w:type="dxa"/>
          </w:tcPr>
          <w:p w14:paraId="3F5C9805">
            <w:pPr>
              <w:spacing w:line="360" w:lineRule="auto"/>
              <w:rPr>
                <w:rFonts w:hint="eastAsia" w:asciiTheme="minorEastAsia" w:hAnsiTheme="minorEastAsia" w:eastAsiaTheme="minorEastAsia" w:cstheme="minorEastAsia"/>
                <w:sz w:val="24"/>
                <w:szCs w:val="24"/>
              </w:rPr>
            </w:pPr>
          </w:p>
        </w:tc>
        <w:tc>
          <w:tcPr>
            <w:tcW w:w="1181" w:type="dxa"/>
          </w:tcPr>
          <w:p w14:paraId="6A3CE414">
            <w:pPr>
              <w:spacing w:line="360" w:lineRule="auto"/>
              <w:rPr>
                <w:rFonts w:hint="eastAsia" w:asciiTheme="minorEastAsia" w:hAnsiTheme="minorEastAsia" w:eastAsiaTheme="minorEastAsia" w:cstheme="minorEastAsia"/>
                <w:sz w:val="24"/>
                <w:szCs w:val="24"/>
              </w:rPr>
            </w:pPr>
          </w:p>
        </w:tc>
        <w:tc>
          <w:tcPr>
            <w:tcW w:w="1181" w:type="dxa"/>
          </w:tcPr>
          <w:p w14:paraId="0F268423">
            <w:pPr>
              <w:spacing w:line="360" w:lineRule="auto"/>
              <w:rPr>
                <w:rFonts w:hint="eastAsia" w:asciiTheme="minorEastAsia" w:hAnsiTheme="minorEastAsia" w:eastAsiaTheme="minorEastAsia" w:cstheme="minorEastAsia"/>
                <w:sz w:val="24"/>
                <w:szCs w:val="24"/>
              </w:rPr>
            </w:pPr>
          </w:p>
        </w:tc>
        <w:tc>
          <w:tcPr>
            <w:tcW w:w="1181" w:type="dxa"/>
          </w:tcPr>
          <w:p w14:paraId="4C772ACA">
            <w:pPr>
              <w:spacing w:line="360" w:lineRule="auto"/>
              <w:rPr>
                <w:rFonts w:hint="eastAsia" w:asciiTheme="minorEastAsia" w:hAnsiTheme="minorEastAsia" w:eastAsiaTheme="minorEastAsia" w:cstheme="minorEastAsia"/>
                <w:sz w:val="24"/>
                <w:szCs w:val="24"/>
              </w:rPr>
            </w:pPr>
          </w:p>
        </w:tc>
        <w:tc>
          <w:tcPr>
            <w:tcW w:w="1181" w:type="dxa"/>
          </w:tcPr>
          <w:p w14:paraId="527FE7C7">
            <w:pPr>
              <w:spacing w:line="360" w:lineRule="auto"/>
              <w:rPr>
                <w:rFonts w:hint="eastAsia" w:asciiTheme="minorEastAsia" w:hAnsiTheme="minorEastAsia" w:eastAsiaTheme="minorEastAsia" w:cstheme="minorEastAsia"/>
                <w:sz w:val="24"/>
                <w:szCs w:val="24"/>
              </w:rPr>
            </w:pPr>
          </w:p>
        </w:tc>
        <w:tc>
          <w:tcPr>
            <w:tcW w:w="1182" w:type="dxa"/>
          </w:tcPr>
          <w:p w14:paraId="354BCC6B">
            <w:pPr>
              <w:spacing w:line="360" w:lineRule="auto"/>
              <w:rPr>
                <w:rFonts w:hint="eastAsia" w:asciiTheme="minorEastAsia" w:hAnsiTheme="minorEastAsia" w:eastAsiaTheme="minorEastAsia" w:cstheme="minorEastAsia"/>
                <w:sz w:val="24"/>
                <w:szCs w:val="24"/>
              </w:rPr>
            </w:pPr>
          </w:p>
        </w:tc>
        <w:tc>
          <w:tcPr>
            <w:tcW w:w="879" w:type="dxa"/>
          </w:tcPr>
          <w:p w14:paraId="02EFB9D8">
            <w:pPr>
              <w:spacing w:line="360" w:lineRule="auto"/>
              <w:rPr>
                <w:rFonts w:hint="eastAsia" w:asciiTheme="minorEastAsia" w:hAnsiTheme="minorEastAsia" w:eastAsiaTheme="minorEastAsia" w:cstheme="minorEastAsia"/>
                <w:sz w:val="24"/>
                <w:szCs w:val="24"/>
              </w:rPr>
            </w:pPr>
          </w:p>
        </w:tc>
      </w:tr>
      <w:tr w14:paraId="58CBD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19" w:type="dxa"/>
          </w:tcPr>
          <w:p w14:paraId="42C7C3B2">
            <w:pPr>
              <w:spacing w:line="360" w:lineRule="auto"/>
              <w:rPr>
                <w:rFonts w:hint="eastAsia" w:asciiTheme="minorEastAsia" w:hAnsiTheme="minorEastAsia" w:eastAsiaTheme="minorEastAsia" w:cstheme="minorEastAsia"/>
                <w:sz w:val="24"/>
                <w:szCs w:val="24"/>
              </w:rPr>
            </w:pPr>
          </w:p>
        </w:tc>
        <w:tc>
          <w:tcPr>
            <w:tcW w:w="1442" w:type="dxa"/>
          </w:tcPr>
          <w:p w14:paraId="27ED9378">
            <w:pPr>
              <w:spacing w:line="360" w:lineRule="auto"/>
              <w:rPr>
                <w:rFonts w:hint="eastAsia" w:asciiTheme="minorEastAsia" w:hAnsiTheme="minorEastAsia" w:eastAsiaTheme="minorEastAsia" w:cstheme="minorEastAsia"/>
                <w:sz w:val="24"/>
                <w:szCs w:val="24"/>
              </w:rPr>
            </w:pPr>
          </w:p>
        </w:tc>
        <w:tc>
          <w:tcPr>
            <w:tcW w:w="1181" w:type="dxa"/>
          </w:tcPr>
          <w:p w14:paraId="18C3B704">
            <w:pPr>
              <w:spacing w:line="360" w:lineRule="auto"/>
              <w:rPr>
                <w:rFonts w:hint="eastAsia" w:asciiTheme="minorEastAsia" w:hAnsiTheme="minorEastAsia" w:eastAsiaTheme="minorEastAsia" w:cstheme="minorEastAsia"/>
                <w:sz w:val="24"/>
                <w:szCs w:val="24"/>
              </w:rPr>
            </w:pPr>
          </w:p>
        </w:tc>
        <w:tc>
          <w:tcPr>
            <w:tcW w:w="1181" w:type="dxa"/>
          </w:tcPr>
          <w:p w14:paraId="2163E2BA">
            <w:pPr>
              <w:spacing w:line="360" w:lineRule="auto"/>
              <w:rPr>
                <w:rFonts w:hint="eastAsia" w:asciiTheme="minorEastAsia" w:hAnsiTheme="minorEastAsia" w:eastAsiaTheme="minorEastAsia" w:cstheme="minorEastAsia"/>
                <w:sz w:val="24"/>
                <w:szCs w:val="24"/>
              </w:rPr>
            </w:pPr>
          </w:p>
        </w:tc>
        <w:tc>
          <w:tcPr>
            <w:tcW w:w="1181" w:type="dxa"/>
          </w:tcPr>
          <w:p w14:paraId="457AA1AC">
            <w:pPr>
              <w:spacing w:line="360" w:lineRule="auto"/>
              <w:rPr>
                <w:rFonts w:hint="eastAsia" w:asciiTheme="minorEastAsia" w:hAnsiTheme="minorEastAsia" w:eastAsiaTheme="minorEastAsia" w:cstheme="minorEastAsia"/>
                <w:sz w:val="24"/>
                <w:szCs w:val="24"/>
              </w:rPr>
            </w:pPr>
          </w:p>
        </w:tc>
        <w:tc>
          <w:tcPr>
            <w:tcW w:w="1181" w:type="dxa"/>
          </w:tcPr>
          <w:p w14:paraId="303EDFEF">
            <w:pPr>
              <w:spacing w:line="360" w:lineRule="auto"/>
              <w:rPr>
                <w:rFonts w:hint="eastAsia" w:asciiTheme="minorEastAsia" w:hAnsiTheme="minorEastAsia" w:eastAsiaTheme="minorEastAsia" w:cstheme="minorEastAsia"/>
                <w:sz w:val="24"/>
                <w:szCs w:val="24"/>
              </w:rPr>
            </w:pPr>
          </w:p>
        </w:tc>
        <w:tc>
          <w:tcPr>
            <w:tcW w:w="1182" w:type="dxa"/>
          </w:tcPr>
          <w:p w14:paraId="0A722493">
            <w:pPr>
              <w:spacing w:line="360" w:lineRule="auto"/>
              <w:rPr>
                <w:rFonts w:hint="eastAsia" w:asciiTheme="minorEastAsia" w:hAnsiTheme="minorEastAsia" w:eastAsiaTheme="minorEastAsia" w:cstheme="minorEastAsia"/>
                <w:sz w:val="24"/>
                <w:szCs w:val="24"/>
              </w:rPr>
            </w:pPr>
          </w:p>
        </w:tc>
        <w:tc>
          <w:tcPr>
            <w:tcW w:w="879" w:type="dxa"/>
          </w:tcPr>
          <w:p w14:paraId="1328206D">
            <w:pPr>
              <w:spacing w:line="360" w:lineRule="auto"/>
              <w:rPr>
                <w:rFonts w:hint="eastAsia" w:asciiTheme="minorEastAsia" w:hAnsiTheme="minorEastAsia" w:eastAsiaTheme="minorEastAsia" w:cstheme="minorEastAsia"/>
                <w:sz w:val="24"/>
                <w:szCs w:val="24"/>
              </w:rPr>
            </w:pPr>
          </w:p>
        </w:tc>
      </w:tr>
      <w:tr w14:paraId="78F6D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19" w:type="dxa"/>
          </w:tcPr>
          <w:p w14:paraId="11E27F90">
            <w:pPr>
              <w:spacing w:line="360" w:lineRule="auto"/>
              <w:rPr>
                <w:rFonts w:hint="eastAsia" w:asciiTheme="minorEastAsia" w:hAnsiTheme="minorEastAsia" w:eastAsiaTheme="minorEastAsia" w:cstheme="minorEastAsia"/>
                <w:sz w:val="24"/>
                <w:szCs w:val="24"/>
              </w:rPr>
            </w:pPr>
          </w:p>
        </w:tc>
        <w:tc>
          <w:tcPr>
            <w:tcW w:w="1442" w:type="dxa"/>
          </w:tcPr>
          <w:p w14:paraId="2A441320">
            <w:pPr>
              <w:spacing w:line="360" w:lineRule="auto"/>
              <w:rPr>
                <w:rFonts w:hint="eastAsia" w:asciiTheme="minorEastAsia" w:hAnsiTheme="minorEastAsia" w:eastAsiaTheme="minorEastAsia" w:cstheme="minorEastAsia"/>
                <w:sz w:val="24"/>
                <w:szCs w:val="24"/>
              </w:rPr>
            </w:pPr>
          </w:p>
        </w:tc>
        <w:tc>
          <w:tcPr>
            <w:tcW w:w="1181" w:type="dxa"/>
          </w:tcPr>
          <w:p w14:paraId="04D97218">
            <w:pPr>
              <w:spacing w:line="360" w:lineRule="auto"/>
              <w:rPr>
                <w:rFonts w:hint="eastAsia" w:asciiTheme="minorEastAsia" w:hAnsiTheme="minorEastAsia" w:eastAsiaTheme="minorEastAsia" w:cstheme="minorEastAsia"/>
                <w:sz w:val="24"/>
                <w:szCs w:val="24"/>
              </w:rPr>
            </w:pPr>
          </w:p>
        </w:tc>
        <w:tc>
          <w:tcPr>
            <w:tcW w:w="1181" w:type="dxa"/>
          </w:tcPr>
          <w:p w14:paraId="308AFC78">
            <w:pPr>
              <w:spacing w:line="360" w:lineRule="auto"/>
              <w:rPr>
                <w:rFonts w:hint="eastAsia" w:asciiTheme="minorEastAsia" w:hAnsiTheme="minorEastAsia" w:eastAsiaTheme="minorEastAsia" w:cstheme="minorEastAsia"/>
                <w:sz w:val="24"/>
                <w:szCs w:val="24"/>
              </w:rPr>
            </w:pPr>
          </w:p>
        </w:tc>
        <w:tc>
          <w:tcPr>
            <w:tcW w:w="1181" w:type="dxa"/>
          </w:tcPr>
          <w:p w14:paraId="49DAB9B3">
            <w:pPr>
              <w:spacing w:line="360" w:lineRule="auto"/>
              <w:rPr>
                <w:rFonts w:hint="eastAsia" w:asciiTheme="minorEastAsia" w:hAnsiTheme="minorEastAsia" w:eastAsiaTheme="minorEastAsia" w:cstheme="minorEastAsia"/>
                <w:sz w:val="24"/>
                <w:szCs w:val="24"/>
              </w:rPr>
            </w:pPr>
          </w:p>
        </w:tc>
        <w:tc>
          <w:tcPr>
            <w:tcW w:w="1181" w:type="dxa"/>
          </w:tcPr>
          <w:p w14:paraId="139F7FBE">
            <w:pPr>
              <w:spacing w:line="360" w:lineRule="auto"/>
              <w:rPr>
                <w:rFonts w:hint="eastAsia" w:asciiTheme="minorEastAsia" w:hAnsiTheme="minorEastAsia" w:eastAsiaTheme="minorEastAsia" w:cstheme="minorEastAsia"/>
                <w:sz w:val="24"/>
                <w:szCs w:val="24"/>
              </w:rPr>
            </w:pPr>
          </w:p>
        </w:tc>
        <w:tc>
          <w:tcPr>
            <w:tcW w:w="1182" w:type="dxa"/>
          </w:tcPr>
          <w:p w14:paraId="1EDBD823">
            <w:pPr>
              <w:spacing w:line="360" w:lineRule="auto"/>
              <w:rPr>
                <w:rFonts w:hint="eastAsia" w:asciiTheme="minorEastAsia" w:hAnsiTheme="minorEastAsia" w:eastAsiaTheme="minorEastAsia" w:cstheme="minorEastAsia"/>
                <w:sz w:val="24"/>
                <w:szCs w:val="24"/>
              </w:rPr>
            </w:pPr>
          </w:p>
        </w:tc>
        <w:tc>
          <w:tcPr>
            <w:tcW w:w="879" w:type="dxa"/>
          </w:tcPr>
          <w:p w14:paraId="359074D2">
            <w:pPr>
              <w:spacing w:line="360" w:lineRule="auto"/>
              <w:rPr>
                <w:rFonts w:hint="eastAsia" w:asciiTheme="minorEastAsia" w:hAnsiTheme="minorEastAsia" w:eastAsiaTheme="minorEastAsia" w:cstheme="minorEastAsia"/>
                <w:sz w:val="24"/>
                <w:szCs w:val="24"/>
              </w:rPr>
            </w:pPr>
          </w:p>
        </w:tc>
      </w:tr>
      <w:tr w14:paraId="3C82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919" w:type="dxa"/>
          </w:tcPr>
          <w:p w14:paraId="0BDC2C7E">
            <w:pPr>
              <w:spacing w:line="360" w:lineRule="auto"/>
              <w:rPr>
                <w:rFonts w:hint="eastAsia" w:asciiTheme="minorEastAsia" w:hAnsiTheme="minorEastAsia" w:eastAsiaTheme="minorEastAsia" w:cstheme="minorEastAsia"/>
                <w:sz w:val="24"/>
                <w:szCs w:val="24"/>
              </w:rPr>
            </w:pPr>
          </w:p>
        </w:tc>
        <w:tc>
          <w:tcPr>
            <w:tcW w:w="1442" w:type="dxa"/>
          </w:tcPr>
          <w:p w14:paraId="0A3365CA">
            <w:pPr>
              <w:spacing w:line="360" w:lineRule="auto"/>
              <w:rPr>
                <w:rFonts w:hint="eastAsia" w:asciiTheme="minorEastAsia" w:hAnsiTheme="minorEastAsia" w:eastAsiaTheme="minorEastAsia" w:cstheme="minorEastAsia"/>
                <w:sz w:val="24"/>
                <w:szCs w:val="24"/>
              </w:rPr>
            </w:pPr>
          </w:p>
        </w:tc>
        <w:tc>
          <w:tcPr>
            <w:tcW w:w="1181" w:type="dxa"/>
          </w:tcPr>
          <w:p w14:paraId="06851EEA">
            <w:pPr>
              <w:spacing w:line="360" w:lineRule="auto"/>
              <w:rPr>
                <w:rFonts w:hint="eastAsia" w:asciiTheme="minorEastAsia" w:hAnsiTheme="minorEastAsia" w:eastAsiaTheme="minorEastAsia" w:cstheme="minorEastAsia"/>
                <w:sz w:val="24"/>
                <w:szCs w:val="24"/>
              </w:rPr>
            </w:pPr>
          </w:p>
        </w:tc>
        <w:tc>
          <w:tcPr>
            <w:tcW w:w="1181" w:type="dxa"/>
          </w:tcPr>
          <w:p w14:paraId="40A7905D">
            <w:pPr>
              <w:spacing w:line="360" w:lineRule="auto"/>
              <w:rPr>
                <w:rFonts w:hint="eastAsia" w:asciiTheme="minorEastAsia" w:hAnsiTheme="minorEastAsia" w:eastAsiaTheme="minorEastAsia" w:cstheme="minorEastAsia"/>
                <w:sz w:val="24"/>
                <w:szCs w:val="24"/>
              </w:rPr>
            </w:pPr>
          </w:p>
        </w:tc>
        <w:tc>
          <w:tcPr>
            <w:tcW w:w="1181" w:type="dxa"/>
          </w:tcPr>
          <w:p w14:paraId="4741B6FE">
            <w:pPr>
              <w:spacing w:line="360" w:lineRule="auto"/>
              <w:rPr>
                <w:rFonts w:hint="eastAsia" w:asciiTheme="minorEastAsia" w:hAnsiTheme="minorEastAsia" w:eastAsiaTheme="minorEastAsia" w:cstheme="minorEastAsia"/>
                <w:sz w:val="24"/>
                <w:szCs w:val="24"/>
              </w:rPr>
            </w:pPr>
          </w:p>
        </w:tc>
        <w:tc>
          <w:tcPr>
            <w:tcW w:w="1181" w:type="dxa"/>
          </w:tcPr>
          <w:p w14:paraId="0EBD65AC">
            <w:pPr>
              <w:spacing w:line="360" w:lineRule="auto"/>
              <w:rPr>
                <w:rFonts w:hint="eastAsia" w:asciiTheme="minorEastAsia" w:hAnsiTheme="minorEastAsia" w:eastAsiaTheme="minorEastAsia" w:cstheme="minorEastAsia"/>
                <w:sz w:val="24"/>
                <w:szCs w:val="24"/>
              </w:rPr>
            </w:pPr>
          </w:p>
        </w:tc>
        <w:tc>
          <w:tcPr>
            <w:tcW w:w="1182" w:type="dxa"/>
          </w:tcPr>
          <w:p w14:paraId="3E1388BC">
            <w:pPr>
              <w:spacing w:line="360" w:lineRule="auto"/>
              <w:rPr>
                <w:rFonts w:hint="eastAsia" w:asciiTheme="minorEastAsia" w:hAnsiTheme="minorEastAsia" w:eastAsiaTheme="minorEastAsia" w:cstheme="minorEastAsia"/>
                <w:sz w:val="24"/>
                <w:szCs w:val="24"/>
              </w:rPr>
            </w:pPr>
          </w:p>
        </w:tc>
        <w:tc>
          <w:tcPr>
            <w:tcW w:w="879" w:type="dxa"/>
          </w:tcPr>
          <w:p w14:paraId="3D1C260F">
            <w:pPr>
              <w:spacing w:line="360" w:lineRule="auto"/>
              <w:rPr>
                <w:rFonts w:hint="eastAsia" w:asciiTheme="minorEastAsia" w:hAnsiTheme="minorEastAsia" w:eastAsiaTheme="minorEastAsia" w:cstheme="minorEastAsia"/>
                <w:sz w:val="24"/>
                <w:szCs w:val="24"/>
              </w:rPr>
            </w:pPr>
          </w:p>
        </w:tc>
      </w:tr>
      <w:tr w14:paraId="32BAD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919" w:type="dxa"/>
            <w:vAlign w:val="center"/>
          </w:tcPr>
          <w:p w14:paraId="33DEE8D1">
            <w:pPr>
              <w:tabs>
                <w:tab w:val="left" w:pos="0"/>
              </w:tabs>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总计 </w:t>
            </w:r>
          </w:p>
        </w:tc>
        <w:tc>
          <w:tcPr>
            <w:tcW w:w="8227" w:type="dxa"/>
            <w:gridSpan w:val="7"/>
            <w:vAlign w:val="center"/>
          </w:tcPr>
          <w:p w14:paraId="5628FEB4">
            <w:pPr>
              <w:tabs>
                <w:tab w:val="left" w:pos="0"/>
              </w:tabs>
              <w:spacing w:line="360" w:lineRule="auto"/>
              <w:jc w:val="center"/>
              <w:rPr>
                <w:rFonts w:hint="eastAsia" w:asciiTheme="minorEastAsia" w:hAnsiTheme="minorEastAsia" w:eastAsiaTheme="minorEastAsia" w:cstheme="minorEastAsia"/>
                <w:sz w:val="24"/>
                <w:szCs w:val="24"/>
              </w:rPr>
            </w:pPr>
          </w:p>
        </w:tc>
      </w:tr>
    </w:tbl>
    <w:p w14:paraId="434BC81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（此表可延长）</w:t>
      </w:r>
    </w:p>
    <w:p w14:paraId="63EEFF89">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注：1.</w:t>
      </w:r>
      <w:r>
        <w:rPr>
          <w:rFonts w:hint="eastAsia" w:asciiTheme="minorEastAsia" w:hAnsiTheme="minorEastAsia" w:eastAsiaTheme="minorEastAsia" w:cstheme="minorEastAsia"/>
          <w:sz w:val="24"/>
          <w:szCs w:val="24"/>
        </w:rPr>
        <w:t>如果按单价计算的结果与总价不一致，以单价为准修正总价</w:t>
      </w:r>
      <w:r>
        <w:rPr>
          <w:rFonts w:hint="eastAsia" w:asciiTheme="minorEastAsia" w:hAnsiTheme="minorEastAsia" w:eastAsiaTheme="minorEastAsia" w:cstheme="minorEastAsia"/>
          <w:b/>
          <w:sz w:val="24"/>
          <w:szCs w:val="24"/>
        </w:rPr>
        <w:t>。</w:t>
      </w:r>
    </w:p>
    <w:p w14:paraId="7AFB9D90">
      <w:pPr>
        <w:spacing w:line="360" w:lineRule="auto"/>
        <w:ind w:firstLine="960" w:firstLineChars="400"/>
        <w:rPr>
          <w:rFonts w:hint="eastAsia" w:asciiTheme="minorEastAsia" w:hAnsiTheme="minorEastAsia" w:eastAsiaTheme="minorEastAsia" w:cstheme="minorEastAsia"/>
          <w:sz w:val="24"/>
          <w:szCs w:val="24"/>
        </w:rPr>
      </w:pPr>
      <w:bookmarkStart w:id="475" w:name="_Toc29277"/>
      <w:bookmarkStart w:id="476" w:name="_Toc2210"/>
      <w:bookmarkStart w:id="477" w:name="_Toc22316"/>
      <w:bookmarkStart w:id="478" w:name="_Toc1455"/>
      <w:bookmarkStart w:id="479" w:name="_Toc26375"/>
      <w:bookmarkStart w:id="480" w:name="_Toc7871"/>
      <w:bookmarkStart w:id="481" w:name="_Toc11449"/>
      <w:bookmarkStart w:id="482" w:name="_Toc1471"/>
      <w:r>
        <w:rPr>
          <w:rFonts w:hint="eastAsia" w:asciiTheme="minorEastAsia" w:hAnsiTheme="minorEastAsia" w:eastAsiaTheme="minorEastAsia" w:cstheme="minorEastAsia"/>
          <w:sz w:val="24"/>
          <w:szCs w:val="24"/>
        </w:rPr>
        <w:t>2.投标人据实填写投标货物的品牌、规格、型号等，否则视为不响应。货物详细技术性能应另页描述。</w:t>
      </w:r>
      <w:bookmarkEnd w:id="475"/>
      <w:bookmarkEnd w:id="476"/>
      <w:bookmarkEnd w:id="477"/>
      <w:bookmarkEnd w:id="478"/>
      <w:bookmarkEnd w:id="479"/>
      <w:bookmarkEnd w:id="480"/>
      <w:bookmarkEnd w:id="481"/>
      <w:bookmarkEnd w:id="482"/>
    </w:p>
    <w:p w14:paraId="5DAE641E">
      <w:pPr>
        <w:spacing w:line="360" w:lineRule="auto"/>
        <w:ind w:firstLine="2880" w:firstLineChars="1200"/>
        <w:rPr>
          <w:rFonts w:hint="eastAsia" w:asciiTheme="minorEastAsia" w:hAnsiTheme="minorEastAsia" w:eastAsiaTheme="minorEastAsia" w:cstheme="minorEastAsia"/>
          <w:sz w:val="24"/>
          <w:szCs w:val="24"/>
        </w:rPr>
      </w:pPr>
    </w:p>
    <w:p w14:paraId="260B304F">
      <w:pPr>
        <w:spacing w:line="360" w:lineRule="auto"/>
        <w:ind w:firstLine="2880" w:firstLineChars="1200"/>
        <w:rPr>
          <w:rFonts w:hint="eastAsia" w:asciiTheme="minorEastAsia" w:hAnsiTheme="minorEastAsia" w:eastAsiaTheme="minorEastAsia" w:cstheme="minorEastAsia"/>
          <w:sz w:val="24"/>
          <w:szCs w:val="24"/>
        </w:rPr>
      </w:pPr>
    </w:p>
    <w:p w14:paraId="4C1BE275">
      <w:pPr>
        <w:spacing w:line="360" w:lineRule="auto"/>
        <w:ind w:firstLine="2880" w:firstLineChars="1200"/>
        <w:rPr>
          <w:rFonts w:hint="eastAsia" w:asciiTheme="minorEastAsia" w:hAnsiTheme="minorEastAsia" w:eastAsiaTheme="minorEastAsia" w:cstheme="minorEastAsia"/>
          <w:sz w:val="24"/>
          <w:szCs w:val="24"/>
        </w:rPr>
      </w:pPr>
    </w:p>
    <w:p w14:paraId="2FB07C80">
      <w:pPr>
        <w:spacing w:line="360" w:lineRule="auto"/>
        <w:ind w:firstLine="2880" w:firstLineChars="1200"/>
        <w:rPr>
          <w:rFonts w:hint="eastAsia" w:asciiTheme="minorEastAsia" w:hAnsiTheme="minorEastAsia" w:eastAsiaTheme="minorEastAsia" w:cstheme="minorEastAsia"/>
          <w:sz w:val="24"/>
          <w:szCs w:val="24"/>
        </w:rPr>
      </w:pPr>
    </w:p>
    <w:p w14:paraId="1560CD82">
      <w:pPr>
        <w:adjustRightInd w:val="0"/>
        <w:snapToGrid w:val="0"/>
        <w:ind w:left="1611" w:leftChars="767"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3CDD1C43">
      <w:pPr>
        <w:adjustRightInd w:val="0"/>
        <w:snapToGrid w:val="0"/>
        <w:ind w:left="1611" w:leftChars="767"/>
        <w:rPr>
          <w:rFonts w:hint="eastAsia" w:asciiTheme="minorEastAsia" w:hAnsiTheme="minorEastAsia" w:eastAsiaTheme="minorEastAsia" w:cstheme="minorEastAsia"/>
          <w:sz w:val="24"/>
          <w:szCs w:val="24"/>
        </w:rPr>
      </w:pPr>
    </w:p>
    <w:p w14:paraId="5E29CA0B">
      <w:pPr>
        <w:adjustRightInd w:val="0"/>
        <w:snapToGrid w:val="0"/>
        <w:ind w:left="1611" w:leftChars="767"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7599F7F7">
      <w:pPr>
        <w:adjustRightInd w:val="0"/>
        <w:snapToGrid w:val="0"/>
        <w:ind w:left="1611" w:leftChars="767"/>
        <w:rPr>
          <w:rFonts w:hint="eastAsia" w:asciiTheme="minorEastAsia" w:hAnsiTheme="minorEastAsia" w:eastAsiaTheme="minorEastAsia" w:cstheme="minorEastAsia"/>
          <w:sz w:val="24"/>
          <w:szCs w:val="24"/>
        </w:rPr>
      </w:pPr>
    </w:p>
    <w:p w14:paraId="3DDB3A46">
      <w:pPr>
        <w:adjustRightInd w:val="0"/>
        <w:snapToGrid w:val="0"/>
        <w:ind w:left="1611" w:leftChars="767"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35410F56">
      <w:pPr>
        <w:spacing w:line="400" w:lineRule="exact"/>
        <w:jc w:val="center"/>
        <w:rPr>
          <w:rFonts w:hint="eastAsia" w:asciiTheme="minorEastAsia" w:hAnsiTheme="minorEastAsia" w:eastAsiaTheme="minorEastAsia" w:cstheme="minorEastAsia"/>
          <w:b/>
          <w:kern w:val="0"/>
          <w:sz w:val="24"/>
          <w:szCs w:val="24"/>
          <w:lang w:bidi="ar"/>
        </w:rPr>
        <w:sectPr>
          <w:footerReference r:id="rId12" w:type="first"/>
          <w:footerReference r:id="rId11" w:type="default"/>
          <w:pgSz w:w="11906" w:h="16838"/>
          <w:pgMar w:top="1440" w:right="1803" w:bottom="1440" w:left="1803" w:header="851" w:footer="992" w:gutter="0"/>
          <w:pgNumType w:fmt="decimal"/>
          <w:cols w:space="720" w:num="1"/>
          <w:titlePg/>
          <w:docGrid w:type="lines" w:linePitch="319" w:charSpace="0"/>
        </w:sectPr>
      </w:pPr>
      <w:r>
        <w:rPr>
          <w:rFonts w:hint="eastAsia" w:asciiTheme="minorEastAsia" w:hAnsiTheme="minorEastAsia" w:eastAsiaTheme="minorEastAsia" w:cstheme="minorEastAsia"/>
          <w:sz w:val="24"/>
          <w:szCs w:val="24"/>
        </w:rPr>
        <w:t xml:space="preserve"> </w:t>
      </w:r>
    </w:p>
    <w:p w14:paraId="57213AF1">
      <w:pPr>
        <w:spacing w:line="400" w:lineRule="exact"/>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kern w:val="0"/>
          <w:sz w:val="24"/>
          <w:szCs w:val="24"/>
        </w:rPr>
        <w:t>4.</w:t>
      </w:r>
      <w:bookmarkEnd w:id="471"/>
      <w:bookmarkEnd w:id="472"/>
      <w:bookmarkEnd w:id="473"/>
      <w:bookmarkEnd w:id="474"/>
      <w:r>
        <w:rPr>
          <w:rFonts w:hint="eastAsia" w:asciiTheme="minorEastAsia" w:hAnsiTheme="minorEastAsia" w:eastAsiaTheme="minorEastAsia" w:cstheme="minorEastAsia"/>
          <w:b/>
          <w:sz w:val="24"/>
          <w:szCs w:val="24"/>
        </w:rPr>
        <w:t>法定代表人身份证明</w:t>
      </w:r>
      <w:bookmarkEnd w:id="468"/>
    </w:p>
    <w:p w14:paraId="53ED3132">
      <w:pPr>
        <w:spacing w:line="400" w:lineRule="exact"/>
        <w:rPr>
          <w:rFonts w:hint="eastAsia" w:asciiTheme="minorEastAsia" w:hAnsiTheme="minorEastAsia" w:eastAsiaTheme="minorEastAsia" w:cstheme="minorEastAsia"/>
          <w:bCs/>
          <w:sz w:val="24"/>
          <w:szCs w:val="24"/>
        </w:rPr>
      </w:pPr>
    </w:p>
    <w:p w14:paraId="67CEED2F">
      <w:pPr>
        <w:spacing w:line="400" w:lineRule="exact"/>
        <w:rPr>
          <w:rFonts w:hint="eastAsia" w:asciiTheme="minorEastAsia" w:hAnsiTheme="minorEastAsia" w:eastAsiaTheme="minorEastAsia" w:cstheme="minorEastAsia"/>
          <w:bCs/>
          <w:sz w:val="24"/>
          <w:szCs w:val="24"/>
        </w:rPr>
      </w:pPr>
    </w:p>
    <w:p w14:paraId="5169389B">
      <w:pPr>
        <w:spacing w:line="400" w:lineRule="exact"/>
        <w:rPr>
          <w:rFonts w:hint="eastAsia" w:asciiTheme="minorEastAsia" w:hAnsiTheme="minorEastAsia" w:eastAsiaTheme="minorEastAsia" w:cstheme="minorEastAsia"/>
          <w:bCs/>
          <w:sz w:val="24"/>
          <w:szCs w:val="24"/>
        </w:rPr>
      </w:pPr>
    </w:p>
    <w:p w14:paraId="376BEC5A">
      <w:pPr>
        <w:spacing w:line="400" w:lineRule="exact"/>
        <w:ind w:firstLine="720" w:firstLineChars="3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w:t>
      </w:r>
      <w:r>
        <w:rPr>
          <w:rFonts w:hint="eastAsia" w:asciiTheme="minorEastAsia" w:hAnsiTheme="minorEastAsia" w:eastAsiaTheme="minorEastAsia" w:cstheme="minorEastAsia"/>
          <w:sz w:val="24"/>
          <w:szCs w:val="24"/>
          <w:u w:val="single"/>
        </w:rPr>
        <w:t xml:space="preserve">                                                 </w:t>
      </w:r>
    </w:p>
    <w:p w14:paraId="1CE274E2">
      <w:pPr>
        <w:spacing w:line="400" w:lineRule="exact"/>
        <w:ind w:firstLine="720" w:firstLineChars="3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投标人类型：</w:t>
      </w:r>
      <w:r>
        <w:rPr>
          <w:rFonts w:hint="eastAsia" w:asciiTheme="minorEastAsia" w:hAnsiTheme="minorEastAsia" w:eastAsiaTheme="minorEastAsia" w:cstheme="minorEastAsia"/>
          <w:sz w:val="24"/>
          <w:szCs w:val="24"/>
          <w:u w:val="single"/>
        </w:rPr>
        <w:t xml:space="preserve">                                                 </w:t>
      </w:r>
    </w:p>
    <w:p w14:paraId="4CE8FBBC">
      <w:pPr>
        <w:spacing w:line="400" w:lineRule="exact"/>
        <w:ind w:firstLine="720" w:firstLineChars="3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xml:space="preserve">                                                   </w:t>
      </w:r>
    </w:p>
    <w:p w14:paraId="72783367">
      <w:pPr>
        <w:spacing w:line="400" w:lineRule="exact"/>
        <w:ind w:firstLine="720" w:firstLineChars="3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营业期限：</w:t>
      </w:r>
      <w:r>
        <w:rPr>
          <w:rFonts w:hint="eastAsia" w:asciiTheme="minorEastAsia" w:hAnsiTheme="minorEastAsia" w:eastAsiaTheme="minorEastAsia" w:cstheme="minorEastAsia"/>
          <w:sz w:val="24"/>
          <w:szCs w:val="24"/>
          <w:u w:val="single"/>
        </w:rPr>
        <w:t xml:space="preserve">                                                   </w:t>
      </w:r>
    </w:p>
    <w:p w14:paraId="5F15D79F">
      <w:pPr>
        <w:spacing w:line="400" w:lineRule="exact"/>
        <w:ind w:firstLine="720" w:firstLineChars="3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成立时间：</w:t>
      </w:r>
      <w:r>
        <w:rPr>
          <w:rFonts w:hint="eastAsia" w:asciiTheme="minorEastAsia" w:hAnsiTheme="minorEastAsia" w:eastAsiaTheme="minorEastAsia" w:cstheme="minorEastAsia"/>
          <w:sz w:val="24"/>
          <w:szCs w:val="24"/>
          <w:u w:val="single"/>
        </w:rPr>
        <w:t xml:space="preserve">                                                   </w:t>
      </w:r>
    </w:p>
    <w:p w14:paraId="14B9D1FB">
      <w:pPr>
        <w:spacing w:line="400" w:lineRule="exact"/>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性别：</w:t>
      </w:r>
      <w:r>
        <w:rPr>
          <w:rFonts w:hint="eastAsia" w:asciiTheme="minorEastAsia" w:hAnsiTheme="minorEastAsia" w:eastAsiaTheme="minorEastAsia" w:cstheme="minorEastAsia"/>
          <w:sz w:val="24"/>
          <w:szCs w:val="24"/>
          <w:u w:val="single"/>
        </w:rPr>
        <w:t xml:space="preserve">                </w:t>
      </w:r>
    </w:p>
    <w:p w14:paraId="0FE65BBC">
      <w:pPr>
        <w:spacing w:line="400" w:lineRule="exact"/>
        <w:ind w:firstLine="720" w:firstLineChars="3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年龄：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职务：</w:t>
      </w:r>
      <w:r>
        <w:rPr>
          <w:rFonts w:hint="eastAsia" w:asciiTheme="minorEastAsia" w:hAnsiTheme="minorEastAsia" w:eastAsiaTheme="minorEastAsia" w:cstheme="minorEastAsia"/>
          <w:sz w:val="24"/>
          <w:szCs w:val="24"/>
          <w:u w:val="single"/>
        </w:rPr>
        <w:t xml:space="preserve">                </w:t>
      </w:r>
    </w:p>
    <w:p w14:paraId="5764703D">
      <w:pPr>
        <w:spacing w:line="400" w:lineRule="exact"/>
        <w:ind w:firstLine="720" w:firstLineChars="3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 xml:space="preserve">系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（投标人名称）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的法定代表人</w:t>
      </w:r>
      <w:r>
        <w:rPr>
          <w:rFonts w:hint="eastAsia" w:asciiTheme="minorEastAsia" w:hAnsiTheme="minorEastAsia" w:eastAsiaTheme="minorEastAsia" w:cstheme="minorEastAsia"/>
          <w:bCs/>
          <w:sz w:val="24"/>
          <w:szCs w:val="24"/>
        </w:rPr>
        <w:t>。</w:t>
      </w:r>
    </w:p>
    <w:p w14:paraId="7FF06AC4">
      <w:pPr>
        <w:spacing w:line="400" w:lineRule="exact"/>
        <w:ind w:firstLine="240" w:firstLineChars="100"/>
        <w:rPr>
          <w:rFonts w:hint="eastAsia" w:asciiTheme="minorEastAsia" w:hAnsiTheme="minorEastAsia" w:eastAsiaTheme="minorEastAsia" w:cstheme="minorEastAsia"/>
          <w:sz w:val="24"/>
          <w:szCs w:val="24"/>
        </w:rPr>
      </w:pPr>
    </w:p>
    <w:p w14:paraId="46D948A6">
      <w:pPr>
        <w:spacing w:line="400"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特此证明。</w:t>
      </w:r>
    </w:p>
    <w:p w14:paraId="760D4E24">
      <w:pPr>
        <w:spacing w:line="400" w:lineRule="exact"/>
        <w:ind w:firstLine="720" w:firstLineChars="300"/>
        <w:rPr>
          <w:rFonts w:hint="eastAsia" w:asciiTheme="minorEastAsia" w:hAnsiTheme="minorEastAsia" w:eastAsiaTheme="minorEastAsia" w:cstheme="minorEastAsia"/>
          <w:bCs/>
          <w:sz w:val="24"/>
          <w:szCs w:val="24"/>
        </w:rPr>
      </w:pPr>
    </w:p>
    <w:p w14:paraId="6FCF07C1">
      <w:pPr>
        <w:spacing w:line="400" w:lineRule="exact"/>
        <w:ind w:firstLine="720" w:firstLineChars="300"/>
        <w:rPr>
          <w:rFonts w:hint="eastAsia" w:asciiTheme="minorEastAsia" w:hAnsiTheme="minorEastAsia" w:eastAsiaTheme="minorEastAsia" w:cstheme="minorEastAsia"/>
          <w:bCs/>
          <w:sz w:val="24"/>
          <w:szCs w:val="24"/>
        </w:rPr>
      </w:pPr>
    </w:p>
    <w:p w14:paraId="19506ED7">
      <w:pPr>
        <w:spacing w:line="400" w:lineRule="exac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302260</wp:posOffset>
                </wp:positionH>
                <wp:positionV relativeFrom="paragraph">
                  <wp:posOffset>189230</wp:posOffset>
                </wp:positionV>
                <wp:extent cx="2618740" cy="1790700"/>
                <wp:effectExtent l="4445" t="4445" r="5715" b="8255"/>
                <wp:wrapNone/>
                <wp:docPr id="1" name="文本框 4"/>
                <wp:cNvGraphicFramePr/>
                <a:graphic xmlns:a="http://schemas.openxmlformats.org/drawingml/2006/main">
                  <a:graphicData uri="http://schemas.microsoft.com/office/word/2010/wordprocessingShape">
                    <wps:wsp>
                      <wps:cNvSpPr txBox="1"/>
                      <wps:spPr>
                        <a:xfrm>
                          <a:off x="0" y="0"/>
                          <a:ext cx="2618740" cy="1790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E1A1D4">
                            <w:r>
                              <w:rPr>
                                <w:rFonts w:hint="eastAsia"/>
                              </w:rPr>
                              <w:t xml:space="preserve">                 </w:t>
                            </w:r>
                          </w:p>
                          <w:p w14:paraId="5715D066"/>
                          <w:p w14:paraId="493D394F"/>
                          <w:p w14:paraId="7A3D0D73"/>
                          <w:p w14:paraId="4D157961">
                            <w:r>
                              <w:rPr>
                                <w:rFonts w:hint="eastAsia"/>
                              </w:rPr>
                              <w:t xml:space="preserve">        附法人身份证复印件正面</w:t>
                            </w:r>
                          </w:p>
                        </w:txbxContent>
                      </wps:txbx>
                      <wps:bodyPr upright="1"/>
                    </wps:wsp>
                  </a:graphicData>
                </a:graphic>
              </wp:anchor>
            </w:drawing>
          </mc:Choice>
          <mc:Fallback>
            <w:pict>
              <v:shape id="文本框 4" o:spid="_x0000_s1026" o:spt="202" type="#_x0000_t202" style="position:absolute;left:0pt;margin-left:23.8pt;margin-top:14.9pt;height:141pt;width:206.2pt;z-index:251660288;mso-width-relative:page;mso-height-relative:page;" fillcolor="#FFFFFF" filled="t" stroked="t" coordsize="21600,21600" o:gfxdata="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U0mFHZAAAACQEAAA8AAAAAAAAAAQAg&#10;AAAAIgAAAGRycy9kb3ducmV2LnhtbFBLAQIUABQAAAAIAIdO4kBqniX+DQIAADcEAAAOAAAAAAAA&#10;AAEAIAAAACgBAABkcnMvZTJvRG9jLnhtbFBLBQYAAAAABgAGAFkBAACnBQAAAAA=&#10;">
                <v:fill on="t" focussize="0,0"/>
                <v:stroke color="#000000" joinstyle="miter"/>
                <v:imagedata o:title=""/>
                <o:lock v:ext="edit" aspectratio="f"/>
                <v:textbox>
                  <w:txbxContent>
                    <w:p w14:paraId="40E1A1D4">
                      <w:r>
                        <w:rPr>
                          <w:rFonts w:hint="eastAsia"/>
                        </w:rPr>
                        <w:t xml:space="preserve">                 </w:t>
                      </w:r>
                    </w:p>
                    <w:p w14:paraId="5715D066"/>
                    <w:p w14:paraId="493D394F"/>
                    <w:p w14:paraId="7A3D0D73"/>
                    <w:p w14:paraId="4D157961">
                      <w:r>
                        <w:rPr>
                          <w:rFonts w:hint="eastAsia"/>
                        </w:rPr>
                        <w:t xml:space="preserve">        附法人身份证复印件正面</w:t>
                      </w:r>
                    </w:p>
                  </w:txbxContent>
                </v:textbox>
              </v:shape>
            </w:pict>
          </mc:Fallback>
        </mc:AlternateContent>
      </w:r>
      <w:r>
        <w:rPr>
          <w:rFonts w:hint="eastAsia" w:asciiTheme="minorEastAsia" w:hAnsiTheme="minorEastAsia" w:eastAsiaTheme="minorEastAsia" w:cs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3065145</wp:posOffset>
                </wp:positionH>
                <wp:positionV relativeFrom="paragraph">
                  <wp:posOffset>168910</wp:posOffset>
                </wp:positionV>
                <wp:extent cx="2696210" cy="1781175"/>
                <wp:effectExtent l="4445" t="4445" r="17145" b="5080"/>
                <wp:wrapNone/>
                <wp:docPr id="3" name="文本框 5"/>
                <wp:cNvGraphicFramePr/>
                <a:graphic xmlns:a="http://schemas.openxmlformats.org/drawingml/2006/main">
                  <a:graphicData uri="http://schemas.microsoft.com/office/word/2010/wordprocessingShape">
                    <wps:wsp>
                      <wps:cNvSpPr txBox="1"/>
                      <wps:spPr>
                        <a:xfrm>
                          <a:off x="0" y="0"/>
                          <a:ext cx="2696210" cy="17811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D415AC">
                            <w:r>
                              <w:rPr>
                                <w:rFonts w:hint="eastAsia"/>
                              </w:rPr>
                              <w:t xml:space="preserve">                 </w:t>
                            </w:r>
                          </w:p>
                          <w:p w14:paraId="22CAAFEF"/>
                          <w:p w14:paraId="0769792E"/>
                          <w:p w14:paraId="2F024FDD"/>
                          <w:p w14:paraId="39CD026A">
                            <w:r>
                              <w:rPr>
                                <w:rFonts w:hint="eastAsia"/>
                              </w:rPr>
                              <w:t xml:space="preserve">         附法人身份证复印件反面</w:t>
                            </w:r>
                          </w:p>
                        </w:txbxContent>
                      </wps:txbx>
                      <wps:bodyPr upright="1"/>
                    </wps:wsp>
                  </a:graphicData>
                </a:graphic>
              </wp:anchor>
            </w:drawing>
          </mc:Choice>
          <mc:Fallback>
            <w:pict>
              <v:shape id="文本框 5" o:spid="_x0000_s1026" o:spt="202" type="#_x0000_t202" style="position:absolute;left:0pt;margin-left:241.35pt;margin-top:13.3pt;height:140.25pt;width:212.3pt;z-index:251662336;mso-width-relative:page;mso-height-relative:page;" fillcolor="#FFFFFF" filled="t" stroked="t" coordsize="21600,21600" o:gfxdata="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XLV29oAAAAKAQAADwAAAAAAAAAB&#10;ACAAAAAiAAAAZHJzL2Rvd25yZXYueG1sUEsBAhQAFAAAAAgAh07iQCRn/N4OAgAANwQAAA4AAAAA&#10;AAAAAQAgAAAAKQEAAGRycy9lMm9Eb2MueG1sUEsFBgAAAAAGAAYAWQEAAKkFAAAAAA==&#10;">
                <v:fill on="t" focussize="0,0"/>
                <v:stroke color="#000000" joinstyle="miter"/>
                <v:imagedata o:title=""/>
                <o:lock v:ext="edit" aspectratio="f"/>
                <v:textbox>
                  <w:txbxContent>
                    <w:p w14:paraId="7ED415AC">
                      <w:r>
                        <w:rPr>
                          <w:rFonts w:hint="eastAsia"/>
                        </w:rPr>
                        <w:t xml:space="preserve">                 </w:t>
                      </w:r>
                    </w:p>
                    <w:p w14:paraId="22CAAFEF"/>
                    <w:p w14:paraId="0769792E"/>
                    <w:p w14:paraId="2F024FDD"/>
                    <w:p w14:paraId="39CD026A">
                      <w:r>
                        <w:rPr>
                          <w:rFonts w:hint="eastAsia"/>
                        </w:rPr>
                        <w:t xml:space="preserve">         附法人身份证复印件反面</w:t>
                      </w:r>
                    </w:p>
                  </w:txbxContent>
                </v:textbox>
              </v:shape>
            </w:pict>
          </mc:Fallback>
        </mc:AlternateContent>
      </w:r>
    </w:p>
    <w:p w14:paraId="40178DFC">
      <w:pPr>
        <w:spacing w:line="400" w:lineRule="exact"/>
        <w:rPr>
          <w:rFonts w:hint="eastAsia" w:asciiTheme="minorEastAsia" w:hAnsiTheme="minorEastAsia" w:eastAsiaTheme="minorEastAsia" w:cstheme="minorEastAsia"/>
          <w:bCs/>
          <w:sz w:val="24"/>
          <w:szCs w:val="24"/>
        </w:rPr>
      </w:pPr>
    </w:p>
    <w:p w14:paraId="6DE41C25">
      <w:pPr>
        <w:spacing w:line="400" w:lineRule="exact"/>
        <w:rPr>
          <w:rFonts w:hint="eastAsia" w:asciiTheme="minorEastAsia" w:hAnsiTheme="minorEastAsia" w:eastAsiaTheme="minorEastAsia" w:cstheme="minorEastAsia"/>
          <w:bCs/>
          <w:sz w:val="24"/>
          <w:szCs w:val="24"/>
        </w:rPr>
      </w:pPr>
    </w:p>
    <w:p w14:paraId="11DA855D">
      <w:pPr>
        <w:spacing w:line="400" w:lineRule="exact"/>
        <w:rPr>
          <w:rFonts w:hint="eastAsia" w:asciiTheme="minorEastAsia" w:hAnsiTheme="minorEastAsia" w:eastAsiaTheme="minorEastAsia" w:cstheme="minorEastAsia"/>
          <w:bCs/>
          <w:sz w:val="24"/>
          <w:szCs w:val="24"/>
        </w:rPr>
      </w:pPr>
    </w:p>
    <w:p w14:paraId="5E4F7C16">
      <w:pPr>
        <w:wordWrap w:val="0"/>
        <w:spacing w:line="40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3CB2A57">
      <w:pPr>
        <w:spacing w:line="400" w:lineRule="exact"/>
        <w:jc w:val="right"/>
        <w:rPr>
          <w:rFonts w:hint="eastAsia" w:asciiTheme="minorEastAsia" w:hAnsiTheme="minorEastAsia" w:eastAsiaTheme="minorEastAsia" w:cstheme="minorEastAsia"/>
          <w:sz w:val="24"/>
          <w:szCs w:val="24"/>
        </w:rPr>
      </w:pPr>
    </w:p>
    <w:p w14:paraId="13C62F71">
      <w:pPr>
        <w:spacing w:line="400" w:lineRule="exact"/>
        <w:jc w:val="right"/>
        <w:rPr>
          <w:rFonts w:hint="eastAsia" w:asciiTheme="minorEastAsia" w:hAnsiTheme="minorEastAsia" w:eastAsiaTheme="minorEastAsia" w:cstheme="minorEastAsia"/>
          <w:sz w:val="24"/>
          <w:szCs w:val="24"/>
        </w:rPr>
      </w:pPr>
    </w:p>
    <w:p w14:paraId="6E896B90">
      <w:pPr>
        <w:spacing w:line="400" w:lineRule="exact"/>
        <w:jc w:val="right"/>
        <w:rPr>
          <w:rFonts w:hint="eastAsia" w:asciiTheme="minorEastAsia" w:hAnsiTheme="minorEastAsia" w:eastAsiaTheme="minorEastAsia" w:cstheme="minorEastAsia"/>
          <w:sz w:val="24"/>
          <w:szCs w:val="24"/>
        </w:rPr>
      </w:pPr>
    </w:p>
    <w:p w14:paraId="2AFB9F7C">
      <w:pPr>
        <w:spacing w:line="400" w:lineRule="exact"/>
        <w:jc w:val="right"/>
        <w:rPr>
          <w:rFonts w:hint="eastAsia" w:asciiTheme="minorEastAsia" w:hAnsiTheme="minorEastAsia" w:eastAsiaTheme="minorEastAsia" w:cstheme="minorEastAsia"/>
          <w:sz w:val="24"/>
          <w:szCs w:val="24"/>
        </w:rPr>
      </w:pPr>
    </w:p>
    <w:p w14:paraId="50E44A88">
      <w:pPr>
        <w:spacing w:line="360" w:lineRule="auto"/>
        <w:jc w:val="right"/>
        <w:rPr>
          <w:rFonts w:hint="eastAsia" w:asciiTheme="minorEastAsia" w:hAnsiTheme="minorEastAsia" w:eastAsiaTheme="minorEastAsia" w:cstheme="minorEastAsia"/>
          <w:sz w:val="24"/>
          <w:szCs w:val="24"/>
        </w:rPr>
      </w:pPr>
    </w:p>
    <w:p w14:paraId="657A927F">
      <w:pPr>
        <w:spacing w:line="360" w:lineRule="auto"/>
        <w:jc w:val="right"/>
        <w:rPr>
          <w:rFonts w:hint="eastAsia" w:asciiTheme="minorEastAsia" w:hAnsiTheme="minorEastAsia" w:eastAsiaTheme="minorEastAsia" w:cstheme="minorEastAsia"/>
          <w:sz w:val="24"/>
          <w:szCs w:val="24"/>
        </w:rPr>
      </w:pPr>
    </w:p>
    <w:p w14:paraId="3F4B1792">
      <w:pPr>
        <w:pStyle w:val="68"/>
        <w:snapToGrid w:val="0"/>
        <w:spacing w:line="360" w:lineRule="auto"/>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投标人名称(公章)：</w:t>
      </w:r>
      <w:r>
        <w:rPr>
          <w:rFonts w:hint="eastAsia" w:asciiTheme="minorEastAsia" w:hAnsiTheme="minorEastAsia" w:eastAsiaTheme="minorEastAsia" w:cstheme="minorEastAsia"/>
          <w:color w:val="auto"/>
          <w:sz w:val="24"/>
          <w:szCs w:val="24"/>
          <w:u w:val="single"/>
        </w:rPr>
        <w:t xml:space="preserve">                    </w:t>
      </w:r>
    </w:p>
    <w:p w14:paraId="01E518D9">
      <w:pPr>
        <w:pStyle w:val="68"/>
        <w:snapToGrid w:val="0"/>
        <w:spacing w:line="360" w:lineRule="auto"/>
        <w:ind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投标人法人或授权代表签字：</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14:paraId="36FB260E">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                日   期：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0D24890F">
      <w:pPr>
        <w:pStyle w:val="63"/>
        <w:snapToGrid w:val="0"/>
        <w:jc w:val="center"/>
        <w:rPr>
          <w:rFonts w:hint="eastAsia" w:asciiTheme="minorEastAsia" w:hAnsiTheme="minorEastAsia" w:eastAsiaTheme="minorEastAsia" w:cstheme="minorEastAsia"/>
          <w:b/>
          <w:bCs/>
          <w:sz w:val="24"/>
          <w:szCs w:val="24"/>
        </w:rPr>
      </w:pPr>
    </w:p>
    <w:p w14:paraId="24694ECE">
      <w:pPr>
        <w:pStyle w:val="68"/>
        <w:snapToGrid w:val="0"/>
        <w:spacing w:line="360" w:lineRule="atLeast"/>
        <w:jc w:val="center"/>
        <w:outlineLvl w:val="0"/>
        <w:rPr>
          <w:rFonts w:ascii="宋体" w:hAnsi="宋体"/>
          <w:b/>
          <w:color w:val="auto"/>
          <w:sz w:val="24"/>
          <w:szCs w:val="24"/>
        </w:rPr>
      </w:pPr>
      <w:r>
        <w:rPr>
          <w:rFonts w:ascii="宋体" w:hAnsi="宋体"/>
          <w:b/>
          <w:color w:val="auto"/>
          <w:sz w:val="21"/>
          <w:szCs w:val="21"/>
        </w:rPr>
        <w:br w:type="page"/>
      </w:r>
      <w:bookmarkStart w:id="483" w:name="_Toc3633"/>
      <w:bookmarkStart w:id="484" w:name="_Toc28983"/>
      <w:bookmarkStart w:id="485" w:name="_Toc21605"/>
      <w:bookmarkStart w:id="486" w:name="_Toc27921"/>
      <w:bookmarkStart w:id="487" w:name="_Toc1961"/>
      <w:r>
        <w:rPr>
          <w:rFonts w:hint="eastAsia" w:ascii="宋体" w:hAnsi="宋体"/>
          <w:b/>
          <w:color w:val="auto"/>
          <w:sz w:val="24"/>
          <w:szCs w:val="24"/>
        </w:rPr>
        <w:t>5.法定代表人授权委托书</w:t>
      </w:r>
      <w:bookmarkEnd w:id="483"/>
      <w:bookmarkEnd w:id="484"/>
      <w:bookmarkEnd w:id="485"/>
      <w:bookmarkEnd w:id="486"/>
      <w:bookmarkEnd w:id="487"/>
    </w:p>
    <w:p w14:paraId="10D93C4C">
      <w:pPr>
        <w:pStyle w:val="68"/>
        <w:snapToGrid w:val="0"/>
        <w:spacing w:line="360" w:lineRule="atLeast"/>
        <w:ind w:firstLine="855"/>
        <w:jc w:val="center"/>
        <w:rPr>
          <w:rFonts w:ascii="宋体" w:hAnsi="宋体"/>
          <w:b/>
          <w:color w:val="auto"/>
          <w:sz w:val="24"/>
          <w:szCs w:val="24"/>
        </w:rPr>
      </w:pPr>
    </w:p>
    <w:p w14:paraId="59554D4F">
      <w:pPr>
        <w:spacing w:line="360" w:lineRule="auto"/>
        <w:ind w:firstLine="630"/>
        <w:rPr>
          <w:rFonts w:ascii="宋体" w:hAnsi="宋体"/>
          <w:sz w:val="24"/>
          <w:szCs w:val="24"/>
        </w:rPr>
      </w:pPr>
      <w:r>
        <w:rPr>
          <w:rFonts w:hint="eastAsia" w:ascii="宋体" w:hAnsi="宋体"/>
          <w:sz w:val="24"/>
          <w:szCs w:val="24"/>
        </w:rPr>
        <w:t>本授权委托书声明：我</w:t>
      </w:r>
      <w:r>
        <w:rPr>
          <w:rFonts w:hint="eastAsia" w:ascii="宋体" w:hAnsi="宋体"/>
          <w:sz w:val="24"/>
          <w:szCs w:val="24"/>
          <w:u w:val="single"/>
        </w:rPr>
        <w:t xml:space="preserve">         </w:t>
      </w:r>
      <w:r>
        <w:rPr>
          <w:rFonts w:hint="eastAsia" w:ascii="宋体" w:hAnsi="宋体"/>
          <w:sz w:val="24"/>
          <w:szCs w:val="24"/>
        </w:rPr>
        <w:t>（姓名）系</w:t>
      </w:r>
      <w:r>
        <w:rPr>
          <w:rFonts w:hint="eastAsia" w:ascii="宋体" w:hAnsi="宋体"/>
          <w:sz w:val="24"/>
          <w:szCs w:val="24"/>
          <w:u w:val="single"/>
        </w:rPr>
        <w:t xml:space="preserve">               </w:t>
      </w:r>
      <w:r>
        <w:rPr>
          <w:rFonts w:hint="eastAsia" w:ascii="宋体" w:hAnsi="宋体"/>
          <w:sz w:val="24"/>
          <w:szCs w:val="24"/>
        </w:rPr>
        <w:t>（投标人名称）的法定代表人，现授权委托</w:t>
      </w:r>
      <w:r>
        <w:rPr>
          <w:rFonts w:hint="eastAsia" w:ascii="宋体" w:hAnsi="宋体"/>
          <w:sz w:val="24"/>
          <w:szCs w:val="24"/>
          <w:u w:val="single"/>
        </w:rPr>
        <w:t xml:space="preserve">                         </w:t>
      </w:r>
      <w:r>
        <w:rPr>
          <w:rFonts w:hint="eastAsia" w:ascii="宋体" w:hAnsi="宋体"/>
          <w:sz w:val="24"/>
          <w:szCs w:val="24"/>
        </w:rPr>
        <w:t>（投标人名称）的</w:t>
      </w:r>
      <w:r>
        <w:rPr>
          <w:rFonts w:hint="eastAsia" w:ascii="宋体" w:hAnsi="宋体"/>
          <w:sz w:val="24"/>
          <w:szCs w:val="24"/>
          <w:u w:val="single"/>
        </w:rPr>
        <w:t xml:space="preserve">            </w:t>
      </w:r>
      <w:r>
        <w:rPr>
          <w:rFonts w:hint="eastAsia" w:ascii="宋体" w:hAnsi="宋体"/>
          <w:sz w:val="24"/>
          <w:szCs w:val="24"/>
        </w:rPr>
        <w:t>（姓名）为我公司代理人，以本公司的名义参加</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采购人</w:t>
      </w:r>
      <w:r>
        <w:rPr>
          <w:rFonts w:hint="eastAsia" w:ascii="宋体" w:hAnsi="宋体"/>
          <w:sz w:val="24"/>
          <w:szCs w:val="24"/>
        </w:rPr>
        <w:t>）的</w:t>
      </w:r>
      <w:r>
        <w:rPr>
          <w:rFonts w:hint="eastAsia" w:ascii="宋体" w:hAnsi="宋体"/>
          <w:sz w:val="24"/>
          <w:szCs w:val="24"/>
          <w:u w:val="single"/>
        </w:rPr>
        <w:t xml:space="preserve">                 项目</w:t>
      </w:r>
      <w:r>
        <w:rPr>
          <w:rFonts w:hint="eastAsia" w:ascii="宋体" w:hAnsi="宋体"/>
          <w:sz w:val="24"/>
          <w:szCs w:val="24"/>
        </w:rPr>
        <w:t>的投标活动。代理人签署的投标文件和参加整个招标投标活动中所签署的一切文件和处理与之有关的一切事物，我均予以承认。</w:t>
      </w:r>
    </w:p>
    <w:p w14:paraId="4B6191B4">
      <w:pPr>
        <w:spacing w:line="360" w:lineRule="auto"/>
        <w:rPr>
          <w:rFonts w:ascii="宋体" w:hAnsi="宋体"/>
          <w:sz w:val="24"/>
          <w:szCs w:val="24"/>
        </w:rPr>
      </w:pPr>
    </w:p>
    <w:p w14:paraId="118E1739">
      <w:pPr>
        <w:spacing w:line="360" w:lineRule="auto"/>
        <w:rPr>
          <w:rFonts w:ascii="宋体" w:hAnsi="宋体"/>
          <w:sz w:val="24"/>
          <w:szCs w:val="24"/>
        </w:rPr>
      </w:pPr>
    </w:p>
    <w:p w14:paraId="5AFF6ABC">
      <w:pPr>
        <w:spacing w:line="360" w:lineRule="auto"/>
        <w:rPr>
          <w:rFonts w:ascii="宋体" w:hAnsi="宋体"/>
          <w:sz w:val="24"/>
          <w:szCs w:val="24"/>
        </w:rPr>
      </w:pPr>
      <w:r>
        <w:rPr>
          <w:rFonts w:hint="eastAsia" w:ascii="宋体" w:hAnsi="宋体"/>
          <w:sz w:val="24"/>
          <w:szCs w:val="24"/>
        </w:rPr>
        <w:t>代理人：</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p>
    <w:p w14:paraId="34EE9469">
      <w:pPr>
        <w:spacing w:line="360" w:lineRule="auto"/>
        <w:rPr>
          <w:rFonts w:ascii="宋体" w:hAnsi="宋体"/>
          <w:sz w:val="24"/>
          <w:szCs w:val="24"/>
        </w:rPr>
      </w:pPr>
      <w:r>
        <w:rPr>
          <w:rFonts w:hint="eastAsia" w:ascii="宋体" w:hAnsi="宋体"/>
          <w:sz w:val="24"/>
          <w:szCs w:val="24"/>
        </w:rPr>
        <w:t>单  位：</w:t>
      </w:r>
      <w:r>
        <w:rPr>
          <w:rFonts w:hint="eastAsia" w:ascii="宋体" w:hAnsi="宋体"/>
          <w:sz w:val="24"/>
          <w:szCs w:val="24"/>
          <w:u w:val="single"/>
        </w:rPr>
        <w:t xml:space="preserve">              </w:t>
      </w:r>
      <w:r>
        <w:rPr>
          <w:rFonts w:hint="eastAsia" w:ascii="宋体" w:hAnsi="宋体"/>
          <w:sz w:val="24"/>
          <w:szCs w:val="24"/>
        </w:rPr>
        <w:t>部门：</w:t>
      </w:r>
      <w:r>
        <w:rPr>
          <w:rFonts w:hint="eastAsia" w:ascii="宋体" w:hAnsi="宋体"/>
          <w:sz w:val="24"/>
          <w:szCs w:val="24"/>
          <w:u w:val="single"/>
        </w:rPr>
        <w:t xml:space="preserve">             </w:t>
      </w:r>
      <w:r>
        <w:rPr>
          <w:rFonts w:hint="eastAsia" w:ascii="宋体" w:hAnsi="宋体"/>
          <w:sz w:val="24"/>
          <w:szCs w:val="24"/>
        </w:rPr>
        <w:t>职务：</w:t>
      </w:r>
      <w:r>
        <w:rPr>
          <w:rFonts w:hint="eastAsia" w:ascii="宋体" w:hAnsi="宋体"/>
          <w:sz w:val="24"/>
          <w:szCs w:val="24"/>
          <w:u w:val="single"/>
        </w:rPr>
        <w:t xml:space="preserve">             </w:t>
      </w:r>
    </w:p>
    <w:p w14:paraId="7993D325">
      <w:pPr>
        <w:spacing w:line="360" w:lineRule="auto"/>
        <w:rPr>
          <w:rFonts w:ascii="宋体" w:hAnsi="宋体"/>
          <w:sz w:val="24"/>
          <w:szCs w:val="24"/>
        </w:rPr>
      </w:pPr>
      <w:r>
        <w:rPr>
          <w:rFonts w:hint="eastAsia" w:ascii="宋体" w:hAnsi="宋体"/>
          <w:sz w:val="24"/>
          <w:szCs w:val="24"/>
        </w:rPr>
        <w:t>代理人无转委权。特此委托。</w:t>
      </w:r>
    </w:p>
    <w:p w14:paraId="4C0204B4">
      <w:pPr>
        <w:spacing w:line="360" w:lineRule="auto"/>
        <w:rPr>
          <w:rFonts w:ascii="宋体" w:hAnsi="宋体"/>
          <w:sz w:val="24"/>
          <w:szCs w:val="24"/>
        </w:rPr>
      </w:pPr>
    </w:p>
    <w:p w14:paraId="3DACE2C7">
      <w:pPr>
        <w:spacing w:line="360" w:lineRule="auto"/>
        <w:rPr>
          <w:rFonts w:ascii="宋体" w:hAnsi="宋体"/>
          <w:sz w:val="24"/>
          <w:szCs w:val="24"/>
        </w:rPr>
      </w:pPr>
    </w:p>
    <w:p w14:paraId="0EFDABF0">
      <w:pPr>
        <w:spacing w:line="360" w:lineRule="auto"/>
        <w:rPr>
          <w:rFonts w:ascii="宋体" w:hAnsi="宋体"/>
          <w:sz w:val="24"/>
          <w:szCs w:val="24"/>
        </w:rPr>
      </w:pPr>
      <w:r>
        <w:rPr>
          <w:sz w:val="24"/>
          <w:szCs w:val="24"/>
        </w:rPr>
        <mc:AlternateContent>
          <mc:Choice Requires="wps">
            <w:drawing>
              <wp:anchor distT="0" distB="0" distL="114300" distR="114300" simplePos="0" relativeHeight="251661312" behindDoc="0" locked="0" layoutInCell="1" allowOverlap="1">
                <wp:simplePos x="0" y="0"/>
                <wp:positionH relativeFrom="column">
                  <wp:posOffset>-22225</wp:posOffset>
                </wp:positionH>
                <wp:positionV relativeFrom="paragraph">
                  <wp:posOffset>8890</wp:posOffset>
                </wp:positionV>
                <wp:extent cx="2609215" cy="1704975"/>
                <wp:effectExtent l="4445" t="4445" r="15240" b="5080"/>
                <wp:wrapNone/>
                <wp:docPr id="2" name="文本框 6"/>
                <wp:cNvGraphicFramePr/>
                <a:graphic xmlns:a="http://schemas.openxmlformats.org/drawingml/2006/main">
                  <a:graphicData uri="http://schemas.microsoft.com/office/word/2010/wordprocessingShape">
                    <wps:wsp>
                      <wps:cNvSpPr txBox="1"/>
                      <wps:spPr>
                        <a:xfrm>
                          <a:off x="0" y="0"/>
                          <a:ext cx="2609215" cy="17049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38635A"/>
                          <w:p w14:paraId="54B30E7B"/>
                          <w:p w14:paraId="2743D5BE"/>
                          <w:p w14:paraId="494770CA"/>
                          <w:p w14:paraId="5DF8C3A5">
                            <w:r>
                              <w:rPr>
                                <w:rFonts w:hint="eastAsia"/>
                              </w:rPr>
                              <w:t xml:space="preserve">       附委托人身份证复印件正面</w:t>
                            </w:r>
                          </w:p>
                        </w:txbxContent>
                      </wps:txbx>
                      <wps:bodyPr upright="1"/>
                    </wps:wsp>
                  </a:graphicData>
                </a:graphic>
              </wp:anchor>
            </w:drawing>
          </mc:Choice>
          <mc:Fallback>
            <w:pict>
              <v:shape id="文本框 6" o:spid="_x0000_s1026" o:spt="202" type="#_x0000_t202" style="position:absolute;left:0pt;margin-left:-1.75pt;margin-top:0.7pt;height:134.25pt;width:205.45pt;z-index:251661312;mso-width-relative:page;mso-height-relative:page;" fillcolor="#FFFFFF" filled="t" stroked="t" coordsize="21600,21600" o:gfxdata="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sGixNkAAAAIAQAADwAAAAAAAAABACAA&#10;AAAiAAAAZHJzL2Rvd25yZXYueG1sUEsBAhQAFAAAAAgAh07iQELcd/MMAgAANwQAAA4AAAAAAAAA&#10;AQAgAAAAKAEAAGRycy9lMm9Eb2MueG1sUEsFBgAAAAAGAAYAWQEAAKYFAAAAAA==&#10;">
                <v:fill on="t" focussize="0,0"/>
                <v:stroke color="#000000" joinstyle="miter"/>
                <v:imagedata o:title=""/>
                <o:lock v:ext="edit" aspectratio="f"/>
                <v:textbox>
                  <w:txbxContent>
                    <w:p w14:paraId="3538635A"/>
                    <w:p w14:paraId="54B30E7B"/>
                    <w:p w14:paraId="2743D5BE"/>
                    <w:p w14:paraId="494770CA"/>
                    <w:p w14:paraId="5DF8C3A5">
                      <w:r>
                        <w:rPr>
                          <w:rFonts w:hint="eastAsia"/>
                        </w:rPr>
                        <w:t xml:space="preserve">       附委托人身份证复印件正面</w:t>
                      </w:r>
                    </w:p>
                  </w:txbxContent>
                </v:textbox>
              </v:shape>
            </w:pict>
          </mc:Fallback>
        </mc:AlternateContent>
      </w:r>
      <w:r>
        <w:rPr>
          <w:sz w:val="24"/>
          <w:szCs w:val="24"/>
        </w:rPr>
        <mc:AlternateContent>
          <mc:Choice Requires="wps">
            <w:drawing>
              <wp:anchor distT="0" distB="0" distL="114300" distR="114300" simplePos="0" relativeHeight="251663360" behindDoc="0" locked="0" layoutInCell="1" allowOverlap="1">
                <wp:simplePos x="0" y="0"/>
                <wp:positionH relativeFrom="column">
                  <wp:posOffset>2663190</wp:posOffset>
                </wp:positionH>
                <wp:positionV relativeFrom="paragraph">
                  <wp:posOffset>10160</wp:posOffset>
                </wp:positionV>
                <wp:extent cx="2722880" cy="1694180"/>
                <wp:effectExtent l="5080" t="5080" r="15240" b="15240"/>
                <wp:wrapNone/>
                <wp:docPr id="4" name="文本框 6"/>
                <wp:cNvGraphicFramePr/>
                <a:graphic xmlns:a="http://schemas.openxmlformats.org/drawingml/2006/main">
                  <a:graphicData uri="http://schemas.microsoft.com/office/word/2010/wordprocessingShape">
                    <wps:wsp>
                      <wps:cNvSpPr txBox="1"/>
                      <wps:spPr>
                        <a:xfrm>
                          <a:off x="0" y="0"/>
                          <a:ext cx="2722880" cy="1694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2227A0"/>
                          <w:p w14:paraId="169EF9C5"/>
                          <w:p w14:paraId="0CE360DA"/>
                          <w:p w14:paraId="70372298"/>
                          <w:p w14:paraId="6058CCA3">
                            <w:r>
                              <w:rPr>
                                <w:rFonts w:hint="eastAsia"/>
                              </w:rPr>
                              <w:t xml:space="preserve">      附委托人身份证复印件反面</w:t>
                            </w:r>
                          </w:p>
                        </w:txbxContent>
                      </wps:txbx>
                      <wps:bodyPr upright="1"/>
                    </wps:wsp>
                  </a:graphicData>
                </a:graphic>
              </wp:anchor>
            </w:drawing>
          </mc:Choice>
          <mc:Fallback>
            <w:pict>
              <v:shape id="文本框 6" o:spid="_x0000_s1026" o:spt="202" type="#_x0000_t202" style="position:absolute;left:0pt;margin-left:209.7pt;margin-top:0.8pt;height:133.4pt;width:214.4pt;z-index:251663360;mso-width-relative:page;mso-height-relative:page;" fillcolor="#FFFFFF" filled="t" stroked="t" coordsize="21600,21600" o:gfxdata="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DUS1PYAAAACQEAAA8AAAAAAAAAAQAgAAAA&#10;IgAAAGRycy9kb3ducmV2LnhtbFBLAQIUABQAAAAIAIdO4kDHO6qkCwIAADcEAAAOAAAAAAAAAAEA&#10;IAAAACcBAABkcnMvZTJvRG9jLnhtbFBLBQYAAAAABgAGAFkBAACkBQAAAAA=&#10;">
                <v:fill on="t" focussize="0,0"/>
                <v:stroke color="#000000" joinstyle="miter"/>
                <v:imagedata o:title=""/>
                <o:lock v:ext="edit" aspectratio="f"/>
                <v:textbox>
                  <w:txbxContent>
                    <w:p w14:paraId="282227A0"/>
                    <w:p w14:paraId="169EF9C5"/>
                    <w:p w14:paraId="0CE360DA"/>
                    <w:p w14:paraId="70372298"/>
                    <w:p w14:paraId="6058CCA3">
                      <w:r>
                        <w:rPr>
                          <w:rFonts w:hint="eastAsia"/>
                        </w:rPr>
                        <w:t xml:space="preserve">      附委托人身份证复印件反面</w:t>
                      </w:r>
                    </w:p>
                  </w:txbxContent>
                </v:textbox>
              </v:shape>
            </w:pict>
          </mc:Fallback>
        </mc:AlternateContent>
      </w:r>
    </w:p>
    <w:p w14:paraId="47920F27">
      <w:pPr>
        <w:spacing w:line="360" w:lineRule="auto"/>
        <w:rPr>
          <w:rFonts w:ascii="宋体" w:hAnsi="宋体"/>
          <w:sz w:val="24"/>
          <w:szCs w:val="24"/>
        </w:rPr>
      </w:pPr>
      <w:r>
        <w:rPr>
          <w:rFonts w:hint="eastAsia" w:ascii="宋体" w:hAnsi="宋体"/>
          <w:sz w:val="24"/>
          <w:szCs w:val="24"/>
        </w:rPr>
        <w:t xml:space="preserve">                                                         </w:t>
      </w:r>
    </w:p>
    <w:p w14:paraId="046F83A8">
      <w:pPr>
        <w:spacing w:line="360" w:lineRule="auto"/>
        <w:rPr>
          <w:rFonts w:ascii="宋体" w:hAnsi="宋体"/>
          <w:sz w:val="24"/>
          <w:szCs w:val="24"/>
        </w:rPr>
      </w:pPr>
    </w:p>
    <w:p w14:paraId="3618D1CD">
      <w:pPr>
        <w:spacing w:line="360" w:lineRule="auto"/>
        <w:rPr>
          <w:rFonts w:ascii="宋体" w:hAnsi="宋体"/>
          <w:sz w:val="24"/>
          <w:szCs w:val="24"/>
        </w:rPr>
      </w:pPr>
    </w:p>
    <w:p w14:paraId="793087CE">
      <w:pPr>
        <w:spacing w:line="360" w:lineRule="auto"/>
        <w:rPr>
          <w:rFonts w:ascii="宋体" w:hAnsi="宋体"/>
          <w:sz w:val="24"/>
          <w:szCs w:val="24"/>
        </w:rPr>
      </w:pPr>
    </w:p>
    <w:p w14:paraId="4AFAD289">
      <w:pPr>
        <w:spacing w:line="360" w:lineRule="auto"/>
        <w:rPr>
          <w:rFonts w:ascii="宋体" w:hAnsi="宋体"/>
          <w:sz w:val="24"/>
          <w:szCs w:val="24"/>
        </w:rPr>
      </w:pPr>
    </w:p>
    <w:p w14:paraId="49C80D9F">
      <w:pPr>
        <w:spacing w:line="360" w:lineRule="auto"/>
        <w:rPr>
          <w:rFonts w:ascii="宋体" w:hAnsi="宋体"/>
          <w:sz w:val="24"/>
          <w:szCs w:val="24"/>
        </w:rPr>
      </w:pPr>
    </w:p>
    <w:p w14:paraId="47A6A1DE">
      <w:pPr>
        <w:spacing w:line="360" w:lineRule="auto"/>
        <w:rPr>
          <w:rFonts w:ascii="宋体" w:hAnsi="宋体"/>
          <w:sz w:val="24"/>
          <w:szCs w:val="24"/>
        </w:rPr>
      </w:pPr>
    </w:p>
    <w:p w14:paraId="1DAB5089">
      <w:pPr>
        <w:spacing w:line="360" w:lineRule="auto"/>
        <w:rPr>
          <w:rFonts w:ascii="宋体" w:hAnsi="宋体"/>
          <w:sz w:val="24"/>
          <w:szCs w:val="24"/>
        </w:rPr>
      </w:pPr>
    </w:p>
    <w:p w14:paraId="3C3C797A">
      <w:pPr>
        <w:pStyle w:val="68"/>
        <w:snapToGrid w:val="0"/>
        <w:spacing w:line="360" w:lineRule="auto"/>
        <w:ind w:firstLine="480" w:firstLineChars="200"/>
        <w:jc w:val="both"/>
        <w:rPr>
          <w:rFonts w:ascii="宋体" w:hAnsi="宋体" w:cs="宋体"/>
          <w:color w:val="auto"/>
          <w:sz w:val="24"/>
          <w:szCs w:val="24"/>
          <w:u w:val="single"/>
        </w:rPr>
      </w:pPr>
      <w:r>
        <w:rPr>
          <w:rFonts w:hint="eastAsia" w:ascii="宋体" w:hAnsi="宋体"/>
          <w:color w:val="auto"/>
          <w:sz w:val="24"/>
          <w:szCs w:val="24"/>
        </w:rPr>
        <w:t xml:space="preserve">                      </w:t>
      </w:r>
      <w:r>
        <w:rPr>
          <w:rFonts w:hint="eastAsia" w:ascii="宋体" w:hAnsi="宋体" w:cs="宋体"/>
          <w:color w:val="auto"/>
          <w:sz w:val="24"/>
          <w:szCs w:val="24"/>
        </w:rPr>
        <w:t>投标人名称(公章)：</w:t>
      </w:r>
      <w:r>
        <w:rPr>
          <w:rFonts w:hint="eastAsia" w:ascii="宋体" w:hAnsi="宋体" w:cs="宋体"/>
          <w:color w:val="auto"/>
          <w:sz w:val="24"/>
          <w:szCs w:val="24"/>
          <w:u w:val="single"/>
        </w:rPr>
        <w:t xml:space="preserve">                            </w:t>
      </w:r>
    </w:p>
    <w:p w14:paraId="77CA257C">
      <w:pPr>
        <w:pStyle w:val="68"/>
        <w:snapToGrid w:val="0"/>
        <w:spacing w:line="360" w:lineRule="auto"/>
        <w:ind w:firstLine="3120" w:firstLineChars="1300"/>
        <w:jc w:val="both"/>
        <w:rPr>
          <w:rFonts w:ascii="宋体" w:hAnsi="宋体" w:cs="宋体"/>
          <w:color w:val="auto"/>
          <w:sz w:val="24"/>
          <w:szCs w:val="24"/>
        </w:rPr>
      </w:pPr>
      <w:r>
        <w:rPr>
          <w:rFonts w:hint="eastAsia" w:ascii="宋体" w:hAnsi="宋体" w:cs="宋体"/>
          <w:color w:val="auto"/>
          <w:sz w:val="24"/>
          <w:szCs w:val="24"/>
        </w:rPr>
        <w:t>投标人法人签字：</w:t>
      </w:r>
      <w:r>
        <w:rPr>
          <w:rFonts w:hint="eastAsia" w:ascii="宋体" w:hAnsi="宋体" w:cs="宋体"/>
          <w:color w:val="auto"/>
          <w:sz w:val="24"/>
          <w:szCs w:val="24"/>
          <w:u w:val="single"/>
        </w:rPr>
        <w:t xml:space="preserve">                          </w:t>
      </w:r>
    </w:p>
    <w:p w14:paraId="16DEC94A">
      <w:pPr>
        <w:pStyle w:val="68"/>
        <w:snapToGrid w:val="0"/>
        <w:spacing w:line="360" w:lineRule="auto"/>
        <w:ind w:firstLine="3120" w:firstLineChars="1300"/>
        <w:jc w:val="both"/>
        <w:rPr>
          <w:rFonts w:ascii="宋体" w:hAnsi="宋体" w:cs="宋体"/>
          <w:color w:val="auto"/>
          <w:sz w:val="24"/>
          <w:szCs w:val="24"/>
        </w:rPr>
      </w:pPr>
      <w:r>
        <w:rPr>
          <w:rFonts w:hint="eastAsia" w:ascii="宋体" w:hAnsi="宋体" w:cs="宋体"/>
          <w:color w:val="auto"/>
          <w:sz w:val="24"/>
          <w:szCs w:val="24"/>
        </w:rPr>
        <w:t>法定代表人身份证号：</w:t>
      </w:r>
      <w:r>
        <w:rPr>
          <w:rFonts w:hint="eastAsia" w:ascii="宋体" w:hAnsi="宋体" w:cs="宋体"/>
          <w:color w:val="auto"/>
          <w:sz w:val="24"/>
          <w:szCs w:val="24"/>
          <w:u w:val="single"/>
        </w:rPr>
        <w:t xml:space="preserve">                      </w:t>
      </w:r>
    </w:p>
    <w:p w14:paraId="5B290F94">
      <w:pPr>
        <w:pStyle w:val="68"/>
        <w:snapToGrid w:val="0"/>
        <w:spacing w:line="360" w:lineRule="auto"/>
        <w:ind w:firstLine="480" w:firstLineChars="200"/>
        <w:jc w:val="both"/>
        <w:rPr>
          <w:rFonts w:ascii="宋体" w:hAnsi="宋体" w:cs="宋体"/>
          <w:color w:val="auto"/>
          <w:sz w:val="24"/>
          <w:szCs w:val="24"/>
        </w:rPr>
      </w:pPr>
      <w:r>
        <w:rPr>
          <w:rFonts w:hint="eastAsia" w:ascii="宋体" w:hAnsi="宋体" w:cs="宋体"/>
          <w:color w:val="auto"/>
          <w:sz w:val="24"/>
          <w:szCs w:val="24"/>
        </w:rPr>
        <w:t xml:space="preserve">                      委托人签字：</w:t>
      </w:r>
      <w:r>
        <w:rPr>
          <w:rFonts w:hint="eastAsia" w:ascii="宋体" w:hAnsi="宋体" w:cs="宋体"/>
          <w:color w:val="auto"/>
          <w:sz w:val="24"/>
          <w:szCs w:val="24"/>
          <w:u w:val="single"/>
        </w:rPr>
        <w:t xml:space="preserve">                              </w:t>
      </w:r>
    </w:p>
    <w:p w14:paraId="1B80FE64">
      <w:pPr>
        <w:pStyle w:val="68"/>
        <w:snapToGrid w:val="0"/>
        <w:spacing w:line="360" w:lineRule="auto"/>
        <w:ind w:firstLine="480" w:firstLineChars="200"/>
        <w:jc w:val="both"/>
        <w:rPr>
          <w:rFonts w:ascii="宋体" w:hAnsi="宋体" w:cs="宋体"/>
          <w:color w:val="auto"/>
          <w:sz w:val="24"/>
          <w:szCs w:val="24"/>
        </w:rPr>
      </w:pPr>
      <w:r>
        <w:rPr>
          <w:rFonts w:hint="eastAsia" w:ascii="宋体" w:hAnsi="宋体" w:cs="宋体"/>
          <w:color w:val="auto"/>
          <w:sz w:val="24"/>
          <w:szCs w:val="24"/>
        </w:rPr>
        <w:t xml:space="preserve">                      委托人身份证号：</w:t>
      </w:r>
      <w:r>
        <w:rPr>
          <w:rFonts w:hint="eastAsia" w:ascii="宋体" w:hAnsi="宋体" w:cs="宋体"/>
          <w:color w:val="auto"/>
          <w:sz w:val="24"/>
          <w:szCs w:val="24"/>
          <w:u w:val="single"/>
        </w:rPr>
        <w:t xml:space="preserve">                          </w:t>
      </w:r>
    </w:p>
    <w:p w14:paraId="10F3BADE">
      <w:pPr>
        <w:pStyle w:val="68"/>
        <w:snapToGrid w:val="0"/>
        <w:spacing w:line="360" w:lineRule="auto"/>
        <w:rPr>
          <w:rFonts w:ascii="宋体" w:hAnsi="宋体" w:cs="宋体"/>
          <w:color w:val="auto"/>
          <w:sz w:val="24"/>
          <w:szCs w:val="24"/>
        </w:rPr>
      </w:pPr>
      <w:r>
        <w:rPr>
          <w:rFonts w:hint="eastAsia" w:ascii="宋体" w:hAnsi="宋体" w:cs="宋体"/>
          <w:color w:val="auto"/>
          <w:sz w:val="24"/>
          <w:szCs w:val="24"/>
        </w:rPr>
        <w:t xml:space="preserve">                          日      期：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63AD666B">
      <w:pPr>
        <w:wordWrap w:val="0"/>
        <w:spacing w:line="360" w:lineRule="auto"/>
        <w:jc w:val="center"/>
        <w:rPr>
          <w:rFonts w:ascii="宋体" w:hAnsi="宋体"/>
          <w:b/>
          <w:sz w:val="24"/>
          <w:szCs w:val="24"/>
        </w:rPr>
      </w:pPr>
    </w:p>
    <w:p w14:paraId="515D2ED9">
      <w:pPr>
        <w:widowControl/>
        <w:spacing w:line="360" w:lineRule="auto"/>
        <w:ind w:firstLine="420"/>
        <w:jc w:val="center"/>
      </w:pPr>
      <w:r>
        <w:rPr>
          <w:rFonts w:ascii="宋体" w:hAnsi="宋体"/>
          <w:b/>
          <w:szCs w:val="21"/>
        </w:rPr>
        <w:br w:type="page"/>
      </w:r>
      <w:bookmarkStart w:id="488" w:name="_Toc1439"/>
      <w:bookmarkStart w:id="489" w:name="_Toc8749"/>
      <w:bookmarkStart w:id="490" w:name="_Toc414636091"/>
    </w:p>
    <w:bookmarkEnd w:id="488"/>
    <w:bookmarkEnd w:id="489"/>
    <w:bookmarkEnd w:id="490"/>
    <w:p w14:paraId="66D0A614">
      <w:pPr>
        <w:widowControl/>
        <w:spacing w:line="360" w:lineRule="auto"/>
        <w:jc w:val="center"/>
        <w:outlineLvl w:val="0"/>
        <w:rPr>
          <w:rFonts w:hint="eastAsia" w:asciiTheme="minorEastAsia" w:hAnsiTheme="minorEastAsia" w:eastAsiaTheme="minorEastAsia" w:cstheme="minorEastAsia"/>
          <w:b/>
          <w:bCs/>
          <w:kern w:val="0"/>
          <w:sz w:val="24"/>
          <w:szCs w:val="24"/>
        </w:rPr>
      </w:pPr>
      <w:bookmarkStart w:id="491" w:name="_Toc3778"/>
      <w:bookmarkStart w:id="492" w:name="_Toc18759"/>
      <w:bookmarkStart w:id="493" w:name="_Toc7768"/>
      <w:bookmarkStart w:id="494" w:name="_Toc4682"/>
      <w:r>
        <w:rPr>
          <w:rFonts w:hint="eastAsia" w:asciiTheme="minorEastAsia" w:hAnsiTheme="minorEastAsia" w:eastAsiaTheme="minorEastAsia" w:cstheme="minorEastAsia"/>
          <w:b/>
          <w:bCs/>
          <w:kern w:val="0"/>
          <w:sz w:val="24"/>
          <w:szCs w:val="24"/>
        </w:rPr>
        <w:t>6、投标人基本情况表</w:t>
      </w:r>
      <w:bookmarkEnd w:id="491"/>
      <w:bookmarkEnd w:id="492"/>
      <w:bookmarkEnd w:id="493"/>
      <w:bookmarkEnd w:id="494"/>
    </w:p>
    <w:tbl>
      <w:tblPr>
        <w:tblStyle w:val="42"/>
        <w:tblW w:w="86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1766"/>
        <w:gridCol w:w="1211"/>
        <w:gridCol w:w="1767"/>
        <w:gridCol w:w="1767"/>
      </w:tblGrid>
      <w:tr w14:paraId="1BDE4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55097C49">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投标人名称</w:t>
            </w:r>
          </w:p>
        </w:tc>
        <w:tc>
          <w:tcPr>
            <w:tcW w:w="6511" w:type="dxa"/>
            <w:gridSpan w:val="4"/>
            <w:vAlign w:val="center"/>
          </w:tcPr>
          <w:p w14:paraId="04E6A4A6">
            <w:pPr>
              <w:adjustRightInd w:val="0"/>
              <w:snapToGrid w:val="0"/>
              <w:jc w:val="center"/>
              <w:rPr>
                <w:rFonts w:hint="eastAsia" w:asciiTheme="minorEastAsia" w:hAnsiTheme="minorEastAsia" w:eastAsiaTheme="minorEastAsia" w:cstheme="minorEastAsia"/>
                <w:b/>
                <w:sz w:val="24"/>
                <w:szCs w:val="24"/>
              </w:rPr>
            </w:pPr>
          </w:p>
        </w:tc>
      </w:tr>
      <w:tr w14:paraId="1BB69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62F80B2F">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注册地址</w:t>
            </w:r>
          </w:p>
        </w:tc>
        <w:tc>
          <w:tcPr>
            <w:tcW w:w="6511" w:type="dxa"/>
            <w:gridSpan w:val="4"/>
            <w:vAlign w:val="center"/>
          </w:tcPr>
          <w:p w14:paraId="38BB51BC">
            <w:pPr>
              <w:adjustRightInd w:val="0"/>
              <w:snapToGrid w:val="0"/>
              <w:jc w:val="center"/>
              <w:rPr>
                <w:rFonts w:hint="eastAsia" w:asciiTheme="minorEastAsia" w:hAnsiTheme="minorEastAsia" w:eastAsiaTheme="minorEastAsia" w:cstheme="minorEastAsia"/>
                <w:b/>
                <w:sz w:val="24"/>
                <w:szCs w:val="24"/>
              </w:rPr>
            </w:pPr>
          </w:p>
        </w:tc>
      </w:tr>
      <w:tr w14:paraId="425B5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Merge w:val="restart"/>
            <w:vAlign w:val="center"/>
          </w:tcPr>
          <w:p w14:paraId="26396CDF">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联系方式</w:t>
            </w:r>
          </w:p>
        </w:tc>
        <w:tc>
          <w:tcPr>
            <w:tcW w:w="1766" w:type="dxa"/>
            <w:vAlign w:val="center"/>
          </w:tcPr>
          <w:p w14:paraId="083BA79B">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联系人</w:t>
            </w:r>
          </w:p>
        </w:tc>
        <w:tc>
          <w:tcPr>
            <w:tcW w:w="1211" w:type="dxa"/>
            <w:vAlign w:val="center"/>
          </w:tcPr>
          <w:p w14:paraId="691E81C9">
            <w:pPr>
              <w:adjustRightInd w:val="0"/>
              <w:snapToGrid w:val="0"/>
              <w:jc w:val="center"/>
              <w:rPr>
                <w:rFonts w:hint="eastAsia" w:asciiTheme="minorEastAsia" w:hAnsiTheme="minorEastAsia" w:eastAsiaTheme="minorEastAsia" w:cstheme="minorEastAsia"/>
                <w:b/>
                <w:sz w:val="24"/>
                <w:szCs w:val="24"/>
              </w:rPr>
            </w:pPr>
          </w:p>
        </w:tc>
        <w:tc>
          <w:tcPr>
            <w:tcW w:w="1767" w:type="dxa"/>
            <w:vAlign w:val="center"/>
          </w:tcPr>
          <w:p w14:paraId="14007FE7">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电话</w:t>
            </w:r>
          </w:p>
        </w:tc>
        <w:tc>
          <w:tcPr>
            <w:tcW w:w="1767" w:type="dxa"/>
            <w:vAlign w:val="center"/>
          </w:tcPr>
          <w:p w14:paraId="1562CFB6">
            <w:pPr>
              <w:adjustRightInd w:val="0"/>
              <w:snapToGrid w:val="0"/>
              <w:jc w:val="center"/>
              <w:rPr>
                <w:rFonts w:hint="eastAsia" w:asciiTheme="minorEastAsia" w:hAnsiTheme="minorEastAsia" w:eastAsiaTheme="minorEastAsia" w:cstheme="minorEastAsia"/>
                <w:b/>
                <w:sz w:val="24"/>
                <w:szCs w:val="24"/>
              </w:rPr>
            </w:pPr>
          </w:p>
        </w:tc>
      </w:tr>
      <w:tr w14:paraId="1AC60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Merge w:val="continue"/>
            <w:vAlign w:val="center"/>
          </w:tcPr>
          <w:p w14:paraId="086932BA">
            <w:pPr>
              <w:adjustRightInd w:val="0"/>
              <w:snapToGrid w:val="0"/>
              <w:jc w:val="center"/>
              <w:rPr>
                <w:rFonts w:hint="eastAsia" w:asciiTheme="minorEastAsia" w:hAnsiTheme="minorEastAsia" w:eastAsiaTheme="minorEastAsia" w:cstheme="minorEastAsia"/>
                <w:b/>
                <w:sz w:val="24"/>
                <w:szCs w:val="24"/>
              </w:rPr>
            </w:pPr>
          </w:p>
        </w:tc>
        <w:tc>
          <w:tcPr>
            <w:tcW w:w="1766" w:type="dxa"/>
            <w:vAlign w:val="center"/>
          </w:tcPr>
          <w:p w14:paraId="1FAA64B4">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传真</w:t>
            </w:r>
          </w:p>
        </w:tc>
        <w:tc>
          <w:tcPr>
            <w:tcW w:w="1211" w:type="dxa"/>
            <w:vAlign w:val="center"/>
          </w:tcPr>
          <w:p w14:paraId="71D64721">
            <w:pPr>
              <w:adjustRightInd w:val="0"/>
              <w:snapToGrid w:val="0"/>
              <w:jc w:val="center"/>
              <w:rPr>
                <w:rFonts w:hint="eastAsia" w:asciiTheme="minorEastAsia" w:hAnsiTheme="minorEastAsia" w:eastAsiaTheme="minorEastAsia" w:cstheme="minorEastAsia"/>
                <w:b/>
                <w:sz w:val="24"/>
                <w:szCs w:val="24"/>
              </w:rPr>
            </w:pPr>
          </w:p>
        </w:tc>
        <w:tc>
          <w:tcPr>
            <w:tcW w:w="1767" w:type="dxa"/>
            <w:vAlign w:val="center"/>
          </w:tcPr>
          <w:p w14:paraId="7163F584">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电子邮箱</w:t>
            </w:r>
          </w:p>
        </w:tc>
        <w:tc>
          <w:tcPr>
            <w:tcW w:w="1767" w:type="dxa"/>
            <w:vAlign w:val="center"/>
          </w:tcPr>
          <w:p w14:paraId="2BE69164">
            <w:pPr>
              <w:adjustRightInd w:val="0"/>
              <w:snapToGrid w:val="0"/>
              <w:jc w:val="center"/>
              <w:rPr>
                <w:rFonts w:hint="eastAsia" w:asciiTheme="minorEastAsia" w:hAnsiTheme="minorEastAsia" w:eastAsiaTheme="minorEastAsia" w:cstheme="minorEastAsia"/>
                <w:b/>
                <w:sz w:val="24"/>
                <w:szCs w:val="24"/>
              </w:rPr>
            </w:pPr>
          </w:p>
        </w:tc>
      </w:tr>
      <w:tr w14:paraId="09A63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6" w:hRule="exact"/>
          <w:jc w:val="center"/>
        </w:trPr>
        <w:tc>
          <w:tcPr>
            <w:tcW w:w="2093" w:type="dxa"/>
            <w:vAlign w:val="center"/>
          </w:tcPr>
          <w:p w14:paraId="06C8FDC2">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法定代表人</w:t>
            </w:r>
          </w:p>
          <w:p w14:paraId="645F4992">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（或负责人）</w:t>
            </w:r>
          </w:p>
        </w:tc>
        <w:tc>
          <w:tcPr>
            <w:tcW w:w="1766" w:type="dxa"/>
            <w:vAlign w:val="center"/>
          </w:tcPr>
          <w:p w14:paraId="21C971B3">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姓名</w:t>
            </w:r>
          </w:p>
        </w:tc>
        <w:tc>
          <w:tcPr>
            <w:tcW w:w="1211" w:type="dxa"/>
            <w:vAlign w:val="center"/>
          </w:tcPr>
          <w:p w14:paraId="3D728E81">
            <w:pPr>
              <w:adjustRightInd w:val="0"/>
              <w:snapToGrid w:val="0"/>
              <w:jc w:val="center"/>
              <w:rPr>
                <w:rFonts w:hint="eastAsia" w:asciiTheme="minorEastAsia" w:hAnsiTheme="minorEastAsia" w:eastAsiaTheme="minorEastAsia" w:cstheme="minorEastAsia"/>
                <w:b/>
                <w:sz w:val="24"/>
                <w:szCs w:val="24"/>
              </w:rPr>
            </w:pPr>
          </w:p>
        </w:tc>
        <w:tc>
          <w:tcPr>
            <w:tcW w:w="1767" w:type="dxa"/>
            <w:vAlign w:val="center"/>
          </w:tcPr>
          <w:p w14:paraId="568E348C">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电话</w:t>
            </w:r>
          </w:p>
        </w:tc>
        <w:tc>
          <w:tcPr>
            <w:tcW w:w="1767" w:type="dxa"/>
            <w:vAlign w:val="center"/>
          </w:tcPr>
          <w:p w14:paraId="510010DE">
            <w:pPr>
              <w:adjustRightInd w:val="0"/>
              <w:snapToGrid w:val="0"/>
              <w:jc w:val="center"/>
              <w:rPr>
                <w:rFonts w:hint="eastAsia" w:asciiTheme="minorEastAsia" w:hAnsiTheme="minorEastAsia" w:eastAsiaTheme="minorEastAsia" w:cstheme="minorEastAsia"/>
                <w:b/>
                <w:sz w:val="24"/>
                <w:szCs w:val="24"/>
              </w:rPr>
            </w:pPr>
          </w:p>
        </w:tc>
      </w:tr>
      <w:tr w14:paraId="348BC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1DDD990D">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统一社会信用代码</w:t>
            </w:r>
          </w:p>
        </w:tc>
        <w:tc>
          <w:tcPr>
            <w:tcW w:w="2977" w:type="dxa"/>
            <w:gridSpan w:val="2"/>
            <w:vAlign w:val="center"/>
          </w:tcPr>
          <w:p w14:paraId="1C77244F">
            <w:pPr>
              <w:adjustRightInd w:val="0"/>
              <w:snapToGrid w:val="0"/>
              <w:jc w:val="center"/>
              <w:rPr>
                <w:rFonts w:hint="eastAsia" w:asciiTheme="minorEastAsia" w:hAnsiTheme="minorEastAsia" w:eastAsiaTheme="minorEastAsia" w:cstheme="minorEastAsia"/>
                <w:b/>
                <w:sz w:val="24"/>
                <w:szCs w:val="24"/>
              </w:rPr>
            </w:pPr>
          </w:p>
        </w:tc>
        <w:tc>
          <w:tcPr>
            <w:tcW w:w="1767" w:type="dxa"/>
            <w:vAlign w:val="center"/>
          </w:tcPr>
          <w:p w14:paraId="5E07DC5B">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员工总人数</w:t>
            </w:r>
          </w:p>
        </w:tc>
        <w:tc>
          <w:tcPr>
            <w:tcW w:w="1767" w:type="dxa"/>
            <w:vAlign w:val="center"/>
          </w:tcPr>
          <w:p w14:paraId="52EFC0E7">
            <w:pPr>
              <w:adjustRightInd w:val="0"/>
              <w:snapToGrid w:val="0"/>
              <w:jc w:val="center"/>
              <w:rPr>
                <w:rFonts w:hint="eastAsia" w:asciiTheme="minorEastAsia" w:hAnsiTheme="minorEastAsia" w:eastAsiaTheme="minorEastAsia" w:cstheme="minorEastAsia"/>
                <w:b/>
                <w:sz w:val="24"/>
                <w:szCs w:val="24"/>
              </w:rPr>
            </w:pPr>
          </w:p>
        </w:tc>
      </w:tr>
      <w:tr w14:paraId="42C2E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1535C90E">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类型</w:t>
            </w:r>
          </w:p>
        </w:tc>
        <w:tc>
          <w:tcPr>
            <w:tcW w:w="1766" w:type="dxa"/>
            <w:vAlign w:val="center"/>
          </w:tcPr>
          <w:p w14:paraId="09D60474">
            <w:pPr>
              <w:adjustRightInd w:val="0"/>
              <w:snapToGrid w:val="0"/>
              <w:jc w:val="center"/>
              <w:rPr>
                <w:rFonts w:hint="eastAsia" w:asciiTheme="minorEastAsia" w:hAnsiTheme="minorEastAsia" w:eastAsiaTheme="minorEastAsia" w:cstheme="minorEastAsia"/>
                <w:b/>
                <w:sz w:val="24"/>
                <w:szCs w:val="24"/>
              </w:rPr>
            </w:pPr>
          </w:p>
        </w:tc>
        <w:tc>
          <w:tcPr>
            <w:tcW w:w="1211" w:type="dxa"/>
            <w:vMerge w:val="restart"/>
            <w:vAlign w:val="center"/>
          </w:tcPr>
          <w:p w14:paraId="79C08D25">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其中</w:t>
            </w:r>
          </w:p>
        </w:tc>
        <w:tc>
          <w:tcPr>
            <w:tcW w:w="1767" w:type="dxa"/>
            <w:vMerge w:val="restart"/>
            <w:vAlign w:val="center"/>
          </w:tcPr>
          <w:p w14:paraId="1FABEA56">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基本账户开户银行</w:t>
            </w:r>
          </w:p>
        </w:tc>
        <w:tc>
          <w:tcPr>
            <w:tcW w:w="1767" w:type="dxa"/>
            <w:vMerge w:val="restart"/>
            <w:vAlign w:val="center"/>
          </w:tcPr>
          <w:p w14:paraId="3700A654">
            <w:pPr>
              <w:adjustRightInd w:val="0"/>
              <w:snapToGrid w:val="0"/>
              <w:jc w:val="center"/>
              <w:rPr>
                <w:rFonts w:hint="eastAsia" w:asciiTheme="minorEastAsia" w:hAnsiTheme="minorEastAsia" w:eastAsiaTheme="minorEastAsia" w:cstheme="minorEastAsia"/>
                <w:b/>
                <w:sz w:val="24"/>
                <w:szCs w:val="24"/>
              </w:rPr>
            </w:pPr>
          </w:p>
        </w:tc>
      </w:tr>
      <w:tr w14:paraId="00FC6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485F7EA1">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注册资本</w:t>
            </w:r>
          </w:p>
        </w:tc>
        <w:tc>
          <w:tcPr>
            <w:tcW w:w="1766" w:type="dxa"/>
            <w:vAlign w:val="center"/>
          </w:tcPr>
          <w:p w14:paraId="3C1332E6">
            <w:pPr>
              <w:adjustRightInd w:val="0"/>
              <w:snapToGrid w:val="0"/>
              <w:jc w:val="center"/>
              <w:rPr>
                <w:rFonts w:hint="eastAsia" w:asciiTheme="minorEastAsia" w:hAnsiTheme="minorEastAsia" w:eastAsiaTheme="minorEastAsia" w:cstheme="minorEastAsia"/>
                <w:b/>
                <w:sz w:val="24"/>
                <w:szCs w:val="24"/>
              </w:rPr>
            </w:pPr>
          </w:p>
        </w:tc>
        <w:tc>
          <w:tcPr>
            <w:tcW w:w="1211" w:type="dxa"/>
            <w:vMerge w:val="continue"/>
            <w:vAlign w:val="center"/>
          </w:tcPr>
          <w:p w14:paraId="5B4D5F51">
            <w:pPr>
              <w:adjustRightInd w:val="0"/>
              <w:snapToGrid w:val="0"/>
              <w:jc w:val="center"/>
              <w:rPr>
                <w:rFonts w:hint="eastAsia" w:asciiTheme="minorEastAsia" w:hAnsiTheme="minorEastAsia" w:eastAsiaTheme="minorEastAsia" w:cstheme="minorEastAsia"/>
                <w:b/>
                <w:sz w:val="24"/>
                <w:szCs w:val="24"/>
              </w:rPr>
            </w:pPr>
          </w:p>
        </w:tc>
        <w:tc>
          <w:tcPr>
            <w:tcW w:w="1767" w:type="dxa"/>
            <w:vMerge w:val="continue"/>
            <w:vAlign w:val="center"/>
          </w:tcPr>
          <w:p w14:paraId="1D14E90F">
            <w:pPr>
              <w:adjustRightInd w:val="0"/>
              <w:snapToGrid w:val="0"/>
              <w:jc w:val="center"/>
              <w:rPr>
                <w:rFonts w:hint="eastAsia" w:asciiTheme="minorEastAsia" w:hAnsiTheme="minorEastAsia" w:eastAsiaTheme="minorEastAsia" w:cstheme="minorEastAsia"/>
                <w:b/>
                <w:sz w:val="24"/>
                <w:szCs w:val="24"/>
              </w:rPr>
            </w:pPr>
          </w:p>
        </w:tc>
        <w:tc>
          <w:tcPr>
            <w:tcW w:w="1767" w:type="dxa"/>
            <w:vMerge w:val="continue"/>
            <w:vAlign w:val="center"/>
          </w:tcPr>
          <w:p w14:paraId="3AC182A3">
            <w:pPr>
              <w:adjustRightInd w:val="0"/>
              <w:snapToGrid w:val="0"/>
              <w:jc w:val="center"/>
              <w:rPr>
                <w:rFonts w:hint="eastAsia" w:asciiTheme="minorEastAsia" w:hAnsiTheme="minorEastAsia" w:eastAsiaTheme="minorEastAsia" w:cstheme="minorEastAsia"/>
                <w:b/>
                <w:sz w:val="24"/>
                <w:szCs w:val="24"/>
              </w:rPr>
            </w:pPr>
          </w:p>
        </w:tc>
      </w:tr>
      <w:tr w14:paraId="5F261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40E00C4E">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成立日期</w:t>
            </w:r>
          </w:p>
        </w:tc>
        <w:tc>
          <w:tcPr>
            <w:tcW w:w="1766" w:type="dxa"/>
            <w:vAlign w:val="center"/>
          </w:tcPr>
          <w:p w14:paraId="6B349368">
            <w:pPr>
              <w:adjustRightInd w:val="0"/>
              <w:snapToGrid w:val="0"/>
              <w:jc w:val="center"/>
              <w:rPr>
                <w:rFonts w:hint="eastAsia" w:asciiTheme="minorEastAsia" w:hAnsiTheme="minorEastAsia" w:eastAsiaTheme="minorEastAsia" w:cstheme="minorEastAsia"/>
                <w:b/>
                <w:sz w:val="24"/>
                <w:szCs w:val="24"/>
              </w:rPr>
            </w:pPr>
          </w:p>
        </w:tc>
        <w:tc>
          <w:tcPr>
            <w:tcW w:w="1211" w:type="dxa"/>
            <w:vMerge w:val="continue"/>
            <w:vAlign w:val="center"/>
          </w:tcPr>
          <w:p w14:paraId="1ED59DB8">
            <w:pPr>
              <w:adjustRightInd w:val="0"/>
              <w:snapToGrid w:val="0"/>
              <w:jc w:val="center"/>
              <w:rPr>
                <w:rFonts w:hint="eastAsia" w:asciiTheme="minorEastAsia" w:hAnsiTheme="minorEastAsia" w:eastAsiaTheme="minorEastAsia" w:cstheme="minorEastAsia"/>
                <w:b/>
                <w:sz w:val="24"/>
                <w:szCs w:val="24"/>
              </w:rPr>
            </w:pPr>
          </w:p>
        </w:tc>
        <w:tc>
          <w:tcPr>
            <w:tcW w:w="1767" w:type="dxa"/>
            <w:vMerge w:val="continue"/>
            <w:vAlign w:val="center"/>
          </w:tcPr>
          <w:p w14:paraId="576E6CFA">
            <w:pPr>
              <w:adjustRightInd w:val="0"/>
              <w:snapToGrid w:val="0"/>
              <w:jc w:val="center"/>
              <w:rPr>
                <w:rFonts w:hint="eastAsia" w:asciiTheme="minorEastAsia" w:hAnsiTheme="minorEastAsia" w:eastAsiaTheme="minorEastAsia" w:cstheme="minorEastAsia"/>
                <w:b/>
                <w:sz w:val="24"/>
                <w:szCs w:val="24"/>
              </w:rPr>
            </w:pPr>
          </w:p>
        </w:tc>
        <w:tc>
          <w:tcPr>
            <w:tcW w:w="1767" w:type="dxa"/>
            <w:vMerge w:val="continue"/>
            <w:vAlign w:val="center"/>
          </w:tcPr>
          <w:p w14:paraId="3CF10442">
            <w:pPr>
              <w:adjustRightInd w:val="0"/>
              <w:snapToGrid w:val="0"/>
              <w:jc w:val="center"/>
              <w:rPr>
                <w:rFonts w:hint="eastAsia" w:asciiTheme="minorEastAsia" w:hAnsiTheme="minorEastAsia" w:eastAsiaTheme="minorEastAsia" w:cstheme="minorEastAsia"/>
                <w:b/>
                <w:sz w:val="24"/>
                <w:szCs w:val="24"/>
              </w:rPr>
            </w:pPr>
          </w:p>
        </w:tc>
      </w:tr>
      <w:tr w14:paraId="6AEF3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65F078A1">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营业期限</w:t>
            </w:r>
          </w:p>
        </w:tc>
        <w:tc>
          <w:tcPr>
            <w:tcW w:w="1766" w:type="dxa"/>
            <w:vAlign w:val="center"/>
          </w:tcPr>
          <w:p w14:paraId="53FBC57D">
            <w:pPr>
              <w:adjustRightInd w:val="0"/>
              <w:snapToGrid w:val="0"/>
              <w:jc w:val="center"/>
              <w:rPr>
                <w:rFonts w:hint="eastAsia" w:asciiTheme="minorEastAsia" w:hAnsiTheme="minorEastAsia" w:eastAsiaTheme="minorEastAsia" w:cstheme="minorEastAsia"/>
                <w:b/>
                <w:sz w:val="24"/>
                <w:szCs w:val="24"/>
              </w:rPr>
            </w:pPr>
          </w:p>
        </w:tc>
        <w:tc>
          <w:tcPr>
            <w:tcW w:w="1211" w:type="dxa"/>
            <w:vMerge w:val="continue"/>
            <w:vAlign w:val="center"/>
          </w:tcPr>
          <w:p w14:paraId="4CC4A5EE">
            <w:pPr>
              <w:adjustRightInd w:val="0"/>
              <w:snapToGrid w:val="0"/>
              <w:jc w:val="center"/>
              <w:rPr>
                <w:rFonts w:hint="eastAsia" w:asciiTheme="minorEastAsia" w:hAnsiTheme="minorEastAsia" w:eastAsiaTheme="minorEastAsia" w:cstheme="minorEastAsia"/>
                <w:b/>
                <w:sz w:val="24"/>
                <w:szCs w:val="24"/>
              </w:rPr>
            </w:pPr>
          </w:p>
        </w:tc>
        <w:tc>
          <w:tcPr>
            <w:tcW w:w="1767" w:type="dxa"/>
            <w:vMerge w:val="restart"/>
            <w:vAlign w:val="center"/>
          </w:tcPr>
          <w:p w14:paraId="1832848E">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基本账户银行账号</w:t>
            </w:r>
          </w:p>
        </w:tc>
        <w:tc>
          <w:tcPr>
            <w:tcW w:w="1767" w:type="dxa"/>
            <w:vMerge w:val="restart"/>
            <w:vAlign w:val="center"/>
          </w:tcPr>
          <w:p w14:paraId="3DCE6FEF">
            <w:pPr>
              <w:adjustRightInd w:val="0"/>
              <w:snapToGrid w:val="0"/>
              <w:jc w:val="center"/>
              <w:rPr>
                <w:rFonts w:hint="eastAsia" w:asciiTheme="minorEastAsia" w:hAnsiTheme="minorEastAsia" w:eastAsiaTheme="minorEastAsia" w:cstheme="minorEastAsia"/>
                <w:b/>
                <w:sz w:val="24"/>
                <w:szCs w:val="24"/>
              </w:rPr>
            </w:pPr>
          </w:p>
        </w:tc>
      </w:tr>
      <w:tr w14:paraId="67CE1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2093" w:type="dxa"/>
            <w:vAlign w:val="center"/>
          </w:tcPr>
          <w:p w14:paraId="0CF99FD4">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登记机关</w:t>
            </w:r>
          </w:p>
        </w:tc>
        <w:tc>
          <w:tcPr>
            <w:tcW w:w="1766" w:type="dxa"/>
            <w:vAlign w:val="center"/>
          </w:tcPr>
          <w:p w14:paraId="29A76E28">
            <w:pPr>
              <w:adjustRightInd w:val="0"/>
              <w:snapToGrid w:val="0"/>
              <w:jc w:val="center"/>
              <w:rPr>
                <w:rFonts w:hint="eastAsia" w:asciiTheme="minorEastAsia" w:hAnsiTheme="minorEastAsia" w:eastAsiaTheme="minorEastAsia" w:cstheme="minorEastAsia"/>
                <w:b/>
                <w:sz w:val="24"/>
                <w:szCs w:val="24"/>
              </w:rPr>
            </w:pPr>
          </w:p>
        </w:tc>
        <w:tc>
          <w:tcPr>
            <w:tcW w:w="1211" w:type="dxa"/>
            <w:vMerge w:val="continue"/>
            <w:vAlign w:val="center"/>
          </w:tcPr>
          <w:p w14:paraId="001B98FE">
            <w:pPr>
              <w:adjustRightInd w:val="0"/>
              <w:snapToGrid w:val="0"/>
              <w:jc w:val="center"/>
              <w:rPr>
                <w:rFonts w:hint="eastAsia" w:asciiTheme="minorEastAsia" w:hAnsiTheme="minorEastAsia" w:eastAsiaTheme="minorEastAsia" w:cstheme="minorEastAsia"/>
                <w:b/>
                <w:sz w:val="24"/>
                <w:szCs w:val="24"/>
              </w:rPr>
            </w:pPr>
          </w:p>
        </w:tc>
        <w:tc>
          <w:tcPr>
            <w:tcW w:w="1767" w:type="dxa"/>
            <w:vMerge w:val="continue"/>
            <w:vAlign w:val="center"/>
          </w:tcPr>
          <w:p w14:paraId="1094A4E3">
            <w:pPr>
              <w:adjustRightInd w:val="0"/>
              <w:snapToGrid w:val="0"/>
              <w:jc w:val="center"/>
              <w:rPr>
                <w:rFonts w:hint="eastAsia" w:asciiTheme="minorEastAsia" w:hAnsiTheme="minorEastAsia" w:eastAsiaTheme="minorEastAsia" w:cstheme="minorEastAsia"/>
                <w:b/>
                <w:sz w:val="24"/>
                <w:szCs w:val="24"/>
              </w:rPr>
            </w:pPr>
          </w:p>
        </w:tc>
        <w:tc>
          <w:tcPr>
            <w:tcW w:w="1767" w:type="dxa"/>
            <w:vMerge w:val="continue"/>
            <w:vAlign w:val="center"/>
          </w:tcPr>
          <w:p w14:paraId="019C99FB">
            <w:pPr>
              <w:adjustRightInd w:val="0"/>
              <w:snapToGrid w:val="0"/>
              <w:jc w:val="center"/>
              <w:rPr>
                <w:rFonts w:hint="eastAsia" w:asciiTheme="minorEastAsia" w:hAnsiTheme="minorEastAsia" w:eastAsiaTheme="minorEastAsia" w:cstheme="minorEastAsia"/>
                <w:b/>
                <w:sz w:val="24"/>
                <w:szCs w:val="24"/>
              </w:rPr>
            </w:pPr>
          </w:p>
        </w:tc>
      </w:tr>
      <w:tr w14:paraId="623CD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3" w:hRule="exact"/>
          <w:jc w:val="center"/>
        </w:trPr>
        <w:tc>
          <w:tcPr>
            <w:tcW w:w="2093" w:type="dxa"/>
            <w:vAlign w:val="center"/>
          </w:tcPr>
          <w:p w14:paraId="64627F45">
            <w:pPr>
              <w:adjustRightInd w:val="0"/>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经营范围</w:t>
            </w:r>
          </w:p>
        </w:tc>
        <w:tc>
          <w:tcPr>
            <w:tcW w:w="6511" w:type="dxa"/>
            <w:gridSpan w:val="4"/>
            <w:vAlign w:val="center"/>
          </w:tcPr>
          <w:p w14:paraId="716DE2D4">
            <w:pPr>
              <w:adjustRightInd w:val="0"/>
              <w:snapToGrid w:val="0"/>
              <w:jc w:val="center"/>
              <w:rPr>
                <w:rFonts w:hint="eastAsia" w:asciiTheme="minorEastAsia" w:hAnsiTheme="minorEastAsia" w:eastAsiaTheme="minorEastAsia" w:cstheme="minorEastAsia"/>
                <w:b/>
                <w:sz w:val="24"/>
                <w:szCs w:val="24"/>
              </w:rPr>
            </w:pPr>
          </w:p>
          <w:p w14:paraId="391AF604">
            <w:pPr>
              <w:adjustRightInd w:val="0"/>
              <w:snapToGrid w:val="0"/>
              <w:jc w:val="center"/>
              <w:rPr>
                <w:rFonts w:hint="eastAsia" w:asciiTheme="minorEastAsia" w:hAnsiTheme="minorEastAsia" w:eastAsiaTheme="minorEastAsia" w:cstheme="minorEastAsia"/>
                <w:b/>
                <w:sz w:val="24"/>
                <w:szCs w:val="24"/>
              </w:rPr>
            </w:pPr>
          </w:p>
          <w:p w14:paraId="6957289C">
            <w:pPr>
              <w:adjustRightInd w:val="0"/>
              <w:snapToGrid w:val="0"/>
              <w:jc w:val="center"/>
              <w:rPr>
                <w:rFonts w:hint="eastAsia" w:asciiTheme="minorEastAsia" w:hAnsiTheme="minorEastAsia" w:eastAsiaTheme="minorEastAsia" w:cstheme="minorEastAsia"/>
                <w:b/>
                <w:sz w:val="24"/>
                <w:szCs w:val="24"/>
              </w:rPr>
            </w:pPr>
          </w:p>
          <w:p w14:paraId="2F5BEC87">
            <w:pPr>
              <w:adjustRightInd w:val="0"/>
              <w:snapToGrid w:val="0"/>
              <w:jc w:val="center"/>
              <w:rPr>
                <w:rFonts w:hint="eastAsia" w:asciiTheme="minorEastAsia" w:hAnsiTheme="minorEastAsia" w:eastAsiaTheme="minorEastAsia" w:cstheme="minorEastAsia"/>
                <w:b/>
                <w:sz w:val="24"/>
                <w:szCs w:val="24"/>
              </w:rPr>
            </w:pPr>
          </w:p>
          <w:p w14:paraId="345CF725">
            <w:pPr>
              <w:adjustRightInd w:val="0"/>
              <w:snapToGrid w:val="0"/>
              <w:jc w:val="center"/>
              <w:rPr>
                <w:rFonts w:hint="eastAsia" w:asciiTheme="minorEastAsia" w:hAnsiTheme="minorEastAsia" w:eastAsiaTheme="minorEastAsia" w:cstheme="minorEastAsia"/>
                <w:b/>
                <w:sz w:val="24"/>
                <w:szCs w:val="24"/>
              </w:rPr>
            </w:pPr>
          </w:p>
          <w:p w14:paraId="44C45062">
            <w:pPr>
              <w:adjustRightInd w:val="0"/>
              <w:snapToGrid w:val="0"/>
              <w:jc w:val="center"/>
              <w:rPr>
                <w:rFonts w:hint="eastAsia" w:asciiTheme="minorEastAsia" w:hAnsiTheme="minorEastAsia" w:eastAsiaTheme="minorEastAsia" w:cstheme="minorEastAsia"/>
                <w:b/>
                <w:sz w:val="24"/>
                <w:szCs w:val="24"/>
              </w:rPr>
            </w:pPr>
          </w:p>
          <w:p w14:paraId="23865A8E">
            <w:pPr>
              <w:adjustRightInd w:val="0"/>
              <w:snapToGrid w:val="0"/>
              <w:jc w:val="center"/>
              <w:rPr>
                <w:rFonts w:hint="eastAsia" w:asciiTheme="minorEastAsia" w:hAnsiTheme="minorEastAsia" w:eastAsiaTheme="minorEastAsia" w:cstheme="minorEastAsia"/>
                <w:b/>
                <w:sz w:val="24"/>
                <w:szCs w:val="24"/>
              </w:rPr>
            </w:pPr>
          </w:p>
          <w:p w14:paraId="19C28A85">
            <w:pPr>
              <w:adjustRightInd w:val="0"/>
              <w:snapToGrid w:val="0"/>
              <w:jc w:val="center"/>
              <w:rPr>
                <w:rFonts w:hint="eastAsia" w:asciiTheme="minorEastAsia" w:hAnsiTheme="minorEastAsia" w:eastAsiaTheme="minorEastAsia" w:cstheme="minorEastAsia"/>
                <w:b/>
                <w:sz w:val="24"/>
                <w:szCs w:val="24"/>
              </w:rPr>
            </w:pPr>
          </w:p>
          <w:p w14:paraId="1BDF77F5">
            <w:pPr>
              <w:adjustRightInd w:val="0"/>
              <w:snapToGrid w:val="0"/>
              <w:jc w:val="center"/>
              <w:rPr>
                <w:rFonts w:hint="eastAsia" w:asciiTheme="minorEastAsia" w:hAnsiTheme="minorEastAsia" w:eastAsiaTheme="minorEastAsia" w:cstheme="minorEastAsia"/>
                <w:b/>
                <w:sz w:val="24"/>
                <w:szCs w:val="24"/>
              </w:rPr>
            </w:pPr>
          </w:p>
        </w:tc>
      </w:tr>
    </w:tbl>
    <w:p w14:paraId="0AE5E642">
      <w:pPr>
        <w:pStyle w:val="22"/>
        <w:adjustRightInd w:val="0"/>
        <w:snapToGrid w:val="0"/>
        <w:spacing w:before="156" w:beforeLines="50"/>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注：本表后应附企业法人营业执照等资格审查所需相关材料的复印件。（投标人可根据本表自行编制）</w:t>
      </w:r>
    </w:p>
    <w:p w14:paraId="1D162951">
      <w:pPr>
        <w:pStyle w:val="22"/>
        <w:adjustRightInd w:val="0"/>
        <w:snapToGrid w:val="0"/>
        <w:spacing w:before="156" w:beforeLines="50"/>
        <w:jc w:val="left"/>
        <w:rPr>
          <w:rFonts w:hAnsi="宋体"/>
          <w:b/>
          <w:sz w:val="24"/>
          <w:szCs w:val="24"/>
        </w:rPr>
      </w:pPr>
    </w:p>
    <w:p w14:paraId="6644EFA4">
      <w:pPr>
        <w:pStyle w:val="22"/>
        <w:adjustRightInd w:val="0"/>
        <w:snapToGrid w:val="0"/>
        <w:spacing w:before="156" w:beforeLines="50"/>
        <w:jc w:val="left"/>
        <w:rPr>
          <w:rFonts w:hAnsi="宋体"/>
          <w:b/>
          <w:sz w:val="24"/>
          <w:szCs w:val="24"/>
        </w:rPr>
      </w:pPr>
    </w:p>
    <w:p w14:paraId="1E1AF61B">
      <w:pPr>
        <w:pStyle w:val="22"/>
        <w:adjustRightInd w:val="0"/>
        <w:snapToGrid w:val="0"/>
        <w:spacing w:before="156" w:beforeLines="50"/>
        <w:jc w:val="left"/>
        <w:rPr>
          <w:rFonts w:hAnsi="宋体"/>
          <w:b/>
          <w:sz w:val="24"/>
          <w:szCs w:val="24"/>
        </w:rPr>
      </w:pPr>
    </w:p>
    <w:p w14:paraId="3216D6B3">
      <w:pPr>
        <w:pStyle w:val="22"/>
        <w:adjustRightInd w:val="0"/>
        <w:snapToGrid w:val="0"/>
        <w:spacing w:before="156" w:beforeLines="50"/>
        <w:jc w:val="left"/>
        <w:rPr>
          <w:rFonts w:hAnsi="宋体"/>
          <w:b/>
          <w:sz w:val="24"/>
          <w:szCs w:val="24"/>
        </w:rPr>
      </w:pPr>
    </w:p>
    <w:p w14:paraId="515E2700">
      <w:pPr>
        <w:pStyle w:val="75"/>
        <w:snapToGrid w:val="0"/>
        <w:spacing w:line="394" w:lineRule="exact"/>
        <w:jc w:val="both"/>
        <w:rPr>
          <w:rFonts w:ascii="宋体" w:hAnsi="宋体"/>
          <w:color w:val="auto"/>
          <w:sz w:val="21"/>
          <w:szCs w:val="21"/>
        </w:rPr>
      </w:pPr>
    </w:p>
    <w:p w14:paraId="3AF9B7FB">
      <w:pPr>
        <w:widowControl/>
        <w:rPr>
          <w:rFonts w:ascii="宋体" w:hAnsi="宋体" w:cs="宋体"/>
          <w:b/>
          <w:bCs/>
          <w:kern w:val="0"/>
          <w:szCs w:val="21"/>
        </w:rPr>
      </w:pPr>
      <w:r>
        <w:rPr>
          <w:rFonts w:hint="eastAsia" w:ascii="宋体" w:hAnsi="宋体" w:cs="宋体"/>
          <w:kern w:val="0"/>
          <w:szCs w:val="21"/>
        </w:rPr>
        <w:br w:type="page"/>
      </w:r>
    </w:p>
    <w:p w14:paraId="00E72087">
      <w:pPr>
        <w:widowControl/>
        <w:spacing w:line="360" w:lineRule="auto"/>
        <w:jc w:val="center"/>
        <w:outlineLvl w:val="0"/>
        <w:rPr>
          <w:rFonts w:hint="eastAsia" w:asciiTheme="minorEastAsia" w:hAnsiTheme="minorEastAsia" w:eastAsiaTheme="minorEastAsia" w:cstheme="minorEastAsia"/>
          <w:b/>
          <w:bCs/>
          <w:kern w:val="0"/>
          <w:sz w:val="24"/>
          <w:szCs w:val="24"/>
        </w:rPr>
      </w:pPr>
      <w:bookmarkStart w:id="495" w:name="_Toc10138"/>
      <w:bookmarkStart w:id="496" w:name="_Toc20384"/>
      <w:bookmarkStart w:id="497" w:name="_Toc14246"/>
      <w:bookmarkStart w:id="498" w:name="_Toc7170"/>
      <w:bookmarkStart w:id="499" w:name="_Toc27085"/>
      <w:bookmarkStart w:id="500" w:name="_Toc1702"/>
      <w:bookmarkStart w:id="501" w:name="_Toc29190"/>
      <w:bookmarkStart w:id="502" w:name="_Toc15969"/>
      <w:bookmarkStart w:id="503" w:name="_Toc17204502"/>
      <w:bookmarkStart w:id="504" w:name="_Toc29123"/>
      <w:bookmarkStart w:id="505" w:name="_Toc515570487"/>
      <w:bookmarkStart w:id="506" w:name="_Toc31668"/>
      <w:r>
        <w:rPr>
          <w:rFonts w:hint="eastAsia" w:asciiTheme="minorEastAsia" w:hAnsiTheme="minorEastAsia" w:eastAsiaTheme="minorEastAsia" w:cstheme="minorEastAsia"/>
          <w:b/>
          <w:bCs/>
          <w:kern w:val="0"/>
          <w:sz w:val="24"/>
          <w:szCs w:val="24"/>
        </w:rPr>
        <w:t>7.</w:t>
      </w:r>
      <w:r>
        <w:rPr>
          <w:rFonts w:hint="eastAsia" w:asciiTheme="minorEastAsia" w:hAnsiTheme="minorEastAsia" w:eastAsiaTheme="minorEastAsia" w:cstheme="minorEastAsia"/>
          <w:b/>
          <w:bCs/>
          <w:kern w:val="0"/>
          <w:sz w:val="24"/>
          <w:szCs w:val="24"/>
          <w:lang w:eastAsia="zh-CN"/>
        </w:rPr>
        <w:t>近三年</w:t>
      </w:r>
      <w:r>
        <w:rPr>
          <w:rFonts w:hint="eastAsia" w:asciiTheme="minorEastAsia" w:hAnsiTheme="minorEastAsia" w:eastAsiaTheme="minorEastAsia" w:cstheme="minorEastAsia"/>
          <w:b/>
          <w:bCs/>
          <w:kern w:val="0"/>
          <w:sz w:val="24"/>
          <w:szCs w:val="24"/>
        </w:rPr>
        <w:t>已完成或在执行类似项目一览表</w:t>
      </w:r>
      <w:bookmarkEnd w:id="495"/>
      <w:bookmarkEnd w:id="496"/>
      <w:bookmarkEnd w:id="497"/>
      <w:bookmarkEnd w:id="498"/>
    </w:p>
    <w:p w14:paraId="39A06714">
      <w:pPr>
        <w:snapToGrid w:val="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w:t>
      </w:r>
    </w:p>
    <w:tbl>
      <w:tblPr>
        <w:tblStyle w:val="42"/>
        <w:tblW w:w="9763" w:type="dxa"/>
        <w:tblInd w:w="0" w:type="dxa"/>
        <w:tblLayout w:type="fixed"/>
        <w:tblCellMar>
          <w:top w:w="15" w:type="dxa"/>
          <w:left w:w="15" w:type="dxa"/>
          <w:bottom w:w="15" w:type="dxa"/>
          <w:right w:w="15" w:type="dxa"/>
        </w:tblCellMar>
      </w:tblPr>
      <w:tblGrid>
        <w:gridCol w:w="645"/>
        <w:gridCol w:w="1087"/>
        <w:gridCol w:w="1420"/>
        <w:gridCol w:w="1022"/>
        <w:gridCol w:w="1408"/>
        <w:gridCol w:w="1208"/>
        <w:gridCol w:w="2973"/>
      </w:tblGrid>
      <w:tr w14:paraId="055365F3">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37D6CBDA">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1087" w:type="dxa"/>
            <w:tcBorders>
              <w:top w:val="single" w:color="000000" w:sz="4" w:space="0"/>
              <w:left w:val="single" w:color="000000" w:sz="4" w:space="0"/>
              <w:bottom w:val="single" w:color="000000" w:sz="4" w:space="0"/>
              <w:right w:val="single" w:color="000000" w:sz="4" w:space="0"/>
            </w:tcBorders>
            <w:vAlign w:val="center"/>
          </w:tcPr>
          <w:p w14:paraId="684AC157">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项目名称</w:t>
            </w:r>
          </w:p>
        </w:tc>
        <w:tc>
          <w:tcPr>
            <w:tcW w:w="1420" w:type="dxa"/>
            <w:tcBorders>
              <w:top w:val="single" w:color="000000" w:sz="4" w:space="0"/>
              <w:left w:val="single" w:color="000000" w:sz="4" w:space="0"/>
              <w:bottom w:val="single" w:color="000000" w:sz="4" w:space="0"/>
              <w:right w:val="single" w:color="000000" w:sz="4" w:space="0"/>
            </w:tcBorders>
            <w:vAlign w:val="center"/>
          </w:tcPr>
          <w:p w14:paraId="682F232E">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项 目 内 容（类似项目）</w:t>
            </w:r>
          </w:p>
        </w:tc>
        <w:tc>
          <w:tcPr>
            <w:tcW w:w="1022" w:type="dxa"/>
            <w:tcBorders>
              <w:top w:val="single" w:color="000000" w:sz="4" w:space="0"/>
              <w:left w:val="single" w:color="000000" w:sz="4" w:space="0"/>
              <w:bottom w:val="single" w:color="000000" w:sz="4" w:space="0"/>
              <w:right w:val="single" w:color="000000" w:sz="4" w:space="0"/>
            </w:tcBorders>
            <w:vAlign w:val="center"/>
          </w:tcPr>
          <w:p w14:paraId="49111987">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合同金额（万元）</w:t>
            </w:r>
          </w:p>
        </w:tc>
        <w:tc>
          <w:tcPr>
            <w:tcW w:w="1408" w:type="dxa"/>
            <w:tcBorders>
              <w:top w:val="single" w:color="000000" w:sz="4" w:space="0"/>
              <w:left w:val="single" w:color="000000" w:sz="4" w:space="0"/>
              <w:bottom w:val="single" w:color="000000" w:sz="4" w:space="0"/>
              <w:right w:val="single" w:color="000000" w:sz="4" w:space="0"/>
            </w:tcBorders>
            <w:vAlign w:val="center"/>
          </w:tcPr>
          <w:p w14:paraId="18934121">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已结算金额（万元）</w:t>
            </w:r>
          </w:p>
        </w:tc>
        <w:tc>
          <w:tcPr>
            <w:tcW w:w="1208" w:type="dxa"/>
            <w:tcBorders>
              <w:top w:val="single" w:color="000000" w:sz="4" w:space="0"/>
              <w:left w:val="single" w:color="000000" w:sz="4" w:space="0"/>
              <w:bottom w:val="single" w:color="000000" w:sz="4" w:space="0"/>
              <w:right w:val="single" w:color="000000" w:sz="4" w:space="0"/>
            </w:tcBorders>
            <w:vAlign w:val="center"/>
          </w:tcPr>
          <w:p w14:paraId="4C659DD3">
            <w:pPr>
              <w:widowControl/>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完成日期</w:t>
            </w:r>
          </w:p>
        </w:tc>
        <w:tc>
          <w:tcPr>
            <w:tcW w:w="2973" w:type="dxa"/>
            <w:tcBorders>
              <w:top w:val="single" w:color="000000" w:sz="4" w:space="0"/>
              <w:left w:val="single" w:color="000000" w:sz="4" w:space="0"/>
              <w:bottom w:val="single" w:color="000000" w:sz="4" w:space="0"/>
              <w:right w:val="single" w:color="000000" w:sz="4" w:space="0"/>
            </w:tcBorders>
            <w:vAlign w:val="center"/>
          </w:tcPr>
          <w:p w14:paraId="5D1293B9">
            <w:pPr>
              <w:widowControl/>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业主名称、联系人及电话</w:t>
            </w:r>
          </w:p>
        </w:tc>
      </w:tr>
      <w:tr w14:paraId="37CB9E65">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11630180">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w:t>
            </w:r>
          </w:p>
        </w:tc>
        <w:tc>
          <w:tcPr>
            <w:tcW w:w="1087" w:type="dxa"/>
            <w:tcBorders>
              <w:top w:val="single" w:color="000000" w:sz="4" w:space="0"/>
              <w:left w:val="single" w:color="000000" w:sz="4" w:space="0"/>
              <w:bottom w:val="single" w:color="000000" w:sz="4" w:space="0"/>
              <w:right w:val="single" w:color="000000" w:sz="4" w:space="0"/>
            </w:tcBorders>
            <w:vAlign w:val="center"/>
          </w:tcPr>
          <w:p w14:paraId="1A4D1ECC">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58DFA123">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77BB3458">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5008D7C8">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4F00A02D">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6D2B5A2C">
            <w:pPr>
              <w:rPr>
                <w:rFonts w:hint="eastAsia" w:asciiTheme="minorEastAsia" w:hAnsiTheme="minorEastAsia" w:eastAsiaTheme="minorEastAsia" w:cstheme="minorEastAsia"/>
                <w:sz w:val="24"/>
                <w:szCs w:val="24"/>
              </w:rPr>
            </w:pPr>
          </w:p>
        </w:tc>
      </w:tr>
      <w:tr w14:paraId="2C0D927E">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757CDE18">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w:t>
            </w:r>
          </w:p>
        </w:tc>
        <w:tc>
          <w:tcPr>
            <w:tcW w:w="1087" w:type="dxa"/>
            <w:tcBorders>
              <w:top w:val="single" w:color="000000" w:sz="4" w:space="0"/>
              <w:left w:val="single" w:color="000000" w:sz="4" w:space="0"/>
              <w:bottom w:val="single" w:color="000000" w:sz="4" w:space="0"/>
              <w:right w:val="single" w:color="000000" w:sz="4" w:space="0"/>
            </w:tcBorders>
            <w:vAlign w:val="center"/>
          </w:tcPr>
          <w:p w14:paraId="3D0C727D">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3F437293">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1A5E9973">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171E80A3">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7C1849FE">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05D8ECC8">
            <w:pPr>
              <w:rPr>
                <w:rFonts w:hint="eastAsia" w:asciiTheme="minorEastAsia" w:hAnsiTheme="minorEastAsia" w:eastAsiaTheme="minorEastAsia" w:cstheme="minorEastAsia"/>
                <w:sz w:val="24"/>
                <w:szCs w:val="24"/>
              </w:rPr>
            </w:pPr>
          </w:p>
        </w:tc>
      </w:tr>
      <w:tr w14:paraId="1E8AC94C">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20349F4D">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3</w:t>
            </w:r>
          </w:p>
        </w:tc>
        <w:tc>
          <w:tcPr>
            <w:tcW w:w="1087" w:type="dxa"/>
            <w:tcBorders>
              <w:top w:val="single" w:color="000000" w:sz="4" w:space="0"/>
              <w:left w:val="single" w:color="000000" w:sz="4" w:space="0"/>
              <w:bottom w:val="single" w:color="000000" w:sz="4" w:space="0"/>
              <w:right w:val="single" w:color="000000" w:sz="4" w:space="0"/>
            </w:tcBorders>
            <w:vAlign w:val="center"/>
          </w:tcPr>
          <w:p w14:paraId="665C2156">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09DB2BFE">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72BC52EA">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6FD8EC47">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55ED8458">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1C1EE8DD">
            <w:pPr>
              <w:rPr>
                <w:rFonts w:hint="eastAsia" w:asciiTheme="minorEastAsia" w:hAnsiTheme="minorEastAsia" w:eastAsiaTheme="minorEastAsia" w:cstheme="minorEastAsia"/>
                <w:sz w:val="24"/>
                <w:szCs w:val="24"/>
              </w:rPr>
            </w:pPr>
          </w:p>
        </w:tc>
      </w:tr>
      <w:tr w14:paraId="6A5479E7">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32EACA23">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4</w:t>
            </w:r>
          </w:p>
        </w:tc>
        <w:tc>
          <w:tcPr>
            <w:tcW w:w="1087" w:type="dxa"/>
            <w:tcBorders>
              <w:top w:val="single" w:color="000000" w:sz="4" w:space="0"/>
              <w:left w:val="single" w:color="000000" w:sz="4" w:space="0"/>
              <w:bottom w:val="single" w:color="000000" w:sz="4" w:space="0"/>
              <w:right w:val="single" w:color="000000" w:sz="4" w:space="0"/>
            </w:tcBorders>
            <w:vAlign w:val="center"/>
          </w:tcPr>
          <w:p w14:paraId="3A8C5353">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7B211927">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34BF8728">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22A2EEB7">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2687B19D">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4D4EA9CF">
            <w:pPr>
              <w:rPr>
                <w:rFonts w:hint="eastAsia" w:asciiTheme="minorEastAsia" w:hAnsiTheme="minorEastAsia" w:eastAsiaTheme="minorEastAsia" w:cstheme="minorEastAsia"/>
                <w:sz w:val="24"/>
                <w:szCs w:val="24"/>
              </w:rPr>
            </w:pPr>
          </w:p>
        </w:tc>
      </w:tr>
      <w:tr w14:paraId="3172E616">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666F896F">
            <w:pPr>
              <w:widowControl/>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5</w:t>
            </w:r>
          </w:p>
        </w:tc>
        <w:tc>
          <w:tcPr>
            <w:tcW w:w="1087" w:type="dxa"/>
            <w:tcBorders>
              <w:top w:val="single" w:color="000000" w:sz="4" w:space="0"/>
              <w:left w:val="single" w:color="000000" w:sz="4" w:space="0"/>
              <w:bottom w:val="single" w:color="000000" w:sz="4" w:space="0"/>
              <w:right w:val="single" w:color="000000" w:sz="4" w:space="0"/>
            </w:tcBorders>
            <w:vAlign w:val="center"/>
          </w:tcPr>
          <w:p w14:paraId="09871288">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395F9CDE">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38F5E6C3">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6FB6CF18">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0CE934A1">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121FF420">
            <w:pPr>
              <w:rPr>
                <w:rFonts w:hint="eastAsia" w:asciiTheme="minorEastAsia" w:hAnsiTheme="minorEastAsia" w:eastAsiaTheme="minorEastAsia" w:cstheme="minorEastAsia"/>
                <w:sz w:val="24"/>
                <w:szCs w:val="24"/>
              </w:rPr>
            </w:pPr>
          </w:p>
        </w:tc>
      </w:tr>
      <w:tr w14:paraId="3F88050F">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335F8D5C">
            <w:pPr>
              <w:jc w:val="center"/>
              <w:rPr>
                <w:rFonts w:hint="eastAsia" w:asciiTheme="minorEastAsia" w:hAnsiTheme="minorEastAsia" w:eastAsiaTheme="minorEastAsia" w:cstheme="minorEastAsia"/>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5892930A">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010C252E">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1D9D1DCC">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17BFB1AF">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2FF1439C">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69CE9755">
            <w:pPr>
              <w:rPr>
                <w:rFonts w:hint="eastAsia" w:asciiTheme="minorEastAsia" w:hAnsiTheme="minorEastAsia" w:eastAsiaTheme="minorEastAsia" w:cstheme="minorEastAsia"/>
                <w:sz w:val="24"/>
                <w:szCs w:val="24"/>
              </w:rPr>
            </w:pPr>
          </w:p>
        </w:tc>
      </w:tr>
      <w:tr w14:paraId="226D9E05">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7B395922">
            <w:pPr>
              <w:jc w:val="center"/>
              <w:rPr>
                <w:rFonts w:hint="eastAsia" w:asciiTheme="minorEastAsia" w:hAnsiTheme="minorEastAsia" w:eastAsiaTheme="minorEastAsia" w:cstheme="minorEastAsia"/>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1A135C72">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01026A24">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2D3EEA8C">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4DA6BCA4">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54C5F276">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617A8170">
            <w:pPr>
              <w:rPr>
                <w:rFonts w:hint="eastAsia" w:asciiTheme="minorEastAsia" w:hAnsiTheme="minorEastAsia" w:eastAsiaTheme="minorEastAsia" w:cstheme="minorEastAsia"/>
                <w:sz w:val="24"/>
                <w:szCs w:val="24"/>
              </w:rPr>
            </w:pPr>
          </w:p>
        </w:tc>
      </w:tr>
      <w:tr w14:paraId="3ADC5C30">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412CD2AE">
            <w:pPr>
              <w:jc w:val="center"/>
              <w:rPr>
                <w:rFonts w:hint="eastAsia" w:asciiTheme="minorEastAsia" w:hAnsiTheme="minorEastAsia" w:eastAsiaTheme="minorEastAsia" w:cstheme="minorEastAsia"/>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181414BB">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1A923AB9">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34DBC8EF">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18D87F05">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71F160A2">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7BF9D861">
            <w:pPr>
              <w:rPr>
                <w:rFonts w:hint="eastAsia" w:asciiTheme="minorEastAsia" w:hAnsiTheme="minorEastAsia" w:eastAsiaTheme="minorEastAsia" w:cstheme="minorEastAsia"/>
                <w:sz w:val="24"/>
                <w:szCs w:val="24"/>
              </w:rPr>
            </w:pPr>
          </w:p>
        </w:tc>
      </w:tr>
      <w:tr w14:paraId="20990669">
        <w:tblPrEx>
          <w:tblCellMar>
            <w:top w:w="15" w:type="dxa"/>
            <w:left w:w="15" w:type="dxa"/>
            <w:bottom w:w="15" w:type="dxa"/>
            <w:right w:w="15"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22AACA7E">
            <w:pPr>
              <w:jc w:val="center"/>
              <w:rPr>
                <w:rFonts w:hint="eastAsia" w:asciiTheme="minorEastAsia" w:hAnsiTheme="minorEastAsia" w:eastAsiaTheme="minorEastAsia" w:cstheme="minorEastAsia"/>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340A80B6">
            <w:pPr>
              <w:jc w:val="center"/>
              <w:rPr>
                <w:rFonts w:hint="eastAsia" w:asciiTheme="minorEastAsia" w:hAnsiTheme="minorEastAsia" w:eastAsiaTheme="minorEastAsia" w:cstheme="minorEastAsia"/>
                <w:sz w:val="24"/>
                <w:szCs w:val="24"/>
              </w:rPr>
            </w:pPr>
          </w:p>
        </w:tc>
        <w:tc>
          <w:tcPr>
            <w:tcW w:w="1420" w:type="dxa"/>
            <w:tcBorders>
              <w:top w:val="single" w:color="000000" w:sz="4" w:space="0"/>
              <w:left w:val="single" w:color="000000" w:sz="4" w:space="0"/>
              <w:bottom w:val="single" w:color="000000" w:sz="4" w:space="0"/>
              <w:right w:val="single" w:color="000000" w:sz="4" w:space="0"/>
            </w:tcBorders>
            <w:vAlign w:val="center"/>
          </w:tcPr>
          <w:p w14:paraId="22578C13">
            <w:pPr>
              <w:jc w:val="center"/>
              <w:rPr>
                <w:rFonts w:hint="eastAsia" w:asciiTheme="minorEastAsia" w:hAnsiTheme="minorEastAsia" w:eastAsiaTheme="minorEastAsia" w:cstheme="minorEastAsia"/>
                <w:sz w:val="24"/>
                <w:szCs w:val="24"/>
              </w:rPr>
            </w:pPr>
          </w:p>
        </w:tc>
        <w:tc>
          <w:tcPr>
            <w:tcW w:w="1022" w:type="dxa"/>
            <w:tcBorders>
              <w:top w:val="single" w:color="000000" w:sz="4" w:space="0"/>
              <w:left w:val="single" w:color="000000" w:sz="4" w:space="0"/>
              <w:bottom w:val="single" w:color="000000" w:sz="4" w:space="0"/>
              <w:right w:val="single" w:color="000000" w:sz="4" w:space="0"/>
            </w:tcBorders>
            <w:vAlign w:val="center"/>
          </w:tcPr>
          <w:p w14:paraId="659BD4DC">
            <w:pPr>
              <w:jc w:val="center"/>
              <w:rPr>
                <w:rFonts w:hint="eastAsia" w:asciiTheme="minorEastAsia" w:hAnsiTheme="minorEastAsia" w:eastAsiaTheme="minorEastAsia" w:cstheme="minorEastAsia"/>
                <w:sz w:val="24"/>
                <w:szCs w:val="24"/>
              </w:rPr>
            </w:pPr>
          </w:p>
        </w:tc>
        <w:tc>
          <w:tcPr>
            <w:tcW w:w="1408" w:type="dxa"/>
            <w:tcBorders>
              <w:top w:val="single" w:color="000000" w:sz="4" w:space="0"/>
              <w:left w:val="single" w:color="000000" w:sz="4" w:space="0"/>
              <w:bottom w:val="single" w:color="000000" w:sz="4" w:space="0"/>
              <w:right w:val="single" w:color="000000" w:sz="4" w:space="0"/>
            </w:tcBorders>
            <w:vAlign w:val="center"/>
          </w:tcPr>
          <w:p w14:paraId="1F6C4B54">
            <w:pPr>
              <w:rPr>
                <w:rFonts w:hint="eastAsia" w:asciiTheme="minorEastAsia" w:hAnsiTheme="minorEastAsia" w:eastAsiaTheme="minorEastAsia" w:cstheme="minorEastAsia"/>
                <w:sz w:val="24"/>
                <w:szCs w:val="24"/>
              </w:rPr>
            </w:pPr>
          </w:p>
        </w:tc>
        <w:tc>
          <w:tcPr>
            <w:tcW w:w="1208" w:type="dxa"/>
            <w:tcBorders>
              <w:top w:val="single" w:color="000000" w:sz="4" w:space="0"/>
              <w:left w:val="single" w:color="000000" w:sz="4" w:space="0"/>
              <w:bottom w:val="single" w:color="000000" w:sz="4" w:space="0"/>
              <w:right w:val="single" w:color="000000" w:sz="4" w:space="0"/>
            </w:tcBorders>
            <w:vAlign w:val="center"/>
          </w:tcPr>
          <w:p w14:paraId="2292CAF4">
            <w:pPr>
              <w:rPr>
                <w:rFonts w:hint="eastAsia" w:asciiTheme="minorEastAsia" w:hAnsiTheme="minorEastAsia" w:eastAsiaTheme="minorEastAsia" w:cstheme="minorEastAsia"/>
                <w:sz w:val="24"/>
                <w:szCs w:val="24"/>
              </w:rPr>
            </w:pPr>
          </w:p>
        </w:tc>
        <w:tc>
          <w:tcPr>
            <w:tcW w:w="2973" w:type="dxa"/>
            <w:tcBorders>
              <w:top w:val="single" w:color="000000" w:sz="4" w:space="0"/>
              <w:left w:val="single" w:color="000000" w:sz="4" w:space="0"/>
              <w:bottom w:val="single" w:color="000000" w:sz="4" w:space="0"/>
              <w:right w:val="single" w:color="000000" w:sz="4" w:space="0"/>
            </w:tcBorders>
            <w:vAlign w:val="center"/>
          </w:tcPr>
          <w:p w14:paraId="6A889C97">
            <w:pPr>
              <w:rPr>
                <w:rFonts w:hint="eastAsia" w:asciiTheme="minorEastAsia" w:hAnsiTheme="minorEastAsia" w:eastAsiaTheme="minorEastAsia" w:cstheme="minorEastAsia"/>
                <w:sz w:val="24"/>
                <w:szCs w:val="24"/>
              </w:rPr>
            </w:pPr>
          </w:p>
        </w:tc>
      </w:tr>
    </w:tbl>
    <w:p w14:paraId="3CBF5E2D">
      <w:pPr>
        <w:snapToGrid w:val="0"/>
        <w:rPr>
          <w:rFonts w:hint="eastAsia" w:asciiTheme="minorEastAsia" w:hAnsiTheme="minorEastAsia" w:eastAsiaTheme="minorEastAsia" w:cstheme="minorEastAsia"/>
          <w:b/>
          <w:sz w:val="24"/>
          <w:szCs w:val="24"/>
        </w:rPr>
      </w:pPr>
    </w:p>
    <w:p w14:paraId="515C80D0">
      <w:pPr>
        <w:snapToGrid w:val="0"/>
        <w:rPr>
          <w:rFonts w:hint="eastAsia" w:asciiTheme="minorEastAsia" w:hAnsiTheme="minorEastAsia" w:eastAsiaTheme="minorEastAsia" w:cstheme="minorEastAsia"/>
          <w:b/>
          <w:sz w:val="24"/>
          <w:szCs w:val="24"/>
        </w:rPr>
      </w:pPr>
    </w:p>
    <w:p w14:paraId="164728F9">
      <w:pPr>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注：1.投标人应如实列出以上情况，如有隐瞒，一经查实将导致其投标申请被视为无效投标。</w:t>
      </w:r>
    </w:p>
    <w:p w14:paraId="65A74307">
      <w:pPr>
        <w:numPr>
          <w:ilvl w:val="0"/>
          <w:numId w:val="0"/>
        </w:numPr>
        <w:snapToGrid w:val="0"/>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对于已完项目，投标人应附收到的中标</w:t>
      </w:r>
      <w:r>
        <w:rPr>
          <w:rFonts w:hint="eastAsia" w:asciiTheme="minorEastAsia" w:hAnsiTheme="minorEastAsia" w:eastAsiaTheme="minorEastAsia" w:cstheme="minorEastAsia"/>
          <w:b/>
          <w:sz w:val="24"/>
          <w:szCs w:val="24"/>
          <w:lang w:val="en-US" w:eastAsia="zh-CN"/>
        </w:rPr>
        <w:t>/成交</w:t>
      </w:r>
      <w:r>
        <w:rPr>
          <w:rFonts w:hint="eastAsia" w:asciiTheme="minorEastAsia" w:hAnsiTheme="minorEastAsia" w:eastAsiaTheme="minorEastAsia" w:cstheme="minorEastAsia"/>
          <w:b/>
          <w:sz w:val="24"/>
          <w:szCs w:val="24"/>
        </w:rPr>
        <w:t>通知书或双方签订的合同。</w:t>
      </w:r>
    </w:p>
    <w:p w14:paraId="16057AC7">
      <w:pPr>
        <w:widowControl/>
        <w:spacing w:line="360" w:lineRule="auto"/>
        <w:jc w:val="center"/>
        <w:outlineLvl w:val="0"/>
        <w:rPr>
          <w:rFonts w:ascii="宋体" w:hAnsi="宋体" w:cs="宋体"/>
          <w:b/>
          <w:bCs/>
          <w:kern w:val="0"/>
          <w:szCs w:val="21"/>
        </w:rPr>
      </w:pPr>
    </w:p>
    <w:p w14:paraId="4D496ECF">
      <w:pPr>
        <w:widowControl/>
        <w:spacing w:line="360" w:lineRule="auto"/>
        <w:jc w:val="center"/>
        <w:outlineLvl w:val="0"/>
        <w:rPr>
          <w:rFonts w:ascii="宋体" w:hAnsi="宋体" w:cs="宋体"/>
          <w:b/>
          <w:bCs/>
          <w:kern w:val="0"/>
          <w:szCs w:val="21"/>
        </w:rPr>
      </w:pPr>
    </w:p>
    <w:p w14:paraId="077A41B5">
      <w:pPr>
        <w:widowControl/>
        <w:spacing w:line="360" w:lineRule="auto"/>
        <w:jc w:val="center"/>
        <w:outlineLvl w:val="0"/>
        <w:rPr>
          <w:rFonts w:ascii="宋体" w:hAnsi="宋体" w:cs="宋体"/>
          <w:b/>
          <w:bCs/>
          <w:kern w:val="0"/>
          <w:szCs w:val="21"/>
        </w:rPr>
      </w:pPr>
    </w:p>
    <w:p w14:paraId="3C877B79">
      <w:pPr>
        <w:widowControl/>
        <w:spacing w:line="360" w:lineRule="auto"/>
        <w:jc w:val="center"/>
        <w:outlineLvl w:val="0"/>
        <w:rPr>
          <w:rFonts w:ascii="宋体" w:hAnsi="宋体" w:cs="宋体"/>
          <w:b/>
          <w:bCs/>
          <w:kern w:val="0"/>
          <w:szCs w:val="21"/>
        </w:rPr>
      </w:pPr>
    </w:p>
    <w:p w14:paraId="096F0D74">
      <w:pPr>
        <w:widowControl/>
        <w:spacing w:line="360" w:lineRule="auto"/>
        <w:jc w:val="center"/>
        <w:outlineLvl w:val="0"/>
        <w:rPr>
          <w:rFonts w:ascii="宋体" w:hAnsi="宋体" w:cs="宋体"/>
          <w:b/>
          <w:bCs/>
          <w:kern w:val="0"/>
          <w:szCs w:val="21"/>
        </w:rPr>
      </w:pPr>
    </w:p>
    <w:p w14:paraId="3A2DA364">
      <w:pPr>
        <w:widowControl/>
        <w:spacing w:line="360" w:lineRule="auto"/>
        <w:jc w:val="center"/>
        <w:outlineLvl w:val="0"/>
        <w:rPr>
          <w:rFonts w:ascii="宋体" w:hAnsi="宋体" w:cs="宋体"/>
          <w:b/>
          <w:bCs/>
          <w:kern w:val="0"/>
          <w:szCs w:val="21"/>
        </w:rPr>
      </w:pPr>
    </w:p>
    <w:p w14:paraId="1C2DA71D">
      <w:pPr>
        <w:widowControl/>
        <w:spacing w:line="360" w:lineRule="auto"/>
        <w:jc w:val="center"/>
        <w:outlineLvl w:val="0"/>
        <w:rPr>
          <w:rFonts w:ascii="宋体" w:hAnsi="宋体" w:cs="宋体"/>
          <w:b/>
          <w:bCs/>
          <w:kern w:val="0"/>
          <w:szCs w:val="21"/>
        </w:rPr>
      </w:pPr>
    </w:p>
    <w:p w14:paraId="61BE947B">
      <w:pPr>
        <w:rPr>
          <w:rFonts w:hint="eastAsia" w:asciiTheme="minorEastAsia" w:hAnsiTheme="minorEastAsia" w:eastAsiaTheme="minorEastAsia" w:cstheme="minorEastAsia"/>
          <w:b/>
          <w:bCs/>
          <w:kern w:val="0"/>
          <w:sz w:val="24"/>
          <w:szCs w:val="24"/>
        </w:rPr>
      </w:pPr>
      <w:bookmarkStart w:id="507" w:name="_Toc28904"/>
      <w:bookmarkStart w:id="508" w:name="_Toc30549"/>
      <w:bookmarkStart w:id="509" w:name="_Toc26433"/>
      <w:bookmarkStart w:id="510" w:name="_Toc9027"/>
      <w:r>
        <w:rPr>
          <w:rFonts w:hint="eastAsia" w:asciiTheme="minorEastAsia" w:hAnsiTheme="minorEastAsia" w:eastAsiaTheme="minorEastAsia" w:cstheme="minorEastAsia"/>
          <w:b/>
          <w:bCs/>
          <w:kern w:val="0"/>
          <w:sz w:val="24"/>
          <w:szCs w:val="24"/>
        </w:rPr>
        <w:br w:type="page"/>
      </w:r>
    </w:p>
    <w:p w14:paraId="51A3211A">
      <w:pPr>
        <w:widowControl/>
        <w:spacing w:line="360" w:lineRule="auto"/>
        <w:jc w:val="center"/>
        <w:outlineLvl w:val="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8、商务条款偏离表</w:t>
      </w:r>
      <w:bookmarkEnd w:id="499"/>
      <w:bookmarkEnd w:id="500"/>
      <w:bookmarkEnd w:id="501"/>
      <w:bookmarkEnd w:id="502"/>
      <w:bookmarkEnd w:id="507"/>
      <w:bookmarkEnd w:id="508"/>
      <w:bookmarkEnd w:id="509"/>
      <w:bookmarkEnd w:id="510"/>
    </w:p>
    <w:tbl>
      <w:tblPr>
        <w:tblStyle w:val="42"/>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199"/>
        <w:gridCol w:w="2237"/>
        <w:gridCol w:w="1723"/>
        <w:gridCol w:w="1723"/>
      </w:tblGrid>
      <w:tr w14:paraId="6139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836" w:type="dxa"/>
            <w:vAlign w:val="center"/>
          </w:tcPr>
          <w:p w14:paraId="46D099DD">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2199" w:type="dxa"/>
            <w:vAlign w:val="center"/>
          </w:tcPr>
          <w:p w14:paraId="4CD06EB6">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招标文件的</w:t>
            </w:r>
          </w:p>
          <w:p w14:paraId="2ADE9C98">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商务条款</w:t>
            </w:r>
          </w:p>
        </w:tc>
        <w:tc>
          <w:tcPr>
            <w:tcW w:w="2237" w:type="dxa"/>
            <w:vAlign w:val="center"/>
          </w:tcPr>
          <w:p w14:paraId="72137E69">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投标文件的</w:t>
            </w:r>
          </w:p>
          <w:p w14:paraId="7C01DC27">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商务条款</w:t>
            </w:r>
          </w:p>
        </w:tc>
        <w:tc>
          <w:tcPr>
            <w:tcW w:w="1723" w:type="dxa"/>
            <w:vAlign w:val="center"/>
          </w:tcPr>
          <w:p w14:paraId="1B57DB3D">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偏离/不偏离</w:t>
            </w:r>
          </w:p>
        </w:tc>
        <w:tc>
          <w:tcPr>
            <w:tcW w:w="1723" w:type="dxa"/>
            <w:vAlign w:val="center"/>
          </w:tcPr>
          <w:p w14:paraId="5CC515BE">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备注说明</w:t>
            </w:r>
          </w:p>
        </w:tc>
      </w:tr>
      <w:tr w14:paraId="207C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77F42847">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2199" w:type="dxa"/>
            <w:vAlign w:val="center"/>
          </w:tcPr>
          <w:p w14:paraId="45CEC2D7">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15501AB5">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5A0C5236">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634D1BCD">
            <w:pPr>
              <w:spacing w:line="360" w:lineRule="auto"/>
              <w:jc w:val="center"/>
              <w:rPr>
                <w:rFonts w:hint="eastAsia" w:asciiTheme="minorEastAsia" w:hAnsiTheme="minorEastAsia" w:eastAsiaTheme="minorEastAsia" w:cstheme="minorEastAsia"/>
                <w:sz w:val="24"/>
                <w:szCs w:val="24"/>
              </w:rPr>
            </w:pPr>
          </w:p>
        </w:tc>
      </w:tr>
      <w:tr w14:paraId="3339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04524A48">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2199" w:type="dxa"/>
            <w:vAlign w:val="center"/>
          </w:tcPr>
          <w:p w14:paraId="302BC5CF">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41B4FB1A">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69596015">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3820FF78">
            <w:pPr>
              <w:spacing w:line="360" w:lineRule="auto"/>
              <w:jc w:val="center"/>
              <w:rPr>
                <w:rFonts w:hint="eastAsia" w:asciiTheme="minorEastAsia" w:hAnsiTheme="minorEastAsia" w:eastAsiaTheme="minorEastAsia" w:cstheme="minorEastAsia"/>
                <w:sz w:val="24"/>
                <w:szCs w:val="24"/>
              </w:rPr>
            </w:pPr>
          </w:p>
        </w:tc>
      </w:tr>
      <w:tr w14:paraId="6A1E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157EAAEA">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2199" w:type="dxa"/>
            <w:vAlign w:val="center"/>
          </w:tcPr>
          <w:p w14:paraId="31DDD398">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4D8A7AA8">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7278064F">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54A637B6">
            <w:pPr>
              <w:spacing w:line="360" w:lineRule="auto"/>
              <w:jc w:val="center"/>
              <w:rPr>
                <w:rFonts w:hint="eastAsia" w:asciiTheme="minorEastAsia" w:hAnsiTheme="minorEastAsia" w:eastAsiaTheme="minorEastAsia" w:cstheme="minorEastAsia"/>
                <w:sz w:val="24"/>
                <w:szCs w:val="24"/>
              </w:rPr>
            </w:pPr>
          </w:p>
        </w:tc>
      </w:tr>
      <w:tr w14:paraId="5828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782C018C">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c>
          <w:tcPr>
            <w:tcW w:w="2199" w:type="dxa"/>
            <w:vAlign w:val="center"/>
          </w:tcPr>
          <w:p w14:paraId="5006D5FA">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63A0FF46">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22A2D580">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4B1B5C2C">
            <w:pPr>
              <w:spacing w:line="360" w:lineRule="auto"/>
              <w:jc w:val="center"/>
              <w:rPr>
                <w:rFonts w:hint="eastAsia" w:asciiTheme="minorEastAsia" w:hAnsiTheme="minorEastAsia" w:eastAsiaTheme="minorEastAsia" w:cstheme="minorEastAsia"/>
                <w:sz w:val="24"/>
                <w:szCs w:val="24"/>
              </w:rPr>
            </w:pPr>
          </w:p>
        </w:tc>
      </w:tr>
      <w:tr w14:paraId="7708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56DC0E7C">
            <w:pPr>
              <w:spacing w:line="360" w:lineRule="auto"/>
              <w:jc w:val="center"/>
              <w:rPr>
                <w:rFonts w:hint="eastAsia" w:asciiTheme="minorEastAsia" w:hAnsiTheme="minorEastAsia" w:eastAsiaTheme="minorEastAsia" w:cstheme="minorEastAsia"/>
                <w:sz w:val="24"/>
                <w:szCs w:val="24"/>
              </w:rPr>
            </w:pPr>
          </w:p>
        </w:tc>
        <w:tc>
          <w:tcPr>
            <w:tcW w:w="2199" w:type="dxa"/>
            <w:vAlign w:val="center"/>
          </w:tcPr>
          <w:p w14:paraId="7D29F325">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1702684D">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0766E801">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77CA9771">
            <w:pPr>
              <w:spacing w:line="360" w:lineRule="auto"/>
              <w:jc w:val="center"/>
              <w:rPr>
                <w:rFonts w:hint="eastAsia" w:asciiTheme="minorEastAsia" w:hAnsiTheme="minorEastAsia" w:eastAsiaTheme="minorEastAsia" w:cstheme="minorEastAsia"/>
                <w:sz w:val="24"/>
                <w:szCs w:val="24"/>
              </w:rPr>
            </w:pPr>
          </w:p>
        </w:tc>
      </w:tr>
      <w:tr w14:paraId="35C3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36" w:type="dxa"/>
            <w:vAlign w:val="center"/>
          </w:tcPr>
          <w:p w14:paraId="210016BB">
            <w:pPr>
              <w:spacing w:line="360" w:lineRule="auto"/>
              <w:jc w:val="center"/>
              <w:rPr>
                <w:rFonts w:hint="eastAsia" w:asciiTheme="minorEastAsia" w:hAnsiTheme="minorEastAsia" w:eastAsiaTheme="minorEastAsia" w:cstheme="minorEastAsia"/>
                <w:sz w:val="24"/>
                <w:szCs w:val="24"/>
              </w:rPr>
            </w:pPr>
          </w:p>
        </w:tc>
        <w:tc>
          <w:tcPr>
            <w:tcW w:w="2199" w:type="dxa"/>
            <w:vAlign w:val="center"/>
          </w:tcPr>
          <w:p w14:paraId="5899D66D">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0C96208F">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72E582E7">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63B43133">
            <w:pPr>
              <w:spacing w:line="360" w:lineRule="auto"/>
              <w:jc w:val="center"/>
              <w:rPr>
                <w:rFonts w:hint="eastAsia" w:asciiTheme="minorEastAsia" w:hAnsiTheme="minorEastAsia" w:eastAsiaTheme="minorEastAsia" w:cstheme="minorEastAsia"/>
                <w:sz w:val="24"/>
                <w:szCs w:val="24"/>
              </w:rPr>
            </w:pPr>
          </w:p>
        </w:tc>
      </w:tr>
      <w:tr w14:paraId="10D4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836" w:type="dxa"/>
            <w:vAlign w:val="center"/>
          </w:tcPr>
          <w:p w14:paraId="59480874">
            <w:pPr>
              <w:spacing w:line="360" w:lineRule="auto"/>
              <w:jc w:val="center"/>
              <w:rPr>
                <w:rFonts w:hint="eastAsia" w:asciiTheme="minorEastAsia" w:hAnsiTheme="minorEastAsia" w:eastAsiaTheme="minorEastAsia" w:cstheme="minorEastAsia"/>
                <w:sz w:val="24"/>
                <w:szCs w:val="24"/>
              </w:rPr>
            </w:pPr>
          </w:p>
        </w:tc>
        <w:tc>
          <w:tcPr>
            <w:tcW w:w="2199" w:type="dxa"/>
            <w:vAlign w:val="center"/>
          </w:tcPr>
          <w:p w14:paraId="031F9A3B">
            <w:pPr>
              <w:spacing w:line="360" w:lineRule="auto"/>
              <w:jc w:val="center"/>
              <w:rPr>
                <w:rFonts w:hint="eastAsia" w:asciiTheme="minorEastAsia" w:hAnsiTheme="minorEastAsia" w:eastAsiaTheme="minorEastAsia" w:cstheme="minorEastAsia"/>
                <w:sz w:val="24"/>
                <w:szCs w:val="24"/>
              </w:rPr>
            </w:pPr>
          </w:p>
        </w:tc>
        <w:tc>
          <w:tcPr>
            <w:tcW w:w="2237" w:type="dxa"/>
            <w:vAlign w:val="center"/>
          </w:tcPr>
          <w:p w14:paraId="4145429B">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04EB0EA7">
            <w:pPr>
              <w:spacing w:line="360" w:lineRule="auto"/>
              <w:jc w:val="center"/>
              <w:rPr>
                <w:rFonts w:hint="eastAsia" w:asciiTheme="minorEastAsia" w:hAnsiTheme="minorEastAsia" w:eastAsiaTheme="minorEastAsia" w:cstheme="minorEastAsia"/>
                <w:sz w:val="24"/>
                <w:szCs w:val="24"/>
              </w:rPr>
            </w:pPr>
          </w:p>
        </w:tc>
        <w:tc>
          <w:tcPr>
            <w:tcW w:w="1723" w:type="dxa"/>
            <w:vAlign w:val="center"/>
          </w:tcPr>
          <w:p w14:paraId="5B6EBC63">
            <w:pPr>
              <w:spacing w:line="360" w:lineRule="auto"/>
              <w:jc w:val="center"/>
              <w:rPr>
                <w:rFonts w:hint="eastAsia" w:asciiTheme="minorEastAsia" w:hAnsiTheme="minorEastAsia" w:eastAsiaTheme="minorEastAsia" w:cstheme="minorEastAsia"/>
                <w:sz w:val="24"/>
                <w:szCs w:val="24"/>
              </w:rPr>
            </w:pPr>
          </w:p>
        </w:tc>
      </w:tr>
    </w:tbl>
    <w:p w14:paraId="306DADDF">
      <w:pPr>
        <w:spacing w:line="360" w:lineRule="auto"/>
        <w:ind w:firstLine="480" w:firstLineChars="200"/>
        <w:rPr>
          <w:rFonts w:hint="eastAsia" w:asciiTheme="minorEastAsia" w:hAnsiTheme="minorEastAsia" w:eastAsiaTheme="minorEastAsia" w:cstheme="minorEastAsia"/>
          <w:sz w:val="24"/>
          <w:szCs w:val="24"/>
        </w:rPr>
      </w:pPr>
    </w:p>
    <w:p w14:paraId="740C1E6C">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w:t>
      </w:r>
      <w:r>
        <w:rPr>
          <w:rFonts w:hint="eastAsia" w:asciiTheme="minorEastAsia" w:hAnsiTheme="minorEastAsia" w:eastAsiaTheme="minorEastAsia" w:cstheme="minorEastAsia"/>
          <w:sz w:val="24"/>
          <w:szCs w:val="24"/>
        </w:rPr>
        <w:t>：1、应与文件要求逐条对应填写。</w:t>
      </w:r>
    </w:p>
    <w:p w14:paraId="2D727588">
      <w:pPr>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2、本表如填写不完，可以续页。</w:t>
      </w:r>
    </w:p>
    <w:p w14:paraId="22D58BFA">
      <w:pPr>
        <w:pStyle w:val="103"/>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3、商务条款</w:t>
      </w:r>
      <w:r>
        <w:rPr>
          <w:rFonts w:hint="eastAsia" w:asciiTheme="minorEastAsia" w:hAnsiTheme="minorEastAsia" w:eastAsiaTheme="minorEastAsia" w:cstheme="minorEastAsia"/>
          <w:sz w:val="24"/>
          <w:szCs w:val="24"/>
          <w:lang w:val="en-US" w:eastAsia="zh-CN"/>
        </w:rPr>
        <w:t>还应</w:t>
      </w:r>
      <w:r>
        <w:rPr>
          <w:rFonts w:hint="eastAsia" w:asciiTheme="minorEastAsia" w:hAnsiTheme="minorEastAsia" w:eastAsiaTheme="minorEastAsia" w:cstheme="minorEastAsia"/>
          <w:sz w:val="24"/>
          <w:szCs w:val="24"/>
        </w:rPr>
        <w:t>包含：合同履行期限、投标有效期、投标保证金、售后服务等。</w:t>
      </w:r>
    </w:p>
    <w:p w14:paraId="4AAB2E71">
      <w:pPr>
        <w:pStyle w:val="103"/>
        <w:spacing w:line="360" w:lineRule="auto"/>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4、投标人应据实填写，否则视为不响应。</w:t>
      </w:r>
    </w:p>
    <w:p w14:paraId="67C58F7D">
      <w:pPr>
        <w:spacing w:line="360" w:lineRule="auto"/>
        <w:rPr>
          <w:rFonts w:hint="eastAsia" w:asciiTheme="minorEastAsia" w:hAnsiTheme="minorEastAsia" w:eastAsiaTheme="minorEastAsia" w:cstheme="minorEastAsia"/>
          <w:sz w:val="24"/>
          <w:szCs w:val="24"/>
        </w:rPr>
      </w:pPr>
    </w:p>
    <w:p w14:paraId="18B56B28">
      <w:pPr>
        <w:pStyle w:val="4"/>
        <w:ind w:left="0" w:firstLine="0"/>
        <w:rPr>
          <w:rFonts w:hint="eastAsia" w:asciiTheme="minorEastAsia" w:hAnsiTheme="minorEastAsia" w:eastAsiaTheme="minorEastAsia" w:cstheme="minorEastAsia"/>
          <w:sz w:val="24"/>
          <w:szCs w:val="24"/>
        </w:rPr>
      </w:pPr>
    </w:p>
    <w:p w14:paraId="635EAC7A">
      <w:pPr>
        <w:spacing w:line="360" w:lineRule="auto"/>
        <w:ind w:firstLine="480" w:firstLineChars="200"/>
        <w:rPr>
          <w:rFonts w:hint="eastAsia" w:asciiTheme="minorEastAsia" w:hAnsiTheme="minorEastAsia" w:eastAsiaTheme="minorEastAsia" w:cstheme="minorEastAsia"/>
          <w:sz w:val="24"/>
          <w:szCs w:val="24"/>
        </w:rPr>
      </w:pPr>
    </w:p>
    <w:p w14:paraId="3900ED45">
      <w:pPr>
        <w:adjustRightInd w:val="0"/>
        <w:snapToGrid w:val="0"/>
        <w:ind w:left="1611" w:leftChars="767"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0508EBDE">
      <w:pPr>
        <w:adjustRightInd w:val="0"/>
        <w:snapToGrid w:val="0"/>
        <w:ind w:left="1611" w:leftChars="767"/>
        <w:rPr>
          <w:rFonts w:hint="eastAsia" w:asciiTheme="minorEastAsia" w:hAnsiTheme="minorEastAsia" w:eastAsiaTheme="minorEastAsia" w:cstheme="minorEastAsia"/>
          <w:sz w:val="24"/>
          <w:szCs w:val="24"/>
        </w:rPr>
      </w:pPr>
    </w:p>
    <w:p w14:paraId="567B23BF">
      <w:pPr>
        <w:adjustRightInd w:val="0"/>
        <w:snapToGrid w:val="0"/>
        <w:ind w:left="1611" w:leftChars="767"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0A2E1D1C">
      <w:pPr>
        <w:adjustRightInd w:val="0"/>
        <w:snapToGrid w:val="0"/>
        <w:ind w:left="1611" w:leftChars="767"/>
        <w:rPr>
          <w:rFonts w:hint="eastAsia" w:asciiTheme="minorEastAsia" w:hAnsiTheme="minorEastAsia" w:eastAsiaTheme="minorEastAsia" w:cstheme="minorEastAsia"/>
          <w:sz w:val="24"/>
          <w:szCs w:val="24"/>
        </w:rPr>
      </w:pPr>
    </w:p>
    <w:p w14:paraId="15084BF5">
      <w:pPr>
        <w:adjustRightInd w:val="0"/>
        <w:snapToGrid w:val="0"/>
        <w:ind w:left="1611" w:leftChars="767"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6E567013">
      <w:pPr>
        <w:widowControl/>
        <w:spacing w:line="360" w:lineRule="auto"/>
        <w:jc w:val="center"/>
        <w:outlineLvl w:val="0"/>
        <w:rPr>
          <w:rFonts w:hint="eastAsia" w:asciiTheme="minorEastAsia" w:hAnsiTheme="minorEastAsia" w:eastAsiaTheme="minorEastAsia" w:cstheme="minorEastAsia"/>
          <w:sz w:val="24"/>
          <w:szCs w:val="24"/>
        </w:rPr>
      </w:pPr>
    </w:p>
    <w:p w14:paraId="7884D1D7">
      <w:pPr>
        <w:pStyle w:val="16"/>
        <w:rPr>
          <w:rFonts w:ascii="宋体" w:hAnsi="宋体"/>
          <w:szCs w:val="21"/>
        </w:rPr>
      </w:pPr>
    </w:p>
    <w:p w14:paraId="195A0097">
      <w:pPr>
        <w:rPr>
          <w:rFonts w:ascii="宋体" w:hAnsi="宋体"/>
          <w:szCs w:val="21"/>
        </w:rPr>
      </w:pPr>
    </w:p>
    <w:p w14:paraId="3EA55635">
      <w:pPr>
        <w:rPr>
          <w:rFonts w:hint="eastAsia" w:asciiTheme="minorEastAsia" w:hAnsiTheme="minorEastAsia" w:eastAsiaTheme="minorEastAsia" w:cstheme="minorEastAsia"/>
          <w:kern w:val="0"/>
          <w:sz w:val="24"/>
          <w:szCs w:val="24"/>
        </w:rPr>
      </w:pPr>
      <w:bookmarkStart w:id="511" w:name="_Toc28446"/>
      <w:bookmarkStart w:id="512" w:name="_Toc11472"/>
      <w:bookmarkStart w:id="513" w:name="_Toc4624"/>
      <w:bookmarkStart w:id="514" w:name="_Toc10580"/>
      <w:bookmarkStart w:id="515" w:name="_Toc5045"/>
      <w:bookmarkStart w:id="516" w:name="_Toc4202"/>
      <w:bookmarkStart w:id="517" w:name="_Toc5203"/>
      <w:r>
        <w:rPr>
          <w:rFonts w:hint="eastAsia" w:asciiTheme="minorEastAsia" w:hAnsiTheme="minorEastAsia" w:eastAsiaTheme="minorEastAsia" w:cstheme="minorEastAsia"/>
          <w:kern w:val="0"/>
          <w:sz w:val="24"/>
          <w:szCs w:val="24"/>
        </w:rPr>
        <w:br w:type="page"/>
      </w:r>
    </w:p>
    <w:p w14:paraId="4D1B36AD">
      <w:pPr>
        <w:pStyle w:val="3"/>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9、技术参数、规格偏离表</w:t>
      </w:r>
      <w:bookmarkEnd w:id="511"/>
      <w:bookmarkEnd w:id="512"/>
      <w:bookmarkEnd w:id="513"/>
      <w:bookmarkEnd w:id="514"/>
      <w:bookmarkEnd w:id="515"/>
      <w:bookmarkEnd w:id="516"/>
    </w:p>
    <w:tbl>
      <w:tblPr>
        <w:tblStyle w:val="42"/>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2059"/>
        <w:gridCol w:w="1829"/>
        <w:gridCol w:w="1680"/>
        <w:gridCol w:w="1558"/>
      </w:tblGrid>
      <w:tr w14:paraId="52466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52" w:type="dxa"/>
            <w:vAlign w:val="center"/>
          </w:tcPr>
          <w:p w14:paraId="729CEE5A">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059" w:type="dxa"/>
            <w:vAlign w:val="center"/>
          </w:tcPr>
          <w:p w14:paraId="2A941F1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要求技术参数、规格</w:t>
            </w:r>
          </w:p>
        </w:tc>
        <w:tc>
          <w:tcPr>
            <w:tcW w:w="1829" w:type="dxa"/>
            <w:vAlign w:val="center"/>
          </w:tcPr>
          <w:p w14:paraId="25A77780">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投标技术参数、规格</w:t>
            </w:r>
          </w:p>
        </w:tc>
        <w:tc>
          <w:tcPr>
            <w:tcW w:w="1680" w:type="dxa"/>
            <w:vAlign w:val="center"/>
          </w:tcPr>
          <w:p w14:paraId="52A1589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偏离/不偏离</w:t>
            </w:r>
          </w:p>
        </w:tc>
        <w:tc>
          <w:tcPr>
            <w:tcW w:w="1558" w:type="dxa"/>
            <w:vAlign w:val="center"/>
          </w:tcPr>
          <w:p w14:paraId="458934C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备注</w:t>
            </w:r>
            <w:r>
              <w:rPr>
                <w:rFonts w:hint="eastAsia" w:asciiTheme="minorEastAsia" w:hAnsiTheme="minorEastAsia" w:eastAsiaTheme="minorEastAsia" w:cstheme="minorEastAsia"/>
                <w:sz w:val="24"/>
                <w:szCs w:val="24"/>
              </w:rPr>
              <w:t>说明</w:t>
            </w:r>
          </w:p>
        </w:tc>
      </w:tr>
      <w:tr w14:paraId="1F5D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52" w:type="dxa"/>
            <w:vAlign w:val="center"/>
          </w:tcPr>
          <w:p w14:paraId="23152BBE">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59" w:type="dxa"/>
            <w:vAlign w:val="center"/>
          </w:tcPr>
          <w:p w14:paraId="4735305C">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40C55F65">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57903FAC">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684E4A5A">
            <w:pPr>
              <w:spacing w:line="360" w:lineRule="auto"/>
              <w:jc w:val="center"/>
              <w:rPr>
                <w:rFonts w:hint="eastAsia" w:asciiTheme="minorEastAsia" w:hAnsiTheme="minorEastAsia" w:eastAsiaTheme="minorEastAsia" w:cstheme="minorEastAsia"/>
                <w:sz w:val="24"/>
                <w:szCs w:val="24"/>
              </w:rPr>
            </w:pPr>
          </w:p>
        </w:tc>
      </w:tr>
      <w:tr w14:paraId="6B3B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2" w:type="dxa"/>
            <w:vAlign w:val="center"/>
          </w:tcPr>
          <w:p w14:paraId="36293728">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059" w:type="dxa"/>
            <w:vAlign w:val="center"/>
          </w:tcPr>
          <w:p w14:paraId="1095C966">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49908FF2">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5F460C61">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0A76BB7D">
            <w:pPr>
              <w:spacing w:line="360" w:lineRule="auto"/>
              <w:jc w:val="center"/>
              <w:rPr>
                <w:rFonts w:hint="eastAsia" w:asciiTheme="minorEastAsia" w:hAnsiTheme="minorEastAsia" w:eastAsiaTheme="minorEastAsia" w:cstheme="minorEastAsia"/>
                <w:sz w:val="24"/>
                <w:szCs w:val="24"/>
              </w:rPr>
            </w:pPr>
          </w:p>
        </w:tc>
      </w:tr>
      <w:tr w14:paraId="1057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2" w:type="dxa"/>
            <w:vAlign w:val="center"/>
          </w:tcPr>
          <w:p w14:paraId="6BD06314">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059" w:type="dxa"/>
            <w:vAlign w:val="center"/>
          </w:tcPr>
          <w:p w14:paraId="3DD9520F">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6606E96A">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7D20AE3D">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166C22EE">
            <w:pPr>
              <w:spacing w:line="360" w:lineRule="auto"/>
              <w:jc w:val="center"/>
              <w:rPr>
                <w:rFonts w:hint="eastAsia" w:asciiTheme="minorEastAsia" w:hAnsiTheme="minorEastAsia" w:eastAsiaTheme="minorEastAsia" w:cstheme="minorEastAsia"/>
                <w:sz w:val="24"/>
                <w:szCs w:val="24"/>
              </w:rPr>
            </w:pPr>
          </w:p>
        </w:tc>
      </w:tr>
      <w:tr w14:paraId="5495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2" w:type="dxa"/>
            <w:vAlign w:val="center"/>
          </w:tcPr>
          <w:p w14:paraId="577147CC">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059" w:type="dxa"/>
            <w:vAlign w:val="center"/>
          </w:tcPr>
          <w:p w14:paraId="635F304D">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41BD559C">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2BA2426C">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7CF178A8">
            <w:pPr>
              <w:spacing w:line="360" w:lineRule="auto"/>
              <w:jc w:val="center"/>
              <w:rPr>
                <w:rFonts w:hint="eastAsia" w:asciiTheme="minorEastAsia" w:hAnsiTheme="minorEastAsia" w:eastAsiaTheme="minorEastAsia" w:cstheme="minorEastAsia"/>
                <w:sz w:val="24"/>
                <w:szCs w:val="24"/>
              </w:rPr>
            </w:pPr>
          </w:p>
        </w:tc>
      </w:tr>
      <w:tr w14:paraId="2532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2" w:type="dxa"/>
            <w:vAlign w:val="center"/>
          </w:tcPr>
          <w:p w14:paraId="0401F5F3">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059" w:type="dxa"/>
            <w:vAlign w:val="center"/>
          </w:tcPr>
          <w:p w14:paraId="425B6294">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41823C1A">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54C10E36">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7CF4A7F2">
            <w:pPr>
              <w:spacing w:line="360" w:lineRule="auto"/>
              <w:jc w:val="center"/>
              <w:rPr>
                <w:rFonts w:hint="eastAsia" w:asciiTheme="minorEastAsia" w:hAnsiTheme="minorEastAsia" w:eastAsiaTheme="minorEastAsia" w:cstheme="minorEastAsia"/>
                <w:sz w:val="24"/>
                <w:szCs w:val="24"/>
              </w:rPr>
            </w:pPr>
          </w:p>
        </w:tc>
      </w:tr>
      <w:tr w14:paraId="6C12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52" w:type="dxa"/>
            <w:vAlign w:val="center"/>
          </w:tcPr>
          <w:p w14:paraId="45960BD7">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059" w:type="dxa"/>
            <w:vAlign w:val="center"/>
          </w:tcPr>
          <w:p w14:paraId="4EF1E905">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06F85D1D">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00922D22">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2B6BCE66">
            <w:pPr>
              <w:spacing w:line="360" w:lineRule="auto"/>
              <w:jc w:val="center"/>
              <w:rPr>
                <w:rFonts w:hint="eastAsia" w:asciiTheme="minorEastAsia" w:hAnsiTheme="minorEastAsia" w:eastAsiaTheme="minorEastAsia" w:cstheme="minorEastAsia"/>
                <w:sz w:val="24"/>
                <w:szCs w:val="24"/>
              </w:rPr>
            </w:pPr>
          </w:p>
        </w:tc>
      </w:tr>
      <w:tr w14:paraId="4701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52" w:type="dxa"/>
            <w:vAlign w:val="center"/>
          </w:tcPr>
          <w:p w14:paraId="4A0F002B">
            <w:pPr>
              <w:spacing w:line="360" w:lineRule="auto"/>
              <w:jc w:val="center"/>
              <w:rPr>
                <w:rFonts w:hint="eastAsia" w:asciiTheme="minorEastAsia" w:hAnsiTheme="minorEastAsia" w:eastAsiaTheme="minorEastAsia" w:cstheme="minorEastAsia"/>
                <w:sz w:val="24"/>
                <w:szCs w:val="24"/>
              </w:rPr>
            </w:pPr>
          </w:p>
        </w:tc>
        <w:tc>
          <w:tcPr>
            <w:tcW w:w="2059" w:type="dxa"/>
            <w:vAlign w:val="center"/>
          </w:tcPr>
          <w:p w14:paraId="3DE2991A">
            <w:pPr>
              <w:spacing w:line="360" w:lineRule="auto"/>
              <w:jc w:val="center"/>
              <w:rPr>
                <w:rFonts w:hint="eastAsia" w:asciiTheme="minorEastAsia" w:hAnsiTheme="minorEastAsia" w:eastAsiaTheme="minorEastAsia" w:cstheme="minorEastAsia"/>
                <w:sz w:val="24"/>
                <w:szCs w:val="24"/>
              </w:rPr>
            </w:pPr>
          </w:p>
        </w:tc>
        <w:tc>
          <w:tcPr>
            <w:tcW w:w="1829" w:type="dxa"/>
            <w:vAlign w:val="center"/>
          </w:tcPr>
          <w:p w14:paraId="522FE324">
            <w:pPr>
              <w:spacing w:line="360" w:lineRule="auto"/>
              <w:jc w:val="center"/>
              <w:rPr>
                <w:rFonts w:hint="eastAsia" w:asciiTheme="minorEastAsia" w:hAnsiTheme="minorEastAsia" w:eastAsiaTheme="minorEastAsia" w:cstheme="minorEastAsia"/>
                <w:sz w:val="24"/>
                <w:szCs w:val="24"/>
              </w:rPr>
            </w:pPr>
          </w:p>
        </w:tc>
        <w:tc>
          <w:tcPr>
            <w:tcW w:w="1680" w:type="dxa"/>
            <w:vAlign w:val="center"/>
          </w:tcPr>
          <w:p w14:paraId="7272B428">
            <w:pPr>
              <w:spacing w:line="360" w:lineRule="auto"/>
              <w:jc w:val="center"/>
              <w:rPr>
                <w:rFonts w:hint="eastAsia" w:asciiTheme="minorEastAsia" w:hAnsiTheme="minorEastAsia" w:eastAsiaTheme="minorEastAsia" w:cstheme="minorEastAsia"/>
                <w:sz w:val="24"/>
                <w:szCs w:val="24"/>
              </w:rPr>
            </w:pPr>
          </w:p>
        </w:tc>
        <w:tc>
          <w:tcPr>
            <w:tcW w:w="1558" w:type="dxa"/>
            <w:vAlign w:val="center"/>
          </w:tcPr>
          <w:p w14:paraId="7BBAD344">
            <w:pPr>
              <w:spacing w:line="360" w:lineRule="auto"/>
              <w:jc w:val="center"/>
              <w:rPr>
                <w:rFonts w:hint="eastAsia" w:asciiTheme="minorEastAsia" w:hAnsiTheme="minorEastAsia" w:eastAsiaTheme="minorEastAsia" w:cstheme="minorEastAsia"/>
                <w:sz w:val="24"/>
                <w:szCs w:val="24"/>
              </w:rPr>
            </w:pPr>
          </w:p>
        </w:tc>
      </w:tr>
    </w:tbl>
    <w:p w14:paraId="2EC798AE">
      <w:pPr>
        <w:spacing w:line="360" w:lineRule="auto"/>
        <w:ind w:firstLine="480" w:firstLineChars="200"/>
        <w:rPr>
          <w:rFonts w:hint="eastAsia" w:asciiTheme="minorEastAsia" w:hAnsiTheme="minorEastAsia" w:eastAsiaTheme="minorEastAsia" w:cstheme="minorEastAsia"/>
          <w:sz w:val="24"/>
          <w:szCs w:val="24"/>
        </w:rPr>
      </w:pPr>
    </w:p>
    <w:p w14:paraId="137407C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注</w:t>
      </w:r>
      <w:r>
        <w:rPr>
          <w:rFonts w:hint="eastAsia" w:asciiTheme="minorEastAsia" w:hAnsiTheme="minorEastAsia" w:eastAsiaTheme="minorEastAsia" w:cstheme="minorEastAsia"/>
          <w:sz w:val="24"/>
          <w:szCs w:val="24"/>
        </w:rPr>
        <w:t>：1、应与文件要求逐条对应填写，投标人应据实填写技术参数及规格，否则视为不响应。</w:t>
      </w:r>
    </w:p>
    <w:p w14:paraId="484A4735">
      <w:pPr>
        <w:spacing w:line="360" w:lineRule="auto"/>
        <w:ind w:firstLine="480" w:firstLineChars="200"/>
        <w:outlineLvl w:val="0"/>
        <w:rPr>
          <w:rFonts w:hint="eastAsia" w:asciiTheme="minorEastAsia" w:hAnsiTheme="minorEastAsia" w:eastAsiaTheme="minorEastAsia" w:cstheme="minorEastAsia"/>
          <w:sz w:val="24"/>
          <w:szCs w:val="24"/>
        </w:rPr>
      </w:pPr>
      <w:bookmarkStart w:id="518" w:name="_Toc27260"/>
      <w:bookmarkStart w:id="519" w:name="_Toc2895"/>
      <w:bookmarkStart w:id="520" w:name="_Toc10128"/>
      <w:bookmarkStart w:id="521" w:name="_Toc22102"/>
      <w:bookmarkStart w:id="522" w:name="_Toc26710"/>
      <w:bookmarkStart w:id="523" w:name="_Toc25044"/>
      <w:bookmarkStart w:id="524" w:name="_Toc19947"/>
      <w:bookmarkStart w:id="525" w:name="_Toc17337"/>
      <w:bookmarkStart w:id="526" w:name="_Toc27615"/>
      <w:bookmarkStart w:id="527" w:name="_Toc11867"/>
      <w:bookmarkStart w:id="528" w:name="_Toc31559"/>
      <w:bookmarkStart w:id="529" w:name="_Toc16515"/>
      <w:r>
        <w:rPr>
          <w:rFonts w:hint="eastAsia" w:asciiTheme="minorEastAsia" w:hAnsiTheme="minorEastAsia" w:eastAsiaTheme="minorEastAsia" w:cstheme="minorEastAsia"/>
          <w:sz w:val="24"/>
          <w:szCs w:val="24"/>
        </w:rPr>
        <w:t>2、本表如填写不完，可以续页。</w:t>
      </w:r>
      <w:bookmarkEnd w:id="518"/>
      <w:bookmarkEnd w:id="519"/>
      <w:bookmarkEnd w:id="520"/>
      <w:bookmarkEnd w:id="521"/>
      <w:bookmarkEnd w:id="522"/>
      <w:bookmarkEnd w:id="523"/>
      <w:bookmarkEnd w:id="524"/>
      <w:bookmarkEnd w:id="525"/>
      <w:bookmarkEnd w:id="526"/>
      <w:bookmarkEnd w:id="527"/>
      <w:bookmarkEnd w:id="528"/>
      <w:bookmarkEnd w:id="529"/>
    </w:p>
    <w:p w14:paraId="03015260">
      <w:pPr>
        <w:spacing w:line="360" w:lineRule="auto"/>
        <w:ind w:firstLine="480" w:firstLineChars="200"/>
        <w:outlineLvl w:val="0"/>
        <w:rPr>
          <w:rFonts w:hint="eastAsia" w:asciiTheme="minorEastAsia" w:hAnsiTheme="minorEastAsia" w:eastAsiaTheme="minorEastAsia" w:cstheme="minorEastAsia"/>
          <w:sz w:val="24"/>
          <w:szCs w:val="24"/>
        </w:rPr>
      </w:pPr>
    </w:p>
    <w:p w14:paraId="260C18C8">
      <w:pPr>
        <w:spacing w:line="360" w:lineRule="auto"/>
        <w:rPr>
          <w:rFonts w:hint="eastAsia" w:asciiTheme="minorEastAsia" w:hAnsiTheme="minorEastAsia" w:eastAsiaTheme="minorEastAsia" w:cstheme="minorEastAsia"/>
          <w:sz w:val="24"/>
          <w:szCs w:val="24"/>
        </w:rPr>
      </w:pPr>
    </w:p>
    <w:p w14:paraId="33B5F2D9">
      <w:pPr>
        <w:spacing w:line="360" w:lineRule="auto"/>
        <w:rPr>
          <w:rFonts w:hint="eastAsia" w:asciiTheme="minorEastAsia" w:hAnsiTheme="minorEastAsia" w:eastAsiaTheme="minorEastAsia" w:cstheme="minorEastAsia"/>
          <w:sz w:val="24"/>
          <w:szCs w:val="24"/>
        </w:rPr>
      </w:pPr>
    </w:p>
    <w:p w14:paraId="26D09CCA">
      <w:pPr>
        <w:spacing w:line="360" w:lineRule="auto"/>
        <w:rPr>
          <w:rFonts w:hint="eastAsia" w:asciiTheme="minorEastAsia" w:hAnsiTheme="minorEastAsia" w:eastAsiaTheme="minorEastAsia" w:cstheme="minorEastAsia"/>
          <w:sz w:val="24"/>
          <w:szCs w:val="24"/>
        </w:rPr>
      </w:pPr>
    </w:p>
    <w:p w14:paraId="488D7D68">
      <w:pPr>
        <w:adjustRightInd w:val="0"/>
        <w:snapToGrid w:val="0"/>
        <w:ind w:left="1611" w:leftChars="767"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投标人名称（盖公章）：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63C6C5D2">
      <w:pPr>
        <w:adjustRightInd w:val="0"/>
        <w:snapToGrid w:val="0"/>
        <w:ind w:left="1611" w:leftChars="767"/>
        <w:rPr>
          <w:rFonts w:hint="eastAsia" w:asciiTheme="minorEastAsia" w:hAnsiTheme="minorEastAsia" w:eastAsiaTheme="minorEastAsia" w:cstheme="minorEastAsia"/>
          <w:sz w:val="24"/>
          <w:szCs w:val="24"/>
        </w:rPr>
      </w:pPr>
    </w:p>
    <w:p w14:paraId="639BFC0A">
      <w:pPr>
        <w:adjustRightInd w:val="0"/>
        <w:snapToGrid w:val="0"/>
        <w:ind w:left="1611" w:leftChars="767"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6D2DF37C">
      <w:pPr>
        <w:adjustRightInd w:val="0"/>
        <w:snapToGrid w:val="0"/>
        <w:ind w:left="1611" w:leftChars="767"/>
        <w:rPr>
          <w:rFonts w:hint="eastAsia" w:asciiTheme="minorEastAsia" w:hAnsiTheme="minorEastAsia" w:eastAsiaTheme="minorEastAsia" w:cstheme="minorEastAsia"/>
          <w:sz w:val="24"/>
          <w:szCs w:val="24"/>
        </w:rPr>
      </w:pPr>
    </w:p>
    <w:p w14:paraId="1CDD25C1">
      <w:pPr>
        <w:adjustRightInd w:val="0"/>
        <w:snapToGrid w:val="0"/>
        <w:ind w:left="1611" w:leftChars="767"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2475016C">
      <w:pPr>
        <w:adjustRightInd w:val="0"/>
        <w:snapToGrid w:val="0"/>
        <w:ind w:left="2108" w:leftChars="1004"/>
        <w:rPr>
          <w:rFonts w:hint="eastAsia" w:asciiTheme="minorEastAsia" w:hAnsiTheme="minorEastAsia" w:eastAsiaTheme="minorEastAsia" w:cstheme="minorEastAsia"/>
          <w:sz w:val="24"/>
          <w:szCs w:val="24"/>
        </w:rPr>
      </w:pPr>
    </w:p>
    <w:p w14:paraId="3007A9AB">
      <w:pPr>
        <w:adjustRightInd w:val="0"/>
        <w:snapToGrid w:val="0"/>
        <w:ind w:left="2108" w:leftChars="1004"/>
        <w:rPr>
          <w:rFonts w:ascii="宋体" w:hAnsi="宋体"/>
          <w:szCs w:val="21"/>
        </w:rPr>
      </w:pPr>
    </w:p>
    <w:p w14:paraId="2FA037BC">
      <w:pPr>
        <w:adjustRightInd w:val="0"/>
        <w:snapToGrid w:val="0"/>
        <w:jc w:val="center"/>
        <w:rPr>
          <w:rFonts w:hAnsi="宋体"/>
        </w:rPr>
      </w:pPr>
      <w:bookmarkStart w:id="530" w:name="_Toc387653055"/>
      <w:r>
        <w:rPr>
          <w:rFonts w:hint="eastAsia" w:hAnsi="宋体"/>
        </w:rPr>
        <w:br w:type="page"/>
      </w:r>
    </w:p>
    <w:bookmarkEnd w:id="530"/>
    <w:p w14:paraId="022AD776">
      <w:pPr>
        <w:widowControl/>
        <w:spacing w:line="360" w:lineRule="auto"/>
        <w:jc w:val="center"/>
        <w:outlineLvl w:val="0"/>
        <w:rPr>
          <w:rFonts w:hint="eastAsia" w:ascii="宋体" w:hAnsi="宋体" w:cs="宋体"/>
          <w:b/>
          <w:bCs/>
          <w:kern w:val="0"/>
          <w:szCs w:val="21"/>
        </w:rPr>
      </w:pPr>
      <w:bookmarkStart w:id="531" w:name="_Toc20916"/>
      <w:bookmarkStart w:id="532" w:name="_Toc17336"/>
      <w:bookmarkStart w:id="533" w:name="_Toc1064"/>
      <w:bookmarkStart w:id="534" w:name="_Toc13642"/>
      <w:bookmarkStart w:id="535" w:name="_Toc17204509"/>
      <w:bookmarkStart w:id="536" w:name="_Toc24940"/>
      <w:bookmarkStart w:id="537" w:name="_Toc515570493"/>
    </w:p>
    <w:p w14:paraId="113FA273">
      <w:pPr>
        <w:widowControl/>
        <w:spacing w:line="360" w:lineRule="auto"/>
        <w:jc w:val="center"/>
        <w:outlineLvl w:val="0"/>
        <w:rPr>
          <w:rFonts w:ascii="宋体" w:hAnsi="宋体" w:cs="宋体"/>
          <w:b/>
          <w:bCs/>
          <w:kern w:val="0"/>
          <w:sz w:val="24"/>
          <w:szCs w:val="24"/>
        </w:rPr>
      </w:pPr>
      <w:r>
        <w:rPr>
          <w:rFonts w:hint="eastAsia" w:ascii="宋体" w:hAnsi="宋体" w:cs="宋体"/>
          <w:b/>
          <w:bCs/>
          <w:kern w:val="0"/>
          <w:sz w:val="24"/>
          <w:szCs w:val="24"/>
        </w:rPr>
        <w:t>10.供货组织情况及实施方案</w:t>
      </w:r>
      <w:bookmarkEnd w:id="531"/>
      <w:bookmarkEnd w:id="532"/>
      <w:bookmarkEnd w:id="533"/>
      <w:bookmarkEnd w:id="534"/>
    </w:p>
    <w:p w14:paraId="6E568281">
      <w:pPr>
        <w:pStyle w:val="16"/>
        <w:jc w:val="center"/>
        <w:rPr>
          <w:sz w:val="24"/>
          <w:szCs w:val="24"/>
        </w:rPr>
      </w:pPr>
      <w:r>
        <w:rPr>
          <w:rFonts w:hint="eastAsia"/>
          <w:sz w:val="24"/>
          <w:szCs w:val="24"/>
        </w:rPr>
        <w:t>（格式自拟）</w:t>
      </w:r>
    </w:p>
    <w:p w14:paraId="51B0E788">
      <w:pPr>
        <w:widowControl/>
        <w:spacing w:line="360" w:lineRule="auto"/>
        <w:jc w:val="center"/>
        <w:outlineLvl w:val="0"/>
        <w:rPr>
          <w:rFonts w:ascii="宋体" w:hAnsi="宋体" w:cs="宋体"/>
          <w:b/>
          <w:bCs/>
          <w:kern w:val="0"/>
          <w:sz w:val="24"/>
          <w:szCs w:val="24"/>
        </w:rPr>
      </w:pPr>
    </w:p>
    <w:p w14:paraId="2B8884B0">
      <w:pPr>
        <w:widowControl/>
        <w:spacing w:line="360" w:lineRule="auto"/>
        <w:jc w:val="center"/>
        <w:outlineLvl w:val="0"/>
        <w:rPr>
          <w:rFonts w:hint="eastAsia" w:ascii="宋体" w:hAnsi="宋体" w:cs="宋体"/>
          <w:b/>
          <w:bCs/>
          <w:kern w:val="0"/>
          <w:sz w:val="24"/>
          <w:szCs w:val="24"/>
        </w:rPr>
      </w:pPr>
      <w:bookmarkStart w:id="538" w:name="_Toc4172"/>
      <w:bookmarkStart w:id="539" w:name="_Toc21749"/>
      <w:bookmarkStart w:id="540" w:name="_Toc19690"/>
      <w:bookmarkStart w:id="541" w:name="_Toc660"/>
    </w:p>
    <w:p w14:paraId="34C4D45A">
      <w:pPr>
        <w:widowControl/>
        <w:spacing w:line="360" w:lineRule="auto"/>
        <w:jc w:val="center"/>
        <w:outlineLvl w:val="0"/>
        <w:rPr>
          <w:rFonts w:hint="eastAsia" w:ascii="宋体" w:hAnsi="宋体" w:cs="宋体"/>
          <w:b/>
          <w:bCs/>
          <w:kern w:val="0"/>
          <w:sz w:val="24"/>
          <w:szCs w:val="24"/>
        </w:rPr>
      </w:pPr>
    </w:p>
    <w:p w14:paraId="5FF7474B">
      <w:pPr>
        <w:widowControl/>
        <w:spacing w:line="360" w:lineRule="auto"/>
        <w:jc w:val="center"/>
        <w:outlineLvl w:val="0"/>
        <w:rPr>
          <w:rFonts w:hint="eastAsia" w:ascii="宋体" w:hAnsi="宋体" w:cs="宋体"/>
          <w:b/>
          <w:bCs/>
          <w:kern w:val="0"/>
          <w:sz w:val="24"/>
          <w:szCs w:val="24"/>
        </w:rPr>
      </w:pPr>
    </w:p>
    <w:p w14:paraId="4D0E3D86">
      <w:pPr>
        <w:widowControl/>
        <w:spacing w:line="360" w:lineRule="auto"/>
        <w:jc w:val="center"/>
        <w:outlineLvl w:val="0"/>
        <w:rPr>
          <w:rFonts w:hint="eastAsia" w:ascii="宋体" w:hAnsi="宋体" w:cs="宋体"/>
          <w:b/>
          <w:bCs/>
          <w:kern w:val="0"/>
          <w:sz w:val="24"/>
          <w:szCs w:val="24"/>
        </w:rPr>
      </w:pPr>
    </w:p>
    <w:p w14:paraId="017F455C">
      <w:pPr>
        <w:widowControl/>
        <w:spacing w:line="360" w:lineRule="auto"/>
        <w:jc w:val="center"/>
        <w:outlineLvl w:val="0"/>
        <w:rPr>
          <w:rFonts w:hint="eastAsia" w:ascii="宋体" w:hAnsi="宋体" w:cs="宋体"/>
          <w:b/>
          <w:bCs/>
          <w:kern w:val="0"/>
          <w:sz w:val="24"/>
          <w:szCs w:val="24"/>
        </w:rPr>
      </w:pPr>
    </w:p>
    <w:p w14:paraId="74872A2E">
      <w:pPr>
        <w:widowControl/>
        <w:spacing w:line="360" w:lineRule="auto"/>
        <w:jc w:val="center"/>
        <w:outlineLvl w:val="0"/>
        <w:rPr>
          <w:rFonts w:ascii="宋体" w:hAnsi="宋体" w:cs="宋体"/>
          <w:b/>
          <w:bCs/>
          <w:kern w:val="0"/>
          <w:sz w:val="24"/>
          <w:szCs w:val="24"/>
        </w:rPr>
      </w:pPr>
      <w:r>
        <w:rPr>
          <w:rFonts w:hint="eastAsia" w:ascii="宋体" w:hAnsi="宋体" w:cs="宋体"/>
          <w:b/>
          <w:bCs/>
          <w:kern w:val="0"/>
          <w:sz w:val="24"/>
          <w:szCs w:val="24"/>
        </w:rPr>
        <w:t>11.售后服务方案及承诺书</w:t>
      </w:r>
      <w:bookmarkEnd w:id="538"/>
      <w:bookmarkEnd w:id="539"/>
      <w:bookmarkEnd w:id="540"/>
      <w:bookmarkEnd w:id="541"/>
    </w:p>
    <w:p w14:paraId="0DCCEF3F">
      <w:pPr>
        <w:pStyle w:val="16"/>
        <w:jc w:val="center"/>
        <w:rPr>
          <w:sz w:val="24"/>
          <w:szCs w:val="24"/>
        </w:rPr>
      </w:pPr>
      <w:r>
        <w:rPr>
          <w:rFonts w:hint="eastAsia"/>
          <w:sz w:val="24"/>
          <w:szCs w:val="24"/>
        </w:rPr>
        <w:t>（格式自拟）</w:t>
      </w:r>
    </w:p>
    <w:p w14:paraId="50329CD5">
      <w:pPr>
        <w:widowControl/>
        <w:spacing w:line="360" w:lineRule="auto"/>
        <w:jc w:val="center"/>
        <w:outlineLvl w:val="0"/>
        <w:rPr>
          <w:rFonts w:ascii="宋体" w:hAnsi="宋体" w:cs="宋体"/>
          <w:b/>
          <w:bCs/>
          <w:kern w:val="0"/>
          <w:sz w:val="24"/>
          <w:szCs w:val="24"/>
        </w:rPr>
      </w:pPr>
    </w:p>
    <w:p w14:paraId="4904E286">
      <w:pPr>
        <w:widowControl/>
        <w:spacing w:line="360" w:lineRule="auto"/>
        <w:jc w:val="center"/>
        <w:outlineLvl w:val="0"/>
        <w:rPr>
          <w:rFonts w:ascii="宋体" w:hAnsi="宋体" w:cs="宋体"/>
          <w:b/>
          <w:bCs/>
          <w:kern w:val="0"/>
          <w:sz w:val="24"/>
          <w:szCs w:val="24"/>
        </w:rPr>
      </w:pPr>
    </w:p>
    <w:p w14:paraId="3E57532B">
      <w:pPr>
        <w:widowControl/>
        <w:spacing w:line="360" w:lineRule="auto"/>
        <w:jc w:val="center"/>
        <w:outlineLvl w:val="0"/>
        <w:rPr>
          <w:rFonts w:hint="eastAsia" w:ascii="宋体" w:hAnsi="宋体" w:cs="宋体"/>
          <w:b/>
          <w:bCs/>
          <w:kern w:val="0"/>
          <w:sz w:val="24"/>
          <w:szCs w:val="24"/>
        </w:rPr>
      </w:pPr>
      <w:bookmarkStart w:id="542" w:name="_Toc11445"/>
      <w:bookmarkStart w:id="543" w:name="_Toc497"/>
      <w:bookmarkStart w:id="544" w:name="_Toc3460"/>
      <w:bookmarkStart w:id="545" w:name="_Toc20618"/>
    </w:p>
    <w:p w14:paraId="29291FCF">
      <w:pPr>
        <w:widowControl/>
        <w:spacing w:line="360" w:lineRule="auto"/>
        <w:jc w:val="center"/>
        <w:outlineLvl w:val="0"/>
        <w:rPr>
          <w:rFonts w:hint="eastAsia" w:ascii="宋体" w:hAnsi="宋体" w:cs="宋体"/>
          <w:b/>
          <w:bCs/>
          <w:kern w:val="0"/>
          <w:sz w:val="24"/>
          <w:szCs w:val="24"/>
        </w:rPr>
      </w:pPr>
    </w:p>
    <w:p w14:paraId="5E87D3BF">
      <w:pPr>
        <w:widowControl/>
        <w:spacing w:line="360" w:lineRule="auto"/>
        <w:jc w:val="center"/>
        <w:outlineLvl w:val="0"/>
        <w:rPr>
          <w:rFonts w:hint="eastAsia" w:ascii="宋体" w:hAnsi="宋体" w:cs="宋体"/>
          <w:b/>
          <w:bCs/>
          <w:kern w:val="0"/>
          <w:sz w:val="24"/>
          <w:szCs w:val="24"/>
        </w:rPr>
      </w:pPr>
    </w:p>
    <w:p w14:paraId="62B0C617">
      <w:pPr>
        <w:widowControl/>
        <w:spacing w:line="360" w:lineRule="auto"/>
        <w:jc w:val="center"/>
        <w:outlineLvl w:val="0"/>
        <w:rPr>
          <w:rFonts w:hint="eastAsia" w:ascii="宋体" w:hAnsi="宋体" w:cs="宋体"/>
          <w:b/>
          <w:bCs/>
          <w:kern w:val="0"/>
          <w:sz w:val="24"/>
          <w:szCs w:val="24"/>
        </w:rPr>
      </w:pPr>
    </w:p>
    <w:p w14:paraId="0A30428C">
      <w:pPr>
        <w:widowControl/>
        <w:spacing w:line="360" w:lineRule="auto"/>
        <w:jc w:val="center"/>
        <w:outlineLvl w:val="0"/>
        <w:rPr>
          <w:rFonts w:hint="eastAsia" w:ascii="宋体" w:hAnsi="宋体" w:cs="宋体"/>
          <w:b/>
          <w:bCs/>
          <w:kern w:val="0"/>
          <w:sz w:val="24"/>
          <w:szCs w:val="24"/>
        </w:rPr>
      </w:pPr>
    </w:p>
    <w:p w14:paraId="6ED5F725">
      <w:pPr>
        <w:widowControl/>
        <w:spacing w:line="360" w:lineRule="auto"/>
        <w:jc w:val="center"/>
        <w:outlineLvl w:val="0"/>
        <w:rPr>
          <w:rFonts w:ascii="宋体" w:hAnsi="宋体" w:cs="宋体"/>
          <w:b/>
          <w:bCs/>
          <w:kern w:val="0"/>
          <w:sz w:val="24"/>
          <w:szCs w:val="24"/>
        </w:rPr>
      </w:pPr>
      <w:r>
        <w:rPr>
          <w:rFonts w:hint="eastAsia" w:ascii="宋体" w:hAnsi="宋体" w:cs="宋体"/>
          <w:b/>
          <w:bCs/>
          <w:kern w:val="0"/>
          <w:sz w:val="24"/>
          <w:szCs w:val="24"/>
        </w:rPr>
        <w:t>12.其它证明材料</w:t>
      </w:r>
      <w:bookmarkEnd w:id="517"/>
      <w:bookmarkEnd w:id="535"/>
      <w:bookmarkEnd w:id="536"/>
      <w:bookmarkEnd w:id="537"/>
      <w:bookmarkEnd w:id="542"/>
      <w:bookmarkEnd w:id="543"/>
      <w:bookmarkEnd w:id="544"/>
      <w:bookmarkEnd w:id="545"/>
    </w:p>
    <w:p w14:paraId="2C349F8A">
      <w:pPr>
        <w:ind w:firstLine="720" w:firstLineChars="300"/>
        <w:rPr>
          <w:rFonts w:ascii="宋体" w:hAnsi="宋体"/>
          <w:sz w:val="24"/>
          <w:szCs w:val="24"/>
        </w:rPr>
      </w:pPr>
      <w:r>
        <w:rPr>
          <w:rFonts w:hint="eastAsia" w:ascii="宋体" w:hAnsi="宋体"/>
          <w:sz w:val="24"/>
          <w:szCs w:val="24"/>
        </w:rPr>
        <w:t>投标人根据评标办法认为对其参与评审有利的其它证明材料（格式自拟）。</w:t>
      </w:r>
    </w:p>
    <w:p w14:paraId="65C5CBE1">
      <w:pPr>
        <w:pStyle w:val="4"/>
        <w:rPr>
          <w:rFonts w:hint="default" w:ascii="宋体" w:hAnsi="宋体"/>
          <w:sz w:val="24"/>
          <w:szCs w:val="24"/>
        </w:rPr>
      </w:pPr>
    </w:p>
    <w:p w14:paraId="0F1B9582"/>
    <w:p w14:paraId="77D15CD7">
      <w:pPr>
        <w:pStyle w:val="16"/>
      </w:pPr>
    </w:p>
    <w:p w14:paraId="580C69F7"/>
    <w:p w14:paraId="4BC7B3E8">
      <w:pPr>
        <w:pStyle w:val="16"/>
      </w:pPr>
    </w:p>
    <w:p w14:paraId="7A3BCBDD"/>
    <w:p w14:paraId="701E8036">
      <w:pPr>
        <w:pStyle w:val="16"/>
      </w:pPr>
    </w:p>
    <w:p w14:paraId="3AEEEEF2"/>
    <w:p w14:paraId="711AF359">
      <w:pPr>
        <w:pStyle w:val="16"/>
      </w:pPr>
    </w:p>
    <w:p w14:paraId="04081704"/>
    <w:p w14:paraId="68648F32">
      <w:pPr>
        <w:pStyle w:val="16"/>
      </w:pPr>
    </w:p>
    <w:p w14:paraId="3D68FBDF"/>
    <w:p w14:paraId="23B200CC">
      <w:pPr>
        <w:pStyle w:val="16"/>
      </w:pPr>
    </w:p>
    <w:p w14:paraId="38C05253">
      <w:pPr>
        <w:widowControl/>
        <w:spacing w:line="360" w:lineRule="auto"/>
        <w:jc w:val="center"/>
        <w:outlineLvl w:val="0"/>
        <w:rPr>
          <w:rFonts w:hint="eastAsia" w:asciiTheme="minorEastAsia" w:hAnsiTheme="minorEastAsia" w:eastAsiaTheme="minorEastAsia" w:cstheme="minorEastAsia"/>
          <w:b/>
          <w:bCs/>
          <w:kern w:val="0"/>
          <w:sz w:val="24"/>
          <w:szCs w:val="24"/>
        </w:rPr>
      </w:pPr>
      <w:bookmarkStart w:id="546" w:name="_Toc4723"/>
      <w:bookmarkStart w:id="547" w:name="_Toc11178"/>
      <w:bookmarkStart w:id="548" w:name="_Toc28119"/>
      <w:bookmarkStart w:id="549" w:name="_Toc6493"/>
      <w:r>
        <w:rPr>
          <w:rFonts w:hint="eastAsia" w:asciiTheme="minorEastAsia" w:hAnsiTheme="minorEastAsia" w:eastAsiaTheme="minorEastAsia" w:cstheme="minorEastAsia"/>
          <w:b/>
          <w:bCs/>
          <w:kern w:val="0"/>
          <w:sz w:val="24"/>
          <w:szCs w:val="24"/>
        </w:rPr>
        <w:t>13.声明函</w:t>
      </w:r>
      <w:bookmarkEnd w:id="503"/>
      <w:bookmarkEnd w:id="504"/>
      <w:bookmarkEnd w:id="505"/>
      <w:bookmarkEnd w:id="506"/>
      <w:bookmarkEnd w:id="546"/>
      <w:bookmarkEnd w:id="547"/>
      <w:bookmarkEnd w:id="548"/>
      <w:bookmarkEnd w:id="549"/>
    </w:p>
    <w:p w14:paraId="3576C79A">
      <w:pPr>
        <w:pStyle w:val="39"/>
        <w:spacing w:line="375" w:lineRule="atLeast"/>
        <w:jc w:val="center"/>
        <w:outlineLvl w:val="0"/>
        <w:rPr>
          <w:rFonts w:hint="eastAsia" w:asciiTheme="minorEastAsia" w:hAnsiTheme="minorEastAsia" w:eastAsiaTheme="minorEastAsia" w:cstheme="minorEastAsia"/>
          <w:sz w:val="24"/>
          <w:szCs w:val="24"/>
        </w:rPr>
      </w:pPr>
      <w:bookmarkStart w:id="550" w:name="_Toc17204503"/>
      <w:bookmarkStart w:id="551" w:name="_Toc515570488"/>
      <w:bookmarkStart w:id="552" w:name="_Toc29854"/>
      <w:bookmarkStart w:id="553" w:name="_Toc28931"/>
      <w:bookmarkStart w:id="554" w:name="_Toc27136"/>
      <w:bookmarkStart w:id="555" w:name="_Toc23935"/>
      <w:bookmarkStart w:id="556" w:name="_Toc515520686"/>
      <w:bookmarkStart w:id="557" w:name="_Toc32220"/>
      <w:bookmarkStart w:id="558" w:name="_Toc17809"/>
      <w:r>
        <w:rPr>
          <w:rFonts w:hint="eastAsia" w:asciiTheme="minorEastAsia" w:hAnsiTheme="minorEastAsia" w:eastAsiaTheme="minorEastAsia" w:cstheme="minorEastAsia"/>
          <w:sz w:val="24"/>
          <w:szCs w:val="24"/>
        </w:rPr>
        <w:t>（一）中小企业声明函</w:t>
      </w:r>
      <w:bookmarkEnd w:id="550"/>
      <w:bookmarkEnd w:id="551"/>
      <w:bookmarkEnd w:id="552"/>
      <w:bookmarkEnd w:id="553"/>
      <w:bookmarkEnd w:id="554"/>
      <w:bookmarkEnd w:id="555"/>
      <w:bookmarkEnd w:id="556"/>
      <w:bookmarkEnd w:id="557"/>
      <w:bookmarkEnd w:id="558"/>
    </w:p>
    <w:p w14:paraId="02AD388A">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本公司（联合体）郑重声明，根据《政府采购促进中小企业发展管理办法》（财库﹝2020﹞46 号）的规定，本公司 （联合体）参加</w:t>
      </w:r>
      <w:r>
        <w:rPr>
          <w:rFonts w:hint="eastAsia" w:asciiTheme="minorEastAsia" w:hAnsiTheme="minorEastAsia" w:eastAsiaTheme="minorEastAsia" w:cstheme="minorEastAsia"/>
          <w:spacing w:val="6"/>
          <w:sz w:val="24"/>
          <w:szCs w:val="24"/>
          <w:u w:val="single"/>
        </w:rPr>
        <w:t>（单位名称）</w:t>
      </w:r>
      <w:r>
        <w:rPr>
          <w:rFonts w:hint="eastAsia" w:asciiTheme="minorEastAsia" w:hAnsiTheme="minorEastAsia" w:eastAsiaTheme="minorEastAsia" w:cstheme="minorEastAsia"/>
          <w:spacing w:val="6"/>
          <w:sz w:val="24"/>
          <w:szCs w:val="24"/>
        </w:rPr>
        <w:t>的</w:t>
      </w:r>
      <w:r>
        <w:rPr>
          <w:rFonts w:hint="eastAsia" w:asciiTheme="minorEastAsia" w:hAnsiTheme="minorEastAsia" w:eastAsiaTheme="minorEastAsia" w:cstheme="minorEastAsia"/>
          <w:spacing w:val="6"/>
          <w:sz w:val="24"/>
          <w:szCs w:val="24"/>
          <w:u w:val="single"/>
        </w:rPr>
        <w:t>（项目名称）</w:t>
      </w:r>
      <w:r>
        <w:rPr>
          <w:rFonts w:hint="eastAsia" w:asciiTheme="minorEastAsia" w:hAnsiTheme="minorEastAsia" w:eastAsiaTheme="minorEastAsia" w:cstheme="minorEastAsia"/>
          <w:spacing w:val="6"/>
          <w:sz w:val="24"/>
          <w:szCs w:val="24"/>
        </w:rPr>
        <w:t xml:space="preserve">采购活动，提供的货物全部由符合政策要求的中小企业制造。相关企业 （含联合体中的中小企业、签订分包意向协议的中小企业）的具体情况如下： </w:t>
      </w:r>
    </w:p>
    <w:p w14:paraId="251B38BF">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 xml:space="preserve">1. </w:t>
      </w:r>
      <w:r>
        <w:rPr>
          <w:rFonts w:hint="eastAsia" w:asciiTheme="minorEastAsia" w:hAnsiTheme="minorEastAsia" w:eastAsiaTheme="minorEastAsia" w:cstheme="minorEastAsia"/>
          <w:spacing w:val="6"/>
          <w:sz w:val="24"/>
          <w:szCs w:val="24"/>
          <w:u w:val="single"/>
        </w:rPr>
        <w:t>（标的名称）</w:t>
      </w:r>
      <w:r>
        <w:rPr>
          <w:rFonts w:hint="eastAsia" w:asciiTheme="minorEastAsia" w:hAnsiTheme="minorEastAsia" w:eastAsiaTheme="minorEastAsia" w:cstheme="minorEastAsia"/>
          <w:spacing w:val="6"/>
          <w:sz w:val="24"/>
          <w:szCs w:val="24"/>
        </w:rPr>
        <w:t xml:space="preserve"> ，属于</w:t>
      </w:r>
      <w:r>
        <w:rPr>
          <w:rFonts w:hint="eastAsia" w:asciiTheme="minorEastAsia" w:hAnsiTheme="minorEastAsia" w:eastAsiaTheme="minorEastAsia" w:cstheme="minorEastAsia"/>
          <w:spacing w:val="6"/>
          <w:sz w:val="24"/>
          <w:szCs w:val="24"/>
          <w:u w:val="single"/>
        </w:rPr>
        <w:t>（采购文件中明确的所属行业）行业</w:t>
      </w:r>
      <w:r>
        <w:rPr>
          <w:rFonts w:hint="eastAsia" w:asciiTheme="minorEastAsia" w:hAnsiTheme="minorEastAsia" w:eastAsiaTheme="minorEastAsia" w:cstheme="minorEastAsia"/>
          <w:spacing w:val="6"/>
          <w:sz w:val="24"/>
          <w:szCs w:val="24"/>
        </w:rPr>
        <w:t>；制造商为</w:t>
      </w:r>
      <w:r>
        <w:rPr>
          <w:rFonts w:hint="eastAsia" w:asciiTheme="minorEastAsia" w:hAnsiTheme="minorEastAsia" w:eastAsiaTheme="minorEastAsia" w:cstheme="minorEastAsia"/>
          <w:spacing w:val="6"/>
          <w:sz w:val="24"/>
          <w:szCs w:val="24"/>
          <w:u w:val="single"/>
        </w:rPr>
        <w:t>（企业名称</w:t>
      </w:r>
      <w:r>
        <w:rPr>
          <w:rFonts w:hint="eastAsia" w:asciiTheme="minorEastAsia" w:hAnsiTheme="minorEastAsia" w:eastAsiaTheme="minorEastAsia" w:cstheme="minorEastAsia"/>
          <w:spacing w:val="6"/>
          <w:sz w:val="24"/>
          <w:szCs w:val="24"/>
        </w:rPr>
        <w:t>），从业人员</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人，营业收入为</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万元，资产总额为</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万元，属于</w:t>
      </w:r>
      <w:r>
        <w:rPr>
          <w:rFonts w:hint="eastAsia" w:asciiTheme="minorEastAsia" w:hAnsiTheme="minorEastAsia" w:eastAsiaTheme="minorEastAsia" w:cstheme="minorEastAsia"/>
          <w:spacing w:val="6"/>
          <w:sz w:val="24"/>
          <w:szCs w:val="24"/>
          <w:u w:val="single"/>
        </w:rPr>
        <w:t>（中型企业、小型企业、微型企业）</w:t>
      </w:r>
      <w:r>
        <w:rPr>
          <w:rFonts w:hint="eastAsia" w:asciiTheme="minorEastAsia" w:hAnsiTheme="minorEastAsia" w:eastAsiaTheme="minorEastAsia" w:cstheme="minorEastAsia"/>
          <w:spacing w:val="6"/>
          <w:sz w:val="24"/>
          <w:szCs w:val="24"/>
        </w:rPr>
        <w:t xml:space="preserve">； </w:t>
      </w:r>
    </w:p>
    <w:p w14:paraId="343D8F80">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 xml:space="preserve">2. </w:t>
      </w:r>
      <w:r>
        <w:rPr>
          <w:rFonts w:hint="eastAsia" w:asciiTheme="minorEastAsia" w:hAnsiTheme="minorEastAsia" w:eastAsiaTheme="minorEastAsia" w:cstheme="minorEastAsia"/>
          <w:spacing w:val="6"/>
          <w:sz w:val="24"/>
          <w:szCs w:val="24"/>
          <w:u w:val="single"/>
        </w:rPr>
        <w:t xml:space="preserve">（标的名称） </w:t>
      </w:r>
      <w:r>
        <w:rPr>
          <w:rFonts w:hint="eastAsia" w:asciiTheme="minorEastAsia" w:hAnsiTheme="minorEastAsia" w:eastAsiaTheme="minorEastAsia" w:cstheme="minorEastAsia"/>
          <w:spacing w:val="6"/>
          <w:sz w:val="24"/>
          <w:szCs w:val="24"/>
        </w:rPr>
        <w:t>，属于</w:t>
      </w:r>
      <w:r>
        <w:rPr>
          <w:rFonts w:hint="eastAsia" w:asciiTheme="minorEastAsia" w:hAnsiTheme="minorEastAsia" w:eastAsiaTheme="minorEastAsia" w:cstheme="minorEastAsia"/>
          <w:spacing w:val="6"/>
          <w:sz w:val="24"/>
          <w:szCs w:val="24"/>
          <w:u w:val="single"/>
        </w:rPr>
        <w:t>（采购文件中明确的所属行业）行业</w:t>
      </w:r>
      <w:r>
        <w:rPr>
          <w:rFonts w:hint="eastAsia" w:asciiTheme="minorEastAsia" w:hAnsiTheme="minorEastAsia" w:eastAsiaTheme="minorEastAsia" w:cstheme="minorEastAsia"/>
          <w:spacing w:val="6"/>
          <w:sz w:val="24"/>
          <w:szCs w:val="24"/>
        </w:rPr>
        <w:t>；制造商为</w:t>
      </w:r>
      <w:r>
        <w:rPr>
          <w:rFonts w:hint="eastAsia" w:asciiTheme="minorEastAsia" w:hAnsiTheme="minorEastAsia" w:eastAsiaTheme="minorEastAsia" w:cstheme="minorEastAsia"/>
          <w:spacing w:val="6"/>
          <w:sz w:val="24"/>
          <w:szCs w:val="24"/>
          <w:u w:val="single"/>
        </w:rPr>
        <w:t>（企业名称）</w:t>
      </w:r>
      <w:r>
        <w:rPr>
          <w:rFonts w:hint="eastAsia" w:asciiTheme="minorEastAsia" w:hAnsiTheme="minorEastAsia" w:eastAsiaTheme="minorEastAsia" w:cstheme="minorEastAsia"/>
          <w:spacing w:val="6"/>
          <w:sz w:val="24"/>
          <w:szCs w:val="24"/>
        </w:rPr>
        <w:t>，从业人员</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人，营业收入为</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万元，资产总额为</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万元，属于</w:t>
      </w:r>
      <w:r>
        <w:rPr>
          <w:rFonts w:hint="eastAsia" w:asciiTheme="minorEastAsia" w:hAnsiTheme="minorEastAsia" w:eastAsiaTheme="minorEastAsia" w:cstheme="minorEastAsia"/>
          <w:spacing w:val="6"/>
          <w:sz w:val="24"/>
          <w:szCs w:val="24"/>
          <w:u w:val="single"/>
        </w:rPr>
        <w:t>（中型企业、小型企业、微型企业</w:t>
      </w:r>
      <w:r>
        <w:rPr>
          <w:rFonts w:hint="eastAsia" w:asciiTheme="minorEastAsia" w:hAnsiTheme="minorEastAsia" w:eastAsiaTheme="minorEastAsia" w:cstheme="minorEastAsia"/>
          <w:spacing w:val="6"/>
          <w:sz w:val="24"/>
          <w:szCs w:val="24"/>
        </w:rPr>
        <w:t xml:space="preserve">）； </w:t>
      </w:r>
    </w:p>
    <w:p w14:paraId="4E056391">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w:t>
      </w:r>
    </w:p>
    <w:p w14:paraId="34CE4DB4">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以上企业，不属于大企业的分支机构，不存在控股股东 为大企业的情形，也不存在与大企业的负责人为同一人的情形。</w:t>
      </w:r>
    </w:p>
    <w:p w14:paraId="2D8A3D1C">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 xml:space="preserve">本企业对上述声明内容的真实性负责。如有虚假，将依法承担相应责任。 </w:t>
      </w:r>
    </w:p>
    <w:p w14:paraId="6644A994">
      <w:pPr>
        <w:ind w:left="2604" w:leftChars="1240"/>
        <w:jc w:val="left"/>
        <w:rPr>
          <w:rFonts w:hint="eastAsia" w:asciiTheme="minorEastAsia" w:hAnsiTheme="minorEastAsia" w:eastAsiaTheme="minorEastAsia" w:cstheme="minorEastAsia"/>
          <w:sz w:val="24"/>
          <w:szCs w:val="24"/>
        </w:rPr>
      </w:pPr>
    </w:p>
    <w:p w14:paraId="27EC3B2C">
      <w:pPr>
        <w:ind w:left="2604" w:leftChars="1240"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投标人：（盖章）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619906D2">
      <w:pPr>
        <w:ind w:left="2604" w:leftChars="1240"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21A986E1">
      <w:pPr>
        <w:spacing w:line="480" w:lineRule="auto"/>
        <w:ind w:left="3349" w:leftChars="1595" w:firstLine="468" w:firstLineChars="195"/>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64C550AF">
      <w:pPr>
        <w:widowControl/>
        <w:jc w:val="left"/>
        <w:rPr>
          <w:rFonts w:hint="eastAsia" w:asciiTheme="minorEastAsia" w:hAnsiTheme="minorEastAsia" w:eastAsiaTheme="minorEastAsia" w:cstheme="minorEastAsia"/>
          <w:sz w:val="24"/>
          <w:szCs w:val="24"/>
        </w:rPr>
      </w:pPr>
    </w:p>
    <w:p w14:paraId="185092FC">
      <w:pPr>
        <w:ind w:firstLine="480" w:firstLineChars="200"/>
        <w:rPr>
          <w:rFonts w:hint="eastAsia" w:asciiTheme="minorEastAsia" w:hAnsiTheme="minorEastAsia" w:eastAsiaTheme="minorEastAsia" w:cstheme="minorEastAsia"/>
          <w:sz w:val="24"/>
          <w:szCs w:val="24"/>
        </w:rPr>
      </w:pPr>
    </w:p>
    <w:p w14:paraId="1F271B12">
      <w:pPr>
        <w:spacing w:line="560" w:lineRule="exact"/>
        <w:ind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pacing w:val="6"/>
          <w:sz w:val="24"/>
          <w:szCs w:val="24"/>
        </w:rPr>
        <w:t>说明：</w:t>
      </w:r>
      <w:r>
        <w:rPr>
          <w:rFonts w:hint="eastAsia" w:asciiTheme="minorEastAsia" w:hAnsiTheme="minorEastAsia" w:eastAsiaTheme="minorEastAsia" w:cstheme="minorEastAsia"/>
          <w:sz w:val="24"/>
          <w:szCs w:val="24"/>
        </w:rPr>
        <w:t>1、供应商参加政府采购时，提供虚假中小企业申明函的，以提供虚假材料谋取成交处理。</w:t>
      </w:r>
    </w:p>
    <w:p w14:paraId="75657F91">
      <w:pPr>
        <w:pStyle w:val="10"/>
        <w:keepNext w:val="0"/>
        <w:keepLines w:val="0"/>
        <w:pageBreakBefore w:val="0"/>
        <w:widowControl w:val="0"/>
        <w:kinsoku/>
        <w:wordWrap/>
        <w:overflowPunct/>
        <w:topLinePunct w:val="0"/>
        <w:autoSpaceDE/>
        <w:autoSpaceDN/>
        <w:bidi w:val="0"/>
        <w:adjustRightInd/>
        <w:snapToGrid/>
        <w:ind w:left="0" w:leftChars="0" w:firstLine="1200" w:firstLineChars="5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采购文件中明确的所属行业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工业</w:t>
      </w:r>
      <w:r>
        <w:rPr>
          <w:rFonts w:hint="eastAsia" w:asciiTheme="minorEastAsia" w:hAnsiTheme="minorEastAsia" w:eastAsiaTheme="minorEastAsia" w:cstheme="minorEastAsia"/>
          <w:sz w:val="24"/>
          <w:szCs w:val="24"/>
          <w:u w:val="none"/>
          <w:lang w:val="en-US" w:eastAsia="zh-CN"/>
        </w:rPr>
        <w:t>。</w:t>
      </w:r>
    </w:p>
    <w:p w14:paraId="490F59A3">
      <w:pPr>
        <w:pStyle w:val="39"/>
        <w:spacing w:line="375" w:lineRule="atLeast"/>
        <w:jc w:val="center"/>
        <w:outlineLvl w:val="0"/>
        <w:rPr>
          <w:rFonts w:hint="eastAsia" w:asciiTheme="minorEastAsia" w:hAnsiTheme="minorEastAsia" w:eastAsiaTheme="minorEastAsia" w:cstheme="minorEastAsia"/>
          <w:sz w:val="24"/>
          <w:szCs w:val="24"/>
        </w:rPr>
      </w:pPr>
      <w:r>
        <w:rPr>
          <w:sz w:val="21"/>
          <w:szCs w:val="21"/>
        </w:rPr>
        <w:br w:type="page"/>
      </w:r>
      <w:bookmarkStart w:id="559" w:name="_Toc4803"/>
      <w:bookmarkStart w:id="560" w:name="_Toc8177"/>
      <w:bookmarkStart w:id="561" w:name="_Toc17204505"/>
      <w:bookmarkStart w:id="562" w:name="_Toc3071"/>
      <w:bookmarkStart w:id="563" w:name="_Toc20106"/>
      <w:bookmarkStart w:id="564" w:name="_Toc515520688"/>
      <w:bookmarkStart w:id="565" w:name="_Toc17045"/>
      <w:bookmarkStart w:id="566" w:name="_Toc32197"/>
      <w:r>
        <w:rPr>
          <w:rFonts w:hint="eastAsia" w:asciiTheme="minorEastAsia" w:hAnsiTheme="minorEastAsia" w:eastAsiaTheme="minorEastAsia" w:cstheme="minorEastAsia"/>
          <w:sz w:val="24"/>
          <w:szCs w:val="24"/>
        </w:rPr>
        <w:t>（二）残疾人福利性单位声明函</w:t>
      </w:r>
      <w:bookmarkEnd w:id="559"/>
      <w:bookmarkEnd w:id="560"/>
      <w:bookmarkEnd w:id="561"/>
      <w:bookmarkEnd w:id="562"/>
      <w:bookmarkEnd w:id="563"/>
      <w:bookmarkEnd w:id="564"/>
      <w:bookmarkEnd w:id="565"/>
      <w:bookmarkEnd w:id="566"/>
    </w:p>
    <w:p w14:paraId="361BC819">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本单位郑重声明，根据《财政部民政部中国残疾人联合会关于促进残疾人就业政府采购政策的通知》（财库</w:t>
      </w:r>
      <w:r>
        <w:rPr>
          <w:rFonts w:hint="eastAsia" w:asciiTheme="minorEastAsia" w:hAnsiTheme="minorEastAsia" w:eastAsiaTheme="minorEastAsia" w:cstheme="minorEastAsia"/>
          <w:sz w:val="24"/>
          <w:szCs w:val="24"/>
        </w:rPr>
        <w:t>〔2017〕 141</w:t>
      </w:r>
      <w:r>
        <w:rPr>
          <w:rFonts w:hint="eastAsia" w:asciiTheme="minorEastAsia" w:hAnsiTheme="minorEastAsia" w:eastAsiaTheme="minorEastAsia" w:cstheme="minor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8D9BEFD">
      <w:pPr>
        <w:spacing w:line="588" w:lineRule="exact"/>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本单位对上述声明的真实性负责。如有虚假，将依法承担相应责任。</w:t>
      </w:r>
    </w:p>
    <w:p w14:paraId="29B58BF6">
      <w:pPr>
        <w:spacing w:line="588" w:lineRule="exact"/>
        <w:ind w:firstLine="504" w:firstLineChars="200"/>
        <w:rPr>
          <w:rFonts w:hint="eastAsia" w:asciiTheme="minorEastAsia" w:hAnsiTheme="minorEastAsia" w:eastAsiaTheme="minorEastAsia" w:cstheme="minorEastAsia"/>
          <w:spacing w:val="6"/>
          <w:sz w:val="24"/>
          <w:szCs w:val="24"/>
        </w:rPr>
      </w:pPr>
    </w:p>
    <w:p w14:paraId="30EC76FF">
      <w:pPr>
        <w:spacing w:line="588" w:lineRule="exact"/>
        <w:ind w:firstLine="504" w:firstLineChars="200"/>
        <w:rPr>
          <w:rFonts w:hint="eastAsia" w:asciiTheme="minorEastAsia" w:hAnsiTheme="minorEastAsia" w:eastAsiaTheme="minorEastAsia" w:cstheme="minorEastAsia"/>
          <w:spacing w:val="6"/>
          <w:sz w:val="24"/>
          <w:szCs w:val="24"/>
        </w:rPr>
      </w:pPr>
    </w:p>
    <w:p w14:paraId="652C7E8D">
      <w:pPr>
        <w:spacing w:line="360" w:lineRule="auto"/>
        <w:ind w:left="2604" w:leftChars="12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投标人：（盖章）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2BB2E3AE">
      <w:pPr>
        <w:spacing w:line="360" w:lineRule="auto"/>
        <w:ind w:left="2604" w:leftChars="12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43EA37B4">
      <w:pPr>
        <w:spacing w:line="360" w:lineRule="auto"/>
        <w:ind w:left="3721" w:leftChars="1772"/>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773BE914">
      <w:pPr>
        <w:tabs>
          <w:tab w:val="left" w:pos="4860"/>
        </w:tabs>
        <w:spacing w:line="588" w:lineRule="exact"/>
        <w:ind w:right="1560" w:firstLine="480" w:firstLineChars="200"/>
        <w:jc w:val="center"/>
        <w:rPr>
          <w:rFonts w:hint="eastAsia" w:asciiTheme="minorEastAsia" w:hAnsiTheme="minorEastAsia" w:eastAsiaTheme="minorEastAsia" w:cstheme="minorEastAsia"/>
          <w:sz w:val="24"/>
          <w:szCs w:val="24"/>
        </w:rPr>
      </w:pPr>
    </w:p>
    <w:p w14:paraId="7E06FD9C">
      <w:pPr>
        <w:rPr>
          <w:rFonts w:hint="eastAsia" w:asciiTheme="minorEastAsia" w:hAnsiTheme="minorEastAsia" w:eastAsiaTheme="minorEastAsia" w:cstheme="minorEastAsia"/>
          <w:sz w:val="24"/>
          <w:szCs w:val="24"/>
        </w:rPr>
      </w:pPr>
    </w:p>
    <w:p w14:paraId="74B285F2">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说明</w:t>
      </w:r>
      <w:r>
        <w:rPr>
          <w:rFonts w:hint="eastAsia" w:asciiTheme="minorEastAsia" w:hAnsiTheme="minorEastAsia" w:eastAsiaTheme="minorEastAsia" w:cstheme="minorEastAsia"/>
          <w:sz w:val="24"/>
          <w:szCs w:val="24"/>
        </w:rPr>
        <w:t>：填写本声明函时应详细阅读《财政部 民政部 中国残疾人联合会关于促进残疾人就业政府采购政策的通知》（财库〔2017〕 141号），投标人不满足此要求则无须提供，一旦提供将视为满足其要求，如有虚假，将依法承担相应责任。</w:t>
      </w:r>
    </w:p>
    <w:p w14:paraId="48261539">
      <w:pPr>
        <w:spacing w:line="588" w:lineRule="exact"/>
        <w:jc w:val="center"/>
        <w:rPr>
          <w:rFonts w:ascii="宋体" w:hAnsi="宋体"/>
          <w:sz w:val="18"/>
          <w:szCs w:val="18"/>
        </w:rPr>
      </w:pPr>
    </w:p>
    <w:p w14:paraId="65930DF4">
      <w:pPr>
        <w:pStyle w:val="39"/>
        <w:spacing w:line="375" w:lineRule="atLeast"/>
        <w:jc w:val="center"/>
        <w:outlineLvl w:val="0"/>
        <w:rPr>
          <w:rFonts w:hint="eastAsia" w:asciiTheme="minorEastAsia" w:hAnsiTheme="minorEastAsia" w:eastAsiaTheme="minorEastAsia" w:cstheme="minorEastAsia"/>
          <w:sz w:val="24"/>
          <w:szCs w:val="24"/>
        </w:rPr>
      </w:pPr>
      <w:r>
        <w:rPr>
          <w:sz w:val="18"/>
          <w:szCs w:val="18"/>
        </w:rPr>
        <w:br w:type="page"/>
      </w:r>
      <w:bookmarkStart w:id="567" w:name="_Toc8753"/>
      <w:bookmarkStart w:id="568" w:name="_Toc23260"/>
      <w:bookmarkStart w:id="569" w:name="_Toc515520689"/>
      <w:bookmarkStart w:id="570" w:name="_Toc4534"/>
      <w:bookmarkStart w:id="571" w:name="_Toc515570490"/>
      <w:bookmarkStart w:id="572" w:name="_Toc17204506"/>
      <w:bookmarkStart w:id="573" w:name="_Toc11234"/>
      <w:r>
        <w:rPr>
          <w:rFonts w:hint="eastAsia" w:asciiTheme="minorEastAsia" w:hAnsiTheme="minorEastAsia" w:eastAsiaTheme="minorEastAsia" w:cstheme="minorEastAsia"/>
          <w:sz w:val="24"/>
          <w:szCs w:val="24"/>
        </w:rPr>
        <w:t>（三）监狱企业声明函</w:t>
      </w:r>
      <w:bookmarkEnd w:id="567"/>
      <w:bookmarkEnd w:id="568"/>
      <w:bookmarkEnd w:id="569"/>
      <w:bookmarkEnd w:id="570"/>
      <w:bookmarkEnd w:id="571"/>
      <w:bookmarkEnd w:id="572"/>
      <w:bookmarkEnd w:id="573"/>
    </w:p>
    <w:p w14:paraId="687B6C92">
      <w:pPr>
        <w:spacing w:before="468" w:beforeLines="150" w:line="480" w:lineRule="auto"/>
        <w:ind w:firstLine="504" w:firstLineChars="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本单位郑重声明，根据</w:t>
      </w:r>
      <w:r>
        <w:rPr>
          <w:rFonts w:hint="eastAsia" w:asciiTheme="minorEastAsia" w:hAnsiTheme="minorEastAsia" w:eastAsiaTheme="minorEastAsia" w:cstheme="minorEastAsia"/>
          <w:sz w:val="24"/>
          <w:szCs w:val="24"/>
        </w:rPr>
        <w:t>《关于政府采购支持监狱企业发展有关问题的通知》</w:t>
      </w:r>
      <w:r>
        <w:rPr>
          <w:rFonts w:hint="eastAsia" w:asciiTheme="minorEastAsia" w:hAnsiTheme="minorEastAsia" w:eastAsiaTheme="minorEastAsia" w:cstheme="minorEastAsia"/>
          <w:spacing w:val="6"/>
          <w:sz w:val="24"/>
          <w:szCs w:val="24"/>
        </w:rPr>
        <w:t>（财库</w:t>
      </w:r>
      <w:r>
        <w:rPr>
          <w:rFonts w:hint="eastAsia" w:asciiTheme="minorEastAsia" w:hAnsiTheme="minorEastAsia" w:eastAsiaTheme="minorEastAsia" w:cstheme="minorEastAsia"/>
          <w:sz w:val="24"/>
          <w:szCs w:val="24"/>
        </w:rPr>
        <w:t>〔2014〕 68</w:t>
      </w:r>
      <w:r>
        <w:rPr>
          <w:rFonts w:hint="eastAsia" w:asciiTheme="minorEastAsia" w:hAnsiTheme="minorEastAsia" w:eastAsiaTheme="minorEastAsia" w:cstheme="minorEastAsia"/>
          <w:spacing w:val="6"/>
          <w:sz w:val="24"/>
          <w:szCs w:val="24"/>
        </w:rPr>
        <w:t>号）的规定，本单位为符合条件的监狱单位，且本单位参加______单位的______项目采购活动提供本单位制造的货物（由本单位承担工程/提供服务）。</w:t>
      </w:r>
    </w:p>
    <w:p w14:paraId="5E519D93">
      <w:pPr>
        <w:spacing w:line="480" w:lineRule="auto"/>
        <w:ind w:firstLine="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本单位对上述声明的真实性负责。如有虚假，将依法承担相应责任。</w:t>
      </w:r>
    </w:p>
    <w:p w14:paraId="51CC7B06">
      <w:pPr>
        <w:spacing w:line="480" w:lineRule="auto"/>
        <w:ind w:firstLine="200"/>
        <w:rPr>
          <w:rFonts w:hint="eastAsia" w:asciiTheme="minorEastAsia" w:hAnsiTheme="minorEastAsia" w:eastAsiaTheme="minorEastAsia" w:cstheme="minorEastAsia"/>
          <w:spacing w:val="6"/>
          <w:sz w:val="24"/>
          <w:szCs w:val="24"/>
        </w:rPr>
      </w:pPr>
    </w:p>
    <w:p w14:paraId="3176E807">
      <w:pPr>
        <w:spacing w:line="588" w:lineRule="exact"/>
        <w:ind w:firstLine="504" w:firstLineChars="200"/>
        <w:rPr>
          <w:rFonts w:hint="eastAsia" w:asciiTheme="minorEastAsia" w:hAnsiTheme="minorEastAsia" w:eastAsiaTheme="minorEastAsia" w:cstheme="minorEastAsia"/>
          <w:spacing w:val="6"/>
          <w:sz w:val="24"/>
          <w:szCs w:val="24"/>
        </w:rPr>
      </w:pPr>
    </w:p>
    <w:p w14:paraId="0C242BD5">
      <w:pPr>
        <w:spacing w:line="588" w:lineRule="exact"/>
        <w:ind w:firstLine="504" w:firstLineChars="200"/>
        <w:rPr>
          <w:rFonts w:hint="eastAsia" w:asciiTheme="minorEastAsia" w:hAnsiTheme="minorEastAsia" w:eastAsiaTheme="minorEastAsia" w:cstheme="minorEastAsia"/>
          <w:spacing w:val="6"/>
          <w:sz w:val="24"/>
          <w:szCs w:val="24"/>
        </w:rPr>
      </w:pPr>
    </w:p>
    <w:p w14:paraId="4FBBF0FC">
      <w:pPr>
        <w:spacing w:line="360" w:lineRule="auto"/>
        <w:ind w:left="2604" w:leftChars="12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投标人：（盖章）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37F83C7E">
      <w:pPr>
        <w:spacing w:line="360" w:lineRule="auto"/>
        <w:ind w:left="2604" w:leftChars="124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法定代表人或其授权委托人(签字)：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_</w:t>
      </w:r>
    </w:p>
    <w:p w14:paraId="7592A78C">
      <w:pPr>
        <w:spacing w:line="360" w:lineRule="auto"/>
        <w:ind w:left="3349" w:leftChars="1595" w:firstLine="200"/>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123C1B7D">
      <w:pPr>
        <w:spacing w:line="480" w:lineRule="auto"/>
        <w:ind w:firstLine="200"/>
        <w:rPr>
          <w:rFonts w:hint="eastAsia" w:asciiTheme="minorEastAsia" w:hAnsiTheme="minorEastAsia" w:eastAsiaTheme="minorEastAsia" w:cstheme="minorEastAsia"/>
          <w:spacing w:val="6"/>
          <w:sz w:val="24"/>
          <w:szCs w:val="24"/>
        </w:rPr>
      </w:pPr>
    </w:p>
    <w:p w14:paraId="1CAE7E18">
      <w:pPr>
        <w:spacing w:line="588" w:lineRule="exact"/>
        <w:ind w:firstLine="504" w:firstLineChars="200"/>
        <w:rPr>
          <w:rFonts w:hint="eastAsia" w:asciiTheme="minorEastAsia" w:hAnsiTheme="minorEastAsia" w:eastAsiaTheme="minorEastAsia" w:cstheme="minorEastAsia"/>
          <w:spacing w:val="6"/>
          <w:sz w:val="24"/>
          <w:szCs w:val="24"/>
        </w:rPr>
      </w:pPr>
    </w:p>
    <w:p w14:paraId="783922BF">
      <w:pPr>
        <w:spacing w:line="480" w:lineRule="auto"/>
        <w:ind w:firstLine="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说明</w:t>
      </w:r>
      <w:r>
        <w:rPr>
          <w:rFonts w:hint="eastAsia" w:asciiTheme="minorEastAsia" w:hAnsiTheme="minorEastAsia" w:eastAsiaTheme="minorEastAsia" w:cstheme="minorEastAsia"/>
          <w:sz w:val="24"/>
          <w:szCs w:val="24"/>
        </w:rPr>
        <w:t>：填写本声明函时应详细阅读《关于政府采购支持监狱企业发展有关问题的通知》（财库〔2014〕 68号），投标人不满足此要求则无须提供，一旦提供将视为满足其要求，如有虚假，将依法承担相应责任。</w:t>
      </w:r>
    </w:p>
    <w:p w14:paraId="419DD00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1A950C96">
      <w:pPr>
        <w:ind w:firstLine="0" w:firstLineChars="0"/>
        <w:jc w:val="center"/>
        <w:rPr>
          <w:rFonts w:cs="宋体"/>
          <w:b/>
          <w:kern w:val="44"/>
          <w:sz w:val="32"/>
          <w:szCs w:val="20"/>
        </w:rPr>
      </w:pPr>
      <w:r>
        <w:rPr>
          <w:rFonts w:hint="eastAsia" w:cs="宋体"/>
          <w:b/>
          <w:bCs/>
          <w:sz w:val="28"/>
          <w:szCs w:val="28"/>
        </w:rPr>
        <w:t>中小微企业划型标准</w:t>
      </w:r>
    </w:p>
    <w:tbl>
      <w:tblPr>
        <w:tblStyle w:val="42"/>
        <w:tblW w:w="10915" w:type="dxa"/>
        <w:jc w:val="center"/>
        <w:tblLayout w:type="fixed"/>
        <w:tblCellMar>
          <w:top w:w="0" w:type="dxa"/>
          <w:left w:w="108" w:type="dxa"/>
          <w:bottom w:w="0" w:type="dxa"/>
          <w:right w:w="108" w:type="dxa"/>
        </w:tblCellMar>
      </w:tblPr>
      <w:tblGrid>
        <w:gridCol w:w="3671"/>
        <w:gridCol w:w="1452"/>
        <w:gridCol w:w="1159"/>
        <w:gridCol w:w="1878"/>
        <w:gridCol w:w="1707"/>
        <w:gridCol w:w="1048"/>
      </w:tblGrid>
      <w:tr w14:paraId="7F3E4DA7">
        <w:tblPrEx>
          <w:tblCellMar>
            <w:top w:w="0" w:type="dxa"/>
            <w:left w:w="108" w:type="dxa"/>
            <w:bottom w:w="0" w:type="dxa"/>
            <w:right w:w="108" w:type="dxa"/>
          </w:tblCellMar>
        </w:tblPrEx>
        <w:trPr>
          <w:trHeight w:val="362" w:hRule="atLeast"/>
          <w:jc w:val="center"/>
        </w:trPr>
        <w:tc>
          <w:tcPr>
            <w:tcW w:w="3671" w:type="dxa"/>
            <w:tcBorders>
              <w:top w:val="single" w:color="auto" w:sz="4" w:space="0"/>
              <w:left w:val="single" w:color="auto" w:sz="4" w:space="0"/>
              <w:bottom w:val="single" w:color="auto" w:sz="4" w:space="0"/>
              <w:right w:val="single" w:color="auto" w:sz="4" w:space="0"/>
            </w:tcBorders>
            <w:vAlign w:val="center"/>
          </w:tcPr>
          <w:p w14:paraId="378AB460">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行业名称</w:t>
            </w:r>
          </w:p>
        </w:tc>
        <w:tc>
          <w:tcPr>
            <w:tcW w:w="1452" w:type="dxa"/>
            <w:tcBorders>
              <w:top w:val="single" w:color="auto" w:sz="4" w:space="0"/>
              <w:left w:val="nil"/>
              <w:bottom w:val="single" w:color="auto" w:sz="4" w:space="0"/>
              <w:right w:val="single" w:color="auto" w:sz="4" w:space="0"/>
            </w:tcBorders>
            <w:vAlign w:val="center"/>
          </w:tcPr>
          <w:p w14:paraId="764B1C64">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指标名称</w:t>
            </w:r>
          </w:p>
        </w:tc>
        <w:tc>
          <w:tcPr>
            <w:tcW w:w="1159" w:type="dxa"/>
            <w:tcBorders>
              <w:top w:val="single" w:color="auto" w:sz="4" w:space="0"/>
              <w:left w:val="nil"/>
              <w:bottom w:val="single" w:color="auto" w:sz="4" w:space="0"/>
              <w:right w:val="single" w:color="auto" w:sz="4" w:space="0"/>
            </w:tcBorders>
            <w:vAlign w:val="center"/>
          </w:tcPr>
          <w:p w14:paraId="3E6D0972">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计量单位</w:t>
            </w:r>
          </w:p>
        </w:tc>
        <w:tc>
          <w:tcPr>
            <w:tcW w:w="1878" w:type="dxa"/>
            <w:tcBorders>
              <w:top w:val="single" w:color="auto" w:sz="4" w:space="0"/>
              <w:left w:val="nil"/>
              <w:bottom w:val="single" w:color="auto" w:sz="4" w:space="0"/>
              <w:right w:val="single" w:color="auto" w:sz="4" w:space="0"/>
            </w:tcBorders>
            <w:vAlign w:val="center"/>
          </w:tcPr>
          <w:p w14:paraId="0F6C5867">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中型</w:t>
            </w:r>
          </w:p>
        </w:tc>
        <w:tc>
          <w:tcPr>
            <w:tcW w:w="1707" w:type="dxa"/>
            <w:tcBorders>
              <w:top w:val="single" w:color="auto" w:sz="4" w:space="0"/>
              <w:left w:val="nil"/>
              <w:bottom w:val="single" w:color="auto" w:sz="4" w:space="0"/>
              <w:right w:val="single" w:color="auto" w:sz="4" w:space="0"/>
            </w:tcBorders>
            <w:vAlign w:val="center"/>
          </w:tcPr>
          <w:p w14:paraId="19B3D4F2">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小型</w:t>
            </w:r>
          </w:p>
        </w:tc>
        <w:tc>
          <w:tcPr>
            <w:tcW w:w="1048" w:type="dxa"/>
            <w:tcBorders>
              <w:top w:val="single" w:color="auto" w:sz="4" w:space="0"/>
              <w:left w:val="nil"/>
              <w:bottom w:val="single" w:color="auto" w:sz="4" w:space="0"/>
              <w:right w:val="single" w:color="auto" w:sz="4" w:space="0"/>
            </w:tcBorders>
            <w:vAlign w:val="center"/>
          </w:tcPr>
          <w:p w14:paraId="3E01525D">
            <w:pPr>
              <w:widowControl/>
              <w:adjustRightInd w:val="0"/>
              <w:spacing w:line="300" w:lineRule="auto"/>
              <w:ind w:firstLine="0" w:firstLineChars="0"/>
              <w:jc w:val="center"/>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微型</w:t>
            </w:r>
          </w:p>
        </w:tc>
      </w:tr>
      <w:tr w14:paraId="1F10A9F4">
        <w:tblPrEx>
          <w:tblCellMar>
            <w:top w:w="0" w:type="dxa"/>
            <w:left w:w="108" w:type="dxa"/>
            <w:bottom w:w="0" w:type="dxa"/>
            <w:right w:w="108" w:type="dxa"/>
          </w:tblCellMar>
        </w:tblPrEx>
        <w:trPr>
          <w:trHeight w:val="90" w:hRule="atLeast"/>
          <w:jc w:val="center"/>
        </w:trPr>
        <w:tc>
          <w:tcPr>
            <w:tcW w:w="3671" w:type="dxa"/>
            <w:tcBorders>
              <w:top w:val="nil"/>
              <w:left w:val="single" w:color="auto" w:sz="4" w:space="0"/>
              <w:bottom w:val="single" w:color="auto" w:sz="4" w:space="0"/>
              <w:right w:val="single" w:color="auto" w:sz="4" w:space="0"/>
            </w:tcBorders>
            <w:vAlign w:val="center"/>
          </w:tcPr>
          <w:p w14:paraId="76D86F74">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农、林、牧、渔</w:t>
            </w:r>
          </w:p>
        </w:tc>
        <w:tc>
          <w:tcPr>
            <w:tcW w:w="1452" w:type="dxa"/>
            <w:tcBorders>
              <w:top w:val="nil"/>
              <w:left w:val="nil"/>
              <w:bottom w:val="single" w:color="auto" w:sz="4" w:space="0"/>
              <w:right w:val="single" w:color="auto" w:sz="4" w:space="0"/>
            </w:tcBorders>
            <w:vAlign w:val="center"/>
          </w:tcPr>
          <w:p w14:paraId="0E6CB3F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1DB01A0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6C54D43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500≤Y＜20000</w:t>
            </w:r>
          </w:p>
        </w:tc>
        <w:tc>
          <w:tcPr>
            <w:tcW w:w="1707" w:type="dxa"/>
            <w:tcBorders>
              <w:top w:val="nil"/>
              <w:left w:val="nil"/>
              <w:bottom w:val="single" w:color="auto" w:sz="4" w:space="0"/>
              <w:right w:val="single" w:color="auto" w:sz="4" w:space="0"/>
            </w:tcBorders>
            <w:vAlign w:val="center"/>
          </w:tcPr>
          <w:p w14:paraId="7FCFBE8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50≤Y＜500</w:t>
            </w:r>
          </w:p>
        </w:tc>
        <w:tc>
          <w:tcPr>
            <w:tcW w:w="1048" w:type="dxa"/>
            <w:tcBorders>
              <w:top w:val="nil"/>
              <w:left w:val="nil"/>
              <w:bottom w:val="single" w:color="auto" w:sz="4" w:space="0"/>
              <w:right w:val="single" w:color="auto" w:sz="4" w:space="0"/>
            </w:tcBorders>
            <w:vAlign w:val="center"/>
          </w:tcPr>
          <w:p w14:paraId="306BE22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Y＜50</w:t>
            </w:r>
          </w:p>
        </w:tc>
      </w:tr>
      <w:tr w14:paraId="27E936FF">
        <w:tblPrEx>
          <w:tblCellMar>
            <w:top w:w="0" w:type="dxa"/>
            <w:left w:w="108" w:type="dxa"/>
            <w:bottom w:w="0" w:type="dxa"/>
            <w:right w:w="108" w:type="dxa"/>
          </w:tblCellMar>
        </w:tblPrEx>
        <w:trPr>
          <w:trHeight w:val="295"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57A5C50D">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工业（包括采矿业，制造业，电力、热力、燃气及水生产和供应业）</w:t>
            </w:r>
          </w:p>
        </w:tc>
        <w:tc>
          <w:tcPr>
            <w:tcW w:w="1452" w:type="dxa"/>
            <w:tcBorders>
              <w:top w:val="nil"/>
              <w:left w:val="nil"/>
              <w:bottom w:val="single" w:color="auto" w:sz="4" w:space="0"/>
              <w:right w:val="single" w:color="auto" w:sz="4" w:space="0"/>
            </w:tcBorders>
            <w:vAlign w:val="center"/>
          </w:tcPr>
          <w:p w14:paraId="61C39C5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18A4BEB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13BD6D7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300≤X＜1000</w:t>
            </w:r>
          </w:p>
        </w:tc>
        <w:tc>
          <w:tcPr>
            <w:tcW w:w="1707" w:type="dxa"/>
            <w:tcBorders>
              <w:top w:val="nil"/>
              <w:left w:val="nil"/>
              <w:bottom w:val="single" w:color="auto" w:sz="4" w:space="0"/>
              <w:right w:val="single" w:color="auto" w:sz="4" w:space="0"/>
            </w:tcBorders>
            <w:vAlign w:val="center"/>
          </w:tcPr>
          <w:p w14:paraId="67FBBFF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20≤X＜300</w:t>
            </w:r>
          </w:p>
        </w:tc>
        <w:tc>
          <w:tcPr>
            <w:tcW w:w="1048" w:type="dxa"/>
            <w:tcBorders>
              <w:top w:val="nil"/>
              <w:left w:val="nil"/>
              <w:bottom w:val="single" w:color="auto" w:sz="4" w:space="0"/>
              <w:right w:val="single" w:color="auto" w:sz="4" w:space="0"/>
            </w:tcBorders>
            <w:vAlign w:val="center"/>
          </w:tcPr>
          <w:p w14:paraId="11F33DD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X＜20</w:t>
            </w:r>
          </w:p>
        </w:tc>
      </w:tr>
      <w:tr w14:paraId="3A7D5A4B">
        <w:tblPrEx>
          <w:tblCellMar>
            <w:top w:w="0" w:type="dxa"/>
            <w:left w:w="108" w:type="dxa"/>
            <w:bottom w:w="0" w:type="dxa"/>
            <w:right w:w="108" w:type="dxa"/>
          </w:tblCellMar>
        </w:tblPrEx>
        <w:trPr>
          <w:trHeight w:val="112"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2794B82D">
            <w:pPr>
              <w:widowControl/>
              <w:snapToGrid/>
              <w:spacing w:line="240" w:lineRule="auto"/>
              <w:ind w:firstLine="0" w:firstLineChars="0"/>
              <w:jc w:val="left"/>
              <w:rPr>
                <w:rFonts w:hint="eastAsia" w:asciiTheme="minorEastAsia" w:hAnsiTheme="minorEastAsia" w:eastAsiaTheme="minorEastAsia" w:cstheme="minorEastAsia"/>
                <w:b/>
                <w:bCs/>
                <w:sz w:val="22"/>
                <w:szCs w:val="22"/>
                <w:lang w:eastAsia="zh-CN"/>
              </w:rPr>
            </w:pPr>
          </w:p>
        </w:tc>
        <w:tc>
          <w:tcPr>
            <w:tcW w:w="1452" w:type="dxa"/>
            <w:tcBorders>
              <w:top w:val="nil"/>
              <w:left w:val="nil"/>
              <w:bottom w:val="single" w:color="auto" w:sz="4" w:space="0"/>
              <w:right w:val="single" w:color="auto" w:sz="4" w:space="0"/>
            </w:tcBorders>
            <w:vAlign w:val="center"/>
          </w:tcPr>
          <w:p w14:paraId="192EB86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5C2994B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5B13EE3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2000≤Y＜40000</w:t>
            </w:r>
          </w:p>
        </w:tc>
        <w:tc>
          <w:tcPr>
            <w:tcW w:w="1707" w:type="dxa"/>
            <w:tcBorders>
              <w:top w:val="nil"/>
              <w:left w:val="nil"/>
              <w:bottom w:val="single" w:color="auto" w:sz="4" w:space="0"/>
              <w:right w:val="single" w:color="auto" w:sz="4" w:space="0"/>
            </w:tcBorders>
            <w:vAlign w:val="center"/>
          </w:tcPr>
          <w:p w14:paraId="2431D5A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300≤Y＜2000</w:t>
            </w:r>
          </w:p>
        </w:tc>
        <w:tc>
          <w:tcPr>
            <w:tcW w:w="1048" w:type="dxa"/>
            <w:tcBorders>
              <w:top w:val="nil"/>
              <w:left w:val="nil"/>
              <w:bottom w:val="single" w:color="auto" w:sz="4" w:space="0"/>
              <w:right w:val="single" w:color="auto" w:sz="4" w:space="0"/>
            </w:tcBorders>
            <w:vAlign w:val="center"/>
          </w:tcPr>
          <w:p w14:paraId="724D52C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Y＜300</w:t>
            </w:r>
          </w:p>
        </w:tc>
      </w:tr>
      <w:tr w14:paraId="0CE90857">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5E1B2DF9">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建筑业</w:t>
            </w:r>
          </w:p>
        </w:tc>
        <w:tc>
          <w:tcPr>
            <w:tcW w:w="1452" w:type="dxa"/>
            <w:tcBorders>
              <w:top w:val="nil"/>
              <w:left w:val="nil"/>
              <w:bottom w:val="single" w:color="auto" w:sz="4" w:space="0"/>
              <w:right w:val="single" w:color="auto" w:sz="4" w:space="0"/>
            </w:tcBorders>
            <w:vAlign w:val="center"/>
          </w:tcPr>
          <w:p w14:paraId="60DD3A0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4D2B1D2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2D10D60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6000≤Y＜80000</w:t>
            </w:r>
          </w:p>
        </w:tc>
        <w:tc>
          <w:tcPr>
            <w:tcW w:w="1707" w:type="dxa"/>
            <w:tcBorders>
              <w:top w:val="nil"/>
              <w:left w:val="nil"/>
              <w:bottom w:val="single" w:color="auto" w:sz="4" w:space="0"/>
              <w:right w:val="single" w:color="auto" w:sz="4" w:space="0"/>
            </w:tcBorders>
            <w:vAlign w:val="center"/>
          </w:tcPr>
          <w:p w14:paraId="52F9AAB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300≤Y＜6000</w:t>
            </w:r>
          </w:p>
        </w:tc>
        <w:tc>
          <w:tcPr>
            <w:tcW w:w="1048" w:type="dxa"/>
            <w:tcBorders>
              <w:top w:val="nil"/>
              <w:left w:val="nil"/>
              <w:bottom w:val="single" w:color="auto" w:sz="4" w:space="0"/>
              <w:right w:val="single" w:color="auto" w:sz="4" w:space="0"/>
            </w:tcBorders>
            <w:vAlign w:val="center"/>
          </w:tcPr>
          <w:p w14:paraId="700D5E2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Y＜300</w:t>
            </w:r>
          </w:p>
        </w:tc>
      </w:tr>
      <w:tr w14:paraId="310DEBDD">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27DF1C1C">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5B06230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资产总额（Z）</w:t>
            </w:r>
          </w:p>
        </w:tc>
        <w:tc>
          <w:tcPr>
            <w:tcW w:w="1159" w:type="dxa"/>
            <w:tcBorders>
              <w:top w:val="nil"/>
              <w:left w:val="nil"/>
              <w:bottom w:val="single" w:color="auto" w:sz="4" w:space="0"/>
              <w:right w:val="single" w:color="auto" w:sz="4" w:space="0"/>
            </w:tcBorders>
            <w:vAlign w:val="center"/>
          </w:tcPr>
          <w:p w14:paraId="15F4A89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3A606FF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5000≤Z＜80000</w:t>
            </w:r>
          </w:p>
        </w:tc>
        <w:tc>
          <w:tcPr>
            <w:tcW w:w="1707" w:type="dxa"/>
            <w:tcBorders>
              <w:top w:val="nil"/>
              <w:left w:val="nil"/>
              <w:bottom w:val="single" w:color="auto" w:sz="4" w:space="0"/>
              <w:right w:val="single" w:color="auto" w:sz="4" w:space="0"/>
            </w:tcBorders>
            <w:vAlign w:val="center"/>
          </w:tcPr>
          <w:p w14:paraId="675991D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300≤Z＜5000</w:t>
            </w:r>
          </w:p>
        </w:tc>
        <w:tc>
          <w:tcPr>
            <w:tcW w:w="1048" w:type="dxa"/>
            <w:tcBorders>
              <w:top w:val="nil"/>
              <w:left w:val="nil"/>
              <w:bottom w:val="single" w:color="auto" w:sz="4" w:space="0"/>
              <w:right w:val="single" w:color="auto" w:sz="4" w:space="0"/>
            </w:tcBorders>
            <w:vAlign w:val="center"/>
          </w:tcPr>
          <w:p w14:paraId="0784041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Z＜300</w:t>
            </w:r>
          </w:p>
        </w:tc>
      </w:tr>
      <w:tr w14:paraId="208CFCFB">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201B40E2">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批发业</w:t>
            </w:r>
          </w:p>
        </w:tc>
        <w:tc>
          <w:tcPr>
            <w:tcW w:w="1452" w:type="dxa"/>
            <w:tcBorders>
              <w:top w:val="nil"/>
              <w:left w:val="nil"/>
              <w:bottom w:val="single" w:color="auto" w:sz="4" w:space="0"/>
              <w:right w:val="single" w:color="auto" w:sz="4" w:space="0"/>
            </w:tcBorders>
            <w:vAlign w:val="center"/>
          </w:tcPr>
          <w:p w14:paraId="4C219B7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08F54D4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20F7636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20≤X＜200</w:t>
            </w:r>
          </w:p>
        </w:tc>
        <w:tc>
          <w:tcPr>
            <w:tcW w:w="1707" w:type="dxa"/>
            <w:tcBorders>
              <w:top w:val="nil"/>
              <w:left w:val="nil"/>
              <w:bottom w:val="single" w:color="auto" w:sz="4" w:space="0"/>
              <w:right w:val="single" w:color="auto" w:sz="4" w:space="0"/>
            </w:tcBorders>
            <w:vAlign w:val="center"/>
          </w:tcPr>
          <w:p w14:paraId="7108421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5≤X＜20</w:t>
            </w:r>
          </w:p>
        </w:tc>
        <w:tc>
          <w:tcPr>
            <w:tcW w:w="1048" w:type="dxa"/>
            <w:tcBorders>
              <w:top w:val="nil"/>
              <w:left w:val="nil"/>
              <w:bottom w:val="single" w:color="auto" w:sz="4" w:space="0"/>
              <w:right w:val="single" w:color="auto" w:sz="4" w:space="0"/>
            </w:tcBorders>
            <w:vAlign w:val="center"/>
          </w:tcPr>
          <w:p w14:paraId="111360B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X＜5</w:t>
            </w:r>
          </w:p>
        </w:tc>
      </w:tr>
      <w:tr w14:paraId="55934DE6">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067CEC4F">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76DDFDA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4FF04E4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0F9EF0C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5000≤Y＜40000</w:t>
            </w:r>
          </w:p>
        </w:tc>
        <w:tc>
          <w:tcPr>
            <w:tcW w:w="1707" w:type="dxa"/>
            <w:tcBorders>
              <w:top w:val="nil"/>
              <w:left w:val="nil"/>
              <w:bottom w:val="single" w:color="auto" w:sz="4" w:space="0"/>
              <w:right w:val="single" w:color="auto" w:sz="4" w:space="0"/>
            </w:tcBorders>
            <w:vAlign w:val="center"/>
          </w:tcPr>
          <w:p w14:paraId="5F3D203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1000≤Y＜5000</w:t>
            </w:r>
          </w:p>
        </w:tc>
        <w:tc>
          <w:tcPr>
            <w:tcW w:w="1048" w:type="dxa"/>
            <w:tcBorders>
              <w:top w:val="nil"/>
              <w:left w:val="nil"/>
              <w:bottom w:val="single" w:color="auto" w:sz="4" w:space="0"/>
              <w:right w:val="single" w:color="auto" w:sz="4" w:space="0"/>
            </w:tcBorders>
            <w:vAlign w:val="center"/>
          </w:tcPr>
          <w:p w14:paraId="2DDD2D6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Y＜1000</w:t>
            </w:r>
          </w:p>
        </w:tc>
      </w:tr>
      <w:tr w14:paraId="13D3E7A0">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3DA265B5">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零售业</w:t>
            </w:r>
          </w:p>
        </w:tc>
        <w:tc>
          <w:tcPr>
            <w:tcW w:w="1452" w:type="dxa"/>
            <w:tcBorders>
              <w:top w:val="nil"/>
              <w:left w:val="nil"/>
              <w:bottom w:val="single" w:color="auto" w:sz="4" w:space="0"/>
              <w:right w:val="single" w:color="auto" w:sz="4" w:space="0"/>
            </w:tcBorders>
            <w:vAlign w:val="center"/>
          </w:tcPr>
          <w:p w14:paraId="54C55CE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2B486E2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3371EBB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50≤X＜300</w:t>
            </w:r>
          </w:p>
        </w:tc>
        <w:tc>
          <w:tcPr>
            <w:tcW w:w="1707" w:type="dxa"/>
            <w:tcBorders>
              <w:top w:val="nil"/>
              <w:left w:val="nil"/>
              <w:bottom w:val="single" w:color="auto" w:sz="4" w:space="0"/>
              <w:right w:val="single" w:color="auto" w:sz="4" w:space="0"/>
            </w:tcBorders>
            <w:vAlign w:val="center"/>
          </w:tcPr>
          <w:p w14:paraId="704B994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10≤X＜50</w:t>
            </w:r>
          </w:p>
        </w:tc>
        <w:tc>
          <w:tcPr>
            <w:tcW w:w="1048" w:type="dxa"/>
            <w:tcBorders>
              <w:top w:val="nil"/>
              <w:left w:val="nil"/>
              <w:bottom w:val="single" w:color="auto" w:sz="4" w:space="0"/>
              <w:right w:val="single" w:color="auto" w:sz="4" w:space="0"/>
            </w:tcBorders>
            <w:vAlign w:val="center"/>
          </w:tcPr>
          <w:p w14:paraId="706CA19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242F27B3">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78BB23C4">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3BA70F8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2DFC30D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789FA0C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500≤Y＜20000</w:t>
            </w:r>
          </w:p>
        </w:tc>
        <w:tc>
          <w:tcPr>
            <w:tcW w:w="1707" w:type="dxa"/>
            <w:tcBorders>
              <w:top w:val="nil"/>
              <w:left w:val="nil"/>
              <w:bottom w:val="single" w:color="auto" w:sz="4" w:space="0"/>
              <w:right w:val="single" w:color="auto" w:sz="4" w:space="0"/>
            </w:tcBorders>
            <w:vAlign w:val="center"/>
          </w:tcPr>
          <w:p w14:paraId="31F642A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100≤Y＜500</w:t>
            </w:r>
          </w:p>
        </w:tc>
        <w:tc>
          <w:tcPr>
            <w:tcW w:w="1048" w:type="dxa"/>
            <w:tcBorders>
              <w:top w:val="nil"/>
              <w:left w:val="nil"/>
              <w:bottom w:val="single" w:color="auto" w:sz="4" w:space="0"/>
              <w:right w:val="single" w:color="auto" w:sz="4" w:space="0"/>
            </w:tcBorders>
            <w:vAlign w:val="center"/>
          </w:tcPr>
          <w:p w14:paraId="16A3DAC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3F8A65CB">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267ACC8A">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交通运输业（不含铁路运输业）</w:t>
            </w:r>
          </w:p>
        </w:tc>
        <w:tc>
          <w:tcPr>
            <w:tcW w:w="1452" w:type="dxa"/>
            <w:tcBorders>
              <w:top w:val="nil"/>
              <w:left w:val="nil"/>
              <w:bottom w:val="single" w:color="auto" w:sz="4" w:space="0"/>
              <w:right w:val="single" w:color="auto" w:sz="4" w:space="0"/>
            </w:tcBorders>
            <w:vAlign w:val="center"/>
          </w:tcPr>
          <w:p w14:paraId="5E8B680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6A2F0D9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17EC9F8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300≤X＜1000</w:t>
            </w:r>
          </w:p>
        </w:tc>
        <w:tc>
          <w:tcPr>
            <w:tcW w:w="1707" w:type="dxa"/>
            <w:tcBorders>
              <w:top w:val="nil"/>
              <w:left w:val="nil"/>
              <w:bottom w:val="single" w:color="auto" w:sz="4" w:space="0"/>
              <w:right w:val="single" w:color="auto" w:sz="4" w:space="0"/>
            </w:tcBorders>
            <w:vAlign w:val="center"/>
          </w:tcPr>
          <w:p w14:paraId="0F645B0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20≤X＜300</w:t>
            </w:r>
          </w:p>
        </w:tc>
        <w:tc>
          <w:tcPr>
            <w:tcW w:w="1048" w:type="dxa"/>
            <w:tcBorders>
              <w:top w:val="nil"/>
              <w:left w:val="nil"/>
              <w:bottom w:val="single" w:color="auto" w:sz="4" w:space="0"/>
              <w:right w:val="single" w:color="auto" w:sz="4" w:space="0"/>
            </w:tcBorders>
            <w:vAlign w:val="center"/>
          </w:tcPr>
          <w:p w14:paraId="64A100D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X＜20</w:t>
            </w:r>
          </w:p>
        </w:tc>
      </w:tr>
      <w:tr w14:paraId="73408E50">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7DBCC659">
            <w:pPr>
              <w:widowControl/>
              <w:snapToGrid/>
              <w:spacing w:line="240" w:lineRule="auto"/>
              <w:ind w:firstLine="0" w:firstLineChars="0"/>
              <w:jc w:val="left"/>
              <w:rPr>
                <w:rFonts w:hint="eastAsia" w:asciiTheme="minorEastAsia" w:hAnsiTheme="minorEastAsia" w:eastAsiaTheme="minorEastAsia" w:cstheme="minorEastAsia"/>
                <w:b/>
                <w:bCs/>
                <w:sz w:val="22"/>
                <w:szCs w:val="22"/>
                <w:lang w:eastAsia="zh-CN"/>
              </w:rPr>
            </w:pPr>
          </w:p>
        </w:tc>
        <w:tc>
          <w:tcPr>
            <w:tcW w:w="1452" w:type="dxa"/>
            <w:tcBorders>
              <w:top w:val="nil"/>
              <w:left w:val="nil"/>
              <w:bottom w:val="single" w:color="auto" w:sz="4" w:space="0"/>
              <w:right w:val="single" w:color="auto" w:sz="4" w:space="0"/>
            </w:tcBorders>
            <w:vAlign w:val="center"/>
          </w:tcPr>
          <w:p w14:paraId="5075771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4483F37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4223B02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3000≤Y＜30000</w:t>
            </w:r>
          </w:p>
        </w:tc>
        <w:tc>
          <w:tcPr>
            <w:tcW w:w="1707" w:type="dxa"/>
            <w:tcBorders>
              <w:top w:val="nil"/>
              <w:left w:val="nil"/>
              <w:bottom w:val="single" w:color="auto" w:sz="4" w:space="0"/>
              <w:right w:val="single" w:color="auto" w:sz="4" w:space="0"/>
            </w:tcBorders>
            <w:vAlign w:val="center"/>
          </w:tcPr>
          <w:p w14:paraId="2971EAD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200≤Y＜3000</w:t>
            </w:r>
          </w:p>
        </w:tc>
        <w:tc>
          <w:tcPr>
            <w:tcW w:w="1048" w:type="dxa"/>
            <w:tcBorders>
              <w:top w:val="nil"/>
              <w:left w:val="nil"/>
              <w:bottom w:val="single" w:color="auto" w:sz="4" w:space="0"/>
              <w:right w:val="single" w:color="auto" w:sz="4" w:space="0"/>
            </w:tcBorders>
            <w:vAlign w:val="center"/>
          </w:tcPr>
          <w:p w14:paraId="3E34472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Y＜200</w:t>
            </w:r>
          </w:p>
        </w:tc>
      </w:tr>
      <w:tr w14:paraId="3A2EB10D">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78CF973E">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仓储业</w:t>
            </w:r>
          </w:p>
        </w:tc>
        <w:tc>
          <w:tcPr>
            <w:tcW w:w="1452" w:type="dxa"/>
            <w:tcBorders>
              <w:top w:val="nil"/>
              <w:left w:val="nil"/>
              <w:bottom w:val="single" w:color="auto" w:sz="4" w:space="0"/>
              <w:right w:val="single" w:color="auto" w:sz="4" w:space="0"/>
            </w:tcBorders>
            <w:vAlign w:val="center"/>
          </w:tcPr>
          <w:p w14:paraId="707E608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658BD76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7848850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100≤X＜200</w:t>
            </w:r>
          </w:p>
        </w:tc>
        <w:tc>
          <w:tcPr>
            <w:tcW w:w="1707" w:type="dxa"/>
            <w:tcBorders>
              <w:top w:val="nil"/>
              <w:left w:val="nil"/>
              <w:bottom w:val="single" w:color="auto" w:sz="4" w:space="0"/>
              <w:right w:val="single" w:color="auto" w:sz="4" w:space="0"/>
            </w:tcBorders>
            <w:vAlign w:val="center"/>
          </w:tcPr>
          <w:p w14:paraId="4E1A5E3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20≤X＜100</w:t>
            </w:r>
          </w:p>
        </w:tc>
        <w:tc>
          <w:tcPr>
            <w:tcW w:w="1048" w:type="dxa"/>
            <w:tcBorders>
              <w:top w:val="nil"/>
              <w:left w:val="nil"/>
              <w:bottom w:val="single" w:color="auto" w:sz="4" w:space="0"/>
              <w:right w:val="single" w:color="auto" w:sz="4" w:space="0"/>
            </w:tcBorders>
            <w:vAlign w:val="center"/>
          </w:tcPr>
          <w:p w14:paraId="16A0F45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X＜20</w:t>
            </w:r>
          </w:p>
        </w:tc>
      </w:tr>
      <w:tr w14:paraId="1F4CBD6A">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4EBF3074">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576803F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0649026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68DEAAB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1000≤Y＜30000</w:t>
            </w:r>
          </w:p>
        </w:tc>
        <w:tc>
          <w:tcPr>
            <w:tcW w:w="1707" w:type="dxa"/>
            <w:tcBorders>
              <w:top w:val="nil"/>
              <w:left w:val="nil"/>
              <w:bottom w:val="single" w:color="auto" w:sz="4" w:space="0"/>
              <w:right w:val="single" w:color="auto" w:sz="4" w:space="0"/>
            </w:tcBorders>
            <w:vAlign w:val="center"/>
          </w:tcPr>
          <w:p w14:paraId="156291D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100≤Y＜1000</w:t>
            </w:r>
          </w:p>
        </w:tc>
        <w:tc>
          <w:tcPr>
            <w:tcW w:w="1048" w:type="dxa"/>
            <w:tcBorders>
              <w:top w:val="nil"/>
              <w:left w:val="nil"/>
              <w:bottom w:val="single" w:color="auto" w:sz="4" w:space="0"/>
              <w:right w:val="single" w:color="auto" w:sz="4" w:space="0"/>
            </w:tcBorders>
            <w:vAlign w:val="center"/>
          </w:tcPr>
          <w:p w14:paraId="0DF023D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7FD66476">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43FE9642">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邮政业</w:t>
            </w:r>
          </w:p>
        </w:tc>
        <w:tc>
          <w:tcPr>
            <w:tcW w:w="1452" w:type="dxa"/>
            <w:tcBorders>
              <w:top w:val="nil"/>
              <w:left w:val="nil"/>
              <w:bottom w:val="single" w:color="auto" w:sz="4" w:space="0"/>
              <w:right w:val="single" w:color="auto" w:sz="4" w:space="0"/>
            </w:tcBorders>
            <w:vAlign w:val="center"/>
          </w:tcPr>
          <w:p w14:paraId="072335C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421EA8C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7E58871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300≤X＜1000</w:t>
            </w:r>
          </w:p>
        </w:tc>
        <w:tc>
          <w:tcPr>
            <w:tcW w:w="1707" w:type="dxa"/>
            <w:tcBorders>
              <w:top w:val="nil"/>
              <w:left w:val="nil"/>
              <w:bottom w:val="single" w:color="auto" w:sz="4" w:space="0"/>
              <w:right w:val="single" w:color="auto" w:sz="4" w:space="0"/>
            </w:tcBorders>
            <w:vAlign w:val="center"/>
          </w:tcPr>
          <w:p w14:paraId="29A3AD6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20≤X＜300</w:t>
            </w:r>
          </w:p>
        </w:tc>
        <w:tc>
          <w:tcPr>
            <w:tcW w:w="1048" w:type="dxa"/>
            <w:tcBorders>
              <w:top w:val="nil"/>
              <w:left w:val="nil"/>
              <w:bottom w:val="single" w:color="auto" w:sz="4" w:space="0"/>
              <w:right w:val="single" w:color="auto" w:sz="4" w:space="0"/>
            </w:tcBorders>
            <w:vAlign w:val="center"/>
          </w:tcPr>
          <w:p w14:paraId="749C1C4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X＜20</w:t>
            </w:r>
          </w:p>
        </w:tc>
      </w:tr>
      <w:tr w14:paraId="5523F1C0">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3C9AED13">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112C59B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392C19E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683CE34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2000≤Y＜30000</w:t>
            </w:r>
          </w:p>
        </w:tc>
        <w:tc>
          <w:tcPr>
            <w:tcW w:w="1707" w:type="dxa"/>
            <w:tcBorders>
              <w:top w:val="nil"/>
              <w:left w:val="nil"/>
              <w:bottom w:val="single" w:color="auto" w:sz="4" w:space="0"/>
              <w:right w:val="single" w:color="auto" w:sz="4" w:space="0"/>
            </w:tcBorders>
            <w:vAlign w:val="center"/>
          </w:tcPr>
          <w:p w14:paraId="3E03DF7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100≤Y＜2000</w:t>
            </w:r>
          </w:p>
        </w:tc>
        <w:tc>
          <w:tcPr>
            <w:tcW w:w="1048" w:type="dxa"/>
            <w:tcBorders>
              <w:top w:val="nil"/>
              <w:left w:val="nil"/>
              <w:bottom w:val="single" w:color="auto" w:sz="4" w:space="0"/>
              <w:right w:val="single" w:color="auto" w:sz="4" w:space="0"/>
            </w:tcBorders>
            <w:vAlign w:val="center"/>
          </w:tcPr>
          <w:p w14:paraId="01A0F23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272B71B0">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2A4D0B8F">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住宿业</w:t>
            </w:r>
          </w:p>
        </w:tc>
        <w:tc>
          <w:tcPr>
            <w:tcW w:w="1452" w:type="dxa"/>
            <w:tcBorders>
              <w:top w:val="nil"/>
              <w:left w:val="nil"/>
              <w:bottom w:val="single" w:color="auto" w:sz="4" w:space="0"/>
              <w:right w:val="single" w:color="auto" w:sz="4" w:space="0"/>
            </w:tcBorders>
            <w:vAlign w:val="center"/>
          </w:tcPr>
          <w:p w14:paraId="5D22316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1DEC305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19E7388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707" w:type="dxa"/>
            <w:tcBorders>
              <w:top w:val="nil"/>
              <w:left w:val="nil"/>
              <w:bottom w:val="single" w:color="auto" w:sz="4" w:space="0"/>
              <w:right w:val="single" w:color="auto" w:sz="4" w:space="0"/>
            </w:tcBorders>
            <w:vAlign w:val="center"/>
          </w:tcPr>
          <w:p w14:paraId="0D045D5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798D6E6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7ECC34FB">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129C9472">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5144B67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682D17F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7933463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2000≤Y＜10000</w:t>
            </w:r>
          </w:p>
        </w:tc>
        <w:tc>
          <w:tcPr>
            <w:tcW w:w="1707" w:type="dxa"/>
            <w:tcBorders>
              <w:top w:val="nil"/>
              <w:left w:val="nil"/>
              <w:bottom w:val="single" w:color="auto" w:sz="4" w:space="0"/>
              <w:right w:val="single" w:color="auto" w:sz="4" w:space="0"/>
            </w:tcBorders>
            <w:vAlign w:val="center"/>
          </w:tcPr>
          <w:p w14:paraId="381FDE0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100≤Y＜2000</w:t>
            </w:r>
          </w:p>
        </w:tc>
        <w:tc>
          <w:tcPr>
            <w:tcW w:w="1048" w:type="dxa"/>
            <w:tcBorders>
              <w:top w:val="nil"/>
              <w:left w:val="nil"/>
              <w:bottom w:val="single" w:color="auto" w:sz="4" w:space="0"/>
              <w:right w:val="single" w:color="auto" w:sz="4" w:space="0"/>
            </w:tcBorders>
            <w:vAlign w:val="center"/>
          </w:tcPr>
          <w:p w14:paraId="31D5A52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4D02B7BE">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13014203">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餐饮业</w:t>
            </w:r>
          </w:p>
        </w:tc>
        <w:tc>
          <w:tcPr>
            <w:tcW w:w="1452" w:type="dxa"/>
            <w:tcBorders>
              <w:top w:val="nil"/>
              <w:left w:val="nil"/>
              <w:bottom w:val="single" w:color="auto" w:sz="4" w:space="0"/>
              <w:right w:val="single" w:color="auto" w:sz="4" w:space="0"/>
            </w:tcBorders>
            <w:vAlign w:val="center"/>
          </w:tcPr>
          <w:p w14:paraId="70506E8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341865B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276D5C8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707" w:type="dxa"/>
            <w:tcBorders>
              <w:top w:val="nil"/>
              <w:left w:val="nil"/>
              <w:bottom w:val="single" w:color="auto" w:sz="4" w:space="0"/>
              <w:right w:val="single" w:color="auto" w:sz="4" w:space="0"/>
            </w:tcBorders>
            <w:vAlign w:val="center"/>
          </w:tcPr>
          <w:p w14:paraId="5D27309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19AA2BE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664DC3FF">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03C7696F">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64C3557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50DB3F8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19AAC20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2000≤Y＜10000</w:t>
            </w:r>
          </w:p>
        </w:tc>
        <w:tc>
          <w:tcPr>
            <w:tcW w:w="1707" w:type="dxa"/>
            <w:tcBorders>
              <w:top w:val="nil"/>
              <w:left w:val="nil"/>
              <w:bottom w:val="single" w:color="auto" w:sz="4" w:space="0"/>
              <w:right w:val="single" w:color="auto" w:sz="4" w:space="0"/>
            </w:tcBorders>
            <w:vAlign w:val="center"/>
          </w:tcPr>
          <w:p w14:paraId="69C0AEF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100≤Y＜2000</w:t>
            </w:r>
          </w:p>
        </w:tc>
        <w:tc>
          <w:tcPr>
            <w:tcW w:w="1048" w:type="dxa"/>
            <w:tcBorders>
              <w:top w:val="nil"/>
              <w:left w:val="nil"/>
              <w:bottom w:val="single" w:color="auto" w:sz="4" w:space="0"/>
              <w:right w:val="single" w:color="auto" w:sz="4" w:space="0"/>
            </w:tcBorders>
            <w:vAlign w:val="center"/>
          </w:tcPr>
          <w:p w14:paraId="1B7F272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38519AFB">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4CE2FF68">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信息传输业（包括电信、互联网和相关服务）</w:t>
            </w:r>
          </w:p>
        </w:tc>
        <w:tc>
          <w:tcPr>
            <w:tcW w:w="1452" w:type="dxa"/>
            <w:tcBorders>
              <w:top w:val="nil"/>
              <w:left w:val="nil"/>
              <w:bottom w:val="single" w:color="auto" w:sz="4" w:space="0"/>
              <w:right w:val="single" w:color="auto" w:sz="4" w:space="0"/>
            </w:tcBorders>
            <w:vAlign w:val="center"/>
          </w:tcPr>
          <w:p w14:paraId="51321FE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6268E2F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52717B6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100≤X＜2000</w:t>
            </w:r>
          </w:p>
        </w:tc>
        <w:tc>
          <w:tcPr>
            <w:tcW w:w="1707" w:type="dxa"/>
            <w:tcBorders>
              <w:top w:val="nil"/>
              <w:left w:val="nil"/>
              <w:bottom w:val="single" w:color="auto" w:sz="4" w:space="0"/>
              <w:right w:val="single" w:color="auto" w:sz="4" w:space="0"/>
            </w:tcBorders>
            <w:vAlign w:val="center"/>
          </w:tcPr>
          <w:p w14:paraId="577E1F7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79060FE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57FD3C7F">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6F03897B">
            <w:pPr>
              <w:widowControl/>
              <w:snapToGrid/>
              <w:spacing w:line="240" w:lineRule="auto"/>
              <w:ind w:firstLine="0" w:firstLineChars="0"/>
              <w:jc w:val="left"/>
              <w:rPr>
                <w:rFonts w:hint="eastAsia" w:asciiTheme="minorEastAsia" w:hAnsiTheme="minorEastAsia" w:eastAsiaTheme="minorEastAsia" w:cstheme="minorEastAsia"/>
                <w:b/>
                <w:bCs/>
                <w:sz w:val="22"/>
                <w:szCs w:val="22"/>
                <w:lang w:eastAsia="zh-CN"/>
              </w:rPr>
            </w:pPr>
          </w:p>
        </w:tc>
        <w:tc>
          <w:tcPr>
            <w:tcW w:w="1452" w:type="dxa"/>
            <w:tcBorders>
              <w:top w:val="nil"/>
              <w:left w:val="nil"/>
              <w:bottom w:val="single" w:color="auto" w:sz="4" w:space="0"/>
              <w:right w:val="single" w:color="auto" w:sz="4" w:space="0"/>
            </w:tcBorders>
            <w:vAlign w:val="center"/>
          </w:tcPr>
          <w:p w14:paraId="1167683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6773948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7A62199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1000≤Y＜100000</w:t>
            </w:r>
          </w:p>
        </w:tc>
        <w:tc>
          <w:tcPr>
            <w:tcW w:w="1707" w:type="dxa"/>
            <w:tcBorders>
              <w:top w:val="nil"/>
              <w:left w:val="nil"/>
              <w:bottom w:val="single" w:color="auto" w:sz="4" w:space="0"/>
              <w:right w:val="single" w:color="auto" w:sz="4" w:space="0"/>
            </w:tcBorders>
            <w:vAlign w:val="center"/>
          </w:tcPr>
          <w:p w14:paraId="5C8E24B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100≤Y＜1000</w:t>
            </w:r>
          </w:p>
        </w:tc>
        <w:tc>
          <w:tcPr>
            <w:tcW w:w="1048" w:type="dxa"/>
            <w:tcBorders>
              <w:top w:val="nil"/>
              <w:left w:val="nil"/>
              <w:bottom w:val="single" w:color="auto" w:sz="4" w:space="0"/>
              <w:right w:val="single" w:color="auto" w:sz="4" w:space="0"/>
            </w:tcBorders>
            <w:vAlign w:val="center"/>
          </w:tcPr>
          <w:p w14:paraId="57EC6DF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05AD2825">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25EE7476">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软件和信息技术服务业</w:t>
            </w:r>
          </w:p>
        </w:tc>
        <w:tc>
          <w:tcPr>
            <w:tcW w:w="1452" w:type="dxa"/>
            <w:tcBorders>
              <w:top w:val="nil"/>
              <w:left w:val="nil"/>
              <w:bottom w:val="single" w:color="auto" w:sz="4" w:space="0"/>
              <w:right w:val="single" w:color="auto" w:sz="4" w:space="0"/>
            </w:tcBorders>
            <w:vAlign w:val="center"/>
          </w:tcPr>
          <w:p w14:paraId="60F4A9B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450C8F8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10B3D1D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707" w:type="dxa"/>
            <w:tcBorders>
              <w:top w:val="nil"/>
              <w:left w:val="nil"/>
              <w:bottom w:val="single" w:color="auto" w:sz="4" w:space="0"/>
              <w:right w:val="single" w:color="auto" w:sz="4" w:space="0"/>
            </w:tcBorders>
            <w:vAlign w:val="center"/>
          </w:tcPr>
          <w:p w14:paraId="1B120E1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439CADF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5E10579B">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61CA428C">
            <w:pPr>
              <w:widowControl/>
              <w:snapToGrid/>
              <w:spacing w:line="240" w:lineRule="auto"/>
              <w:ind w:firstLine="0" w:firstLineChars="0"/>
              <w:jc w:val="left"/>
              <w:rPr>
                <w:rFonts w:hint="eastAsia" w:asciiTheme="minorEastAsia" w:hAnsiTheme="minorEastAsia" w:eastAsiaTheme="minorEastAsia" w:cstheme="minorEastAsia"/>
                <w:b/>
                <w:bCs/>
                <w:sz w:val="22"/>
                <w:szCs w:val="22"/>
                <w:lang w:eastAsia="zh-CN"/>
              </w:rPr>
            </w:pPr>
          </w:p>
        </w:tc>
        <w:tc>
          <w:tcPr>
            <w:tcW w:w="1452" w:type="dxa"/>
            <w:tcBorders>
              <w:top w:val="nil"/>
              <w:left w:val="nil"/>
              <w:bottom w:val="single" w:color="auto" w:sz="4" w:space="0"/>
              <w:right w:val="single" w:color="auto" w:sz="4" w:space="0"/>
            </w:tcBorders>
            <w:vAlign w:val="center"/>
          </w:tcPr>
          <w:p w14:paraId="2362DCC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2907F69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7A7C048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1000≤Y＜10000</w:t>
            </w:r>
          </w:p>
        </w:tc>
        <w:tc>
          <w:tcPr>
            <w:tcW w:w="1707" w:type="dxa"/>
            <w:tcBorders>
              <w:top w:val="nil"/>
              <w:left w:val="nil"/>
              <w:bottom w:val="single" w:color="auto" w:sz="4" w:space="0"/>
              <w:right w:val="single" w:color="auto" w:sz="4" w:space="0"/>
            </w:tcBorders>
            <w:vAlign w:val="center"/>
          </w:tcPr>
          <w:p w14:paraId="08B5F22A">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50≤Y＜1000</w:t>
            </w:r>
          </w:p>
        </w:tc>
        <w:tc>
          <w:tcPr>
            <w:tcW w:w="1048" w:type="dxa"/>
            <w:tcBorders>
              <w:top w:val="nil"/>
              <w:left w:val="nil"/>
              <w:bottom w:val="single" w:color="auto" w:sz="4" w:space="0"/>
              <w:right w:val="single" w:color="auto" w:sz="4" w:space="0"/>
            </w:tcBorders>
            <w:vAlign w:val="center"/>
          </w:tcPr>
          <w:p w14:paraId="52E51A7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Y＜50</w:t>
            </w:r>
          </w:p>
        </w:tc>
      </w:tr>
      <w:tr w14:paraId="6EB0FE4C">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40C4F76C">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房地产开发经营</w:t>
            </w:r>
          </w:p>
        </w:tc>
        <w:tc>
          <w:tcPr>
            <w:tcW w:w="1452" w:type="dxa"/>
            <w:tcBorders>
              <w:top w:val="nil"/>
              <w:left w:val="nil"/>
              <w:bottom w:val="single" w:color="auto" w:sz="4" w:space="0"/>
              <w:right w:val="single" w:color="auto" w:sz="4" w:space="0"/>
            </w:tcBorders>
            <w:vAlign w:val="center"/>
          </w:tcPr>
          <w:p w14:paraId="7E77B92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738BCC7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3E20BDE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1000≤Y＜200000</w:t>
            </w:r>
          </w:p>
        </w:tc>
        <w:tc>
          <w:tcPr>
            <w:tcW w:w="1707" w:type="dxa"/>
            <w:tcBorders>
              <w:top w:val="nil"/>
              <w:left w:val="nil"/>
              <w:bottom w:val="single" w:color="auto" w:sz="4" w:space="0"/>
              <w:right w:val="single" w:color="auto" w:sz="4" w:space="0"/>
            </w:tcBorders>
            <w:vAlign w:val="center"/>
          </w:tcPr>
          <w:p w14:paraId="14638F3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100≤X＜1000</w:t>
            </w:r>
          </w:p>
        </w:tc>
        <w:tc>
          <w:tcPr>
            <w:tcW w:w="1048" w:type="dxa"/>
            <w:tcBorders>
              <w:top w:val="nil"/>
              <w:left w:val="nil"/>
              <w:bottom w:val="single" w:color="auto" w:sz="4" w:space="0"/>
              <w:right w:val="single" w:color="auto" w:sz="4" w:space="0"/>
            </w:tcBorders>
            <w:vAlign w:val="center"/>
          </w:tcPr>
          <w:p w14:paraId="3F393D5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X＜100</w:t>
            </w:r>
          </w:p>
        </w:tc>
      </w:tr>
      <w:tr w14:paraId="617AA99D">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1626FD5F">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0094D2B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资产总额（Z）</w:t>
            </w:r>
          </w:p>
        </w:tc>
        <w:tc>
          <w:tcPr>
            <w:tcW w:w="1159" w:type="dxa"/>
            <w:tcBorders>
              <w:top w:val="nil"/>
              <w:left w:val="nil"/>
              <w:bottom w:val="single" w:color="auto" w:sz="4" w:space="0"/>
              <w:right w:val="single" w:color="auto" w:sz="4" w:space="0"/>
            </w:tcBorders>
            <w:vAlign w:val="center"/>
          </w:tcPr>
          <w:p w14:paraId="22500A0E">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28EA2BF8">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5000≤Z＜10000</w:t>
            </w:r>
          </w:p>
        </w:tc>
        <w:tc>
          <w:tcPr>
            <w:tcW w:w="1707" w:type="dxa"/>
            <w:tcBorders>
              <w:top w:val="nil"/>
              <w:left w:val="nil"/>
              <w:bottom w:val="single" w:color="auto" w:sz="4" w:space="0"/>
              <w:right w:val="single" w:color="auto" w:sz="4" w:space="0"/>
            </w:tcBorders>
            <w:vAlign w:val="center"/>
          </w:tcPr>
          <w:p w14:paraId="437E2D3F">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2000≤Y＜5000</w:t>
            </w:r>
          </w:p>
        </w:tc>
        <w:tc>
          <w:tcPr>
            <w:tcW w:w="1048" w:type="dxa"/>
            <w:tcBorders>
              <w:top w:val="nil"/>
              <w:left w:val="nil"/>
              <w:bottom w:val="single" w:color="auto" w:sz="4" w:space="0"/>
              <w:right w:val="single" w:color="auto" w:sz="4" w:space="0"/>
            </w:tcBorders>
            <w:vAlign w:val="center"/>
          </w:tcPr>
          <w:p w14:paraId="5856F2A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Y＜2000</w:t>
            </w:r>
          </w:p>
        </w:tc>
      </w:tr>
      <w:tr w14:paraId="2378BD46">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0562E85D">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物业管理</w:t>
            </w:r>
          </w:p>
        </w:tc>
        <w:tc>
          <w:tcPr>
            <w:tcW w:w="1452" w:type="dxa"/>
            <w:tcBorders>
              <w:top w:val="nil"/>
              <w:left w:val="nil"/>
              <w:bottom w:val="single" w:color="auto" w:sz="4" w:space="0"/>
              <w:right w:val="single" w:color="auto" w:sz="4" w:space="0"/>
            </w:tcBorders>
            <w:vAlign w:val="center"/>
          </w:tcPr>
          <w:p w14:paraId="261AE047">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419C0E73">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7D74849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300≤X＜1000</w:t>
            </w:r>
          </w:p>
        </w:tc>
        <w:tc>
          <w:tcPr>
            <w:tcW w:w="1707" w:type="dxa"/>
            <w:tcBorders>
              <w:top w:val="nil"/>
              <w:left w:val="nil"/>
              <w:bottom w:val="single" w:color="auto" w:sz="4" w:space="0"/>
              <w:right w:val="single" w:color="auto" w:sz="4" w:space="0"/>
            </w:tcBorders>
            <w:vAlign w:val="center"/>
          </w:tcPr>
          <w:p w14:paraId="374EA5E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048" w:type="dxa"/>
            <w:tcBorders>
              <w:top w:val="nil"/>
              <w:left w:val="nil"/>
              <w:bottom w:val="single" w:color="auto" w:sz="4" w:space="0"/>
              <w:right w:val="single" w:color="auto" w:sz="4" w:space="0"/>
            </w:tcBorders>
            <w:vAlign w:val="center"/>
          </w:tcPr>
          <w:p w14:paraId="3F040DC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X＜100</w:t>
            </w:r>
          </w:p>
        </w:tc>
      </w:tr>
      <w:tr w14:paraId="2B5EF3F8">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7C7DB2DB">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373D097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营业收入（Y）</w:t>
            </w:r>
          </w:p>
        </w:tc>
        <w:tc>
          <w:tcPr>
            <w:tcW w:w="1159" w:type="dxa"/>
            <w:tcBorders>
              <w:top w:val="nil"/>
              <w:left w:val="nil"/>
              <w:bottom w:val="single" w:color="auto" w:sz="4" w:space="0"/>
              <w:right w:val="single" w:color="auto" w:sz="4" w:space="0"/>
            </w:tcBorders>
            <w:vAlign w:val="center"/>
          </w:tcPr>
          <w:p w14:paraId="5485ED86">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408E4F1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1000≤Y＜5000</w:t>
            </w:r>
          </w:p>
        </w:tc>
        <w:tc>
          <w:tcPr>
            <w:tcW w:w="1707" w:type="dxa"/>
            <w:tcBorders>
              <w:top w:val="nil"/>
              <w:left w:val="nil"/>
              <w:bottom w:val="single" w:color="auto" w:sz="4" w:space="0"/>
              <w:right w:val="single" w:color="auto" w:sz="4" w:space="0"/>
            </w:tcBorders>
            <w:vAlign w:val="center"/>
          </w:tcPr>
          <w:p w14:paraId="314DEE7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500≤Y＜1000</w:t>
            </w:r>
          </w:p>
        </w:tc>
        <w:tc>
          <w:tcPr>
            <w:tcW w:w="1048" w:type="dxa"/>
            <w:tcBorders>
              <w:top w:val="nil"/>
              <w:left w:val="nil"/>
              <w:bottom w:val="single" w:color="auto" w:sz="4" w:space="0"/>
              <w:right w:val="single" w:color="auto" w:sz="4" w:space="0"/>
            </w:tcBorders>
            <w:vAlign w:val="center"/>
          </w:tcPr>
          <w:p w14:paraId="19428B4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Y＜500</w:t>
            </w:r>
          </w:p>
        </w:tc>
      </w:tr>
      <w:tr w14:paraId="291F95BE">
        <w:tblPrEx>
          <w:tblCellMar>
            <w:top w:w="0" w:type="dxa"/>
            <w:left w:w="108" w:type="dxa"/>
            <w:bottom w:w="0" w:type="dxa"/>
            <w:right w:w="108" w:type="dxa"/>
          </w:tblCellMar>
        </w:tblPrEx>
        <w:trPr>
          <w:trHeight w:val="90" w:hRule="atLeast"/>
          <w:jc w:val="center"/>
        </w:trPr>
        <w:tc>
          <w:tcPr>
            <w:tcW w:w="3671" w:type="dxa"/>
            <w:vMerge w:val="restart"/>
            <w:tcBorders>
              <w:top w:val="nil"/>
              <w:left w:val="single" w:color="auto" w:sz="4" w:space="0"/>
              <w:bottom w:val="single" w:color="auto" w:sz="4" w:space="0"/>
              <w:right w:val="single" w:color="auto" w:sz="4" w:space="0"/>
            </w:tcBorders>
            <w:vAlign w:val="center"/>
          </w:tcPr>
          <w:p w14:paraId="479496F2">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租赁和商务服务业</w:t>
            </w:r>
          </w:p>
        </w:tc>
        <w:tc>
          <w:tcPr>
            <w:tcW w:w="1452" w:type="dxa"/>
            <w:tcBorders>
              <w:top w:val="nil"/>
              <w:left w:val="nil"/>
              <w:bottom w:val="single" w:color="auto" w:sz="4" w:space="0"/>
              <w:right w:val="single" w:color="auto" w:sz="4" w:space="0"/>
            </w:tcBorders>
            <w:vAlign w:val="center"/>
          </w:tcPr>
          <w:p w14:paraId="185485D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47EA6EFD">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1B450909">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707" w:type="dxa"/>
            <w:tcBorders>
              <w:top w:val="nil"/>
              <w:left w:val="nil"/>
              <w:bottom w:val="single" w:color="auto" w:sz="4" w:space="0"/>
              <w:right w:val="single" w:color="auto" w:sz="4" w:space="0"/>
            </w:tcBorders>
            <w:vAlign w:val="center"/>
          </w:tcPr>
          <w:p w14:paraId="60C2BC0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0B7C9235">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r w14:paraId="56B31425">
        <w:tblPrEx>
          <w:tblCellMar>
            <w:top w:w="0" w:type="dxa"/>
            <w:left w:w="108" w:type="dxa"/>
            <w:bottom w:w="0" w:type="dxa"/>
            <w:right w:w="108" w:type="dxa"/>
          </w:tblCellMar>
        </w:tblPrEx>
        <w:trPr>
          <w:trHeight w:val="90" w:hRule="atLeast"/>
          <w:jc w:val="center"/>
        </w:trPr>
        <w:tc>
          <w:tcPr>
            <w:tcW w:w="3671" w:type="dxa"/>
            <w:vMerge w:val="continue"/>
            <w:tcBorders>
              <w:top w:val="nil"/>
              <w:left w:val="single" w:color="auto" w:sz="4" w:space="0"/>
              <w:bottom w:val="single" w:color="auto" w:sz="4" w:space="0"/>
              <w:right w:val="single" w:color="auto" w:sz="4" w:space="0"/>
            </w:tcBorders>
            <w:vAlign w:val="center"/>
          </w:tcPr>
          <w:p w14:paraId="4B37BF37">
            <w:pPr>
              <w:widowControl/>
              <w:snapToGrid/>
              <w:spacing w:line="240" w:lineRule="auto"/>
              <w:ind w:firstLine="0" w:firstLineChars="0"/>
              <w:jc w:val="left"/>
              <w:rPr>
                <w:rFonts w:hint="eastAsia" w:asciiTheme="minorEastAsia" w:hAnsiTheme="minorEastAsia" w:eastAsiaTheme="minorEastAsia" w:cstheme="minorEastAsia"/>
                <w:b/>
                <w:bCs/>
                <w:sz w:val="22"/>
                <w:szCs w:val="22"/>
              </w:rPr>
            </w:pPr>
          </w:p>
        </w:tc>
        <w:tc>
          <w:tcPr>
            <w:tcW w:w="1452" w:type="dxa"/>
            <w:tcBorders>
              <w:top w:val="nil"/>
              <w:left w:val="nil"/>
              <w:bottom w:val="single" w:color="auto" w:sz="4" w:space="0"/>
              <w:right w:val="single" w:color="auto" w:sz="4" w:space="0"/>
            </w:tcBorders>
            <w:vAlign w:val="center"/>
          </w:tcPr>
          <w:p w14:paraId="54C7041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资产总额（Z）</w:t>
            </w:r>
          </w:p>
        </w:tc>
        <w:tc>
          <w:tcPr>
            <w:tcW w:w="1159" w:type="dxa"/>
            <w:tcBorders>
              <w:top w:val="nil"/>
              <w:left w:val="nil"/>
              <w:bottom w:val="single" w:color="auto" w:sz="4" w:space="0"/>
              <w:right w:val="single" w:color="auto" w:sz="4" w:space="0"/>
            </w:tcBorders>
            <w:vAlign w:val="center"/>
          </w:tcPr>
          <w:p w14:paraId="4939BE51">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万元</w:t>
            </w:r>
          </w:p>
        </w:tc>
        <w:tc>
          <w:tcPr>
            <w:tcW w:w="1878" w:type="dxa"/>
            <w:tcBorders>
              <w:top w:val="nil"/>
              <w:left w:val="nil"/>
              <w:bottom w:val="single" w:color="auto" w:sz="4" w:space="0"/>
              <w:right w:val="single" w:color="auto" w:sz="4" w:space="0"/>
            </w:tcBorders>
            <w:vAlign w:val="center"/>
          </w:tcPr>
          <w:p w14:paraId="696B94F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8000≤Z＜120000</w:t>
            </w:r>
          </w:p>
        </w:tc>
        <w:tc>
          <w:tcPr>
            <w:tcW w:w="1707" w:type="dxa"/>
            <w:tcBorders>
              <w:top w:val="nil"/>
              <w:left w:val="nil"/>
              <w:bottom w:val="single" w:color="auto" w:sz="4" w:space="0"/>
              <w:right w:val="single" w:color="auto" w:sz="4" w:space="0"/>
            </w:tcBorders>
            <w:vAlign w:val="center"/>
          </w:tcPr>
          <w:p w14:paraId="497CFD34">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100≤Z＜8000</w:t>
            </w:r>
          </w:p>
        </w:tc>
        <w:tc>
          <w:tcPr>
            <w:tcW w:w="1048" w:type="dxa"/>
            <w:tcBorders>
              <w:top w:val="nil"/>
              <w:left w:val="nil"/>
              <w:bottom w:val="single" w:color="auto" w:sz="4" w:space="0"/>
              <w:right w:val="single" w:color="auto" w:sz="4" w:space="0"/>
            </w:tcBorders>
            <w:vAlign w:val="center"/>
          </w:tcPr>
          <w:p w14:paraId="2233933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Y＜100</w:t>
            </w:r>
          </w:p>
        </w:tc>
      </w:tr>
      <w:tr w14:paraId="55DF65EE">
        <w:tblPrEx>
          <w:tblCellMar>
            <w:top w:w="0" w:type="dxa"/>
            <w:left w:w="108" w:type="dxa"/>
            <w:bottom w:w="0" w:type="dxa"/>
            <w:right w:w="108" w:type="dxa"/>
          </w:tblCellMar>
        </w:tblPrEx>
        <w:trPr>
          <w:trHeight w:val="756" w:hRule="atLeast"/>
          <w:jc w:val="center"/>
        </w:trPr>
        <w:tc>
          <w:tcPr>
            <w:tcW w:w="3671" w:type="dxa"/>
            <w:tcBorders>
              <w:top w:val="nil"/>
              <w:left w:val="single" w:color="auto" w:sz="4" w:space="0"/>
              <w:bottom w:val="single" w:color="auto" w:sz="4" w:space="0"/>
              <w:right w:val="single" w:color="auto" w:sz="4" w:space="0"/>
            </w:tcBorders>
            <w:vAlign w:val="center"/>
          </w:tcPr>
          <w:p w14:paraId="56F53248">
            <w:pPr>
              <w:widowControl/>
              <w:adjustRightInd w:val="0"/>
              <w:spacing w:line="300" w:lineRule="auto"/>
              <w:ind w:firstLine="0" w:firstLineChars="0"/>
              <w:jc w:val="center"/>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其他未列明行业（包括科学研究和技术服务业，水利、环境和公共设施管理业，居民服务、修理和其他服务业，社会工作，文化、体育和娱乐业等）</w:t>
            </w:r>
          </w:p>
        </w:tc>
        <w:tc>
          <w:tcPr>
            <w:tcW w:w="1452" w:type="dxa"/>
            <w:tcBorders>
              <w:top w:val="nil"/>
              <w:left w:val="nil"/>
              <w:bottom w:val="single" w:color="auto" w:sz="4" w:space="0"/>
              <w:right w:val="single" w:color="auto" w:sz="4" w:space="0"/>
            </w:tcBorders>
            <w:vAlign w:val="center"/>
          </w:tcPr>
          <w:p w14:paraId="1B0FB38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从业人员（X）</w:t>
            </w:r>
          </w:p>
        </w:tc>
        <w:tc>
          <w:tcPr>
            <w:tcW w:w="1159" w:type="dxa"/>
            <w:tcBorders>
              <w:top w:val="nil"/>
              <w:left w:val="nil"/>
              <w:bottom w:val="single" w:color="auto" w:sz="4" w:space="0"/>
              <w:right w:val="single" w:color="auto" w:sz="4" w:space="0"/>
            </w:tcBorders>
            <w:vAlign w:val="center"/>
          </w:tcPr>
          <w:p w14:paraId="6E3F631B">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人</w:t>
            </w:r>
          </w:p>
        </w:tc>
        <w:tc>
          <w:tcPr>
            <w:tcW w:w="1878" w:type="dxa"/>
            <w:tcBorders>
              <w:top w:val="nil"/>
              <w:left w:val="nil"/>
              <w:bottom w:val="single" w:color="auto" w:sz="4" w:space="0"/>
              <w:right w:val="single" w:color="auto" w:sz="4" w:space="0"/>
            </w:tcBorders>
            <w:vAlign w:val="center"/>
          </w:tcPr>
          <w:p w14:paraId="398EF912">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100≤X＜300</w:t>
            </w:r>
          </w:p>
        </w:tc>
        <w:tc>
          <w:tcPr>
            <w:tcW w:w="1707" w:type="dxa"/>
            <w:tcBorders>
              <w:top w:val="nil"/>
              <w:left w:val="nil"/>
              <w:bottom w:val="single" w:color="auto" w:sz="4" w:space="0"/>
              <w:right w:val="single" w:color="auto" w:sz="4" w:space="0"/>
            </w:tcBorders>
            <w:vAlign w:val="center"/>
          </w:tcPr>
          <w:p w14:paraId="2AC70A40">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10≤X＜100</w:t>
            </w:r>
          </w:p>
        </w:tc>
        <w:tc>
          <w:tcPr>
            <w:tcW w:w="1048" w:type="dxa"/>
            <w:tcBorders>
              <w:top w:val="nil"/>
              <w:left w:val="nil"/>
              <w:bottom w:val="single" w:color="auto" w:sz="4" w:space="0"/>
              <w:right w:val="single" w:color="auto" w:sz="4" w:space="0"/>
            </w:tcBorders>
            <w:vAlign w:val="center"/>
          </w:tcPr>
          <w:p w14:paraId="6F86327C">
            <w:pPr>
              <w:widowControl/>
              <w:adjustRightInd w:val="0"/>
              <w:spacing w:line="300" w:lineRule="auto"/>
              <w:ind w:firstLine="0" w:firstLineChars="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X＜10</w:t>
            </w:r>
          </w:p>
        </w:tc>
      </w:tr>
    </w:tbl>
    <w:p w14:paraId="1EA2FFFC">
      <w:pPr>
        <w:spacing w:line="480" w:lineRule="auto"/>
        <w:ind w:firstLine="200"/>
        <w:rPr>
          <w:rFonts w:hint="eastAsia" w:cs="宋体"/>
          <w:lang w:eastAsia="zh-CN"/>
        </w:rPr>
      </w:pPr>
      <w:r>
        <w:rPr>
          <w:rFonts w:hint="eastAsia" w:cs="宋体"/>
          <w:b/>
          <w:lang w:eastAsia="zh-CN"/>
        </w:rPr>
        <w:t>说明：</w:t>
      </w:r>
      <w:r>
        <w:rPr>
          <w:rFonts w:hint="eastAsia" w:cs="宋体"/>
          <w:lang w:eastAsia="zh-CN"/>
        </w:rPr>
        <w:t>上述标准参照《关于印发中小企业划型标准规定的通知》（工信部联企业[2011]300号），大型、中型和小型企业须同时满足所列指标的下限，否则下划一档；微型企业只须满足所列指标中的一项即可。</w:t>
      </w:r>
    </w:p>
    <w:p w14:paraId="6929FDC3">
      <w:pPr>
        <w:rPr>
          <w:rFonts w:hint="eastAsia" w:cs="宋体"/>
          <w:lang w:eastAsia="zh-CN"/>
        </w:rPr>
      </w:pPr>
      <w:r>
        <w:rPr>
          <w:rFonts w:hint="eastAsia" w:cs="宋体"/>
          <w:lang w:eastAsia="zh-CN"/>
        </w:rPr>
        <w:br w:type="page"/>
      </w:r>
    </w:p>
    <w:p w14:paraId="39C92DB0">
      <w:pPr>
        <w:widowControl/>
        <w:numPr>
          <w:ilvl w:val="0"/>
          <w:numId w:val="7"/>
        </w:numPr>
        <w:shd w:val="clear" w:color="auto" w:fill="FFFFFF"/>
        <w:spacing w:line="560" w:lineRule="atLeast"/>
        <w:ind w:firstLine="720" w:firstLineChars="0"/>
        <w:jc w:val="center"/>
        <w:textAlignment w:val="baseline"/>
        <w:rPr>
          <w:rFonts w:hint="eastAsia"/>
          <w:b w:val="0"/>
          <w:bCs/>
          <w:spacing w:val="6"/>
          <w:sz w:val="28"/>
          <w:szCs w:val="28"/>
          <w:shd w:val="clear" w:color="auto" w:fill="FFFFFF"/>
          <w:lang w:eastAsia="zh-CN"/>
        </w:rPr>
      </w:pPr>
      <w:r>
        <w:rPr>
          <w:rFonts w:hint="eastAsia"/>
          <w:b w:val="0"/>
          <w:bCs/>
          <w:spacing w:val="6"/>
          <w:sz w:val="28"/>
          <w:szCs w:val="28"/>
          <w:shd w:val="clear" w:color="auto" w:fill="FFFFFF"/>
          <w:lang w:eastAsia="zh-CN"/>
        </w:rPr>
        <w:t>符合本国产品标准的声明函</w:t>
      </w:r>
    </w:p>
    <w:p w14:paraId="791E30A1">
      <w:pPr>
        <w:widowControl/>
        <w:numPr>
          <w:ilvl w:val="0"/>
          <w:numId w:val="0"/>
        </w:numPr>
        <w:shd w:val="clear" w:color="auto" w:fill="FFFFFF"/>
        <w:spacing w:line="560" w:lineRule="atLeast"/>
        <w:jc w:val="both"/>
        <w:textAlignment w:val="baseline"/>
        <w:rPr>
          <w:rFonts w:hint="eastAsia"/>
          <w:b w:val="0"/>
          <w:bCs/>
          <w:spacing w:val="6"/>
          <w:sz w:val="24"/>
          <w:szCs w:val="24"/>
          <w:shd w:val="clear" w:color="auto" w:fill="FFFFFF"/>
          <w:lang w:eastAsia="zh-CN"/>
        </w:rPr>
      </w:pPr>
    </w:p>
    <w:p w14:paraId="75EA7D45">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本公司（单位）郑重声明，根据《国务院办公厅关于在政府采购中实施本国产品标准及相关政策的通知》（国办发〔2025〕34号）的规定，本公司（单位）提供的以下产品属于本国产品。具体情况如下：</w:t>
      </w:r>
    </w:p>
    <w:p w14:paraId="3FD4B315">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1.</w:t>
      </w:r>
      <w:r>
        <w:rPr>
          <w:rFonts w:hint="eastAsia" w:asciiTheme="minorEastAsia" w:hAnsiTheme="minorEastAsia" w:eastAsiaTheme="minorEastAsia" w:cstheme="minorEastAsia"/>
          <w:spacing w:val="6"/>
          <w:sz w:val="24"/>
          <w:szCs w:val="24"/>
          <w:u w:val="single"/>
          <w:lang w:eastAsia="zh-CN"/>
        </w:rPr>
        <w:t>（产品名称1）</w:t>
      </w:r>
      <w:r>
        <w:rPr>
          <w:rFonts w:hint="eastAsia" w:asciiTheme="minorEastAsia" w:hAnsiTheme="minorEastAsia" w:eastAsiaTheme="minorEastAsia" w:cstheme="minorEastAsia"/>
          <w:spacing w:val="6"/>
          <w:sz w:val="24"/>
          <w:szCs w:val="24"/>
          <w:lang w:eastAsia="zh-CN"/>
        </w:rPr>
        <w:t>1，生产厂为</w:t>
      </w:r>
      <w:r>
        <w:rPr>
          <w:rFonts w:hint="eastAsia" w:asciiTheme="minorEastAsia" w:hAnsiTheme="minorEastAsia" w:eastAsiaTheme="minorEastAsia" w:cstheme="minorEastAsia"/>
          <w:spacing w:val="6"/>
          <w:sz w:val="24"/>
          <w:szCs w:val="24"/>
          <w:u w:val="single"/>
          <w:lang w:eastAsia="zh-CN"/>
        </w:rPr>
        <w:t>（厂名）</w:t>
      </w:r>
      <w:r>
        <w:rPr>
          <w:rFonts w:hint="eastAsia" w:asciiTheme="minorEastAsia" w:hAnsiTheme="minorEastAsia" w:eastAsiaTheme="minorEastAsia" w:cstheme="minorEastAsia"/>
          <w:spacing w:val="6"/>
          <w:sz w:val="24"/>
          <w:szCs w:val="24"/>
          <w:lang w:eastAsia="zh-CN"/>
        </w:rPr>
        <w:t>，厂址为</w:t>
      </w:r>
      <w:r>
        <w:rPr>
          <w:rFonts w:hint="eastAsia" w:asciiTheme="minorEastAsia" w:hAnsiTheme="minorEastAsia" w:eastAsiaTheme="minorEastAsia" w:cstheme="minorEastAsia"/>
          <w:spacing w:val="6"/>
          <w:sz w:val="24"/>
          <w:szCs w:val="24"/>
          <w:u w:val="single"/>
          <w:lang w:eastAsia="zh-CN"/>
        </w:rPr>
        <w:t>（生产厂址）</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u w:val="single"/>
          <w:lang w:eastAsia="zh-CN"/>
        </w:rPr>
        <w:t>（产品名称1）</w:t>
      </w:r>
      <w:r>
        <w:rPr>
          <w:rFonts w:hint="eastAsia" w:asciiTheme="minorEastAsia" w:hAnsiTheme="minorEastAsia" w:eastAsiaTheme="minorEastAsia" w:cstheme="minorEastAsia"/>
          <w:spacing w:val="6"/>
          <w:sz w:val="24"/>
          <w:szCs w:val="24"/>
          <w:lang w:eastAsia="zh-CN"/>
        </w:rPr>
        <w:t>的中国境内生产的组件成本占比≥</w:t>
      </w:r>
      <w:r>
        <w:rPr>
          <w:rFonts w:hint="eastAsia" w:asciiTheme="minorEastAsia" w:hAnsiTheme="minorEastAsia" w:eastAsiaTheme="minorEastAsia" w:cstheme="minorEastAsia"/>
          <w:spacing w:val="6"/>
          <w:sz w:val="24"/>
          <w:szCs w:val="24"/>
          <w:u w:val="single"/>
          <w:lang w:eastAsia="zh-CN"/>
        </w:rPr>
        <w:t>（规定比例）</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u w:val="single"/>
          <w:lang w:eastAsia="zh-CN"/>
        </w:rPr>
        <w:t>（产品名称1）</w:t>
      </w:r>
      <w:r>
        <w:rPr>
          <w:rFonts w:hint="eastAsia" w:asciiTheme="minorEastAsia" w:hAnsiTheme="minorEastAsia" w:eastAsiaTheme="minorEastAsia" w:cstheme="minorEastAsia"/>
          <w:spacing w:val="6"/>
          <w:sz w:val="24"/>
          <w:szCs w:val="24"/>
          <w:lang w:eastAsia="zh-CN"/>
        </w:rPr>
        <w:t>的</w:t>
      </w:r>
      <w:r>
        <w:rPr>
          <w:rFonts w:hint="eastAsia" w:asciiTheme="minorEastAsia" w:hAnsiTheme="minorEastAsia" w:eastAsiaTheme="minorEastAsia" w:cstheme="minorEastAsia"/>
          <w:spacing w:val="6"/>
          <w:sz w:val="24"/>
          <w:szCs w:val="24"/>
          <w:u w:val="single"/>
          <w:lang w:eastAsia="zh-CN"/>
        </w:rPr>
        <w:t>（关键组件）</w:t>
      </w:r>
      <w:r>
        <w:rPr>
          <w:rFonts w:hint="eastAsia" w:asciiTheme="minorEastAsia" w:hAnsiTheme="minorEastAsia" w:eastAsiaTheme="minorEastAsia" w:cstheme="minorEastAsia"/>
          <w:spacing w:val="6"/>
          <w:sz w:val="24"/>
          <w:szCs w:val="24"/>
          <w:lang w:eastAsia="zh-CN"/>
        </w:rPr>
        <w:t>在中国境内生产。</w:t>
      </w:r>
      <w:r>
        <w:rPr>
          <w:rFonts w:hint="eastAsia" w:asciiTheme="minorEastAsia" w:hAnsiTheme="minorEastAsia" w:eastAsiaTheme="minorEastAsia" w:cstheme="minorEastAsia"/>
          <w:spacing w:val="6"/>
          <w:sz w:val="24"/>
          <w:szCs w:val="24"/>
          <w:u w:val="single"/>
          <w:lang w:eastAsia="zh-CN"/>
        </w:rPr>
        <w:t>（产品名称1）</w:t>
      </w:r>
      <w:r>
        <w:rPr>
          <w:rFonts w:hint="eastAsia" w:asciiTheme="minorEastAsia" w:hAnsiTheme="minorEastAsia" w:eastAsiaTheme="minorEastAsia" w:cstheme="minorEastAsia"/>
          <w:spacing w:val="6"/>
          <w:sz w:val="24"/>
          <w:szCs w:val="24"/>
          <w:lang w:eastAsia="zh-CN"/>
        </w:rPr>
        <w:t>的</w:t>
      </w:r>
      <w:r>
        <w:rPr>
          <w:rFonts w:hint="eastAsia" w:asciiTheme="minorEastAsia" w:hAnsiTheme="minorEastAsia" w:eastAsiaTheme="minorEastAsia" w:cstheme="minorEastAsia"/>
          <w:spacing w:val="6"/>
          <w:sz w:val="24"/>
          <w:szCs w:val="24"/>
          <w:u w:val="single"/>
          <w:lang w:eastAsia="zh-CN"/>
        </w:rPr>
        <w:t>（关键工序）</w:t>
      </w:r>
      <w:r>
        <w:rPr>
          <w:rFonts w:hint="eastAsia" w:asciiTheme="minorEastAsia" w:hAnsiTheme="minorEastAsia" w:eastAsiaTheme="minorEastAsia" w:cstheme="minorEastAsia"/>
          <w:spacing w:val="6"/>
          <w:sz w:val="24"/>
          <w:szCs w:val="24"/>
          <w:lang w:eastAsia="zh-CN"/>
        </w:rPr>
        <w:t>在中国境内完成。</w:t>
      </w:r>
    </w:p>
    <w:p w14:paraId="793A904C">
      <w:pPr>
        <w:spacing w:line="360" w:lineRule="auto"/>
        <w:ind w:firstLine="504" w:firstLineChars="200"/>
        <w:rPr>
          <w:rFonts w:hint="eastAsia" w:asciiTheme="minorEastAsia" w:hAnsiTheme="minorEastAsia" w:eastAsiaTheme="minorEastAsia" w:cstheme="minorEastAsia"/>
          <w:spacing w:val="6"/>
          <w:sz w:val="24"/>
          <w:szCs w:val="24"/>
          <w:lang w:eastAsia="zh-CN"/>
        </w:rPr>
      </w:pPr>
    </w:p>
    <w:p w14:paraId="5DE6FF93">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2.</w:t>
      </w:r>
      <w:r>
        <w:rPr>
          <w:rFonts w:hint="eastAsia" w:asciiTheme="minorEastAsia" w:hAnsiTheme="minorEastAsia" w:eastAsiaTheme="minorEastAsia" w:cstheme="minorEastAsia"/>
          <w:spacing w:val="6"/>
          <w:sz w:val="24"/>
          <w:szCs w:val="24"/>
          <w:u w:val="single"/>
          <w:lang w:eastAsia="zh-CN"/>
        </w:rPr>
        <w:t>（产品名称2）</w:t>
      </w:r>
      <w:r>
        <w:rPr>
          <w:rFonts w:hint="eastAsia" w:asciiTheme="minorEastAsia" w:hAnsiTheme="minorEastAsia" w:eastAsiaTheme="minorEastAsia" w:cstheme="minorEastAsia"/>
          <w:spacing w:val="6"/>
          <w:sz w:val="24"/>
          <w:szCs w:val="24"/>
          <w:lang w:eastAsia="zh-CN"/>
        </w:rPr>
        <w:t>，生产厂为</w:t>
      </w:r>
      <w:r>
        <w:rPr>
          <w:rFonts w:hint="eastAsia" w:asciiTheme="minorEastAsia" w:hAnsiTheme="minorEastAsia" w:eastAsiaTheme="minorEastAsia" w:cstheme="minorEastAsia"/>
          <w:spacing w:val="6"/>
          <w:sz w:val="24"/>
          <w:szCs w:val="24"/>
          <w:u w:val="single"/>
          <w:lang w:eastAsia="zh-CN"/>
        </w:rPr>
        <w:t>（厂名）</w:t>
      </w:r>
      <w:r>
        <w:rPr>
          <w:rFonts w:hint="eastAsia" w:asciiTheme="minorEastAsia" w:hAnsiTheme="minorEastAsia" w:eastAsiaTheme="minorEastAsia" w:cstheme="minorEastAsia"/>
          <w:spacing w:val="6"/>
          <w:sz w:val="24"/>
          <w:szCs w:val="24"/>
          <w:lang w:eastAsia="zh-CN"/>
        </w:rPr>
        <w:t>，厂址为</w:t>
      </w:r>
      <w:r>
        <w:rPr>
          <w:rFonts w:hint="eastAsia" w:asciiTheme="minorEastAsia" w:hAnsiTheme="minorEastAsia" w:eastAsiaTheme="minorEastAsia" w:cstheme="minorEastAsia"/>
          <w:spacing w:val="6"/>
          <w:sz w:val="24"/>
          <w:szCs w:val="24"/>
          <w:u w:val="single"/>
          <w:lang w:eastAsia="zh-CN"/>
        </w:rPr>
        <w:t>（生产厂址）</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u w:val="single"/>
          <w:lang w:eastAsia="zh-CN"/>
        </w:rPr>
        <w:t>（产品名称2）</w:t>
      </w:r>
      <w:r>
        <w:rPr>
          <w:rFonts w:hint="eastAsia" w:asciiTheme="minorEastAsia" w:hAnsiTheme="minorEastAsia" w:eastAsiaTheme="minorEastAsia" w:cstheme="minorEastAsia"/>
          <w:spacing w:val="6"/>
          <w:sz w:val="24"/>
          <w:szCs w:val="24"/>
          <w:lang w:eastAsia="zh-CN"/>
        </w:rPr>
        <w:t>的中国境内生产的组件成本占比≥</w:t>
      </w:r>
      <w:r>
        <w:rPr>
          <w:rFonts w:hint="eastAsia" w:asciiTheme="minorEastAsia" w:hAnsiTheme="minorEastAsia" w:eastAsiaTheme="minorEastAsia" w:cstheme="minorEastAsia"/>
          <w:spacing w:val="6"/>
          <w:sz w:val="24"/>
          <w:szCs w:val="24"/>
          <w:u w:val="single"/>
          <w:lang w:eastAsia="zh-CN"/>
        </w:rPr>
        <w:t>（规定比例）</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u w:val="single"/>
          <w:lang w:eastAsia="zh-CN"/>
        </w:rPr>
        <w:t>（产品名称2）</w:t>
      </w:r>
      <w:r>
        <w:rPr>
          <w:rFonts w:hint="eastAsia" w:asciiTheme="minorEastAsia" w:hAnsiTheme="minorEastAsia" w:eastAsiaTheme="minorEastAsia" w:cstheme="minorEastAsia"/>
          <w:spacing w:val="6"/>
          <w:sz w:val="24"/>
          <w:szCs w:val="24"/>
          <w:lang w:eastAsia="zh-CN"/>
        </w:rPr>
        <w:t>的</w:t>
      </w:r>
      <w:r>
        <w:rPr>
          <w:rFonts w:hint="eastAsia" w:asciiTheme="minorEastAsia" w:hAnsiTheme="minorEastAsia" w:eastAsiaTheme="minorEastAsia" w:cstheme="minorEastAsia"/>
          <w:spacing w:val="6"/>
          <w:sz w:val="24"/>
          <w:szCs w:val="24"/>
          <w:u w:val="single"/>
          <w:lang w:eastAsia="zh-CN"/>
        </w:rPr>
        <w:t>（关键组件）</w:t>
      </w:r>
      <w:r>
        <w:rPr>
          <w:rFonts w:hint="eastAsia" w:asciiTheme="minorEastAsia" w:hAnsiTheme="minorEastAsia" w:eastAsiaTheme="minorEastAsia" w:cstheme="minorEastAsia"/>
          <w:spacing w:val="6"/>
          <w:sz w:val="24"/>
          <w:szCs w:val="24"/>
          <w:lang w:eastAsia="zh-CN"/>
        </w:rPr>
        <w:t>在中国境内生产。</w:t>
      </w:r>
      <w:r>
        <w:rPr>
          <w:rFonts w:hint="eastAsia" w:asciiTheme="minorEastAsia" w:hAnsiTheme="minorEastAsia" w:eastAsiaTheme="minorEastAsia" w:cstheme="minorEastAsia"/>
          <w:spacing w:val="6"/>
          <w:sz w:val="24"/>
          <w:szCs w:val="24"/>
          <w:u w:val="single"/>
          <w:lang w:eastAsia="zh-CN"/>
        </w:rPr>
        <w:t>（产品名称2）</w:t>
      </w:r>
      <w:r>
        <w:rPr>
          <w:rFonts w:hint="eastAsia" w:asciiTheme="minorEastAsia" w:hAnsiTheme="minorEastAsia" w:eastAsiaTheme="minorEastAsia" w:cstheme="minorEastAsia"/>
          <w:spacing w:val="6"/>
          <w:sz w:val="24"/>
          <w:szCs w:val="24"/>
          <w:lang w:eastAsia="zh-CN"/>
        </w:rPr>
        <w:t>的</w:t>
      </w:r>
      <w:r>
        <w:rPr>
          <w:rFonts w:hint="eastAsia" w:asciiTheme="minorEastAsia" w:hAnsiTheme="minorEastAsia" w:eastAsiaTheme="minorEastAsia" w:cstheme="minorEastAsia"/>
          <w:spacing w:val="6"/>
          <w:sz w:val="24"/>
          <w:szCs w:val="24"/>
          <w:u w:val="single"/>
          <w:lang w:eastAsia="zh-CN"/>
        </w:rPr>
        <w:t>（关键工序）</w:t>
      </w:r>
      <w:r>
        <w:rPr>
          <w:rFonts w:hint="eastAsia" w:asciiTheme="minorEastAsia" w:hAnsiTheme="minorEastAsia" w:eastAsiaTheme="minorEastAsia" w:cstheme="minorEastAsia"/>
          <w:spacing w:val="6"/>
          <w:sz w:val="24"/>
          <w:szCs w:val="24"/>
          <w:lang w:eastAsia="zh-CN"/>
        </w:rPr>
        <w:t>在中国境内完成。</w:t>
      </w:r>
    </w:p>
    <w:p w14:paraId="0116E296">
      <w:pPr>
        <w:spacing w:line="360" w:lineRule="auto"/>
        <w:ind w:firstLine="504" w:firstLineChars="200"/>
        <w:rPr>
          <w:rFonts w:hint="eastAsia" w:asciiTheme="minorEastAsia" w:hAnsiTheme="minorEastAsia" w:eastAsiaTheme="minorEastAsia" w:cstheme="minorEastAsia"/>
          <w:spacing w:val="6"/>
          <w:sz w:val="24"/>
          <w:szCs w:val="24"/>
          <w:lang w:eastAsia="zh-CN"/>
        </w:rPr>
      </w:pPr>
    </w:p>
    <w:p w14:paraId="01E7872B">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w:t>
      </w:r>
    </w:p>
    <w:p w14:paraId="2A392B27">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本公司（单位）对上述声明内容的真实性负责。如有虚假，愿承担相应法律责任。</w:t>
      </w:r>
    </w:p>
    <w:p w14:paraId="3E147571">
      <w:pPr>
        <w:spacing w:line="360" w:lineRule="auto"/>
        <w:ind w:firstLine="504" w:firstLineChars="200"/>
        <w:jc w:val="right"/>
        <w:rPr>
          <w:rFonts w:hint="eastAsia" w:asciiTheme="minorEastAsia" w:hAnsiTheme="minorEastAsia" w:eastAsiaTheme="minorEastAsia" w:cstheme="minorEastAsia"/>
          <w:spacing w:val="6"/>
          <w:sz w:val="24"/>
          <w:szCs w:val="24"/>
          <w:lang w:eastAsia="zh-CN"/>
        </w:rPr>
      </w:pPr>
    </w:p>
    <w:p w14:paraId="3146B50F">
      <w:pPr>
        <w:spacing w:line="360" w:lineRule="auto"/>
        <w:ind w:firstLine="504" w:firstLineChars="200"/>
        <w:jc w:val="right"/>
        <w:rPr>
          <w:rFonts w:hint="eastAsia" w:asciiTheme="minorEastAsia" w:hAnsiTheme="minorEastAsia" w:eastAsiaTheme="minorEastAsia" w:cstheme="minorEastAsia"/>
          <w:spacing w:val="6"/>
          <w:sz w:val="24"/>
          <w:szCs w:val="24"/>
          <w:u w:val="single"/>
          <w:lang w:val="en-US" w:eastAsia="zh-CN"/>
        </w:rPr>
      </w:pPr>
      <w:r>
        <w:rPr>
          <w:rFonts w:hint="eastAsia" w:asciiTheme="minorEastAsia" w:hAnsiTheme="minorEastAsia" w:eastAsiaTheme="minorEastAsia" w:cstheme="minorEastAsia"/>
          <w:spacing w:val="6"/>
          <w:sz w:val="24"/>
          <w:szCs w:val="24"/>
          <w:lang w:eastAsia="zh-CN"/>
        </w:rPr>
        <w:t>公司（单位）名称（盖章）：</w:t>
      </w:r>
      <w:r>
        <w:rPr>
          <w:rFonts w:hint="eastAsia" w:asciiTheme="minorEastAsia" w:hAnsiTheme="minorEastAsia" w:eastAsiaTheme="minorEastAsia" w:cstheme="minorEastAsia"/>
          <w:spacing w:val="6"/>
          <w:sz w:val="24"/>
          <w:szCs w:val="24"/>
          <w:u w:val="single"/>
          <w:lang w:val="en-US" w:eastAsia="zh-CN"/>
        </w:rPr>
        <w:t xml:space="preserve">     </w:t>
      </w:r>
    </w:p>
    <w:p w14:paraId="26BD8FB9">
      <w:pPr>
        <w:spacing w:line="360" w:lineRule="auto"/>
        <w:ind w:firstLine="504" w:firstLineChars="200"/>
        <w:jc w:val="right"/>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日期：</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lang w:eastAsia="zh-CN"/>
        </w:rPr>
        <w:t>年</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lang w:eastAsia="zh-CN"/>
        </w:rPr>
        <w:t>月</w:t>
      </w:r>
      <w:r>
        <w:rPr>
          <w:rFonts w:hint="eastAsia" w:asciiTheme="minorEastAsia" w:hAnsiTheme="minorEastAsia" w:eastAsiaTheme="minorEastAsia" w:cstheme="minorEastAsia"/>
          <w:spacing w:val="6"/>
          <w:sz w:val="24"/>
          <w:szCs w:val="24"/>
          <w:u w:val="single"/>
          <w:lang w:val="en-US" w:eastAsia="zh-CN"/>
        </w:rPr>
        <w:t xml:space="preserve">   </w:t>
      </w:r>
      <w:r>
        <w:rPr>
          <w:rFonts w:hint="eastAsia" w:asciiTheme="minorEastAsia" w:hAnsiTheme="minorEastAsia" w:eastAsiaTheme="minorEastAsia" w:cstheme="minorEastAsia"/>
          <w:spacing w:val="6"/>
          <w:sz w:val="24"/>
          <w:szCs w:val="24"/>
          <w:lang w:eastAsia="zh-CN"/>
        </w:rPr>
        <w:t>日</w:t>
      </w:r>
    </w:p>
    <w:p w14:paraId="409FFE69">
      <w:pPr>
        <w:spacing w:line="360" w:lineRule="auto"/>
        <w:ind w:firstLine="504" w:firstLineChars="200"/>
        <w:rPr>
          <w:rFonts w:hint="eastAsia" w:asciiTheme="minorEastAsia" w:hAnsiTheme="minorEastAsia" w:eastAsiaTheme="minorEastAsia" w:cstheme="minorEastAsia"/>
          <w:spacing w:val="6"/>
          <w:sz w:val="24"/>
          <w:szCs w:val="24"/>
          <w:lang w:eastAsia="zh-CN"/>
        </w:rPr>
      </w:pPr>
    </w:p>
    <w:p w14:paraId="2C0F7E28">
      <w:pPr>
        <w:spacing w:line="360" w:lineRule="auto"/>
        <w:ind w:firstLine="504" w:firstLineChars="200"/>
        <w:rPr>
          <w:rFonts w:hint="default"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spacing w:val="6"/>
          <w:sz w:val="24"/>
          <w:szCs w:val="24"/>
          <w:lang w:val="en-US" w:eastAsia="zh-CN"/>
        </w:rPr>
        <w:t>------------------------------------------------------------------------</w:t>
      </w:r>
    </w:p>
    <w:p w14:paraId="5BEA4ABF">
      <w:pPr>
        <w:spacing w:line="360" w:lineRule="auto"/>
        <w:ind w:firstLine="504" w:firstLineChars="200"/>
        <w:rPr>
          <w:rFonts w:hint="eastAsia" w:asciiTheme="minorEastAsia" w:hAnsiTheme="minorEastAsia" w:eastAsiaTheme="minorEastAsia" w:cstheme="minorEastAsia"/>
          <w:spacing w:val="6"/>
          <w:sz w:val="24"/>
          <w:szCs w:val="24"/>
          <w:lang w:eastAsia="zh-CN"/>
        </w:rPr>
      </w:pPr>
    </w:p>
    <w:p w14:paraId="0BFDD7EF">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1.产品如有型号，请在“产品名称”栏一并填写。</w:t>
      </w:r>
    </w:p>
    <w:p w14:paraId="24519A5B">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2.生产厂名与厂址应与生产厂营业执照载明的相关信息保持一致。</w:t>
      </w:r>
    </w:p>
    <w:p w14:paraId="699B672E">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3.该产品的中国境内生产的组件成本占比相关要求实施前，“规定比例”栏可不填，下同。</w:t>
      </w:r>
    </w:p>
    <w:p w14:paraId="09D22C8D">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4.该产品的关键组件要求实施前，“关键组件”栏可不填，下同。</w:t>
      </w:r>
    </w:p>
    <w:p w14:paraId="13BF5C65">
      <w:pPr>
        <w:spacing w:line="360" w:lineRule="auto"/>
        <w:ind w:firstLine="504" w:firstLineChars="200"/>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5.该产品的关键工序要求实施前，“关键工序”栏可不填，下同。</w:t>
      </w:r>
    </w:p>
    <w:p w14:paraId="25CF609F">
      <w:pPr>
        <w:spacing w:before="468" w:beforeLines="150" w:line="480" w:lineRule="auto"/>
        <w:ind w:firstLine="504" w:firstLineChars="200"/>
        <w:rPr>
          <w:rFonts w:hint="eastAsia" w:asciiTheme="minorEastAsia" w:hAnsiTheme="minorEastAsia" w:eastAsiaTheme="minorEastAsia" w:cstheme="minorEastAsia"/>
          <w:spacing w:val="6"/>
          <w:sz w:val="24"/>
          <w:szCs w:val="24"/>
        </w:rPr>
      </w:pPr>
    </w:p>
    <w:p w14:paraId="7A3A4B65">
      <w:pPr>
        <w:rPr>
          <w:rFonts w:hint="default"/>
          <w:lang w:val="en-US" w:eastAsia="zh-CN"/>
        </w:rPr>
      </w:pPr>
    </w:p>
    <w:sectPr>
      <w:headerReference r:id="rId13" w:type="default"/>
      <w:footerReference r:id="rId14" w:type="default"/>
      <w:pgSz w:w="11906" w:h="16838"/>
      <w:pgMar w:top="1077" w:right="1077" w:bottom="1077" w:left="107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Frutiger Roman">
    <w:altName w:val="Lucida Sans Unicode"/>
    <w:panose1 w:val="00000000000000000000"/>
    <w:charset w:val="00"/>
    <w:family w:val="swiss"/>
    <w:pitch w:val="default"/>
    <w:sig w:usb0="00000000" w:usb1="00000000" w:usb2="00000000" w:usb3="00000000" w:csb0="00000013" w:csb1="00000000"/>
  </w:font>
  <w:font w:name="Lucida Sans Unicode">
    <w:panose1 w:val="020B0602030504020204"/>
    <w:charset w:val="00"/>
    <w:family w:val="auto"/>
    <w:pitch w:val="default"/>
    <w:sig w:usb0="80001AFF" w:usb1="0000396B" w:usb2="00000000" w:usb3="00000000" w:csb0="200000BF" w:csb1="D7F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F0C33">
    <w:pPr>
      <w:pStyle w:val="2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15FCE">
                          <w:pPr>
                            <w:pStyle w:val="2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F715FCE">
                    <w:pPr>
                      <w:pStyle w:val="26"/>
                    </w:pPr>
                    <w:r>
                      <w:fldChar w:fldCharType="begin"/>
                    </w:r>
                    <w:r>
                      <w:instrText xml:space="preserve"> PAGE  \* MERGEFORMAT </w:instrText>
                    </w:r>
                    <w:r>
                      <w:fldChar w:fldCharType="separate"/>
                    </w:r>
                    <w:r>
                      <w:t>4</w:t>
                    </w:r>
                    <w:r>
                      <w:fldChar w:fldCharType="end"/>
                    </w:r>
                  </w:p>
                </w:txbxContent>
              </v:textbox>
            </v:shape>
          </w:pict>
        </mc:Fallback>
      </mc:AlternateContent>
    </w:r>
  </w:p>
  <w:p w14:paraId="7FC79DF4">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F4EB4">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BFDA1">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78887">
    <w:pPr>
      <w:pStyle w:val="2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34975">
                          <w:pPr>
                            <w:pStyle w:val="2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DD34975">
                    <w:pPr>
                      <w:pStyle w:val="26"/>
                    </w:pPr>
                    <w:r>
                      <w:fldChar w:fldCharType="begin"/>
                    </w:r>
                    <w:r>
                      <w:instrText xml:space="preserve"> PAGE  \* MERGEFORMAT </w:instrText>
                    </w:r>
                    <w:r>
                      <w:fldChar w:fldCharType="separate"/>
                    </w:r>
                    <w:r>
                      <w:t>33</w:t>
                    </w:r>
                    <w:r>
                      <w:fldChar w:fldCharType="end"/>
                    </w:r>
                  </w:p>
                </w:txbxContent>
              </v:textbox>
            </v:shape>
          </w:pict>
        </mc:Fallback>
      </mc:AlternateContent>
    </w:r>
  </w:p>
  <w:p w14:paraId="5D6D0A67">
    <w:pPr>
      <w:pStyle w:val="26"/>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481F6">
    <w:pPr>
      <w:pStyle w:val="2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D3668">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56D3668">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40124">
    <w:pPr>
      <w:pStyle w:val="2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8DEE1">
                          <w:pPr>
                            <w:pStyle w:val="2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0C8DEE1">
                    <w:pPr>
                      <w:pStyle w:val="2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D63A">
    <w:pPr>
      <w:pStyle w:val="26"/>
      <w:pBdr>
        <w:top w:val="double" w:color="auto" w:sz="6" w:space="6"/>
      </w:pBdr>
      <w:tabs>
        <w:tab w:val="left" w:pos="6120"/>
        <w:tab w:val="clear" w:pos="4153"/>
        <w:tab w:val="clear" w:pos="8306"/>
      </w:tabs>
      <w:ind w:right="360"/>
      <w:rPr>
        <w:rFonts w:ascii="楷体_GB2312" w:eastAsia="楷体_GB2312"/>
        <w:i/>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F854C">
                          <w:pPr>
                            <w:pStyle w:val="2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EF854C">
                    <w:pPr>
                      <w:pStyle w:val="2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99290">
    <w:pPr>
      <w:pStyle w:val="2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ABB75">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C962E">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AF3DD">
    <w:pPr>
      <w:pStyle w:val="2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A831F">
    <w:pPr>
      <w:jc w:val="center"/>
      <w:rPr>
        <w:szCs w:val="21"/>
      </w:rPr>
    </w:pPr>
    <w:r>
      <w:rPr>
        <w:rFonts w:hint="eastAsia" w:ascii="楷体_GB2312" w:hAnsi="宋体" w:eastAsia="楷体_GB2312"/>
        <w:b/>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36518C"/>
    <w:multiLevelType w:val="singleLevel"/>
    <w:tmpl w:val="FA36518C"/>
    <w:lvl w:ilvl="0" w:tentative="0">
      <w:start w:val="3"/>
      <w:numFmt w:val="chineseCounting"/>
      <w:suff w:val="nothing"/>
      <w:lvlText w:val="%1、"/>
      <w:lvlJc w:val="left"/>
      <w:rPr>
        <w:rFonts w:hint="eastAsia"/>
      </w:rPr>
    </w:lvl>
  </w:abstractNum>
  <w:abstractNum w:abstractNumId="1">
    <w:nsid w:val="554F9EFC"/>
    <w:multiLevelType w:val="singleLevel"/>
    <w:tmpl w:val="554F9EFC"/>
    <w:lvl w:ilvl="0" w:tentative="0">
      <w:start w:val="5"/>
      <w:numFmt w:val="chineseCounting"/>
      <w:suff w:val="space"/>
      <w:lvlText w:val="第%1章"/>
      <w:lvlJc w:val="left"/>
      <w:rPr>
        <w:rFonts w:hint="eastAsia"/>
      </w:rPr>
    </w:lvl>
  </w:abstractNum>
  <w:abstractNum w:abstractNumId="2">
    <w:nsid w:val="5757A111"/>
    <w:multiLevelType w:val="singleLevel"/>
    <w:tmpl w:val="5757A111"/>
    <w:lvl w:ilvl="0" w:tentative="0">
      <w:start w:val="1"/>
      <w:numFmt w:val="decimal"/>
      <w:suff w:val="space"/>
      <w:lvlText w:val="%1."/>
      <w:lvlJc w:val="left"/>
    </w:lvl>
  </w:abstractNum>
  <w:abstractNum w:abstractNumId="3">
    <w:nsid w:val="6F7B0A6F"/>
    <w:multiLevelType w:val="multilevel"/>
    <w:tmpl w:val="6F7B0A6F"/>
    <w:lvl w:ilvl="0" w:tentative="0">
      <w:start w:val="4"/>
      <w:numFmt w:val="japaneseCounting"/>
      <w:pStyle w:val="93"/>
      <w:lvlText w:val="第%1章"/>
      <w:lvlJc w:val="left"/>
      <w:pPr>
        <w:tabs>
          <w:tab w:val="left" w:pos="1200"/>
        </w:tabs>
        <w:ind w:left="1200" w:hanging="1200"/>
      </w:pPr>
      <w:rPr>
        <w:rFonts w:hint="eastAsia"/>
      </w:rPr>
    </w:lvl>
    <w:lvl w:ilvl="1" w:tentative="0">
      <w:start w:val="5"/>
      <w:numFmt w:val="japaneseCounting"/>
      <w:lvlText w:val="%2）"/>
      <w:lvlJc w:val="left"/>
      <w:pPr>
        <w:tabs>
          <w:tab w:val="left" w:pos="840"/>
        </w:tabs>
        <w:ind w:left="840" w:hanging="420"/>
      </w:pPr>
      <w:rPr>
        <w:rFonts w:hint="default" w:ascii="Times New Roman" w:hAnsi="Times New Roman"/>
        <w:sz w:val="21"/>
        <w:u w:val="none"/>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8966130"/>
    <w:multiLevelType w:val="multilevel"/>
    <w:tmpl w:val="78966130"/>
    <w:lvl w:ilvl="0" w:tentative="0">
      <w:start w:val="1"/>
      <w:numFmt w:val="decimal"/>
      <w:lvlText w:val="%1."/>
      <w:lvlJc w:val="left"/>
      <w:pPr>
        <w:tabs>
          <w:tab w:val="left" w:pos="425"/>
        </w:tabs>
        <w:ind w:left="425" w:hanging="425"/>
      </w:pPr>
      <w:rPr>
        <w:rFonts w:hint="default" w:ascii="Times New Roman" w:hAnsi="Times New Roman" w:cs="Times New Roman"/>
        <w:b/>
        <w:color w:val="auto"/>
      </w:rPr>
    </w:lvl>
    <w:lvl w:ilvl="1" w:tentative="0">
      <w:start w:val="1"/>
      <w:numFmt w:val="decimal"/>
      <w:lvlText w:val="%1.%2."/>
      <w:lvlJc w:val="left"/>
      <w:pPr>
        <w:tabs>
          <w:tab w:val="left" w:pos="567"/>
        </w:tabs>
        <w:ind w:left="567" w:hanging="567"/>
      </w:pPr>
      <w:rPr>
        <w:rFonts w:hint="default" w:ascii="Times New Roman" w:hAnsi="Times New Roman" w:cs="Times New Roman"/>
        <w:b w:val="0"/>
        <w:color w:val="auto"/>
        <w:sz w:val="21"/>
        <w:szCs w:val="21"/>
      </w:rPr>
    </w:lvl>
    <w:lvl w:ilvl="2" w:tentative="0">
      <w:start w:val="1"/>
      <w:numFmt w:val="decimal"/>
      <w:lvlText w:val="%1.%2.%3."/>
      <w:lvlJc w:val="left"/>
      <w:pPr>
        <w:tabs>
          <w:tab w:val="left" w:pos="709"/>
        </w:tabs>
        <w:ind w:left="709" w:hanging="709"/>
      </w:pPr>
      <w:rPr>
        <w:rFonts w:hint="default" w:ascii="Times New Roman" w:hAnsi="Times New Roman" w:cs="Times New Roman"/>
        <w:b w:val="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7E22B380"/>
    <w:multiLevelType w:val="singleLevel"/>
    <w:tmpl w:val="7E22B380"/>
    <w:lvl w:ilvl="0" w:tentative="0">
      <w:start w:val="4"/>
      <w:numFmt w:val="decimal"/>
      <w:suff w:val="nothing"/>
      <w:lvlText w:val="（%1）"/>
      <w:lvlJc w:val="left"/>
    </w:lvl>
  </w:abstractNum>
  <w:abstractNum w:abstractNumId="6">
    <w:nsid w:val="7E988BD4"/>
    <w:multiLevelType w:val="singleLevel"/>
    <w:tmpl w:val="7E988BD4"/>
    <w:lvl w:ilvl="0" w:tentative="0">
      <w:start w:val="1"/>
      <w:numFmt w:val="decimal"/>
      <w:suff w:val="nothing"/>
      <w:lvlText w:val="（%1）"/>
      <w:lvlJc w:val="left"/>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0782B15"/>
    <w:rsid w:val="0002668E"/>
    <w:rsid w:val="0006386D"/>
    <w:rsid w:val="000A2B04"/>
    <w:rsid w:val="000B479A"/>
    <w:rsid w:val="000C6AF8"/>
    <w:rsid w:val="000D1F3A"/>
    <w:rsid w:val="000E2A08"/>
    <w:rsid w:val="000F01E2"/>
    <w:rsid w:val="00110B21"/>
    <w:rsid w:val="00157B38"/>
    <w:rsid w:val="0016062D"/>
    <w:rsid w:val="00160966"/>
    <w:rsid w:val="00180B94"/>
    <w:rsid w:val="001951AC"/>
    <w:rsid w:val="001A29AC"/>
    <w:rsid w:val="001A4862"/>
    <w:rsid w:val="001C0A2D"/>
    <w:rsid w:val="001D3C30"/>
    <w:rsid w:val="00236B45"/>
    <w:rsid w:val="00261957"/>
    <w:rsid w:val="002945EC"/>
    <w:rsid w:val="002A0289"/>
    <w:rsid w:val="002A339A"/>
    <w:rsid w:val="002D7795"/>
    <w:rsid w:val="002F3150"/>
    <w:rsid w:val="002F35FA"/>
    <w:rsid w:val="003239CD"/>
    <w:rsid w:val="003302E1"/>
    <w:rsid w:val="003341A3"/>
    <w:rsid w:val="003805BC"/>
    <w:rsid w:val="0039424F"/>
    <w:rsid w:val="003B4747"/>
    <w:rsid w:val="003B6E90"/>
    <w:rsid w:val="003C1BA6"/>
    <w:rsid w:val="003D0809"/>
    <w:rsid w:val="003D2FDB"/>
    <w:rsid w:val="003D4752"/>
    <w:rsid w:val="00424181"/>
    <w:rsid w:val="00426A0B"/>
    <w:rsid w:val="00432A8B"/>
    <w:rsid w:val="0049256C"/>
    <w:rsid w:val="00493E21"/>
    <w:rsid w:val="0049417E"/>
    <w:rsid w:val="004A0539"/>
    <w:rsid w:val="004A4ED4"/>
    <w:rsid w:val="004F6B36"/>
    <w:rsid w:val="004F727B"/>
    <w:rsid w:val="005134D1"/>
    <w:rsid w:val="00514FB5"/>
    <w:rsid w:val="0052022C"/>
    <w:rsid w:val="00545E65"/>
    <w:rsid w:val="005762E2"/>
    <w:rsid w:val="005773AD"/>
    <w:rsid w:val="00593117"/>
    <w:rsid w:val="005B7934"/>
    <w:rsid w:val="005B7CC6"/>
    <w:rsid w:val="006169AA"/>
    <w:rsid w:val="00617C43"/>
    <w:rsid w:val="00696ED8"/>
    <w:rsid w:val="006C2FD8"/>
    <w:rsid w:val="006C3AC0"/>
    <w:rsid w:val="006D6636"/>
    <w:rsid w:val="00736BD5"/>
    <w:rsid w:val="00782B15"/>
    <w:rsid w:val="007A52EC"/>
    <w:rsid w:val="007D4435"/>
    <w:rsid w:val="00820863"/>
    <w:rsid w:val="00834F10"/>
    <w:rsid w:val="00961678"/>
    <w:rsid w:val="009761A1"/>
    <w:rsid w:val="0099770A"/>
    <w:rsid w:val="009B331F"/>
    <w:rsid w:val="009B4582"/>
    <w:rsid w:val="009C5A76"/>
    <w:rsid w:val="009D01BE"/>
    <w:rsid w:val="00AC043D"/>
    <w:rsid w:val="00AC18BB"/>
    <w:rsid w:val="00AE5FB1"/>
    <w:rsid w:val="00B05494"/>
    <w:rsid w:val="00B117E5"/>
    <w:rsid w:val="00B136AA"/>
    <w:rsid w:val="00B53484"/>
    <w:rsid w:val="00B81146"/>
    <w:rsid w:val="00C00B58"/>
    <w:rsid w:val="00C25CD9"/>
    <w:rsid w:val="00C61A4D"/>
    <w:rsid w:val="00C93623"/>
    <w:rsid w:val="00CA40B9"/>
    <w:rsid w:val="00CA7925"/>
    <w:rsid w:val="00CD5FFD"/>
    <w:rsid w:val="00CE1FC5"/>
    <w:rsid w:val="00CF7038"/>
    <w:rsid w:val="00D03B4C"/>
    <w:rsid w:val="00D07E94"/>
    <w:rsid w:val="00D4499E"/>
    <w:rsid w:val="00D52474"/>
    <w:rsid w:val="00D55579"/>
    <w:rsid w:val="00D55670"/>
    <w:rsid w:val="00D9208E"/>
    <w:rsid w:val="00E00968"/>
    <w:rsid w:val="00E15949"/>
    <w:rsid w:val="00E63FF1"/>
    <w:rsid w:val="00EA3707"/>
    <w:rsid w:val="00EA3EF5"/>
    <w:rsid w:val="00F16F30"/>
    <w:rsid w:val="00F242E3"/>
    <w:rsid w:val="00F3335E"/>
    <w:rsid w:val="00F73847"/>
    <w:rsid w:val="00F82A6F"/>
    <w:rsid w:val="00F9257D"/>
    <w:rsid w:val="00FB1EBA"/>
    <w:rsid w:val="00FB74B6"/>
    <w:rsid w:val="00FC77FA"/>
    <w:rsid w:val="00FD0BD2"/>
    <w:rsid w:val="00FF1C6B"/>
    <w:rsid w:val="01492085"/>
    <w:rsid w:val="0160084E"/>
    <w:rsid w:val="01796587"/>
    <w:rsid w:val="01E32562"/>
    <w:rsid w:val="02024C45"/>
    <w:rsid w:val="023A3F4A"/>
    <w:rsid w:val="027A1878"/>
    <w:rsid w:val="03767DDE"/>
    <w:rsid w:val="03B66504"/>
    <w:rsid w:val="03F936D4"/>
    <w:rsid w:val="04004400"/>
    <w:rsid w:val="04051239"/>
    <w:rsid w:val="042462B3"/>
    <w:rsid w:val="0436772A"/>
    <w:rsid w:val="04930F41"/>
    <w:rsid w:val="04A028E6"/>
    <w:rsid w:val="04A10F62"/>
    <w:rsid w:val="04A2271A"/>
    <w:rsid w:val="04AD0F8F"/>
    <w:rsid w:val="052D752C"/>
    <w:rsid w:val="05627AF3"/>
    <w:rsid w:val="05782A31"/>
    <w:rsid w:val="05B60433"/>
    <w:rsid w:val="05D9297D"/>
    <w:rsid w:val="06113EC5"/>
    <w:rsid w:val="063031B6"/>
    <w:rsid w:val="07060369"/>
    <w:rsid w:val="07577FFE"/>
    <w:rsid w:val="077A41F8"/>
    <w:rsid w:val="079762D2"/>
    <w:rsid w:val="08030AEB"/>
    <w:rsid w:val="087819A6"/>
    <w:rsid w:val="089075E2"/>
    <w:rsid w:val="090221EB"/>
    <w:rsid w:val="09342B78"/>
    <w:rsid w:val="093F0D49"/>
    <w:rsid w:val="096B336F"/>
    <w:rsid w:val="098D5344"/>
    <w:rsid w:val="09AD73A9"/>
    <w:rsid w:val="09C54583"/>
    <w:rsid w:val="09CA6F62"/>
    <w:rsid w:val="09CC201C"/>
    <w:rsid w:val="09FF215B"/>
    <w:rsid w:val="0A0F072C"/>
    <w:rsid w:val="0A491976"/>
    <w:rsid w:val="0A7D4664"/>
    <w:rsid w:val="0AA2437A"/>
    <w:rsid w:val="0AD803BC"/>
    <w:rsid w:val="0AE44AD4"/>
    <w:rsid w:val="0B17448E"/>
    <w:rsid w:val="0B325009"/>
    <w:rsid w:val="0B4E26BC"/>
    <w:rsid w:val="0BAD742B"/>
    <w:rsid w:val="0BEF4471"/>
    <w:rsid w:val="0C0E5B4F"/>
    <w:rsid w:val="0C493A69"/>
    <w:rsid w:val="0CC7641C"/>
    <w:rsid w:val="0CFC573D"/>
    <w:rsid w:val="0D0D3117"/>
    <w:rsid w:val="0D894EDD"/>
    <w:rsid w:val="0DAA2AFB"/>
    <w:rsid w:val="0E4737D9"/>
    <w:rsid w:val="0E8536A2"/>
    <w:rsid w:val="0EB36839"/>
    <w:rsid w:val="0F0C1272"/>
    <w:rsid w:val="0F723F03"/>
    <w:rsid w:val="0F8E6B11"/>
    <w:rsid w:val="0F9E1716"/>
    <w:rsid w:val="0FB35FED"/>
    <w:rsid w:val="0FF90200"/>
    <w:rsid w:val="10643C64"/>
    <w:rsid w:val="1078279C"/>
    <w:rsid w:val="108A2FC0"/>
    <w:rsid w:val="11F213F3"/>
    <w:rsid w:val="11FA0ECE"/>
    <w:rsid w:val="12494D2C"/>
    <w:rsid w:val="126C134B"/>
    <w:rsid w:val="133660B5"/>
    <w:rsid w:val="138D515B"/>
    <w:rsid w:val="13C22CA3"/>
    <w:rsid w:val="13C6131F"/>
    <w:rsid w:val="141C0F50"/>
    <w:rsid w:val="14320F5F"/>
    <w:rsid w:val="14335093"/>
    <w:rsid w:val="147C32C1"/>
    <w:rsid w:val="14813070"/>
    <w:rsid w:val="14B60A59"/>
    <w:rsid w:val="15285CCA"/>
    <w:rsid w:val="15593F06"/>
    <w:rsid w:val="15AA6830"/>
    <w:rsid w:val="15E16AD2"/>
    <w:rsid w:val="15E963D7"/>
    <w:rsid w:val="15EA4EBA"/>
    <w:rsid w:val="160A16E8"/>
    <w:rsid w:val="16361726"/>
    <w:rsid w:val="16C909EC"/>
    <w:rsid w:val="17005FBC"/>
    <w:rsid w:val="172964AA"/>
    <w:rsid w:val="17634AFB"/>
    <w:rsid w:val="1763654B"/>
    <w:rsid w:val="1776002C"/>
    <w:rsid w:val="17AD102F"/>
    <w:rsid w:val="17BE2890"/>
    <w:rsid w:val="187D53EA"/>
    <w:rsid w:val="18963391"/>
    <w:rsid w:val="18B049DC"/>
    <w:rsid w:val="18C27188"/>
    <w:rsid w:val="18DA72AF"/>
    <w:rsid w:val="18F01063"/>
    <w:rsid w:val="192F78DD"/>
    <w:rsid w:val="19836CBD"/>
    <w:rsid w:val="1A353DDF"/>
    <w:rsid w:val="1ABD2416"/>
    <w:rsid w:val="1B0B1196"/>
    <w:rsid w:val="1B1D7D58"/>
    <w:rsid w:val="1B9424B6"/>
    <w:rsid w:val="1BB90E2F"/>
    <w:rsid w:val="1BED2887"/>
    <w:rsid w:val="1CA92C52"/>
    <w:rsid w:val="1CC7132A"/>
    <w:rsid w:val="1D534A06"/>
    <w:rsid w:val="1D5E3A3C"/>
    <w:rsid w:val="1DD232FD"/>
    <w:rsid w:val="1E616EDA"/>
    <w:rsid w:val="1E7352C5"/>
    <w:rsid w:val="1E74103D"/>
    <w:rsid w:val="1ED41446"/>
    <w:rsid w:val="1EE4017B"/>
    <w:rsid w:val="1F1F71FB"/>
    <w:rsid w:val="1F4239E5"/>
    <w:rsid w:val="1F5350F7"/>
    <w:rsid w:val="1F6A6592"/>
    <w:rsid w:val="1FBF6FEE"/>
    <w:rsid w:val="20056454"/>
    <w:rsid w:val="200C6AB7"/>
    <w:rsid w:val="201B3B5F"/>
    <w:rsid w:val="201D4189"/>
    <w:rsid w:val="201E24D7"/>
    <w:rsid w:val="20304A05"/>
    <w:rsid w:val="206155F1"/>
    <w:rsid w:val="2063710B"/>
    <w:rsid w:val="207954B5"/>
    <w:rsid w:val="208A2593"/>
    <w:rsid w:val="20C5730F"/>
    <w:rsid w:val="20EA55E7"/>
    <w:rsid w:val="21F94F3D"/>
    <w:rsid w:val="224C4011"/>
    <w:rsid w:val="225D0766"/>
    <w:rsid w:val="2277628E"/>
    <w:rsid w:val="22BB723B"/>
    <w:rsid w:val="236B0C61"/>
    <w:rsid w:val="238B3F47"/>
    <w:rsid w:val="23D7050C"/>
    <w:rsid w:val="240A2322"/>
    <w:rsid w:val="24184D98"/>
    <w:rsid w:val="255D4590"/>
    <w:rsid w:val="26065BCC"/>
    <w:rsid w:val="261521EF"/>
    <w:rsid w:val="263D3C6A"/>
    <w:rsid w:val="263D6D6B"/>
    <w:rsid w:val="265460CC"/>
    <w:rsid w:val="26AA4A6B"/>
    <w:rsid w:val="27070755"/>
    <w:rsid w:val="272F3DCC"/>
    <w:rsid w:val="278138FF"/>
    <w:rsid w:val="27D82E4D"/>
    <w:rsid w:val="27FF406E"/>
    <w:rsid w:val="283755B5"/>
    <w:rsid w:val="28642123"/>
    <w:rsid w:val="28BA6DF8"/>
    <w:rsid w:val="28BB5EEC"/>
    <w:rsid w:val="295523A6"/>
    <w:rsid w:val="29826D04"/>
    <w:rsid w:val="2A266564"/>
    <w:rsid w:val="2A356347"/>
    <w:rsid w:val="2A44045E"/>
    <w:rsid w:val="2A5B166A"/>
    <w:rsid w:val="2AA169FC"/>
    <w:rsid w:val="2ABF5ADA"/>
    <w:rsid w:val="2AC20D54"/>
    <w:rsid w:val="2BD66135"/>
    <w:rsid w:val="2C212FF5"/>
    <w:rsid w:val="2C7E4856"/>
    <w:rsid w:val="2C815051"/>
    <w:rsid w:val="2CCA2E9C"/>
    <w:rsid w:val="2D27276C"/>
    <w:rsid w:val="2D60110A"/>
    <w:rsid w:val="2DC5588C"/>
    <w:rsid w:val="2DCB00DA"/>
    <w:rsid w:val="2E045111"/>
    <w:rsid w:val="2E073C7C"/>
    <w:rsid w:val="2E313014"/>
    <w:rsid w:val="2EBF4557"/>
    <w:rsid w:val="2ECA0D21"/>
    <w:rsid w:val="2ECB7CDC"/>
    <w:rsid w:val="2ED57295"/>
    <w:rsid w:val="2F210D6D"/>
    <w:rsid w:val="2FE36023"/>
    <w:rsid w:val="2FF95846"/>
    <w:rsid w:val="2FF969A2"/>
    <w:rsid w:val="303C2A00"/>
    <w:rsid w:val="30692E8D"/>
    <w:rsid w:val="30967BD0"/>
    <w:rsid w:val="30AC6302"/>
    <w:rsid w:val="312266F8"/>
    <w:rsid w:val="31AD4E87"/>
    <w:rsid w:val="32116E77"/>
    <w:rsid w:val="32207918"/>
    <w:rsid w:val="326E4EA9"/>
    <w:rsid w:val="332735E3"/>
    <w:rsid w:val="33BE4FBC"/>
    <w:rsid w:val="342436B9"/>
    <w:rsid w:val="34621C0C"/>
    <w:rsid w:val="346C6481"/>
    <w:rsid w:val="346F257B"/>
    <w:rsid w:val="34800BB4"/>
    <w:rsid w:val="34AA1C54"/>
    <w:rsid w:val="34B22FF0"/>
    <w:rsid w:val="34D27D86"/>
    <w:rsid w:val="34DA18F4"/>
    <w:rsid w:val="34E02B31"/>
    <w:rsid w:val="35457C23"/>
    <w:rsid w:val="358636D8"/>
    <w:rsid w:val="35EA5C00"/>
    <w:rsid w:val="35F04FF6"/>
    <w:rsid w:val="369877C4"/>
    <w:rsid w:val="37405E7A"/>
    <w:rsid w:val="37535452"/>
    <w:rsid w:val="37A60062"/>
    <w:rsid w:val="38602906"/>
    <w:rsid w:val="38B75215"/>
    <w:rsid w:val="39620E3D"/>
    <w:rsid w:val="397D3044"/>
    <w:rsid w:val="39B313CE"/>
    <w:rsid w:val="39D76C03"/>
    <w:rsid w:val="39EE1973"/>
    <w:rsid w:val="3A4D0DD2"/>
    <w:rsid w:val="3A543DA5"/>
    <w:rsid w:val="3A81657B"/>
    <w:rsid w:val="3AC37AF6"/>
    <w:rsid w:val="3AEC222F"/>
    <w:rsid w:val="3BE55D7F"/>
    <w:rsid w:val="3BF770DE"/>
    <w:rsid w:val="3BF90EE1"/>
    <w:rsid w:val="3C237ED3"/>
    <w:rsid w:val="3CD44366"/>
    <w:rsid w:val="3CEE35E3"/>
    <w:rsid w:val="3D2276A3"/>
    <w:rsid w:val="3D417F2E"/>
    <w:rsid w:val="3E4841AD"/>
    <w:rsid w:val="3E52684D"/>
    <w:rsid w:val="3EFB7B87"/>
    <w:rsid w:val="3F275F2C"/>
    <w:rsid w:val="3F5900B0"/>
    <w:rsid w:val="3F637478"/>
    <w:rsid w:val="3F650802"/>
    <w:rsid w:val="3F6F09F6"/>
    <w:rsid w:val="3FB8335F"/>
    <w:rsid w:val="40083C61"/>
    <w:rsid w:val="400C65C6"/>
    <w:rsid w:val="402F6DFD"/>
    <w:rsid w:val="403703F1"/>
    <w:rsid w:val="406E0C01"/>
    <w:rsid w:val="40C12A0C"/>
    <w:rsid w:val="4151103E"/>
    <w:rsid w:val="4157061F"/>
    <w:rsid w:val="41B63597"/>
    <w:rsid w:val="41C23CEA"/>
    <w:rsid w:val="41E40104"/>
    <w:rsid w:val="42163188"/>
    <w:rsid w:val="42485C84"/>
    <w:rsid w:val="42884F34"/>
    <w:rsid w:val="42F061C2"/>
    <w:rsid w:val="43572B58"/>
    <w:rsid w:val="43DE6767"/>
    <w:rsid w:val="43FB6342"/>
    <w:rsid w:val="440A2DCB"/>
    <w:rsid w:val="449C6A74"/>
    <w:rsid w:val="44D37AC5"/>
    <w:rsid w:val="452B6350"/>
    <w:rsid w:val="454824AF"/>
    <w:rsid w:val="454F6FF3"/>
    <w:rsid w:val="457954B2"/>
    <w:rsid w:val="458D460F"/>
    <w:rsid w:val="458F6AA3"/>
    <w:rsid w:val="45C75D73"/>
    <w:rsid w:val="45D466E2"/>
    <w:rsid w:val="468C0A62"/>
    <w:rsid w:val="46D4186E"/>
    <w:rsid w:val="472109AF"/>
    <w:rsid w:val="477637AC"/>
    <w:rsid w:val="47767A51"/>
    <w:rsid w:val="478F451F"/>
    <w:rsid w:val="47A10846"/>
    <w:rsid w:val="47B9154E"/>
    <w:rsid w:val="47E50732"/>
    <w:rsid w:val="47F607CD"/>
    <w:rsid w:val="482C771C"/>
    <w:rsid w:val="48592ECE"/>
    <w:rsid w:val="48AC061F"/>
    <w:rsid w:val="48C62C1A"/>
    <w:rsid w:val="48EC5AF0"/>
    <w:rsid w:val="49627492"/>
    <w:rsid w:val="49E77D66"/>
    <w:rsid w:val="4A1E3B62"/>
    <w:rsid w:val="4A6242BC"/>
    <w:rsid w:val="4A7F4E6E"/>
    <w:rsid w:val="4ABB39CC"/>
    <w:rsid w:val="4B3043BA"/>
    <w:rsid w:val="4BAC18F7"/>
    <w:rsid w:val="4BE11211"/>
    <w:rsid w:val="4C0E4D0A"/>
    <w:rsid w:val="4C163633"/>
    <w:rsid w:val="4C545E87"/>
    <w:rsid w:val="4C717F17"/>
    <w:rsid w:val="4C7E2F03"/>
    <w:rsid w:val="4D5C13A9"/>
    <w:rsid w:val="4D703B96"/>
    <w:rsid w:val="4E2E0951"/>
    <w:rsid w:val="4EA466A9"/>
    <w:rsid w:val="4EB55554"/>
    <w:rsid w:val="4ED849E4"/>
    <w:rsid w:val="4EF84398"/>
    <w:rsid w:val="4F846223"/>
    <w:rsid w:val="505D5878"/>
    <w:rsid w:val="511C7A57"/>
    <w:rsid w:val="515D2533"/>
    <w:rsid w:val="515D758B"/>
    <w:rsid w:val="51FE21AA"/>
    <w:rsid w:val="52093835"/>
    <w:rsid w:val="520D5F6F"/>
    <w:rsid w:val="522C7380"/>
    <w:rsid w:val="528648C0"/>
    <w:rsid w:val="52962438"/>
    <w:rsid w:val="52B0112F"/>
    <w:rsid w:val="53034162"/>
    <w:rsid w:val="530A729F"/>
    <w:rsid w:val="530C74BB"/>
    <w:rsid w:val="530E3233"/>
    <w:rsid w:val="532065BE"/>
    <w:rsid w:val="53373E0C"/>
    <w:rsid w:val="53407F4E"/>
    <w:rsid w:val="534377D4"/>
    <w:rsid w:val="53607807"/>
    <w:rsid w:val="53654E1D"/>
    <w:rsid w:val="53FF5D0D"/>
    <w:rsid w:val="542E4BF4"/>
    <w:rsid w:val="547F5A6B"/>
    <w:rsid w:val="550B5550"/>
    <w:rsid w:val="551E2CFB"/>
    <w:rsid w:val="55256688"/>
    <w:rsid w:val="557F1139"/>
    <w:rsid w:val="557F2A9D"/>
    <w:rsid w:val="558242D4"/>
    <w:rsid w:val="55C30A56"/>
    <w:rsid w:val="55CA09A8"/>
    <w:rsid w:val="56340AC9"/>
    <w:rsid w:val="56353A8A"/>
    <w:rsid w:val="564A2602"/>
    <w:rsid w:val="565813FF"/>
    <w:rsid w:val="569C5D15"/>
    <w:rsid w:val="569E683A"/>
    <w:rsid w:val="575907F5"/>
    <w:rsid w:val="577675F9"/>
    <w:rsid w:val="58524705"/>
    <w:rsid w:val="5853793A"/>
    <w:rsid w:val="58A12453"/>
    <w:rsid w:val="58AF4932"/>
    <w:rsid w:val="58EA204C"/>
    <w:rsid w:val="58F262D8"/>
    <w:rsid w:val="58F966C5"/>
    <w:rsid w:val="5956437E"/>
    <w:rsid w:val="596D2336"/>
    <w:rsid w:val="59D77598"/>
    <w:rsid w:val="59EE7B54"/>
    <w:rsid w:val="5A4A1178"/>
    <w:rsid w:val="5A7D2A4C"/>
    <w:rsid w:val="5AD50996"/>
    <w:rsid w:val="5AED1980"/>
    <w:rsid w:val="5B906095"/>
    <w:rsid w:val="5B9B719B"/>
    <w:rsid w:val="5BFF6942"/>
    <w:rsid w:val="5C230BD3"/>
    <w:rsid w:val="5C2E04A2"/>
    <w:rsid w:val="5C4557FF"/>
    <w:rsid w:val="5C9A1694"/>
    <w:rsid w:val="5C9C5D0F"/>
    <w:rsid w:val="5CAD4771"/>
    <w:rsid w:val="5CEA2602"/>
    <w:rsid w:val="5D4012A9"/>
    <w:rsid w:val="5D540B80"/>
    <w:rsid w:val="5D5F79D9"/>
    <w:rsid w:val="5D9C143B"/>
    <w:rsid w:val="5DFE5C52"/>
    <w:rsid w:val="5E6C4DAC"/>
    <w:rsid w:val="5E873046"/>
    <w:rsid w:val="5EC24ED2"/>
    <w:rsid w:val="5EC9029D"/>
    <w:rsid w:val="5EE50BC0"/>
    <w:rsid w:val="5F155949"/>
    <w:rsid w:val="5F8A2D18"/>
    <w:rsid w:val="5F952AF8"/>
    <w:rsid w:val="5FAB1E0A"/>
    <w:rsid w:val="5FE855C2"/>
    <w:rsid w:val="60716BAF"/>
    <w:rsid w:val="607E12CC"/>
    <w:rsid w:val="60D723AE"/>
    <w:rsid w:val="61075F0B"/>
    <w:rsid w:val="611278C6"/>
    <w:rsid w:val="615F4C5A"/>
    <w:rsid w:val="62887300"/>
    <w:rsid w:val="62942B88"/>
    <w:rsid w:val="629D0B87"/>
    <w:rsid w:val="63424833"/>
    <w:rsid w:val="635E2375"/>
    <w:rsid w:val="63771090"/>
    <w:rsid w:val="63BF1977"/>
    <w:rsid w:val="63CA78EA"/>
    <w:rsid w:val="644660CC"/>
    <w:rsid w:val="64504D2E"/>
    <w:rsid w:val="646D768E"/>
    <w:rsid w:val="64946690"/>
    <w:rsid w:val="64D82B9E"/>
    <w:rsid w:val="64EE6A20"/>
    <w:rsid w:val="64F75228"/>
    <w:rsid w:val="65075D34"/>
    <w:rsid w:val="65181CEF"/>
    <w:rsid w:val="65901EAE"/>
    <w:rsid w:val="65983943"/>
    <w:rsid w:val="66531780"/>
    <w:rsid w:val="667165ED"/>
    <w:rsid w:val="66BB5028"/>
    <w:rsid w:val="66F967DD"/>
    <w:rsid w:val="67AC671F"/>
    <w:rsid w:val="67B6759E"/>
    <w:rsid w:val="67E71DFF"/>
    <w:rsid w:val="681F721C"/>
    <w:rsid w:val="682722B6"/>
    <w:rsid w:val="68694F62"/>
    <w:rsid w:val="68830D6F"/>
    <w:rsid w:val="691C19EC"/>
    <w:rsid w:val="6932313F"/>
    <w:rsid w:val="69450BD9"/>
    <w:rsid w:val="69B67D29"/>
    <w:rsid w:val="69F31DF6"/>
    <w:rsid w:val="6A1E2B8C"/>
    <w:rsid w:val="6A3146D6"/>
    <w:rsid w:val="6A6B40B7"/>
    <w:rsid w:val="6A866E92"/>
    <w:rsid w:val="6AE10DD5"/>
    <w:rsid w:val="6B2749F2"/>
    <w:rsid w:val="6BA9685A"/>
    <w:rsid w:val="6BD6654A"/>
    <w:rsid w:val="6BDC0EB5"/>
    <w:rsid w:val="6BFD579B"/>
    <w:rsid w:val="6CBE00D1"/>
    <w:rsid w:val="6CC51CAE"/>
    <w:rsid w:val="6CED5810"/>
    <w:rsid w:val="6D39122F"/>
    <w:rsid w:val="6DA104CB"/>
    <w:rsid w:val="6E0358A8"/>
    <w:rsid w:val="6E2D54D3"/>
    <w:rsid w:val="6E463D8B"/>
    <w:rsid w:val="6E7E00EC"/>
    <w:rsid w:val="6ECF78C3"/>
    <w:rsid w:val="6EDF6D86"/>
    <w:rsid w:val="6EEB78A4"/>
    <w:rsid w:val="6F955195"/>
    <w:rsid w:val="6FAF3A60"/>
    <w:rsid w:val="6FCB4CA8"/>
    <w:rsid w:val="6FEB7C99"/>
    <w:rsid w:val="6FEC1DAE"/>
    <w:rsid w:val="701D640C"/>
    <w:rsid w:val="704610E1"/>
    <w:rsid w:val="708C61B2"/>
    <w:rsid w:val="708D2E05"/>
    <w:rsid w:val="71343BCC"/>
    <w:rsid w:val="71FF26EE"/>
    <w:rsid w:val="721C581F"/>
    <w:rsid w:val="72444124"/>
    <w:rsid w:val="725702C7"/>
    <w:rsid w:val="725B35FE"/>
    <w:rsid w:val="725E4ABA"/>
    <w:rsid w:val="72A74A41"/>
    <w:rsid w:val="72C8775B"/>
    <w:rsid w:val="72FD15D0"/>
    <w:rsid w:val="73287FAC"/>
    <w:rsid w:val="73B21561"/>
    <w:rsid w:val="742E484E"/>
    <w:rsid w:val="744821F1"/>
    <w:rsid w:val="74884A92"/>
    <w:rsid w:val="74E559DC"/>
    <w:rsid w:val="7516167C"/>
    <w:rsid w:val="75170A8E"/>
    <w:rsid w:val="75510453"/>
    <w:rsid w:val="75564652"/>
    <w:rsid w:val="75803A5E"/>
    <w:rsid w:val="759E3B4B"/>
    <w:rsid w:val="7671300D"/>
    <w:rsid w:val="768E0063"/>
    <w:rsid w:val="76A47893"/>
    <w:rsid w:val="76B33236"/>
    <w:rsid w:val="77471F06"/>
    <w:rsid w:val="77862AE9"/>
    <w:rsid w:val="77925931"/>
    <w:rsid w:val="77AD276B"/>
    <w:rsid w:val="77E45EA5"/>
    <w:rsid w:val="78137B0E"/>
    <w:rsid w:val="78336250"/>
    <w:rsid w:val="78B82D4B"/>
    <w:rsid w:val="78EA70A7"/>
    <w:rsid w:val="7908073B"/>
    <w:rsid w:val="792A7485"/>
    <w:rsid w:val="79A116C3"/>
    <w:rsid w:val="79E81839"/>
    <w:rsid w:val="7A0863A1"/>
    <w:rsid w:val="7A212C0C"/>
    <w:rsid w:val="7A2465E9"/>
    <w:rsid w:val="7A715538"/>
    <w:rsid w:val="7AC1208A"/>
    <w:rsid w:val="7AE964B3"/>
    <w:rsid w:val="7B060931"/>
    <w:rsid w:val="7B30793B"/>
    <w:rsid w:val="7B4F58E7"/>
    <w:rsid w:val="7B643141"/>
    <w:rsid w:val="7B825CBD"/>
    <w:rsid w:val="7C165FC6"/>
    <w:rsid w:val="7C2B1EB0"/>
    <w:rsid w:val="7C6453C2"/>
    <w:rsid w:val="7C8002F9"/>
    <w:rsid w:val="7CB508F1"/>
    <w:rsid w:val="7CD97B5E"/>
    <w:rsid w:val="7CF17AC9"/>
    <w:rsid w:val="7D2C517C"/>
    <w:rsid w:val="7D3F2B9B"/>
    <w:rsid w:val="7D417BA4"/>
    <w:rsid w:val="7D9D2053"/>
    <w:rsid w:val="7E0D6529"/>
    <w:rsid w:val="7E176FF6"/>
    <w:rsid w:val="7E3C03A5"/>
    <w:rsid w:val="7EB97C47"/>
    <w:rsid w:val="7ECB797B"/>
    <w:rsid w:val="7F236B93"/>
    <w:rsid w:val="7F722E84"/>
    <w:rsid w:val="7FEC1957"/>
    <w:rsid w:val="7FF56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99"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52"/>
    <w:qFormat/>
    <w:uiPriority w:val="0"/>
    <w:pPr>
      <w:keepNext/>
      <w:keepLines/>
      <w:adjustRightInd w:val="0"/>
      <w:spacing w:before="160" w:after="160" w:line="160" w:lineRule="atLeast"/>
      <w:ind w:left="425" w:hanging="425"/>
      <w:outlineLvl w:val="0"/>
    </w:pPr>
    <w:rPr>
      <w:rFonts w:hint="eastAsia" w:ascii="黑体" w:hAnsi="Arial Unicode MS" w:eastAsia="黑体" w:cs="Arial Unicode MS"/>
      <w:kern w:val="44"/>
      <w:sz w:val="32"/>
      <w:szCs w:val="20"/>
    </w:rPr>
  </w:style>
  <w:style w:type="paragraph" w:styleId="3">
    <w:name w:val="heading 2"/>
    <w:basedOn w:val="1"/>
    <w:next w:val="1"/>
    <w:link w:val="53"/>
    <w:qFormat/>
    <w:uiPriority w:val="0"/>
    <w:pPr>
      <w:spacing w:before="260" w:after="260" w:line="416" w:lineRule="auto"/>
      <w:outlineLvl w:val="1"/>
    </w:pPr>
    <w:rPr>
      <w:rFonts w:ascii="Arial" w:hAnsi="Arial" w:eastAsia="黑体"/>
      <w:b/>
      <w:bCs/>
      <w:sz w:val="32"/>
      <w:szCs w:val="32"/>
    </w:rPr>
  </w:style>
  <w:style w:type="paragraph" w:styleId="4">
    <w:name w:val="heading 3"/>
    <w:basedOn w:val="1"/>
    <w:next w:val="1"/>
    <w:link w:val="54"/>
    <w:qFormat/>
    <w:uiPriority w:val="0"/>
    <w:pPr>
      <w:keepNext/>
      <w:keepLines/>
      <w:adjustRightInd w:val="0"/>
      <w:spacing w:before="160" w:after="160" w:line="160" w:lineRule="atLeast"/>
      <w:ind w:left="851" w:hanging="425"/>
      <w:outlineLvl w:val="2"/>
    </w:pPr>
    <w:rPr>
      <w:rFonts w:hint="eastAsia" w:ascii="黑体" w:hAnsi="Arial Unicode MS" w:eastAsia="黑体" w:cs="Arial Unicode MS"/>
      <w:kern w:val="0"/>
      <w:sz w:val="28"/>
      <w:szCs w:val="20"/>
    </w:rPr>
  </w:style>
  <w:style w:type="paragraph" w:styleId="5">
    <w:name w:val="heading 4"/>
    <w:basedOn w:val="1"/>
    <w:next w:val="1"/>
    <w:link w:val="55"/>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6"/>
    <w:qFormat/>
    <w:uiPriority w:val="0"/>
    <w:pPr>
      <w:keepNext/>
      <w:keepLines/>
      <w:spacing w:before="280" w:after="290" w:line="376" w:lineRule="auto"/>
      <w:outlineLvl w:val="4"/>
    </w:pPr>
    <w:rPr>
      <w:b/>
      <w:bCs/>
      <w:sz w:val="28"/>
      <w:szCs w:val="28"/>
    </w:rPr>
  </w:style>
  <w:style w:type="paragraph" w:styleId="7">
    <w:name w:val="heading 6"/>
    <w:basedOn w:val="1"/>
    <w:next w:val="1"/>
    <w:link w:val="57"/>
    <w:qFormat/>
    <w:uiPriority w:val="0"/>
    <w:pPr>
      <w:keepNext/>
      <w:keepLines/>
      <w:widowControl/>
      <w:spacing w:before="240" w:after="64" w:line="320" w:lineRule="auto"/>
      <w:jc w:val="left"/>
      <w:outlineLvl w:val="5"/>
    </w:pPr>
    <w:rPr>
      <w:rFonts w:ascii="Arial" w:hAnsi="Arial" w:cs="宋体"/>
      <w:b/>
      <w:bCs/>
      <w:kern w:val="0"/>
    </w:rPr>
  </w:style>
  <w:style w:type="character" w:default="1" w:styleId="44">
    <w:name w:val="Default Paragraph Font"/>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qFormat/>
    <w:uiPriority w:val="0"/>
    <w:pPr>
      <w:ind w:left="2520" w:leftChars="1200"/>
    </w:pPr>
  </w:style>
  <w:style w:type="paragraph" w:styleId="9">
    <w:name w:val="table of authorities"/>
    <w:basedOn w:val="1"/>
    <w:next w:val="1"/>
    <w:autoRedefine/>
    <w:qFormat/>
    <w:uiPriority w:val="99"/>
    <w:pPr>
      <w:ind w:left="420" w:leftChars="200"/>
    </w:pPr>
  </w:style>
  <w:style w:type="paragraph" w:styleId="10">
    <w:name w:val="index 8"/>
    <w:basedOn w:val="1"/>
    <w:next w:val="1"/>
    <w:autoRedefine/>
    <w:qFormat/>
    <w:uiPriority w:val="0"/>
    <w:pPr>
      <w:ind w:left="3920" w:leftChars="1400"/>
    </w:pPr>
  </w:style>
  <w:style w:type="paragraph" w:styleId="11">
    <w:name w:val="Normal Indent"/>
    <w:basedOn w:val="1"/>
    <w:link w:val="59"/>
    <w:autoRedefine/>
    <w:qFormat/>
    <w:uiPriority w:val="0"/>
    <w:pPr>
      <w:ind w:firstLine="420"/>
    </w:pPr>
    <w:rPr>
      <w:rFonts w:asciiTheme="minorHAnsi" w:hAnsiTheme="minorHAnsi" w:cstheme="minorBidi"/>
      <w:szCs w:val="22"/>
    </w:rPr>
  </w:style>
  <w:style w:type="paragraph" w:styleId="12">
    <w:name w:val="List Bullet"/>
    <w:basedOn w:val="1"/>
    <w:autoRedefine/>
    <w:qFormat/>
    <w:uiPriority w:val="0"/>
    <w:pPr>
      <w:adjustRightInd w:val="0"/>
      <w:snapToGrid w:val="0"/>
      <w:spacing w:line="360" w:lineRule="auto"/>
    </w:pPr>
    <w:rPr>
      <w:snapToGrid w:val="0"/>
      <w:kern w:val="0"/>
      <w:sz w:val="24"/>
      <w:szCs w:val="20"/>
    </w:rPr>
  </w:style>
  <w:style w:type="paragraph" w:styleId="13">
    <w:name w:val="toa heading"/>
    <w:basedOn w:val="1"/>
    <w:next w:val="1"/>
    <w:autoRedefine/>
    <w:qFormat/>
    <w:uiPriority w:val="99"/>
    <w:pPr>
      <w:spacing w:before="120"/>
    </w:pPr>
    <w:rPr>
      <w:rFonts w:ascii="Arial" w:hAnsi="Arial" w:eastAsia="仿宋"/>
      <w:sz w:val="24"/>
      <w:szCs w:val="20"/>
    </w:rPr>
  </w:style>
  <w:style w:type="paragraph" w:styleId="14">
    <w:name w:val="annotation text"/>
    <w:basedOn w:val="1"/>
    <w:qFormat/>
    <w:uiPriority w:val="0"/>
    <w:pPr>
      <w:jc w:val="left"/>
    </w:pPr>
  </w:style>
  <w:style w:type="paragraph" w:styleId="15">
    <w:name w:val="index 6"/>
    <w:basedOn w:val="1"/>
    <w:next w:val="1"/>
    <w:autoRedefine/>
    <w:qFormat/>
    <w:uiPriority w:val="99"/>
    <w:pPr>
      <w:ind w:left="2100"/>
    </w:pPr>
  </w:style>
  <w:style w:type="paragraph" w:styleId="16">
    <w:name w:val="Body Text"/>
    <w:basedOn w:val="1"/>
    <w:next w:val="17"/>
    <w:link w:val="71"/>
    <w:autoRedefine/>
    <w:qFormat/>
    <w:uiPriority w:val="0"/>
    <w:pPr>
      <w:spacing w:after="120"/>
    </w:pPr>
    <w:rPr>
      <w:rFonts w:asciiTheme="minorHAnsi" w:hAnsiTheme="minorHAnsi" w:cstheme="minorBidi"/>
    </w:rPr>
  </w:style>
  <w:style w:type="paragraph" w:styleId="17">
    <w:name w:val="Date"/>
    <w:basedOn w:val="1"/>
    <w:next w:val="1"/>
    <w:link w:val="70"/>
    <w:autoRedefine/>
    <w:qFormat/>
    <w:uiPriority w:val="0"/>
    <w:pPr>
      <w:ind w:left="100" w:leftChars="2500"/>
    </w:pPr>
  </w:style>
  <w:style w:type="paragraph" w:styleId="18">
    <w:name w:val="Body Text Indent"/>
    <w:basedOn w:val="1"/>
    <w:next w:val="19"/>
    <w:link w:val="73"/>
    <w:autoRedefine/>
    <w:qFormat/>
    <w:uiPriority w:val="0"/>
    <w:pPr>
      <w:ind w:firstLine="640" w:firstLineChars="200"/>
    </w:pPr>
    <w:rPr>
      <w:sz w:val="32"/>
    </w:rPr>
  </w:style>
  <w:style w:type="paragraph" w:styleId="19">
    <w:name w:val="Body Text First Indent 2"/>
    <w:basedOn w:val="18"/>
    <w:next w:val="1"/>
    <w:autoRedefine/>
    <w:qFormat/>
    <w:uiPriority w:val="0"/>
    <w:pPr>
      <w:ind w:firstLine="420"/>
    </w:pPr>
  </w:style>
  <w:style w:type="paragraph" w:styleId="20">
    <w:name w:val="toc 5"/>
    <w:basedOn w:val="1"/>
    <w:next w:val="1"/>
    <w:autoRedefine/>
    <w:qFormat/>
    <w:uiPriority w:val="0"/>
    <w:pPr>
      <w:ind w:left="1680" w:leftChars="800"/>
    </w:pPr>
  </w:style>
  <w:style w:type="paragraph" w:styleId="21">
    <w:name w:val="toc 3"/>
    <w:basedOn w:val="1"/>
    <w:next w:val="1"/>
    <w:autoRedefine/>
    <w:qFormat/>
    <w:uiPriority w:val="0"/>
    <w:pPr>
      <w:ind w:left="840" w:leftChars="400"/>
    </w:pPr>
  </w:style>
  <w:style w:type="paragraph" w:styleId="22">
    <w:name w:val="Plain Text"/>
    <w:basedOn w:val="1"/>
    <w:link w:val="66"/>
    <w:autoRedefine/>
    <w:qFormat/>
    <w:uiPriority w:val="0"/>
    <w:rPr>
      <w:rFonts w:ascii="宋体" w:hAnsi="Courier New"/>
      <w:szCs w:val="20"/>
    </w:rPr>
  </w:style>
  <w:style w:type="paragraph" w:styleId="23">
    <w:name w:val="toc 8"/>
    <w:basedOn w:val="1"/>
    <w:next w:val="1"/>
    <w:autoRedefine/>
    <w:qFormat/>
    <w:uiPriority w:val="0"/>
    <w:pPr>
      <w:ind w:left="2940" w:leftChars="1400"/>
    </w:pPr>
  </w:style>
  <w:style w:type="paragraph" w:styleId="24">
    <w:name w:val="Body Text Indent 2"/>
    <w:basedOn w:val="1"/>
    <w:link w:val="72"/>
    <w:autoRedefine/>
    <w:qFormat/>
    <w:uiPriority w:val="0"/>
    <w:pPr>
      <w:spacing w:line="560" w:lineRule="exact"/>
      <w:ind w:firstLine="560" w:firstLineChars="200"/>
    </w:pPr>
    <w:rPr>
      <w:rFonts w:ascii="宋体" w:hAnsi="宋体"/>
      <w:bCs/>
      <w:color w:val="000000"/>
      <w:sz w:val="28"/>
    </w:rPr>
  </w:style>
  <w:style w:type="paragraph" w:styleId="25">
    <w:name w:val="Balloon Text"/>
    <w:basedOn w:val="1"/>
    <w:link w:val="104"/>
    <w:autoRedefine/>
    <w:semiHidden/>
    <w:unhideWhenUsed/>
    <w:qFormat/>
    <w:uiPriority w:val="99"/>
    <w:rPr>
      <w:sz w:val="18"/>
      <w:szCs w:val="18"/>
    </w:rPr>
  </w:style>
  <w:style w:type="paragraph" w:styleId="26">
    <w:name w:val="footer"/>
    <w:basedOn w:val="1"/>
    <w:link w:val="51"/>
    <w:autoRedefine/>
    <w:unhideWhenUsed/>
    <w:qFormat/>
    <w:uiPriority w:val="0"/>
    <w:pPr>
      <w:tabs>
        <w:tab w:val="center" w:pos="4153"/>
        <w:tab w:val="right" w:pos="8306"/>
      </w:tabs>
      <w:snapToGrid w:val="0"/>
      <w:jc w:val="left"/>
    </w:pPr>
    <w:rPr>
      <w:sz w:val="18"/>
      <w:szCs w:val="18"/>
    </w:rPr>
  </w:style>
  <w:style w:type="paragraph" w:styleId="27">
    <w:name w:val="envelope return"/>
    <w:basedOn w:val="1"/>
    <w:autoRedefine/>
    <w:qFormat/>
    <w:uiPriority w:val="0"/>
    <w:pPr>
      <w:snapToGrid w:val="0"/>
    </w:pPr>
    <w:rPr>
      <w:rFonts w:ascii="Arial" w:hAnsi="Arial"/>
    </w:rPr>
  </w:style>
  <w:style w:type="paragraph" w:styleId="28">
    <w:name w:val="header"/>
    <w:basedOn w:val="1"/>
    <w:link w:val="5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0"/>
  </w:style>
  <w:style w:type="paragraph" w:styleId="30">
    <w:name w:val="toc 4"/>
    <w:basedOn w:val="1"/>
    <w:next w:val="1"/>
    <w:autoRedefine/>
    <w:qFormat/>
    <w:uiPriority w:val="0"/>
    <w:pPr>
      <w:ind w:left="1260" w:leftChars="600"/>
    </w:pPr>
  </w:style>
  <w:style w:type="paragraph" w:styleId="31">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32">
    <w:name w:val="List"/>
    <w:basedOn w:val="1"/>
    <w:autoRedefine/>
    <w:qFormat/>
    <w:uiPriority w:val="0"/>
    <w:pPr>
      <w:ind w:left="420" w:hanging="420"/>
    </w:pPr>
  </w:style>
  <w:style w:type="paragraph" w:styleId="33">
    <w:name w:val="footnote text"/>
    <w:basedOn w:val="1"/>
    <w:autoRedefine/>
    <w:unhideWhenUsed/>
    <w:qFormat/>
    <w:uiPriority w:val="99"/>
    <w:pPr>
      <w:snapToGrid w:val="0"/>
      <w:jc w:val="left"/>
    </w:pPr>
    <w:rPr>
      <w:sz w:val="18"/>
      <w:szCs w:val="18"/>
    </w:rPr>
  </w:style>
  <w:style w:type="paragraph" w:styleId="34">
    <w:name w:val="toc 6"/>
    <w:basedOn w:val="1"/>
    <w:next w:val="1"/>
    <w:autoRedefine/>
    <w:qFormat/>
    <w:uiPriority w:val="0"/>
    <w:pPr>
      <w:ind w:left="2100" w:leftChars="1000"/>
    </w:pPr>
  </w:style>
  <w:style w:type="paragraph" w:styleId="35">
    <w:name w:val="Body Text Indent 3"/>
    <w:basedOn w:val="1"/>
    <w:link w:val="69"/>
    <w:autoRedefine/>
    <w:qFormat/>
    <w:uiPriority w:val="0"/>
    <w:pPr>
      <w:spacing w:after="120"/>
      <w:ind w:left="420" w:leftChars="200"/>
    </w:pPr>
    <w:rPr>
      <w:sz w:val="16"/>
      <w:szCs w:val="16"/>
    </w:rPr>
  </w:style>
  <w:style w:type="paragraph" w:styleId="36">
    <w:name w:val="toc 2"/>
    <w:basedOn w:val="1"/>
    <w:next w:val="1"/>
    <w:autoRedefine/>
    <w:qFormat/>
    <w:uiPriority w:val="0"/>
    <w:pPr>
      <w:ind w:left="420" w:leftChars="200"/>
    </w:pPr>
  </w:style>
  <w:style w:type="paragraph" w:styleId="37">
    <w:name w:val="toc 9"/>
    <w:basedOn w:val="1"/>
    <w:next w:val="1"/>
    <w:autoRedefine/>
    <w:qFormat/>
    <w:uiPriority w:val="0"/>
    <w:pPr>
      <w:ind w:left="3360" w:leftChars="1600"/>
    </w:pPr>
  </w:style>
  <w:style w:type="paragraph" w:styleId="38">
    <w:name w:val="HTML Preformatted"/>
    <w:basedOn w:val="1"/>
    <w:link w:val="6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autoRedefine/>
    <w:semiHidden/>
    <w:unhideWhenUsed/>
    <w:qFormat/>
    <w:uiPriority w:val="99"/>
    <w:pPr>
      <w:spacing w:beforeAutospacing="1" w:afterAutospacing="1"/>
      <w:jc w:val="left"/>
    </w:pPr>
    <w:rPr>
      <w:kern w:val="0"/>
      <w:sz w:val="24"/>
    </w:rPr>
  </w:style>
  <w:style w:type="paragraph" w:styleId="40">
    <w:name w:val="Title"/>
    <w:basedOn w:val="1"/>
    <w:next w:val="1"/>
    <w:autoRedefine/>
    <w:qFormat/>
    <w:uiPriority w:val="0"/>
    <w:pPr>
      <w:tabs>
        <w:tab w:val="left" w:pos="360"/>
      </w:tabs>
      <w:spacing w:line="360" w:lineRule="auto"/>
      <w:ind w:left="360" w:hanging="360" w:hangingChars="200"/>
      <w:jc w:val="center"/>
    </w:pPr>
    <w:rPr>
      <w:rFonts w:ascii="宋体" w:hAnsi="宋体" w:eastAsia="楷体"/>
      <w:b/>
      <w:bCs/>
      <w:kern w:val="44"/>
      <w:sz w:val="84"/>
      <w:szCs w:val="44"/>
    </w:rPr>
  </w:style>
  <w:style w:type="paragraph" w:styleId="41">
    <w:name w:val="Body Text First Indent"/>
    <w:basedOn w:val="16"/>
    <w:next w:val="34"/>
    <w:autoRedefine/>
    <w:qFormat/>
    <w:uiPriority w:val="0"/>
    <w:pPr>
      <w:ind w:firstLine="420" w:firstLineChars="100"/>
    </w:pPr>
  </w:style>
  <w:style w:type="table" w:styleId="43">
    <w:name w:val="Table Grid"/>
    <w:basedOn w:val="42"/>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basedOn w:val="44"/>
    <w:autoRedefine/>
    <w:semiHidden/>
    <w:unhideWhenUsed/>
    <w:qFormat/>
    <w:uiPriority w:val="99"/>
    <w:rPr>
      <w:rFonts w:hint="eastAsia" w:ascii="微软雅黑" w:hAnsi="微软雅黑" w:eastAsia="微软雅黑" w:cs="微软雅黑"/>
      <w:color w:val="02396F"/>
      <w:u w:val="single"/>
    </w:rPr>
  </w:style>
  <w:style w:type="character" w:styleId="48">
    <w:name w:val="Hyperlink"/>
    <w:basedOn w:val="44"/>
    <w:autoRedefine/>
    <w:qFormat/>
    <w:uiPriority w:val="0"/>
    <w:rPr>
      <w:rFonts w:hint="eastAsia" w:ascii="微软雅黑" w:hAnsi="微软雅黑" w:eastAsia="微软雅黑" w:cs="微软雅黑"/>
      <w:color w:val="02396F"/>
      <w:u w:val="single"/>
    </w:rPr>
  </w:style>
  <w:style w:type="character" w:customStyle="1" w:styleId="49">
    <w:name w:val="正文文本 Char"/>
    <w:basedOn w:val="44"/>
    <w:autoRedefine/>
    <w:qFormat/>
    <w:uiPriority w:val="0"/>
    <w:rPr>
      <w:rFonts w:eastAsia="宋体"/>
      <w:szCs w:val="24"/>
    </w:rPr>
  </w:style>
  <w:style w:type="character" w:customStyle="1" w:styleId="50">
    <w:name w:val="页眉 字符"/>
    <w:basedOn w:val="44"/>
    <w:link w:val="28"/>
    <w:autoRedefine/>
    <w:semiHidden/>
    <w:qFormat/>
    <w:uiPriority w:val="99"/>
    <w:rPr>
      <w:sz w:val="18"/>
      <w:szCs w:val="18"/>
    </w:rPr>
  </w:style>
  <w:style w:type="character" w:customStyle="1" w:styleId="51">
    <w:name w:val="页脚 字符"/>
    <w:basedOn w:val="44"/>
    <w:link w:val="26"/>
    <w:autoRedefine/>
    <w:semiHidden/>
    <w:qFormat/>
    <w:uiPriority w:val="99"/>
    <w:rPr>
      <w:sz w:val="18"/>
      <w:szCs w:val="18"/>
    </w:rPr>
  </w:style>
  <w:style w:type="character" w:customStyle="1" w:styleId="52">
    <w:name w:val="标题 1 字符"/>
    <w:basedOn w:val="44"/>
    <w:link w:val="2"/>
    <w:autoRedefine/>
    <w:qFormat/>
    <w:uiPriority w:val="0"/>
    <w:rPr>
      <w:rFonts w:ascii="黑体" w:hAnsi="Arial Unicode MS" w:eastAsia="黑体" w:cs="Arial Unicode MS"/>
      <w:kern w:val="44"/>
      <w:sz w:val="32"/>
      <w:szCs w:val="20"/>
    </w:rPr>
  </w:style>
  <w:style w:type="character" w:customStyle="1" w:styleId="53">
    <w:name w:val="标题 2 字符"/>
    <w:basedOn w:val="44"/>
    <w:link w:val="3"/>
    <w:autoRedefine/>
    <w:qFormat/>
    <w:uiPriority w:val="0"/>
    <w:rPr>
      <w:rFonts w:ascii="Arial" w:hAnsi="Arial" w:eastAsia="黑体" w:cs="Times New Roman"/>
      <w:b/>
      <w:bCs/>
      <w:sz w:val="32"/>
      <w:szCs w:val="32"/>
    </w:rPr>
  </w:style>
  <w:style w:type="character" w:customStyle="1" w:styleId="54">
    <w:name w:val="标题 3 字符"/>
    <w:basedOn w:val="44"/>
    <w:link w:val="4"/>
    <w:autoRedefine/>
    <w:qFormat/>
    <w:uiPriority w:val="0"/>
    <w:rPr>
      <w:rFonts w:ascii="黑体" w:hAnsi="Arial Unicode MS" w:eastAsia="黑体" w:cs="Arial Unicode MS"/>
      <w:kern w:val="0"/>
      <w:sz w:val="28"/>
      <w:szCs w:val="20"/>
    </w:rPr>
  </w:style>
  <w:style w:type="character" w:customStyle="1" w:styleId="55">
    <w:name w:val="标题 4 字符"/>
    <w:basedOn w:val="44"/>
    <w:link w:val="5"/>
    <w:autoRedefine/>
    <w:qFormat/>
    <w:uiPriority w:val="0"/>
    <w:rPr>
      <w:rFonts w:ascii="Arial" w:hAnsi="Arial" w:eastAsia="黑体" w:cs="Times New Roman"/>
      <w:b/>
      <w:bCs/>
      <w:sz w:val="28"/>
      <w:szCs w:val="28"/>
    </w:rPr>
  </w:style>
  <w:style w:type="character" w:customStyle="1" w:styleId="56">
    <w:name w:val="标题 5 字符"/>
    <w:basedOn w:val="44"/>
    <w:link w:val="6"/>
    <w:autoRedefine/>
    <w:qFormat/>
    <w:uiPriority w:val="0"/>
    <w:rPr>
      <w:rFonts w:ascii="Times New Roman" w:hAnsi="Times New Roman" w:eastAsia="宋体" w:cs="Times New Roman"/>
      <w:b/>
      <w:bCs/>
      <w:sz w:val="28"/>
      <w:szCs w:val="28"/>
    </w:rPr>
  </w:style>
  <w:style w:type="character" w:customStyle="1" w:styleId="57">
    <w:name w:val="标题 6 字符"/>
    <w:basedOn w:val="44"/>
    <w:link w:val="7"/>
    <w:autoRedefine/>
    <w:qFormat/>
    <w:uiPriority w:val="0"/>
    <w:rPr>
      <w:rFonts w:ascii="Arial" w:hAnsi="Arial" w:eastAsia="宋体" w:cs="宋体"/>
      <w:b/>
      <w:bCs/>
      <w:kern w:val="0"/>
      <w:szCs w:val="24"/>
    </w:rPr>
  </w:style>
  <w:style w:type="character" w:customStyle="1" w:styleId="58">
    <w:name w:val="ca-9"/>
    <w:basedOn w:val="44"/>
    <w:autoRedefine/>
    <w:qFormat/>
    <w:uiPriority w:val="0"/>
  </w:style>
  <w:style w:type="character" w:customStyle="1" w:styleId="59">
    <w:name w:val="正文缩进 字符"/>
    <w:basedOn w:val="44"/>
    <w:link w:val="11"/>
    <w:autoRedefine/>
    <w:qFormat/>
    <w:uiPriority w:val="0"/>
    <w:rPr>
      <w:rFonts w:eastAsia="宋体"/>
    </w:rPr>
  </w:style>
  <w:style w:type="character" w:customStyle="1" w:styleId="60">
    <w:name w:val="ca-6"/>
    <w:basedOn w:val="44"/>
    <w:autoRedefine/>
    <w:qFormat/>
    <w:uiPriority w:val="0"/>
  </w:style>
  <w:style w:type="paragraph" w:customStyle="1" w:styleId="61">
    <w:name w:val="Char"/>
    <w:basedOn w:val="1"/>
    <w:autoRedefine/>
    <w:qFormat/>
    <w:uiPriority w:val="0"/>
    <w:pPr>
      <w:widowControl/>
      <w:spacing w:after="160" w:line="240" w:lineRule="exact"/>
      <w:jc w:val="left"/>
    </w:pPr>
  </w:style>
  <w:style w:type="paragraph" w:customStyle="1" w:styleId="62">
    <w:name w:val="pa-12"/>
    <w:basedOn w:val="1"/>
    <w:autoRedefine/>
    <w:qFormat/>
    <w:uiPriority w:val="0"/>
    <w:pPr>
      <w:widowControl/>
      <w:spacing w:before="150" w:after="150"/>
      <w:jc w:val="left"/>
    </w:pPr>
    <w:rPr>
      <w:rFonts w:ascii="宋体" w:hAnsi="宋体" w:cs="宋体"/>
      <w:kern w:val="0"/>
      <w:sz w:val="24"/>
    </w:rPr>
  </w:style>
  <w:style w:type="paragraph" w:customStyle="1" w:styleId="63">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64">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65">
    <w:name w:val="Default Text:1"/>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66">
    <w:name w:val="纯文本 字符"/>
    <w:basedOn w:val="44"/>
    <w:link w:val="22"/>
    <w:autoRedefine/>
    <w:qFormat/>
    <w:uiPriority w:val="0"/>
    <w:rPr>
      <w:rFonts w:ascii="宋体" w:hAnsi="Courier New" w:eastAsia="宋体" w:cs="Times New Roman"/>
      <w:szCs w:val="20"/>
    </w:rPr>
  </w:style>
  <w:style w:type="character" w:customStyle="1" w:styleId="67">
    <w:name w:val="HTML 预设格式 字符"/>
    <w:basedOn w:val="44"/>
    <w:link w:val="38"/>
    <w:autoRedefine/>
    <w:qFormat/>
    <w:uiPriority w:val="0"/>
    <w:rPr>
      <w:rFonts w:ascii="宋体" w:hAnsi="宋体" w:eastAsia="宋体" w:cs="宋体"/>
      <w:kern w:val="0"/>
      <w:sz w:val="24"/>
      <w:szCs w:val="24"/>
    </w:rPr>
  </w:style>
  <w:style w:type="paragraph" w:customStyle="1" w:styleId="68">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69">
    <w:name w:val="正文文本缩进 3 字符"/>
    <w:basedOn w:val="44"/>
    <w:link w:val="35"/>
    <w:autoRedefine/>
    <w:qFormat/>
    <w:uiPriority w:val="0"/>
    <w:rPr>
      <w:rFonts w:ascii="Times New Roman" w:hAnsi="Times New Roman" w:eastAsia="宋体" w:cs="Times New Roman"/>
      <w:sz w:val="16"/>
      <w:szCs w:val="16"/>
    </w:rPr>
  </w:style>
  <w:style w:type="character" w:customStyle="1" w:styleId="70">
    <w:name w:val="日期 字符"/>
    <w:basedOn w:val="44"/>
    <w:link w:val="17"/>
    <w:autoRedefine/>
    <w:qFormat/>
    <w:uiPriority w:val="0"/>
    <w:rPr>
      <w:rFonts w:ascii="Times New Roman" w:hAnsi="Times New Roman" w:eastAsia="宋体" w:cs="Times New Roman"/>
      <w:szCs w:val="24"/>
    </w:rPr>
  </w:style>
  <w:style w:type="character" w:customStyle="1" w:styleId="71">
    <w:name w:val="正文文本 字符"/>
    <w:basedOn w:val="44"/>
    <w:link w:val="16"/>
    <w:autoRedefine/>
    <w:semiHidden/>
    <w:qFormat/>
    <w:uiPriority w:val="99"/>
    <w:rPr>
      <w:rFonts w:ascii="Times New Roman" w:hAnsi="Times New Roman" w:eastAsia="宋体" w:cs="Times New Roman"/>
      <w:szCs w:val="24"/>
    </w:rPr>
  </w:style>
  <w:style w:type="character" w:customStyle="1" w:styleId="72">
    <w:name w:val="正文文本缩进 2 字符"/>
    <w:basedOn w:val="44"/>
    <w:link w:val="24"/>
    <w:autoRedefine/>
    <w:qFormat/>
    <w:uiPriority w:val="0"/>
    <w:rPr>
      <w:rFonts w:ascii="宋体" w:hAnsi="宋体" w:eastAsia="宋体" w:cs="Times New Roman"/>
      <w:bCs/>
      <w:color w:val="000000"/>
      <w:sz w:val="28"/>
      <w:szCs w:val="24"/>
    </w:rPr>
  </w:style>
  <w:style w:type="character" w:customStyle="1" w:styleId="73">
    <w:name w:val="正文文本缩进 字符"/>
    <w:basedOn w:val="44"/>
    <w:link w:val="18"/>
    <w:autoRedefine/>
    <w:qFormat/>
    <w:uiPriority w:val="0"/>
    <w:rPr>
      <w:rFonts w:ascii="Times New Roman" w:hAnsi="Times New Roman" w:eastAsia="宋体" w:cs="Times New Roman"/>
      <w:sz w:val="32"/>
      <w:szCs w:val="24"/>
    </w:rPr>
  </w:style>
  <w:style w:type="paragraph" w:customStyle="1" w:styleId="74">
    <w:name w:val="_Style 16"/>
    <w:basedOn w:val="1"/>
    <w:next w:val="22"/>
    <w:autoRedefine/>
    <w:qFormat/>
    <w:uiPriority w:val="0"/>
    <w:rPr>
      <w:rFonts w:ascii="宋体" w:hAnsi="Courier New"/>
      <w:szCs w:val="20"/>
    </w:rPr>
  </w:style>
  <w:style w:type="paragraph" w:customStyle="1" w:styleId="75">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6">
    <w:name w:val="¨¨¡À¨º???¡À?"/>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77">
    <w:name w:val="words"/>
    <w:basedOn w:val="1"/>
    <w:autoRedefine/>
    <w:qFormat/>
    <w:uiPriority w:val="0"/>
    <w:pPr>
      <w:widowControl/>
      <w:spacing w:line="240" w:lineRule="atLeast"/>
      <w:jc w:val="left"/>
    </w:pPr>
    <w:rPr>
      <w:rFonts w:ascii="ˎ̥" w:hAnsi="ˎ̥" w:cs="宋体"/>
      <w:color w:val="333333"/>
      <w:kern w:val="0"/>
      <w:sz w:val="14"/>
      <w:szCs w:val="14"/>
    </w:rPr>
  </w:style>
  <w:style w:type="character" w:customStyle="1" w:styleId="78">
    <w:name w:val="ca-1"/>
    <w:autoRedefine/>
    <w:qFormat/>
    <w:uiPriority w:val="0"/>
  </w:style>
  <w:style w:type="paragraph" w:styleId="79">
    <w:name w:val="List Paragraph"/>
    <w:basedOn w:val="1"/>
    <w:autoRedefine/>
    <w:qFormat/>
    <w:uiPriority w:val="34"/>
    <w:pPr>
      <w:ind w:firstLine="420" w:firstLineChars="200"/>
    </w:pPr>
  </w:style>
  <w:style w:type="character" w:customStyle="1" w:styleId="80">
    <w:name w:val="qxdate"/>
    <w:basedOn w:val="44"/>
    <w:autoRedefine/>
    <w:qFormat/>
    <w:uiPriority w:val="0"/>
    <w:rPr>
      <w:color w:val="333333"/>
      <w:sz w:val="12"/>
      <w:szCs w:val="12"/>
    </w:rPr>
  </w:style>
  <w:style w:type="character" w:customStyle="1" w:styleId="81">
    <w:name w:val="redfilefwwh"/>
    <w:basedOn w:val="44"/>
    <w:autoRedefine/>
    <w:qFormat/>
    <w:uiPriority w:val="0"/>
    <w:rPr>
      <w:color w:val="BA2636"/>
      <w:sz w:val="12"/>
      <w:szCs w:val="12"/>
    </w:rPr>
  </w:style>
  <w:style w:type="character" w:customStyle="1" w:styleId="82">
    <w:name w:val="next"/>
    <w:basedOn w:val="44"/>
    <w:autoRedefine/>
    <w:qFormat/>
    <w:uiPriority w:val="0"/>
    <w:rPr>
      <w:rFonts w:ascii="微软雅黑" w:hAnsi="微软雅黑" w:eastAsia="微软雅黑" w:cs="微软雅黑"/>
      <w:sz w:val="14"/>
      <w:szCs w:val="14"/>
    </w:rPr>
  </w:style>
  <w:style w:type="character" w:customStyle="1" w:styleId="83">
    <w:name w:val="cfdate"/>
    <w:basedOn w:val="44"/>
    <w:autoRedefine/>
    <w:qFormat/>
    <w:uiPriority w:val="0"/>
    <w:rPr>
      <w:color w:val="333333"/>
      <w:sz w:val="12"/>
      <w:szCs w:val="12"/>
    </w:rPr>
  </w:style>
  <w:style w:type="character" w:customStyle="1" w:styleId="84">
    <w:name w:val="redfilenumber"/>
    <w:basedOn w:val="44"/>
    <w:autoRedefine/>
    <w:qFormat/>
    <w:uiPriority w:val="0"/>
    <w:rPr>
      <w:color w:val="BA2636"/>
      <w:sz w:val="12"/>
      <w:szCs w:val="12"/>
    </w:rPr>
  </w:style>
  <w:style w:type="character" w:customStyle="1" w:styleId="85">
    <w:name w:val="gjfg"/>
    <w:basedOn w:val="44"/>
    <w:autoRedefine/>
    <w:qFormat/>
    <w:uiPriority w:val="0"/>
  </w:style>
  <w:style w:type="character" w:customStyle="1" w:styleId="86">
    <w:name w:val="displayarti"/>
    <w:basedOn w:val="44"/>
    <w:autoRedefine/>
    <w:qFormat/>
    <w:uiPriority w:val="0"/>
    <w:rPr>
      <w:color w:val="FFFFFF"/>
      <w:shd w:val="clear" w:color="auto" w:fill="A00000"/>
    </w:rPr>
  </w:style>
  <w:style w:type="character" w:customStyle="1" w:styleId="87">
    <w:name w:val="prev2"/>
    <w:basedOn w:val="44"/>
    <w:autoRedefine/>
    <w:qFormat/>
    <w:uiPriority w:val="0"/>
    <w:rPr>
      <w:rFonts w:hint="eastAsia" w:ascii="微软雅黑" w:hAnsi="微软雅黑" w:eastAsia="微软雅黑" w:cs="微软雅黑"/>
      <w:sz w:val="14"/>
      <w:szCs w:val="14"/>
    </w:rPr>
  </w:style>
  <w:style w:type="character" w:customStyle="1" w:styleId="88">
    <w:name w:val="prev3"/>
    <w:basedOn w:val="44"/>
    <w:autoRedefine/>
    <w:qFormat/>
    <w:uiPriority w:val="0"/>
    <w:rPr>
      <w:color w:val="888888"/>
    </w:rPr>
  </w:style>
  <w:style w:type="character" w:customStyle="1" w:styleId="89">
    <w:name w:val="next2"/>
    <w:basedOn w:val="44"/>
    <w:autoRedefine/>
    <w:qFormat/>
    <w:uiPriority w:val="0"/>
    <w:rPr>
      <w:rFonts w:hint="eastAsia" w:ascii="微软雅黑" w:hAnsi="微软雅黑" w:eastAsia="微软雅黑" w:cs="微软雅黑"/>
      <w:sz w:val="14"/>
      <w:szCs w:val="14"/>
    </w:rPr>
  </w:style>
  <w:style w:type="character" w:customStyle="1" w:styleId="90">
    <w:name w:val="next3"/>
    <w:basedOn w:val="44"/>
    <w:autoRedefine/>
    <w:qFormat/>
    <w:uiPriority w:val="0"/>
    <w:rPr>
      <w:color w:val="888888"/>
    </w:rPr>
  </w:style>
  <w:style w:type="paragraph" w:customStyle="1" w:styleId="91">
    <w:name w:val="图"/>
    <w:basedOn w:val="1"/>
    <w:autoRedefine/>
    <w:qFormat/>
    <w:uiPriority w:val="0"/>
    <w:pPr>
      <w:keepNext/>
      <w:adjustRightInd w:val="0"/>
      <w:spacing w:before="60" w:after="60" w:line="300" w:lineRule="auto"/>
      <w:jc w:val="center"/>
      <w:textAlignment w:val="center"/>
    </w:pPr>
    <w:rPr>
      <w:snapToGrid w:val="0"/>
      <w:spacing w:val="20"/>
      <w:kern w:val="0"/>
      <w:szCs w:val="20"/>
    </w:rPr>
  </w:style>
  <w:style w:type="paragraph" w:customStyle="1" w:styleId="92">
    <w:name w:val="_Style 3"/>
    <w:basedOn w:val="1"/>
    <w:autoRedefine/>
    <w:qFormat/>
    <w:uiPriority w:val="0"/>
    <w:pPr>
      <w:widowControl/>
      <w:ind w:firstLine="420" w:firstLineChars="200"/>
      <w:jc w:val="left"/>
    </w:pPr>
    <w:rPr>
      <w:rFonts w:ascii="Calibri" w:hAnsi="Calibri"/>
      <w:snapToGrid w:val="0"/>
      <w:kern w:val="0"/>
      <w:sz w:val="20"/>
    </w:rPr>
  </w:style>
  <w:style w:type="paragraph" w:customStyle="1" w:styleId="93">
    <w:name w:val="样式1"/>
    <w:basedOn w:val="1"/>
    <w:autoRedefine/>
    <w:qFormat/>
    <w:uiPriority w:val="0"/>
    <w:pPr>
      <w:numPr>
        <w:ilvl w:val="0"/>
        <w:numId w:val="1"/>
      </w:numPr>
      <w:tabs>
        <w:tab w:val="left" w:pos="709"/>
      </w:tabs>
      <w:adjustRightInd w:val="0"/>
      <w:textAlignment w:val="baseline"/>
    </w:pPr>
    <w:rPr>
      <w:rFonts w:ascii="宋体" w:hAnsi="宋体"/>
      <w:kern w:val="0"/>
      <w:szCs w:val="21"/>
    </w:rPr>
  </w:style>
  <w:style w:type="paragraph" w:customStyle="1" w:styleId="94">
    <w:name w:val="样式 仿宋_GB2312 (符号) 宋体 小四 黑色 行距: 1.5 倍行距 首行缩进:  2 字符"/>
    <w:basedOn w:val="1"/>
    <w:autoRedefine/>
    <w:qFormat/>
    <w:uiPriority w:val="0"/>
    <w:pPr>
      <w:ind w:firstLine="480" w:firstLineChars="200"/>
    </w:pPr>
    <w:rPr>
      <w:rFonts w:ascii="Verdana" w:hAnsi="Cambria" w:eastAsia="Times New Roman" w:cs="Verdana"/>
      <w:color w:val="000000"/>
      <w:sz w:val="28"/>
      <w:szCs w:val="28"/>
    </w:rPr>
  </w:style>
  <w:style w:type="paragraph" w:customStyle="1" w:styleId="95">
    <w:name w:val="正文文本1"/>
    <w:basedOn w:val="1"/>
    <w:autoRedefine/>
    <w:qFormat/>
    <w:uiPriority w:val="0"/>
    <w:pPr>
      <w:ind w:left="700" w:hanging="700" w:hangingChars="250"/>
    </w:pPr>
    <w:rPr>
      <w:rFonts w:ascii="Verdana" w:hAnsi="楷体" w:eastAsia="Times New Roman" w:cs="Verdana"/>
      <w:color w:val="000000"/>
      <w:sz w:val="28"/>
      <w:szCs w:val="28"/>
    </w:rPr>
  </w:style>
  <w:style w:type="paragraph" w:customStyle="1" w:styleId="96">
    <w:name w:val="Normal no space after"/>
    <w:basedOn w:val="1"/>
    <w:autoRedefine/>
    <w:qFormat/>
    <w:uiPriority w:val="0"/>
    <w:pPr>
      <w:widowControl/>
      <w:tabs>
        <w:tab w:val="left" w:pos="284"/>
        <w:tab w:val="left" w:pos="567"/>
      </w:tabs>
      <w:spacing w:line="280" w:lineRule="atLeast"/>
      <w:jc w:val="left"/>
    </w:pPr>
    <w:rPr>
      <w:rFonts w:ascii="Frutiger Roman" w:hAnsi="Frutiger Roman"/>
      <w:kern w:val="0"/>
      <w:sz w:val="20"/>
      <w:szCs w:val="20"/>
      <w:lang w:eastAsia="en-US"/>
    </w:rPr>
  </w:style>
  <w:style w:type="character" w:customStyle="1" w:styleId="97">
    <w:name w:val="font01"/>
    <w:basedOn w:val="44"/>
    <w:autoRedefine/>
    <w:qFormat/>
    <w:uiPriority w:val="0"/>
    <w:rPr>
      <w:rFonts w:hint="eastAsia" w:ascii="宋体" w:hAnsi="宋体" w:eastAsia="宋体" w:cs="宋体"/>
      <w:color w:val="000000"/>
      <w:sz w:val="22"/>
      <w:szCs w:val="22"/>
      <w:u w:val="none"/>
    </w:rPr>
  </w:style>
  <w:style w:type="character" w:customStyle="1" w:styleId="98">
    <w:name w:val="font11"/>
    <w:basedOn w:val="44"/>
    <w:autoRedefine/>
    <w:qFormat/>
    <w:uiPriority w:val="0"/>
    <w:rPr>
      <w:rFonts w:hint="eastAsia" w:ascii="宋体" w:hAnsi="宋体" w:eastAsia="宋体" w:cs="宋体"/>
      <w:color w:val="000000"/>
      <w:sz w:val="22"/>
      <w:szCs w:val="22"/>
      <w:u w:val="none"/>
    </w:rPr>
  </w:style>
  <w:style w:type="character" w:customStyle="1" w:styleId="99">
    <w:name w:val="font41"/>
    <w:basedOn w:val="44"/>
    <w:autoRedefine/>
    <w:qFormat/>
    <w:uiPriority w:val="0"/>
    <w:rPr>
      <w:rFonts w:hint="eastAsia" w:ascii="宋体" w:hAnsi="宋体" w:eastAsia="宋体" w:cs="宋体"/>
      <w:color w:val="000000"/>
      <w:sz w:val="22"/>
      <w:szCs w:val="22"/>
      <w:u w:val="none"/>
    </w:rPr>
  </w:style>
  <w:style w:type="character" w:customStyle="1" w:styleId="100">
    <w:name w:val="NormalCharacter"/>
    <w:link w:val="101"/>
    <w:autoRedefine/>
    <w:qFormat/>
    <w:uiPriority w:val="0"/>
  </w:style>
  <w:style w:type="paragraph" w:customStyle="1" w:styleId="101">
    <w:name w:val="UserStyle_5"/>
    <w:basedOn w:val="1"/>
    <w:link w:val="100"/>
    <w:qFormat/>
    <w:uiPriority w:val="0"/>
    <w:pPr>
      <w:widowControl/>
      <w:spacing w:after="160" w:line="240" w:lineRule="exact"/>
      <w:jc w:val="left"/>
      <w:textAlignment w:val="baseline"/>
    </w:pPr>
  </w:style>
  <w:style w:type="paragraph" w:customStyle="1" w:styleId="102">
    <w:name w:val="UserStyle_2"/>
    <w:basedOn w:val="1"/>
    <w:link w:val="100"/>
    <w:autoRedefine/>
    <w:qFormat/>
    <w:uiPriority w:val="0"/>
    <w:pPr>
      <w:textAlignment w:val="baseline"/>
    </w:pPr>
    <w:rPr>
      <w:rFonts w:cstheme="minorBidi"/>
    </w:rPr>
  </w:style>
  <w:style w:type="paragraph" w:styleId="103">
    <w:name w:val="No Spacing"/>
    <w:autoRedefine/>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104">
    <w:name w:val="批注框文本 字符"/>
    <w:basedOn w:val="44"/>
    <w:link w:val="25"/>
    <w:autoRedefine/>
    <w:semiHidden/>
    <w:qFormat/>
    <w:uiPriority w:val="99"/>
    <w:rPr>
      <w:rFonts w:ascii="Times New Roman" w:hAnsi="Times New Roman" w:eastAsia="宋体" w:cs="Times New Roman"/>
      <w:kern w:val="2"/>
      <w:sz w:val="18"/>
      <w:szCs w:val="18"/>
    </w:rPr>
  </w:style>
  <w:style w:type="paragraph" w:customStyle="1" w:styleId="105">
    <w:name w:val="列出段落1"/>
    <w:basedOn w:val="1"/>
    <w:autoRedefine/>
    <w:qFormat/>
    <w:uiPriority w:val="34"/>
    <w:pPr>
      <w:ind w:firstLine="420" w:firstLineChars="200"/>
    </w:pPr>
  </w:style>
  <w:style w:type="paragraph" w:customStyle="1" w:styleId="106">
    <w:name w:val="Default"/>
    <w:next w:val="107"/>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7">
    <w:name w:val="大标题"/>
    <w:basedOn w:val="1"/>
    <w:next w:val="19"/>
    <w:qFormat/>
    <w:uiPriority w:val="0"/>
    <w:pPr>
      <w:jc w:val="center"/>
    </w:pPr>
    <w:rPr>
      <w:rFonts w:ascii="Arial" w:hAnsi="Arial" w:eastAsia="宋体"/>
      <w:b/>
      <w:sz w:val="28"/>
      <w:szCs w:val="24"/>
    </w:rPr>
  </w:style>
  <w:style w:type="paragraph" w:customStyle="1" w:styleId="108">
    <w:name w:val="p0"/>
    <w:basedOn w:val="1"/>
    <w:autoRedefine/>
    <w:qFormat/>
    <w:uiPriority w:val="0"/>
    <w:rPr>
      <w:rFonts w:ascii="Times New Roman" w:hAnsi="Times New Roman"/>
      <w:kern w:val="0"/>
    </w:rPr>
  </w:style>
  <w:style w:type="paragraph" w:customStyle="1" w:styleId="109">
    <w:name w:val="Other|1"/>
    <w:basedOn w:val="1"/>
    <w:autoRedefine/>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110">
    <w:name w:val="正文 A"/>
    <w:autoRedefine/>
    <w:qFormat/>
    <w:uiPriority w:val="0"/>
    <w:pPr>
      <w:framePr w:wrap="around" w:vAnchor="margin" w:hAnchor="text" w:yAlign="top"/>
      <w:widowControl w:val="0"/>
      <w:jc w:val="both"/>
    </w:pPr>
    <w:rPr>
      <w:rFonts w:ascii="Calibri" w:hAnsi="Calibri" w:eastAsia="Calibri" w:cs="Calibri"/>
      <w:color w:val="000000"/>
      <w:kern w:val="2"/>
      <w:sz w:val="21"/>
      <w:szCs w:val="21"/>
      <w:u w:color="000000"/>
      <w:lang w:val="en-US" w:eastAsia="zh-CN" w:bidi="ar-SA"/>
    </w:rPr>
  </w:style>
  <w:style w:type="character" w:customStyle="1" w:styleId="111">
    <w:name w:val="a0"/>
    <w:autoRedefine/>
    <w:qFormat/>
    <w:uiPriority w:val="0"/>
  </w:style>
  <w:style w:type="paragraph" w:customStyle="1" w:styleId="112">
    <w:name w:val="列表段落1"/>
    <w:basedOn w:val="1"/>
    <w:autoRedefine/>
    <w:qFormat/>
    <w:uiPriority w:val="34"/>
    <w:pPr>
      <w:ind w:firstLine="420" w:firstLineChars="200"/>
    </w:pPr>
  </w:style>
  <w:style w:type="character" w:customStyle="1" w:styleId="113">
    <w:name w:val="font111"/>
    <w:qFormat/>
    <w:uiPriority w:val="0"/>
    <w:rPr>
      <w:rFonts w:hint="eastAsia" w:ascii="宋体" w:hAnsi="宋体" w:eastAsia="宋体" w:cs="宋体"/>
      <w:b/>
      <w:bCs/>
      <w:color w:val="000000"/>
      <w:sz w:val="36"/>
      <w:szCs w:val="36"/>
      <w:u w:val="none"/>
    </w:rPr>
  </w:style>
  <w:style w:type="character" w:customStyle="1" w:styleId="114">
    <w:name w:val="font141"/>
    <w:qFormat/>
    <w:uiPriority w:val="0"/>
    <w:rPr>
      <w:rFonts w:hint="eastAsia" w:ascii="宋体" w:hAnsi="宋体" w:eastAsia="宋体" w:cs="宋体"/>
      <w:b/>
      <w:bCs/>
      <w:color w:val="000000"/>
      <w:sz w:val="36"/>
      <w:szCs w:val="36"/>
      <w:u w:val="none"/>
    </w:rPr>
  </w:style>
  <w:style w:type="paragraph" w:customStyle="1" w:styleId="115">
    <w:name w:val="列出段落2"/>
    <w:basedOn w:val="1"/>
    <w:qFormat/>
    <w:uiPriority w:val="0"/>
    <w:pPr>
      <w:ind w:firstLine="420" w:firstLineChars="200"/>
    </w:pPr>
    <w:rPr>
      <w:rFonts w:ascii="Calibri" w:hAnsi="Calibri"/>
      <w:szCs w:val="22"/>
    </w:rPr>
  </w:style>
  <w:style w:type="paragraph" w:customStyle="1" w:styleId="116">
    <w:name w:val="Table Text"/>
    <w:basedOn w:val="1"/>
    <w:semiHidden/>
    <w:qFormat/>
    <w:uiPriority w:val="0"/>
    <w:rPr>
      <w:rFonts w:ascii="宋体" w:hAnsi="宋体" w:eastAsia="宋体" w:cs="宋体"/>
      <w:sz w:val="24"/>
      <w:szCs w:val="24"/>
      <w:lang w:val="en-US" w:eastAsia="en-US" w:bidi="ar-SA"/>
    </w:rPr>
  </w:style>
  <w:style w:type="table" w:customStyle="1" w:styleId="117">
    <w:name w:val="Table Normal"/>
    <w:semiHidden/>
    <w:unhideWhenUsed/>
    <w:qFormat/>
    <w:uiPriority w:val="0"/>
    <w:tblPr>
      <w:tblCellMar>
        <w:top w:w="0" w:type="dxa"/>
        <w:left w:w="0" w:type="dxa"/>
        <w:bottom w:w="0" w:type="dxa"/>
        <w:right w:w="0" w:type="dxa"/>
      </w:tblCellMar>
    </w:tblPr>
  </w:style>
  <w:style w:type="paragraph" w:customStyle="1" w:styleId="118">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1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120">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1A9748-C11D-4866-B345-639764CE26A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77</Pages>
  <Words>11631</Words>
  <Characters>12448</Characters>
  <Lines>247</Lines>
  <Paragraphs>69</Paragraphs>
  <TotalTime>3</TotalTime>
  <ScaleCrop>false</ScaleCrop>
  <LinksUpToDate>false</LinksUpToDate>
  <CharactersWithSpaces>12602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2020-01-31T05:35:00Z</dcterms:created>
  <dc:creator>lenovo</dc:creator>
  <cp:lastModifiedBy>张圆圆的圆。</cp:lastModifiedBy>
  <cp:lastPrinted>2022-04-19T11:32:00Z</cp:lastPrinted>
  <dcterms:modified xsi:type="dcterms:W3CDTF">2026-06-05T10:28:52Z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18BC39270D35470ABAA75858B12738BC_13</vt:lpwstr>
  </property>
  <property fmtid="{D5CDD505-2E9C-101B-9397-08002B2CF9AE}" pid="4" name="KSOTemplateDocerSaveRecord">
    <vt:lpwstr>eyJoZGlkIjoiNTIyNTkzNDEwNmIwOWMwN2Q1YWRmZTJmODI5MmRhODkiLCJ1c2VySWQiOiIxMTI0MzczNTAzIn0=</vt:lpwstr>
  </property>
</Properties>
</file>